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footer2.xml" ContentType="application/vnd.openxmlformats-officedocument.wordprocessingml.footer+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5.xml" ContentType="application/vnd.openxmlformats-officedocument.themeOverrid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6.xml" ContentType="application/vnd.openxmlformats-officedocument.themeOverrid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7.xml" ContentType="application/vnd.openxmlformats-officedocument.themeOverride+xml"/>
  <Override PartName="/word/charts/chart16.xml" ContentType="application/vnd.openxmlformats-officedocument.drawingml.chart+xml"/>
  <Override PartName="/word/theme/themeOverride8.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D6D5A" w14:textId="2F06FBE8" w:rsidR="004F6C28" w:rsidRDefault="000C34A6" w:rsidP="008949E3">
      <w:pPr>
        <w:pStyle w:val="Title"/>
        <w:rPr>
          <w:rFonts w:ascii="Times New Roman" w:hAnsi="Times New Roman" w:cs="Times New Roman"/>
        </w:rPr>
      </w:pPr>
      <w:r>
        <w:rPr>
          <w:rFonts w:ascii="Times New Roman" w:hAnsi="Times New Roman" w:cs="Times New Roman"/>
        </w:rPr>
        <w:t xml:space="preserve">Interseeding </w:t>
      </w:r>
      <w:r w:rsidR="004F6C28">
        <w:rPr>
          <w:rFonts w:ascii="Times New Roman" w:hAnsi="Times New Roman" w:cs="Times New Roman"/>
        </w:rPr>
        <w:t xml:space="preserve">Native Warm-Season </w:t>
      </w:r>
      <w:r>
        <w:rPr>
          <w:rFonts w:ascii="Times New Roman" w:hAnsi="Times New Roman" w:cs="Times New Roman"/>
        </w:rPr>
        <w:t xml:space="preserve">Grass </w:t>
      </w:r>
      <w:r w:rsidR="004F6C28">
        <w:rPr>
          <w:rFonts w:ascii="Times New Roman" w:hAnsi="Times New Roman" w:cs="Times New Roman"/>
        </w:rPr>
        <w:t xml:space="preserve">Pastures </w:t>
      </w:r>
    </w:p>
    <w:p w14:paraId="7C06B2D0" w14:textId="77777777" w:rsidR="003D07F7" w:rsidRPr="004F6C28" w:rsidRDefault="00DD00DE" w:rsidP="00387656">
      <w:pPr>
        <w:pStyle w:val="Title"/>
        <w:rPr>
          <w:rFonts w:ascii="Times New Roman" w:hAnsi="Times New Roman" w:cs="Times New Roman"/>
        </w:rPr>
      </w:pPr>
      <w:r w:rsidRPr="004F6C28">
        <w:rPr>
          <w:rFonts w:ascii="Times New Roman" w:hAnsi="Times New Roman" w:cs="Times New Roman"/>
        </w:rPr>
        <w:tab/>
      </w:r>
    </w:p>
    <w:p w14:paraId="2806D82A" w14:textId="77777777" w:rsidR="00236E6D" w:rsidRPr="004F6C28" w:rsidRDefault="00236E6D" w:rsidP="00387656">
      <w:pPr>
        <w:pStyle w:val="Title"/>
        <w:rPr>
          <w:rFonts w:ascii="Times New Roman" w:hAnsi="Times New Roman" w:cs="Times New Roman"/>
        </w:rPr>
      </w:pPr>
    </w:p>
    <w:p w14:paraId="299F8DD0" w14:textId="77777777" w:rsidR="00236E6D" w:rsidRPr="004F6C28" w:rsidRDefault="00236E6D" w:rsidP="00387656">
      <w:pPr>
        <w:pStyle w:val="Title"/>
        <w:rPr>
          <w:rFonts w:ascii="Times New Roman" w:hAnsi="Times New Roman" w:cs="Times New Roman"/>
        </w:rPr>
      </w:pPr>
    </w:p>
    <w:p w14:paraId="69103422" w14:textId="77777777" w:rsidR="00236E6D" w:rsidRPr="004F6C28" w:rsidRDefault="00236E6D" w:rsidP="00387656">
      <w:pPr>
        <w:pStyle w:val="Title"/>
        <w:rPr>
          <w:rFonts w:ascii="Times New Roman" w:hAnsi="Times New Roman" w:cs="Times New Roman"/>
        </w:rPr>
      </w:pPr>
    </w:p>
    <w:p w14:paraId="2DACF8CF" w14:textId="77777777" w:rsidR="00236E6D" w:rsidRPr="004F6C28" w:rsidRDefault="00236E6D" w:rsidP="00387656">
      <w:pPr>
        <w:pStyle w:val="Title"/>
        <w:rPr>
          <w:rFonts w:ascii="Times New Roman" w:hAnsi="Times New Roman" w:cs="Times New Roman"/>
        </w:rPr>
      </w:pPr>
    </w:p>
    <w:p w14:paraId="5FD1EBB9" w14:textId="77777777" w:rsidR="00387656" w:rsidRPr="004F6C28" w:rsidRDefault="00387656" w:rsidP="00387656">
      <w:pPr>
        <w:pStyle w:val="Title"/>
        <w:rPr>
          <w:rFonts w:ascii="Times New Roman" w:hAnsi="Times New Roman" w:cs="Times New Roman"/>
        </w:rPr>
      </w:pPr>
    </w:p>
    <w:p w14:paraId="134CFFD6" w14:textId="77777777" w:rsidR="00387656" w:rsidRPr="004F6C28" w:rsidRDefault="00387656" w:rsidP="00387656">
      <w:pPr>
        <w:pStyle w:val="Title"/>
        <w:rPr>
          <w:rFonts w:ascii="Times New Roman" w:hAnsi="Times New Roman" w:cs="Times New Roman"/>
        </w:rPr>
      </w:pPr>
    </w:p>
    <w:p w14:paraId="0BFF703D" w14:textId="77777777" w:rsidR="00387656" w:rsidRPr="004F6C28" w:rsidRDefault="00387656" w:rsidP="00387656">
      <w:pPr>
        <w:pStyle w:val="Title"/>
        <w:rPr>
          <w:rFonts w:ascii="Times New Roman" w:hAnsi="Times New Roman" w:cs="Times New Roman"/>
        </w:rPr>
      </w:pPr>
    </w:p>
    <w:p w14:paraId="6181902D" w14:textId="77777777" w:rsidR="00387656" w:rsidRPr="004F6C28" w:rsidRDefault="00387656" w:rsidP="00387656">
      <w:pPr>
        <w:pStyle w:val="Title"/>
        <w:rPr>
          <w:rFonts w:ascii="Times New Roman" w:hAnsi="Times New Roman" w:cs="Times New Roman"/>
        </w:rPr>
      </w:pPr>
    </w:p>
    <w:p w14:paraId="4284FB25" w14:textId="77777777" w:rsidR="00387656" w:rsidRPr="004F6C28" w:rsidRDefault="00387656" w:rsidP="00387656">
      <w:pPr>
        <w:pStyle w:val="Title"/>
        <w:rPr>
          <w:rFonts w:ascii="Times New Roman" w:hAnsi="Times New Roman" w:cs="Times New Roman"/>
        </w:rPr>
      </w:pPr>
    </w:p>
    <w:p w14:paraId="02A38A65" w14:textId="77777777" w:rsidR="00387656" w:rsidRPr="004F6C28" w:rsidRDefault="00387656" w:rsidP="00387656">
      <w:pPr>
        <w:pStyle w:val="Title"/>
        <w:rPr>
          <w:rFonts w:ascii="Times New Roman" w:hAnsi="Times New Roman" w:cs="Times New Roman"/>
        </w:rPr>
      </w:pPr>
    </w:p>
    <w:p w14:paraId="5700F0E6" w14:textId="77777777" w:rsidR="00236E6D" w:rsidRPr="004F6C28" w:rsidRDefault="00236E6D" w:rsidP="00387656">
      <w:pPr>
        <w:pStyle w:val="Title"/>
        <w:rPr>
          <w:rFonts w:ascii="Times New Roman" w:hAnsi="Times New Roman" w:cs="Times New Roman"/>
        </w:rPr>
      </w:pPr>
    </w:p>
    <w:p w14:paraId="5A2687D7" w14:textId="77777777" w:rsidR="00236E6D" w:rsidRPr="004F6C28" w:rsidRDefault="00236E6D" w:rsidP="00387656">
      <w:pPr>
        <w:pStyle w:val="Title"/>
        <w:rPr>
          <w:rFonts w:ascii="Times New Roman" w:hAnsi="Times New Roman" w:cs="Times New Roman"/>
        </w:rPr>
      </w:pPr>
    </w:p>
    <w:p w14:paraId="13361D3F" w14:textId="77777777" w:rsidR="00236E6D" w:rsidRPr="004F6C28" w:rsidRDefault="00236E6D" w:rsidP="00387656">
      <w:pPr>
        <w:pStyle w:val="Title"/>
        <w:jc w:val="left"/>
        <w:rPr>
          <w:rFonts w:ascii="Times New Roman" w:hAnsi="Times New Roman" w:cs="Times New Roman"/>
        </w:rPr>
      </w:pPr>
    </w:p>
    <w:p w14:paraId="1E0CC112" w14:textId="2F3BA498" w:rsidR="00236E6D" w:rsidRPr="004F6C28" w:rsidRDefault="009C755C" w:rsidP="00387656">
      <w:pPr>
        <w:pStyle w:val="Title"/>
        <w:rPr>
          <w:rFonts w:ascii="Times New Roman" w:hAnsi="Times New Roman" w:cs="Times New Roman"/>
        </w:rPr>
      </w:pPr>
      <w:r w:rsidRPr="004F6C28">
        <w:rPr>
          <w:rFonts w:ascii="Times New Roman" w:hAnsi="Times New Roman" w:cs="Times New Roman"/>
        </w:rPr>
        <w:t xml:space="preserve">A </w:t>
      </w:r>
      <w:r w:rsidR="004F6C28">
        <w:rPr>
          <w:rFonts w:ascii="Times New Roman" w:hAnsi="Times New Roman" w:cs="Times New Roman"/>
        </w:rPr>
        <w:t>Dissertation</w:t>
      </w:r>
      <w:r w:rsidRPr="004F6C28">
        <w:rPr>
          <w:rFonts w:ascii="Times New Roman" w:hAnsi="Times New Roman" w:cs="Times New Roman"/>
        </w:rPr>
        <w:t xml:space="preserve"> Presented for</w:t>
      </w:r>
      <w:r w:rsidR="008865B6" w:rsidRPr="004F6C28">
        <w:rPr>
          <w:rFonts w:ascii="Times New Roman" w:hAnsi="Times New Roman" w:cs="Times New Roman"/>
        </w:rPr>
        <w:t xml:space="preserve"> the</w:t>
      </w:r>
    </w:p>
    <w:p w14:paraId="6A579871" w14:textId="49548511" w:rsidR="009C755C" w:rsidRPr="004F6C28" w:rsidRDefault="004F6C28" w:rsidP="00387656">
      <w:pPr>
        <w:pStyle w:val="Title"/>
        <w:rPr>
          <w:rFonts w:ascii="Times New Roman" w:hAnsi="Times New Roman" w:cs="Times New Roman"/>
        </w:rPr>
      </w:pPr>
      <w:r>
        <w:rPr>
          <w:rFonts w:ascii="Times New Roman" w:hAnsi="Times New Roman" w:cs="Times New Roman"/>
        </w:rPr>
        <w:t>Doctor</w:t>
      </w:r>
      <w:r w:rsidR="009C755C" w:rsidRPr="004F6C28">
        <w:rPr>
          <w:rFonts w:ascii="Times New Roman" w:hAnsi="Times New Roman" w:cs="Times New Roman"/>
        </w:rPr>
        <w:t xml:space="preserve"> of </w:t>
      </w:r>
      <w:r>
        <w:rPr>
          <w:rFonts w:ascii="Times New Roman" w:hAnsi="Times New Roman" w:cs="Times New Roman"/>
        </w:rPr>
        <w:t>Philosophy</w:t>
      </w:r>
    </w:p>
    <w:p w14:paraId="3D801D23" w14:textId="77777777" w:rsidR="009C755C" w:rsidRPr="004F6C28" w:rsidRDefault="009C755C" w:rsidP="00387656">
      <w:pPr>
        <w:pStyle w:val="Title"/>
        <w:rPr>
          <w:rFonts w:ascii="Times New Roman" w:hAnsi="Times New Roman" w:cs="Times New Roman"/>
        </w:rPr>
      </w:pPr>
      <w:r w:rsidRPr="004F6C28">
        <w:rPr>
          <w:rFonts w:ascii="Times New Roman" w:hAnsi="Times New Roman" w:cs="Times New Roman"/>
        </w:rPr>
        <w:t>Degree</w:t>
      </w:r>
    </w:p>
    <w:p w14:paraId="76EAABBE" w14:textId="77777777" w:rsidR="009C755C" w:rsidRPr="004F6C28" w:rsidRDefault="009C755C" w:rsidP="00387656">
      <w:pPr>
        <w:pStyle w:val="Title"/>
        <w:rPr>
          <w:rFonts w:ascii="Times New Roman" w:hAnsi="Times New Roman" w:cs="Times New Roman"/>
        </w:rPr>
      </w:pPr>
      <w:r w:rsidRPr="004F6C28">
        <w:rPr>
          <w:rFonts w:ascii="Times New Roman" w:hAnsi="Times New Roman" w:cs="Times New Roman"/>
        </w:rPr>
        <w:t>The University of Tennessee, Knoxville</w:t>
      </w:r>
    </w:p>
    <w:p w14:paraId="23CB84AC" w14:textId="77777777" w:rsidR="00387656" w:rsidRPr="004F6C28" w:rsidRDefault="00387656" w:rsidP="00387656">
      <w:pPr>
        <w:pStyle w:val="Title"/>
        <w:rPr>
          <w:rFonts w:ascii="Times New Roman" w:hAnsi="Times New Roman" w:cs="Times New Roman"/>
        </w:rPr>
      </w:pPr>
    </w:p>
    <w:p w14:paraId="51AD7CA5" w14:textId="77777777" w:rsidR="00387656" w:rsidRPr="004F6C28" w:rsidRDefault="00387656" w:rsidP="00387656">
      <w:pPr>
        <w:pStyle w:val="Title"/>
        <w:rPr>
          <w:rFonts w:ascii="Times New Roman" w:hAnsi="Times New Roman" w:cs="Times New Roman"/>
        </w:rPr>
      </w:pPr>
    </w:p>
    <w:p w14:paraId="0793AEB2" w14:textId="77777777" w:rsidR="00387656" w:rsidRPr="004F6C28" w:rsidRDefault="00387656" w:rsidP="00387656">
      <w:pPr>
        <w:pStyle w:val="Title"/>
        <w:rPr>
          <w:rFonts w:ascii="Times New Roman" w:hAnsi="Times New Roman" w:cs="Times New Roman"/>
        </w:rPr>
      </w:pPr>
    </w:p>
    <w:p w14:paraId="47A19398" w14:textId="77777777" w:rsidR="00236E6D" w:rsidRPr="004F6C28" w:rsidRDefault="00236E6D" w:rsidP="00387656">
      <w:pPr>
        <w:pStyle w:val="Title"/>
        <w:rPr>
          <w:rFonts w:ascii="Times New Roman" w:hAnsi="Times New Roman" w:cs="Times New Roman"/>
        </w:rPr>
      </w:pPr>
    </w:p>
    <w:p w14:paraId="1CA7F926" w14:textId="77777777" w:rsidR="00236E6D" w:rsidRPr="004F6C28" w:rsidRDefault="00236E6D" w:rsidP="00387656">
      <w:pPr>
        <w:pStyle w:val="Title"/>
        <w:rPr>
          <w:rFonts w:ascii="Times New Roman" w:hAnsi="Times New Roman" w:cs="Times New Roman"/>
        </w:rPr>
      </w:pPr>
    </w:p>
    <w:p w14:paraId="730DF2DB" w14:textId="77777777" w:rsidR="00236E6D" w:rsidRPr="004F6C28" w:rsidRDefault="00236E6D" w:rsidP="00387656">
      <w:pPr>
        <w:pStyle w:val="Title"/>
        <w:rPr>
          <w:rFonts w:ascii="Times New Roman" w:hAnsi="Times New Roman" w:cs="Times New Roman"/>
        </w:rPr>
      </w:pPr>
    </w:p>
    <w:p w14:paraId="792AA368" w14:textId="77777777" w:rsidR="00236E6D" w:rsidRPr="004F6C28" w:rsidRDefault="00236E6D" w:rsidP="00387656">
      <w:pPr>
        <w:pStyle w:val="Title"/>
        <w:rPr>
          <w:rFonts w:ascii="Times New Roman" w:hAnsi="Times New Roman" w:cs="Times New Roman"/>
        </w:rPr>
      </w:pPr>
    </w:p>
    <w:p w14:paraId="73CBC3B1" w14:textId="77777777" w:rsidR="00236E6D" w:rsidRPr="004F6C28" w:rsidRDefault="00236E6D" w:rsidP="00387656">
      <w:pPr>
        <w:pStyle w:val="Title"/>
        <w:rPr>
          <w:rFonts w:ascii="Times New Roman" w:hAnsi="Times New Roman" w:cs="Times New Roman"/>
        </w:rPr>
      </w:pPr>
    </w:p>
    <w:p w14:paraId="6B1F4154" w14:textId="77777777" w:rsidR="00236E6D" w:rsidRPr="004F6C28" w:rsidRDefault="00236E6D" w:rsidP="00387656">
      <w:pPr>
        <w:pStyle w:val="Title"/>
        <w:rPr>
          <w:rFonts w:ascii="Times New Roman" w:hAnsi="Times New Roman" w:cs="Times New Roman"/>
        </w:rPr>
      </w:pPr>
    </w:p>
    <w:p w14:paraId="291A203D" w14:textId="77777777" w:rsidR="00236E6D" w:rsidRPr="004F6C28" w:rsidRDefault="00236E6D" w:rsidP="00387656">
      <w:pPr>
        <w:pStyle w:val="Title"/>
        <w:rPr>
          <w:rFonts w:ascii="Times New Roman" w:hAnsi="Times New Roman" w:cs="Times New Roman"/>
        </w:rPr>
      </w:pPr>
    </w:p>
    <w:p w14:paraId="6A538D37" w14:textId="77777777" w:rsidR="00236E6D" w:rsidRPr="004F6C28" w:rsidRDefault="00236E6D" w:rsidP="00387656">
      <w:pPr>
        <w:pStyle w:val="Title"/>
        <w:rPr>
          <w:rFonts w:ascii="Times New Roman" w:hAnsi="Times New Roman" w:cs="Times New Roman"/>
        </w:rPr>
      </w:pPr>
    </w:p>
    <w:p w14:paraId="225D54A5" w14:textId="77777777" w:rsidR="00236E6D" w:rsidRPr="004F6C28" w:rsidRDefault="00236E6D" w:rsidP="00387656">
      <w:pPr>
        <w:pStyle w:val="Title"/>
        <w:rPr>
          <w:rFonts w:ascii="Times New Roman" w:hAnsi="Times New Roman" w:cs="Times New Roman"/>
        </w:rPr>
      </w:pPr>
    </w:p>
    <w:p w14:paraId="7184F35D" w14:textId="77777777" w:rsidR="00236E6D" w:rsidRPr="004F6C28" w:rsidRDefault="00236E6D" w:rsidP="00387656">
      <w:pPr>
        <w:pStyle w:val="Title"/>
        <w:rPr>
          <w:rFonts w:ascii="Times New Roman" w:hAnsi="Times New Roman" w:cs="Times New Roman"/>
        </w:rPr>
      </w:pPr>
    </w:p>
    <w:p w14:paraId="1479242F" w14:textId="248281AF" w:rsidR="00236E6D" w:rsidRPr="004F6C28" w:rsidRDefault="000033A9" w:rsidP="00387656">
      <w:pPr>
        <w:pStyle w:val="Title"/>
        <w:rPr>
          <w:rFonts w:ascii="Times New Roman" w:hAnsi="Times New Roman" w:cs="Times New Roman"/>
        </w:rPr>
      </w:pPr>
      <w:r w:rsidRPr="004F6C28">
        <w:rPr>
          <w:rFonts w:ascii="Times New Roman" w:hAnsi="Times New Roman" w:cs="Times New Roman"/>
        </w:rPr>
        <w:t>J</w:t>
      </w:r>
      <w:r w:rsidR="004F6C28">
        <w:rPr>
          <w:rFonts w:ascii="Times New Roman" w:hAnsi="Times New Roman" w:cs="Times New Roman"/>
        </w:rPr>
        <w:t>onathan Daniel Richwine</w:t>
      </w:r>
    </w:p>
    <w:p w14:paraId="066DDA0C" w14:textId="10FB515C" w:rsidR="009C755C" w:rsidRPr="004F6C28" w:rsidRDefault="000E6608" w:rsidP="00387656">
      <w:pPr>
        <w:pStyle w:val="Title"/>
        <w:rPr>
          <w:rFonts w:ascii="Times New Roman" w:hAnsi="Times New Roman" w:cs="Times New Roman"/>
        </w:rPr>
      </w:pPr>
      <w:r>
        <w:rPr>
          <w:rFonts w:ascii="Times New Roman" w:hAnsi="Times New Roman" w:cs="Times New Roman"/>
        </w:rPr>
        <w:t>August</w:t>
      </w:r>
      <w:r w:rsidR="009C755C" w:rsidRPr="004F6C28">
        <w:rPr>
          <w:rFonts w:ascii="Times New Roman" w:hAnsi="Times New Roman" w:cs="Times New Roman"/>
        </w:rPr>
        <w:t xml:space="preserve"> </w:t>
      </w:r>
      <w:r w:rsidR="003D07F7" w:rsidRPr="004F6C28">
        <w:rPr>
          <w:rFonts w:ascii="Times New Roman" w:hAnsi="Times New Roman" w:cs="Times New Roman"/>
        </w:rPr>
        <w:t>2</w:t>
      </w:r>
      <w:r w:rsidR="00D73F4D" w:rsidRPr="004F6C28">
        <w:rPr>
          <w:rFonts w:ascii="Times New Roman" w:hAnsi="Times New Roman" w:cs="Times New Roman"/>
        </w:rPr>
        <w:t>0</w:t>
      </w:r>
      <w:r w:rsidR="004F6C28">
        <w:rPr>
          <w:rFonts w:ascii="Times New Roman" w:hAnsi="Times New Roman" w:cs="Times New Roman"/>
        </w:rPr>
        <w:t>2</w:t>
      </w:r>
      <w:r w:rsidR="00D417CE">
        <w:rPr>
          <w:rFonts w:ascii="Times New Roman" w:hAnsi="Times New Roman" w:cs="Times New Roman"/>
        </w:rPr>
        <w:t>1</w:t>
      </w:r>
    </w:p>
    <w:p w14:paraId="3F52AFF6" w14:textId="77777777" w:rsidR="00526151" w:rsidRPr="004F6C28" w:rsidRDefault="00526151" w:rsidP="005E54E2">
      <w:pPr>
        <w:rPr>
          <w:rFonts w:cs="Times New Roman"/>
        </w:rPr>
      </w:pPr>
    </w:p>
    <w:p w14:paraId="32D6D4A2" w14:textId="77777777" w:rsidR="00526151" w:rsidRPr="004F6C28" w:rsidRDefault="00387656" w:rsidP="005E54E2">
      <w:pPr>
        <w:rPr>
          <w:rFonts w:cs="Times New Roman"/>
        </w:rPr>
      </w:pPr>
      <w:r w:rsidRPr="004F6C28">
        <w:rPr>
          <w:rFonts w:cs="Times New Roman"/>
        </w:rPr>
        <w:br w:type="page"/>
      </w:r>
    </w:p>
    <w:p w14:paraId="76A80FB5" w14:textId="77777777" w:rsidR="00526151" w:rsidRPr="004F6C28" w:rsidRDefault="00526151" w:rsidP="005E54E2">
      <w:pPr>
        <w:rPr>
          <w:rFonts w:cs="Times New Roman"/>
        </w:rPr>
      </w:pPr>
    </w:p>
    <w:p w14:paraId="0625506B" w14:textId="77777777" w:rsidR="006E3013" w:rsidRDefault="006E3013" w:rsidP="006E3013">
      <w:pPr>
        <w:jc w:val="center"/>
        <w:rPr>
          <w:rFonts w:cs="Times New Roman"/>
        </w:rPr>
      </w:pPr>
    </w:p>
    <w:p w14:paraId="45E879DC" w14:textId="77777777" w:rsidR="006E3013" w:rsidRDefault="006E3013" w:rsidP="006E3013">
      <w:pPr>
        <w:jc w:val="center"/>
        <w:rPr>
          <w:rFonts w:cs="Times New Roman"/>
        </w:rPr>
      </w:pPr>
    </w:p>
    <w:p w14:paraId="1482CF13" w14:textId="77777777" w:rsidR="006E3013" w:rsidRDefault="006E3013" w:rsidP="006E3013">
      <w:pPr>
        <w:jc w:val="center"/>
        <w:rPr>
          <w:rFonts w:cs="Times New Roman"/>
        </w:rPr>
      </w:pPr>
    </w:p>
    <w:p w14:paraId="5DE86B36" w14:textId="77777777" w:rsidR="006E3013" w:rsidRDefault="006E3013" w:rsidP="006E3013">
      <w:pPr>
        <w:jc w:val="center"/>
        <w:rPr>
          <w:rFonts w:cs="Times New Roman"/>
        </w:rPr>
      </w:pPr>
    </w:p>
    <w:p w14:paraId="38FA3C23" w14:textId="77777777" w:rsidR="006E3013" w:rsidRDefault="006E3013" w:rsidP="006E3013">
      <w:pPr>
        <w:jc w:val="center"/>
        <w:rPr>
          <w:rFonts w:cs="Times New Roman"/>
        </w:rPr>
      </w:pPr>
    </w:p>
    <w:p w14:paraId="39E9FBDB" w14:textId="77777777" w:rsidR="006E3013" w:rsidRDefault="006E3013" w:rsidP="006E3013">
      <w:pPr>
        <w:jc w:val="center"/>
        <w:rPr>
          <w:rFonts w:cs="Times New Roman"/>
        </w:rPr>
      </w:pPr>
    </w:p>
    <w:p w14:paraId="3AA4F48F" w14:textId="77777777" w:rsidR="006E3013" w:rsidRDefault="006E3013" w:rsidP="006E3013">
      <w:pPr>
        <w:jc w:val="center"/>
        <w:rPr>
          <w:rFonts w:cs="Times New Roman"/>
        </w:rPr>
      </w:pPr>
    </w:p>
    <w:p w14:paraId="6D3DB123" w14:textId="77777777" w:rsidR="006E3013" w:rsidRDefault="006E3013" w:rsidP="006E3013">
      <w:pPr>
        <w:jc w:val="center"/>
        <w:rPr>
          <w:rFonts w:cs="Times New Roman"/>
        </w:rPr>
      </w:pPr>
    </w:p>
    <w:p w14:paraId="286F9030" w14:textId="55BBDE57" w:rsidR="00236E6D" w:rsidRPr="004F6C28" w:rsidRDefault="00DD00DE" w:rsidP="006E3013">
      <w:pPr>
        <w:jc w:val="center"/>
        <w:rPr>
          <w:rFonts w:cs="Times New Roman"/>
        </w:rPr>
      </w:pPr>
      <w:r w:rsidRPr="004F6C28">
        <w:rPr>
          <w:rFonts w:cs="Times New Roman"/>
        </w:rPr>
        <w:t>Copyright © 20</w:t>
      </w:r>
      <w:r w:rsidR="006E3013">
        <w:rPr>
          <w:rFonts w:cs="Times New Roman"/>
        </w:rPr>
        <w:t>2</w:t>
      </w:r>
      <w:r w:rsidR="00A34FBA">
        <w:rPr>
          <w:rFonts w:cs="Times New Roman"/>
        </w:rPr>
        <w:t>1</w:t>
      </w:r>
      <w:r w:rsidR="00236E6D" w:rsidRPr="004F6C28">
        <w:rPr>
          <w:rFonts w:cs="Times New Roman"/>
        </w:rPr>
        <w:t xml:space="preserve"> by </w:t>
      </w:r>
      <w:r w:rsidR="0003672C" w:rsidRPr="004F6C28">
        <w:rPr>
          <w:rFonts w:cs="Times New Roman"/>
        </w:rPr>
        <w:t>J</w:t>
      </w:r>
      <w:r w:rsidR="006E3013">
        <w:rPr>
          <w:rFonts w:cs="Times New Roman"/>
        </w:rPr>
        <w:t>onathan</w:t>
      </w:r>
      <w:r w:rsidR="008865B6" w:rsidRPr="004F6C28">
        <w:rPr>
          <w:rFonts w:cs="Times New Roman"/>
        </w:rPr>
        <w:t xml:space="preserve"> </w:t>
      </w:r>
      <w:r w:rsidR="006E3013">
        <w:rPr>
          <w:rFonts w:cs="Times New Roman"/>
        </w:rPr>
        <w:t>D</w:t>
      </w:r>
      <w:r w:rsidR="00285252">
        <w:rPr>
          <w:rFonts w:cs="Times New Roman"/>
        </w:rPr>
        <w:t>aniel</w:t>
      </w:r>
      <w:r w:rsidR="006E3013">
        <w:rPr>
          <w:rFonts w:cs="Times New Roman"/>
        </w:rPr>
        <w:t xml:space="preserve"> Richwine</w:t>
      </w:r>
    </w:p>
    <w:p w14:paraId="5AFB379C" w14:textId="77777777" w:rsidR="00236E6D" w:rsidRPr="004F6C28" w:rsidRDefault="00236E6D" w:rsidP="006E3013">
      <w:pPr>
        <w:jc w:val="center"/>
        <w:rPr>
          <w:rFonts w:cs="Times New Roman"/>
        </w:rPr>
      </w:pPr>
      <w:r w:rsidRPr="004F6C28">
        <w:rPr>
          <w:rFonts w:cs="Times New Roman"/>
        </w:rPr>
        <w:t>All rights reserved.</w:t>
      </w:r>
    </w:p>
    <w:p w14:paraId="72914205" w14:textId="77777777" w:rsidR="00236E6D" w:rsidRPr="004F6C28" w:rsidRDefault="00236E6D" w:rsidP="005E54E2">
      <w:pPr>
        <w:rPr>
          <w:rFonts w:cs="Times New Roman"/>
        </w:rPr>
      </w:pPr>
    </w:p>
    <w:p w14:paraId="499EBEAA" w14:textId="77777777" w:rsidR="00236E6D" w:rsidRPr="004F6C28" w:rsidRDefault="00236E6D" w:rsidP="005E54E2">
      <w:pPr>
        <w:rPr>
          <w:rFonts w:cs="Times New Roman"/>
        </w:rPr>
      </w:pPr>
    </w:p>
    <w:p w14:paraId="6A055B8B" w14:textId="77777777" w:rsidR="00236E6D" w:rsidRPr="004F6C28" w:rsidRDefault="00236E6D" w:rsidP="005E54E2">
      <w:pPr>
        <w:rPr>
          <w:rFonts w:cs="Times New Roman"/>
        </w:rPr>
      </w:pPr>
    </w:p>
    <w:p w14:paraId="6A95D0E4" w14:textId="77777777" w:rsidR="00236E6D" w:rsidRPr="004F6C28" w:rsidRDefault="00236E6D" w:rsidP="005E54E2">
      <w:pPr>
        <w:rPr>
          <w:rFonts w:cs="Times New Roman"/>
        </w:rPr>
      </w:pPr>
    </w:p>
    <w:p w14:paraId="107B9C2A" w14:textId="77777777" w:rsidR="00236E6D" w:rsidRPr="004F6C28" w:rsidRDefault="00236E6D" w:rsidP="005E54E2">
      <w:pPr>
        <w:rPr>
          <w:rFonts w:cs="Times New Roman"/>
        </w:rPr>
      </w:pPr>
    </w:p>
    <w:p w14:paraId="7122A8DC" w14:textId="77777777" w:rsidR="00236E6D" w:rsidRPr="004F6C28" w:rsidRDefault="00236E6D" w:rsidP="005E54E2">
      <w:pPr>
        <w:rPr>
          <w:rFonts w:cs="Times New Roman"/>
        </w:rPr>
      </w:pPr>
    </w:p>
    <w:p w14:paraId="57C07C13" w14:textId="77777777" w:rsidR="00236E6D" w:rsidRPr="004F6C28" w:rsidRDefault="00236E6D" w:rsidP="005E54E2">
      <w:pPr>
        <w:rPr>
          <w:rFonts w:cs="Times New Roman"/>
        </w:rPr>
      </w:pPr>
    </w:p>
    <w:p w14:paraId="0E64B7DA" w14:textId="77777777" w:rsidR="00236E6D" w:rsidRPr="004F6C28" w:rsidRDefault="00236E6D" w:rsidP="005E54E2">
      <w:pPr>
        <w:rPr>
          <w:rFonts w:cs="Times New Roman"/>
        </w:rPr>
      </w:pPr>
    </w:p>
    <w:p w14:paraId="0B180784" w14:textId="77777777" w:rsidR="006F5AA4" w:rsidRPr="004F6C28" w:rsidRDefault="00236E6D" w:rsidP="00387656">
      <w:pPr>
        <w:pStyle w:val="Title"/>
        <w:rPr>
          <w:rFonts w:ascii="Times New Roman" w:hAnsi="Times New Roman" w:cs="Times New Roman"/>
        </w:rPr>
      </w:pPr>
      <w:r w:rsidRPr="004F6C28">
        <w:rPr>
          <w:rFonts w:ascii="Times New Roman" w:hAnsi="Times New Roman" w:cs="Times New Roman"/>
        </w:rPr>
        <w:br w:type="page"/>
      </w:r>
      <w:r w:rsidR="006F5AA4" w:rsidRPr="004F6C28">
        <w:rPr>
          <w:rFonts w:ascii="Times New Roman" w:hAnsi="Times New Roman" w:cs="Times New Roman"/>
        </w:rPr>
        <w:lastRenderedPageBreak/>
        <w:t>DEDICATION</w:t>
      </w:r>
    </w:p>
    <w:p w14:paraId="33E4FA97" w14:textId="77777777" w:rsidR="006F5AA4" w:rsidRPr="004F6C28" w:rsidRDefault="006F5AA4" w:rsidP="005E54E2">
      <w:pPr>
        <w:rPr>
          <w:rFonts w:cs="Times New Roman"/>
        </w:rPr>
      </w:pPr>
    </w:p>
    <w:p w14:paraId="4BB9BDCB" w14:textId="6D13583C" w:rsidR="00564282" w:rsidRDefault="00EE0BC6" w:rsidP="00CD7B6F">
      <w:pPr>
        <w:pStyle w:val="Paragraphs"/>
      </w:pPr>
      <w:r w:rsidRPr="00880C64">
        <w:t xml:space="preserve">First </w:t>
      </w:r>
      <w:r>
        <w:t xml:space="preserve">and foremost, I dedicate this work to my Lord and Savior, Jesus Christ, for without Him none of this research could have taken place.  </w:t>
      </w:r>
      <w:r w:rsidR="002A09E0">
        <w:t>“</w:t>
      </w:r>
      <w:r w:rsidR="002A09E0" w:rsidRPr="002A09E0">
        <w:t xml:space="preserve">Then God said, </w:t>
      </w:r>
      <w:r w:rsidR="002A09E0">
        <w:t>‘</w:t>
      </w:r>
      <w:r w:rsidR="002A09E0" w:rsidRPr="002A09E0">
        <w:t>Let the earth bring forth grass, the herb that yields seed</w:t>
      </w:r>
      <w:r w:rsidR="002A09E0">
        <w:t>…</w:t>
      </w:r>
      <w:r w:rsidR="002A09E0" w:rsidRPr="002A09E0">
        <w:t>on the earth</w:t>
      </w:r>
      <w:r w:rsidR="002A09E0">
        <w:t>’</w:t>
      </w:r>
      <w:r w:rsidR="002A09E0" w:rsidRPr="002A09E0">
        <w:t>; and it was so.</w:t>
      </w:r>
      <w:r w:rsidR="002A09E0">
        <w:t>”</w:t>
      </w:r>
      <w:r w:rsidR="002A09E0" w:rsidRPr="002A09E0">
        <w:t xml:space="preserve"> </w:t>
      </w:r>
      <w:r w:rsidR="00E8339B">
        <w:t xml:space="preserve">Genesis 1:11.  </w:t>
      </w:r>
      <w:r>
        <w:t xml:space="preserve">His love, mercy, and grace endure forever.  </w:t>
      </w:r>
      <w:r w:rsidR="00CD7B6F">
        <w:t>“</w:t>
      </w:r>
      <w:r w:rsidR="00CD7B6F" w:rsidRPr="00CD7B6F">
        <w:t>For God so loved the world that He gave His only begotten Son, that whoever believes in Him should not perish but have everlasting life.</w:t>
      </w:r>
      <w:r w:rsidR="002A09E0">
        <w:t xml:space="preserve">” John 3:16. </w:t>
      </w:r>
      <w:r w:rsidR="00CD7B6F" w:rsidRPr="00CD7B6F">
        <w:t xml:space="preserve"> </w:t>
      </w:r>
      <w:r w:rsidR="00C934B1">
        <w:t xml:space="preserve">If you are reading this and do not know </w:t>
      </w:r>
      <w:r w:rsidR="00E466AC">
        <w:t>W</w:t>
      </w:r>
      <w:r w:rsidR="00C934B1">
        <w:t>ho I am talking about</w:t>
      </w:r>
      <w:r w:rsidR="00E466AC">
        <w:t>,</w:t>
      </w:r>
      <w:r w:rsidR="00C934B1">
        <w:t xml:space="preserve"> HE knows</w:t>
      </w:r>
      <w:r w:rsidR="00E466AC">
        <w:t xml:space="preserve"> you</w:t>
      </w:r>
      <w:r w:rsidR="00C934B1">
        <w:t>, loves</w:t>
      </w:r>
      <w:r w:rsidR="00E466AC">
        <w:t xml:space="preserve"> you</w:t>
      </w:r>
      <w:r w:rsidR="00C934B1">
        <w:t xml:space="preserve">, and wants a relationship with you.  </w:t>
      </w:r>
      <w:r w:rsidR="002A09E0">
        <w:t>“…</w:t>
      </w:r>
      <w:r w:rsidR="002A09E0" w:rsidRPr="00CD7B6F">
        <w:t>for all have sinned and fall short of the glory of God, being justified</w:t>
      </w:r>
      <w:r w:rsidR="002A09E0">
        <w:t xml:space="preserve"> </w:t>
      </w:r>
      <w:r w:rsidR="002A09E0" w:rsidRPr="00CD7B6F">
        <w:t>freely by His grace through the redemption that is in Christ Jesus, whom God set forth as a propitiation by His blood, through faith, to demonstrate His righteousness, because in His forbearance God had passed over the sins that were previously committed, to demonstrate at the present time His righteousness, that He might be just and the justifier of the one who has faith in Jesus.</w:t>
      </w:r>
      <w:r w:rsidR="002A09E0">
        <w:t xml:space="preserve">” Romans 3:23-26. </w:t>
      </w:r>
      <w:r w:rsidR="002A09E0" w:rsidRPr="00CD7B6F">
        <w:t xml:space="preserve"> </w:t>
      </w:r>
      <w:r w:rsidR="002A09E0">
        <w:t>“</w:t>
      </w:r>
      <w:r w:rsidR="00123E0B">
        <w:t>...</w:t>
      </w:r>
      <w:r w:rsidR="002A09E0" w:rsidRPr="002A09E0">
        <w:t>God our Savior, who desires all men to be saved and to come to the knowledge of the truth.  For there is one God and one Mediator between God and men, the Man Christ Jesus, who gave Himself a ransom for all</w:t>
      </w:r>
      <w:r w:rsidR="00DE3370">
        <w:t>.</w:t>
      </w:r>
      <w:r w:rsidR="002A09E0">
        <w:t>..”</w:t>
      </w:r>
      <w:r w:rsidR="002A09E0" w:rsidRPr="002A09E0">
        <w:t xml:space="preserve"> </w:t>
      </w:r>
      <w:r w:rsidR="00E466AC">
        <w:t>1 Timothy 2</w:t>
      </w:r>
      <w:r w:rsidR="00CD7B6F">
        <w:t xml:space="preserve">:3-6.  </w:t>
      </w:r>
    </w:p>
    <w:p w14:paraId="203CF558" w14:textId="32ADC4DD" w:rsidR="00EE0BC6" w:rsidRDefault="00EE0BC6" w:rsidP="00635EE0">
      <w:pPr>
        <w:pStyle w:val="Paragraphs"/>
      </w:pPr>
      <w:r>
        <w:t>Next, I dedicate my dissertation to my loving and supportive family: Aun</w:t>
      </w:r>
      <w:r w:rsidR="00587920">
        <w:t>drea</w:t>
      </w:r>
      <w:r>
        <w:t>, Ian, Jim, Frances, Kadie, Jeremy, Maddie Claire, Maverick, Lillie Kate</w:t>
      </w:r>
      <w:r w:rsidR="00E8339B">
        <w:t xml:space="preserve">, Cile, </w:t>
      </w:r>
      <w:r w:rsidR="00EF2473">
        <w:t>Ronald, Ronnie, Hannah, Dustin, and Lynley, as</w:t>
      </w:r>
      <w:r w:rsidR="00E8339B">
        <w:t xml:space="preserve"> well as close friends</w:t>
      </w:r>
      <w:r w:rsidR="00EF2473">
        <w:t>.</w:t>
      </w:r>
      <w:r>
        <w:t xml:space="preserve">  </w:t>
      </w:r>
      <w:r w:rsidR="00564282">
        <w:t>Y’all</w:t>
      </w:r>
      <w:r>
        <w:t xml:space="preserve"> have </w:t>
      </w:r>
      <w:r w:rsidR="00E8339B">
        <w:t xml:space="preserve">encouraged and </w:t>
      </w:r>
      <w:r>
        <w:t>influenced me in more ways than you realize and will ever know</w:t>
      </w:r>
      <w:r w:rsidR="00564282">
        <w:t>.</w:t>
      </w:r>
      <w:r>
        <w:t xml:space="preserve">  Lastly, this is dedicated to those students and researchers who </w:t>
      </w:r>
      <w:r w:rsidR="00C7365B">
        <w:t xml:space="preserve">will </w:t>
      </w:r>
      <w:r>
        <w:t xml:space="preserve">come after me.  </w:t>
      </w:r>
      <w:r w:rsidR="00635EE0">
        <w:t xml:space="preserve">Don’t </w:t>
      </w:r>
      <w:r>
        <w:t xml:space="preserve">let your work </w:t>
      </w:r>
      <w:r w:rsidR="00635EE0">
        <w:t>become your idol.</w:t>
      </w:r>
      <w:r>
        <w:t xml:space="preserve">  </w:t>
      </w:r>
      <w:r w:rsidR="00C7365B">
        <w:t>Just breathe</w:t>
      </w:r>
      <w:r w:rsidR="00D10A49">
        <w:t xml:space="preserve"> and</w:t>
      </w:r>
      <w:r w:rsidR="00C7365B">
        <w:t xml:space="preserve"> </w:t>
      </w:r>
      <w:r w:rsidR="00D10A49">
        <w:t>Godspeed!  Proverbs 16:9.</w:t>
      </w:r>
      <w:r>
        <w:t xml:space="preserve">    </w:t>
      </w:r>
    </w:p>
    <w:p w14:paraId="50A9C3F2" w14:textId="1E4AE637" w:rsidR="00CD73A9" w:rsidRPr="00880C64" w:rsidRDefault="006F5AA4" w:rsidP="00880C64">
      <w:pPr>
        <w:pStyle w:val="Title"/>
        <w:rPr>
          <w:rFonts w:ascii="Times New Roman" w:hAnsi="Times New Roman" w:cs="Times New Roman"/>
        </w:rPr>
      </w:pPr>
      <w:r w:rsidRPr="00880C64">
        <w:rPr>
          <w:rFonts w:ascii="Times New Roman" w:hAnsi="Times New Roman" w:cs="Times New Roman"/>
        </w:rPr>
        <w:br w:type="page"/>
      </w:r>
      <w:bookmarkStart w:id="0" w:name="_Toc72026005"/>
      <w:r w:rsidR="00CD73A9" w:rsidRPr="00880C64">
        <w:rPr>
          <w:rFonts w:ascii="Times New Roman" w:hAnsi="Times New Roman" w:cs="Times New Roman"/>
        </w:rPr>
        <w:lastRenderedPageBreak/>
        <w:t>ACKNOWLEDG</w:t>
      </w:r>
      <w:r w:rsidR="00230FED">
        <w:rPr>
          <w:rFonts w:ascii="Times New Roman" w:hAnsi="Times New Roman" w:cs="Times New Roman"/>
        </w:rPr>
        <w:t>E</w:t>
      </w:r>
      <w:r w:rsidR="00CD73A9" w:rsidRPr="00880C64">
        <w:rPr>
          <w:rFonts w:ascii="Times New Roman" w:hAnsi="Times New Roman" w:cs="Times New Roman"/>
        </w:rPr>
        <w:t>MENTS</w:t>
      </w:r>
      <w:bookmarkEnd w:id="0"/>
    </w:p>
    <w:p w14:paraId="1BCF0E75" w14:textId="2FF31E9F" w:rsidR="00CD73A9" w:rsidRDefault="00CD73A9" w:rsidP="005E54E2">
      <w:pPr>
        <w:rPr>
          <w:rFonts w:cs="Times New Roman"/>
        </w:rPr>
      </w:pPr>
    </w:p>
    <w:p w14:paraId="24466E76" w14:textId="1A601C85" w:rsidR="009D794C" w:rsidRDefault="00D27069" w:rsidP="000D14D0">
      <w:pPr>
        <w:pStyle w:val="Paragraphs"/>
      </w:pPr>
      <w:r>
        <w:t xml:space="preserve">First, I would like to thank my Dissertation Chair, Patrick D. Keyser.  Thank you for giving me the opportunity to complete my college career.  I have gained experience, knowledge, and wisdom from you that will benefit me </w:t>
      </w:r>
      <w:r w:rsidR="000D14D0">
        <w:t>for a lifetime.</w:t>
      </w:r>
    </w:p>
    <w:p w14:paraId="518080C9" w14:textId="2EB94EBF" w:rsidR="00A012AA" w:rsidRDefault="00832B2C" w:rsidP="00880C64">
      <w:pPr>
        <w:pStyle w:val="Paragraphs"/>
      </w:pPr>
      <w:r>
        <w:t xml:space="preserve">Next, I would say a huge “Thank You” to all the people that had a hand in completing this research.  </w:t>
      </w:r>
      <w:r w:rsidR="009E60F8">
        <w:t xml:space="preserve">Thank you to all </w:t>
      </w:r>
      <w:r>
        <w:t>my fellow graduate students and technicians that have helped me throughout the years:  Aun</w:t>
      </w:r>
      <w:r w:rsidR="00587920">
        <w:t>drea</w:t>
      </w:r>
      <w:r>
        <w:t xml:space="preserve">, Becca, </w:t>
      </w:r>
      <w:r w:rsidR="009E60F8">
        <w:t xml:space="preserve">Bonner, </w:t>
      </w:r>
      <w:r w:rsidR="00E91680">
        <w:t xml:space="preserve">Charles, </w:t>
      </w:r>
      <w:r>
        <w:t xml:space="preserve">CJ, Collin, Eric, Gabriel, </w:t>
      </w:r>
      <w:r w:rsidRPr="0007485F">
        <w:t>Heiler</w:t>
      </w:r>
      <w:r>
        <w:t xml:space="preserve">, Jon, </w:t>
      </w:r>
      <w:r w:rsidR="009E60F8">
        <w:t xml:space="preserve">Katie, </w:t>
      </w:r>
      <w:r>
        <w:t>Keagan, Lexi</w:t>
      </w:r>
      <w:r w:rsidR="009E60F8">
        <w:t>, Lindsey</w:t>
      </w:r>
      <w:r>
        <w:t>, Savannah, Tan</w:t>
      </w:r>
      <w:r w:rsidR="009E60F8">
        <w:t xml:space="preserve">, and Wade.  Also, thank you to the </w:t>
      </w:r>
      <w:r>
        <w:t>dedicated Directors, Kevin Thompson (M</w:t>
      </w:r>
      <w:r w:rsidR="009E60F8">
        <w:t xml:space="preserve">iddle </w:t>
      </w:r>
      <w:r>
        <w:t>T</w:t>
      </w:r>
      <w:r w:rsidR="009E60F8">
        <w:t>N</w:t>
      </w:r>
      <w:r>
        <w:t>), Rob Ellis/Justin McKinney (N</w:t>
      </w:r>
      <w:r w:rsidR="009E60F8">
        <w:t xml:space="preserve">ortheast </w:t>
      </w:r>
      <w:r>
        <w:t>T</w:t>
      </w:r>
      <w:r w:rsidR="009E60F8">
        <w:t>N</w:t>
      </w:r>
      <w:r>
        <w:t xml:space="preserve">), and Bobby Simpson </w:t>
      </w:r>
      <w:r w:rsidR="009E60F8">
        <w:t xml:space="preserve">(East TN) </w:t>
      </w:r>
      <w:r>
        <w:t>and staff</w:t>
      </w:r>
      <w:r w:rsidR="009E60F8">
        <w:t xml:space="preserve"> (Wes, Cory, BJ, Cody, and Nick especially) of the U</w:t>
      </w:r>
      <w:r w:rsidR="0039500F">
        <w:t xml:space="preserve">niversity of Tennessee – </w:t>
      </w:r>
      <w:r w:rsidR="009E60F8">
        <w:t xml:space="preserve">AgResearch and Education Centers.  </w:t>
      </w:r>
      <w:r w:rsidR="00A012AA">
        <w:t xml:space="preserve">I also express my great appreciation to my committee members: John Zobel, Renata Nave Oakes, and Travis Mulliniks.  Thank you all for your input, tutelage, critiques, and availability.  </w:t>
      </w:r>
    </w:p>
    <w:p w14:paraId="7D08F3D8" w14:textId="3FEF71ED" w:rsidR="00A50F5A" w:rsidRPr="004F6C28" w:rsidRDefault="00A52709" w:rsidP="002C112C">
      <w:pPr>
        <w:pStyle w:val="Paragraphs"/>
        <w:rPr>
          <w:rFonts w:cs="Times New Roman"/>
        </w:rPr>
      </w:pPr>
      <w:r>
        <w:t xml:space="preserve">Lastly, I would like to thank </w:t>
      </w:r>
      <w:r w:rsidR="009E60F8">
        <w:t>the Forestry, Wildlife, and Fisheries Department for the instruction and employment</w:t>
      </w:r>
      <w:r w:rsidR="00234FAA">
        <w:t>,</w:t>
      </w:r>
      <w:r w:rsidR="009E60F8">
        <w:t xml:space="preserve"> </w:t>
      </w:r>
      <w:r>
        <w:t>the funding sources for the two projects mentioned in this document</w:t>
      </w:r>
      <w:r w:rsidR="00234FAA">
        <w:t>, and Dr. Forbes Walker for allowing me to be a part of your research project</w:t>
      </w:r>
      <w:r>
        <w:t xml:space="preserve">.  </w:t>
      </w:r>
      <w:r w:rsidRPr="00A52709">
        <w:t>Th</w:t>
      </w:r>
      <w:r>
        <w:t>e</w:t>
      </w:r>
      <w:r w:rsidRPr="00A52709">
        <w:t>s</w:t>
      </w:r>
      <w:r>
        <w:t>e</w:t>
      </w:r>
      <w:r w:rsidRPr="00A52709">
        <w:t xml:space="preserve"> project</w:t>
      </w:r>
      <w:r>
        <w:t>s</w:t>
      </w:r>
      <w:r w:rsidRPr="00A52709">
        <w:t xml:space="preserve"> w</w:t>
      </w:r>
      <w:r>
        <w:t>ere</w:t>
      </w:r>
      <w:r w:rsidRPr="00A52709">
        <w:t xml:space="preserve"> supported by Agriculture and Food Research Initiative Competitive Award No</w:t>
      </w:r>
      <w:r>
        <w:t>s</w:t>
      </w:r>
      <w:r w:rsidRPr="00A52709">
        <w:t xml:space="preserve">. </w:t>
      </w:r>
      <w:r w:rsidR="00832B2C">
        <w:t xml:space="preserve">2015-67028-23537, </w:t>
      </w:r>
      <w:r w:rsidRPr="00A52709">
        <w:t>2015-68007-23212</w:t>
      </w:r>
      <w:r w:rsidR="00832B2C">
        <w:t>, and 2016-67020-25352</w:t>
      </w:r>
      <w:r w:rsidRPr="00A52709">
        <w:t xml:space="preserve"> from the USDA National Institute of Food and Agriculture.</w:t>
      </w:r>
      <w:r w:rsidR="00832B2C">
        <w:t xml:space="preserve">  Also, </w:t>
      </w:r>
      <w:r>
        <w:t>T</w:t>
      </w:r>
      <w:r w:rsidR="00234FAA">
        <w:t xml:space="preserve">HANK YOU to Ms. Julie Harden and Ms. Abby Sherman in </w:t>
      </w:r>
      <w:r w:rsidR="00133412">
        <w:t>t</w:t>
      </w:r>
      <w:r w:rsidR="00234FAA">
        <w:t>he Graduate School who have kept me on the correct path throughout this process and have helped me cross the finish line.</w:t>
      </w:r>
    </w:p>
    <w:p w14:paraId="5B7FAF30" w14:textId="5B8582B3" w:rsidR="00236E6D" w:rsidRPr="004F6C28" w:rsidRDefault="00236E6D" w:rsidP="00387656">
      <w:pPr>
        <w:pStyle w:val="Title"/>
        <w:rPr>
          <w:rFonts w:ascii="Times New Roman" w:hAnsi="Times New Roman" w:cs="Times New Roman"/>
        </w:rPr>
      </w:pPr>
      <w:r w:rsidRPr="004F6C28">
        <w:rPr>
          <w:rFonts w:ascii="Times New Roman" w:hAnsi="Times New Roman" w:cs="Times New Roman"/>
        </w:rPr>
        <w:br w:type="page"/>
      </w:r>
      <w:r w:rsidR="00D2701F">
        <w:rPr>
          <w:rFonts w:ascii="Times New Roman" w:hAnsi="Times New Roman" w:cs="Times New Roman"/>
        </w:rPr>
        <w:lastRenderedPageBreak/>
        <w:t>ABSTRACT</w:t>
      </w:r>
    </w:p>
    <w:p w14:paraId="4C7098E2" w14:textId="77777777" w:rsidR="00236E6D" w:rsidRPr="004F6C28" w:rsidRDefault="00236E6D" w:rsidP="005E54E2">
      <w:pPr>
        <w:rPr>
          <w:rFonts w:cs="Times New Roman"/>
        </w:rPr>
      </w:pPr>
    </w:p>
    <w:p w14:paraId="4B1E11B5" w14:textId="269AA39D" w:rsidR="00ED0BB4" w:rsidRDefault="00966FD0" w:rsidP="00ED0BB4">
      <w:pPr>
        <w:pStyle w:val="Paragraphs"/>
        <w:ind w:firstLine="0"/>
      </w:pPr>
      <w:bookmarkStart w:id="1" w:name="_Hlk72099581"/>
      <w:r>
        <w:rPr>
          <w:rFonts w:cs="Times New Roman"/>
        </w:rPr>
        <w:t>C</w:t>
      </w:r>
      <w:r w:rsidR="00D2701F">
        <w:rPr>
          <w:rFonts w:cs="Times New Roman"/>
        </w:rPr>
        <w:t xml:space="preserve">ool-season annual </w:t>
      </w:r>
      <w:r w:rsidR="00ED0BB4">
        <w:rPr>
          <w:rFonts w:cs="Times New Roman"/>
        </w:rPr>
        <w:t xml:space="preserve">(CSA) </w:t>
      </w:r>
      <w:r w:rsidR="00D2701F">
        <w:rPr>
          <w:rFonts w:cs="Times New Roman"/>
        </w:rPr>
        <w:t xml:space="preserve">grass and legume species, as well as warm-season forbs, can enhance established native warm-season grass (NWSG) pastures by </w:t>
      </w:r>
      <w:r w:rsidR="00D2701F" w:rsidRPr="00A41CAD">
        <w:t>extend</w:t>
      </w:r>
      <w:r w:rsidR="00D2701F">
        <w:t>ing</w:t>
      </w:r>
      <w:r w:rsidR="00D2701F" w:rsidRPr="00A41CAD">
        <w:t xml:space="preserve"> the grazing </w:t>
      </w:r>
      <w:r w:rsidR="00D2701F">
        <w:t>season,</w:t>
      </w:r>
      <w:r w:rsidR="00D2701F" w:rsidRPr="00C46B82">
        <w:t xml:space="preserve"> </w:t>
      </w:r>
      <w:r w:rsidR="00D2701F">
        <w:t>reducing</w:t>
      </w:r>
      <w:r w:rsidR="00D2701F" w:rsidRPr="00A41CAD">
        <w:t xml:space="preserve"> </w:t>
      </w:r>
      <w:r w:rsidR="00D2701F">
        <w:t>supplemental feed</w:t>
      </w:r>
      <w:r w:rsidR="00D2701F" w:rsidRPr="00A41CAD">
        <w:t xml:space="preserve"> costs</w:t>
      </w:r>
      <w:r w:rsidR="00D2701F">
        <w:t xml:space="preserve">, suppressing weeds, </w:t>
      </w:r>
      <w:r w:rsidR="00D2701F">
        <w:rPr>
          <w:rFonts w:cs="Times New Roman"/>
        </w:rPr>
        <w:t>i</w:t>
      </w:r>
      <w:r w:rsidR="00D2701F">
        <w:t>ncreasing herbage production and overall forage quality, and increasing food and cover resources for pollinators and wildlife</w:t>
      </w:r>
      <w:r>
        <w:t>.</w:t>
      </w:r>
      <w:r w:rsidR="00D2701F">
        <w:t xml:space="preserve">  </w:t>
      </w:r>
      <w:r w:rsidR="00E16E8D">
        <w:t xml:space="preserve">Therefore, two NWSG experiments were conducted near Spring Hill, TN, 2018-2020, </w:t>
      </w:r>
      <w:r w:rsidR="00E16E8D" w:rsidRPr="00A41CAD">
        <w:t>to assess t</w:t>
      </w:r>
      <w:r w:rsidR="00C55724">
        <w:t>hree</w:t>
      </w:r>
      <w:r w:rsidR="00E16E8D" w:rsidRPr="00A41CAD">
        <w:t xml:space="preserve"> </w:t>
      </w:r>
      <w:r w:rsidR="00E16E8D">
        <w:t>CSA</w:t>
      </w:r>
      <w:r w:rsidR="00E16E8D" w:rsidRPr="00A41CAD">
        <w:t xml:space="preserve"> seeding </w:t>
      </w:r>
      <w:r w:rsidR="00E16E8D">
        <w:t>options</w:t>
      </w:r>
      <w:r w:rsidR="00E16E8D" w:rsidRPr="00A41CAD">
        <w:t xml:space="preserve"> </w:t>
      </w:r>
      <w:r w:rsidR="00E16E8D">
        <w:t xml:space="preserve">(cereal rye </w:t>
      </w:r>
      <w:r w:rsidR="00C55724">
        <w:t xml:space="preserve">monoculture, </w:t>
      </w:r>
      <w:r w:rsidR="00E16E8D" w:rsidRPr="00A41CAD">
        <w:t xml:space="preserve"> a </w:t>
      </w:r>
      <w:r w:rsidR="00E16E8D" w:rsidRPr="00A41CAD">
        <w:rPr>
          <w:rFonts w:cs="Times New Roman"/>
          <w:lang w:val="en"/>
        </w:rPr>
        <w:t>cereal rye, ‘Purple Top’ turnip, ‘Trophy’ rape, ‘Frosty’ berseem clover, and ‘Dixie’ crimson clover</w:t>
      </w:r>
      <w:r>
        <w:rPr>
          <w:rFonts w:cs="Times New Roman"/>
          <w:lang w:val="en"/>
        </w:rPr>
        <w:t xml:space="preserve"> </w:t>
      </w:r>
      <w:r w:rsidR="00C55724">
        <w:rPr>
          <w:rFonts w:cs="Times New Roman"/>
          <w:lang w:val="en"/>
        </w:rPr>
        <w:t>polyculture, or non-planted control</w:t>
      </w:r>
      <w:r w:rsidR="00E16E8D">
        <w:rPr>
          <w:rFonts w:cs="Times New Roman"/>
          <w:lang w:val="en"/>
        </w:rPr>
        <w:t>)</w:t>
      </w:r>
      <w:r w:rsidR="00E16E8D" w:rsidRPr="00A41CAD">
        <w:rPr>
          <w:rFonts w:cs="Times New Roman"/>
          <w:lang w:val="en"/>
        </w:rPr>
        <w:t xml:space="preserve"> </w:t>
      </w:r>
      <w:r w:rsidR="00E16E8D" w:rsidRPr="00A41CAD">
        <w:t xml:space="preserve">and </w:t>
      </w:r>
      <w:r w:rsidR="00E16E8D">
        <w:t xml:space="preserve">two </w:t>
      </w:r>
      <w:r w:rsidR="00E16E8D" w:rsidRPr="00A41CAD">
        <w:t>warm-season N</w:t>
      </w:r>
      <w:r w:rsidR="00E16E8D">
        <w:t xml:space="preserve"> rates (</w:t>
      </w:r>
      <w:r w:rsidR="00E16E8D" w:rsidRPr="00A41CAD">
        <w:rPr>
          <w:rFonts w:cs="Times New Roman"/>
          <w:lang w:val="en"/>
        </w:rPr>
        <w:t>0 or 67 kg N ha</w:t>
      </w:r>
      <w:r w:rsidR="00E16E8D" w:rsidRPr="00A41CAD">
        <w:rPr>
          <w:rFonts w:cs="Times New Roman"/>
          <w:vertAlign w:val="superscript"/>
          <w:lang w:val="en"/>
        </w:rPr>
        <w:t>-1</w:t>
      </w:r>
      <w:r w:rsidR="00E16E8D">
        <w:t>)</w:t>
      </w:r>
      <w:r w:rsidR="00E16E8D" w:rsidRPr="00A41CAD">
        <w:t xml:space="preserve"> on established </w:t>
      </w:r>
      <w:r w:rsidR="00E16E8D">
        <w:t>switchgrass (SG) and big bluestem/indiangrass (BBIG)</w:t>
      </w:r>
      <w:r w:rsidR="00E16E8D" w:rsidRPr="00A41CAD">
        <w:rPr>
          <w:rFonts w:cs="Times New Roman"/>
          <w:lang w:val="en"/>
        </w:rPr>
        <w:t xml:space="preserve"> </w:t>
      </w:r>
      <w:r w:rsidR="00E16E8D" w:rsidRPr="00A41CAD">
        <w:t xml:space="preserve">pastures.  </w:t>
      </w:r>
      <w:r w:rsidR="00ED0BB4" w:rsidRPr="00A41CAD">
        <w:t>S</w:t>
      </w:r>
      <w:r w:rsidR="00ED0BB4">
        <w:t>witchgrass</w:t>
      </w:r>
      <w:r w:rsidR="00ED0BB4" w:rsidRPr="00A41CAD">
        <w:t xml:space="preserve"> </w:t>
      </w:r>
      <w:r w:rsidR="00ED0BB4">
        <w:t xml:space="preserve">and BBIG </w:t>
      </w:r>
      <w:r w:rsidR="00ED0BB4" w:rsidRPr="00A41CAD">
        <w:t>plant density</w:t>
      </w:r>
      <w:r w:rsidR="00ED0BB4">
        <w:t xml:space="preserve"> were not influenced by CSA seeding but varied by Year (</w:t>
      </w:r>
      <w:r w:rsidR="00ED0BB4" w:rsidRPr="00972277">
        <w:rPr>
          <w:i/>
          <w:iCs/>
        </w:rPr>
        <w:t>P</w:t>
      </w:r>
      <w:r w:rsidR="00ED0BB4">
        <w:t xml:space="preserve"> &lt; 0.001).  Plant density for BBIG was lower in 2020 than 2018 (23.6 vs. 29.1 plants m</w:t>
      </w:r>
      <w:r w:rsidR="00ED0BB4" w:rsidRPr="00200B39">
        <w:rPr>
          <w:vertAlign w:val="superscript"/>
        </w:rPr>
        <w:t>-2</w:t>
      </w:r>
      <w:r w:rsidR="00ED0BB4">
        <w:t>, respectively), whereas SG plant density was similar for 2018 and 2020 (15.0 and 14.0 plants m</w:t>
      </w:r>
      <w:r w:rsidR="00ED0BB4" w:rsidRPr="00200B39">
        <w:rPr>
          <w:vertAlign w:val="superscript"/>
        </w:rPr>
        <w:t>-2</w:t>
      </w:r>
      <w:r w:rsidR="00ED0BB4">
        <w:t xml:space="preserve">, respectively).  </w:t>
      </w:r>
      <w:r w:rsidR="00ED0BB4" w:rsidRPr="00767803">
        <w:t xml:space="preserve">Hay yield for </w:t>
      </w:r>
      <w:r w:rsidR="00ED0BB4">
        <w:t xml:space="preserve">both </w:t>
      </w:r>
      <w:r w:rsidR="00ED0BB4" w:rsidRPr="00767803">
        <w:t xml:space="preserve">SG </w:t>
      </w:r>
      <w:r w:rsidR="00ED0BB4">
        <w:t xml:space="preserve">and BBIG varied among harvests (July 2019, July 2020, and September 2020; </w:t>
      </w:r>
      <w:r w:rsidR="00ED0BB4" w:rsidRPr="00793406">
        <w:rPr>
          <w:i/>
          <w:iCs/>
        </w:rPr>
        <w:t>P</w:t>
      </w:r>
      <w:r w:rsidR="00ED0BB4" w:rsidRPr="00767803">
        <w:t xml:space="preserve"> &lt; 0.001</w:t>
      </w:r>
      <w:r w:rsidR="00ED0BB4">
        <w:t>) but not by CSA seeding.  Additionally, t</w:t>
      </w:r>
      <w:r w:rsidR="00E16E8D">
        <w:t xml:space="preserve">wo other NWSG </w:t>
      </w:r>
      <w:r w:rsidR="00ED0BB4">
        <w:t xml:space="preserve">experiments </w:t>
      </w:r>
      <w:r w:rsidR="00E16E8D">
        <w:t xml:space="preserve">were conducted near Greeneville, TN, 2017-2020, to assess </w:t>
      </w:r>
      <w:r w:rsidR="00ED0BB4">
        <w:t xml:space="preserve">the effect of within-season rest on </w:t>
      </w:r>
      <w:r w:rsidR="00E16E8D">
        <w:t xml:space="preserve">the persistence of </w:t>
      </w:r>
      <w:r>
        <w:t xml:space="preserve">11 </w:t>
      </w:r>
      <w:r w:rsidR="00E16E8D">
        <w:t>native forbs when interseeded into established SG</w:t>
      </w:r>
      <w:r w:rsidR="00ED0BB4">
        <w:t xml:space="preserve"> and </w:t>
      </w:r>
      <w:r w:rsidR="00E16E8D">
        <w:t>BBIG pastures.</w:t>
      </w:r>
      <w:r w:rsidR="00ED0BB4">
        <w:t xml:space="preserve">  Within-season rest</w:t>
      </w:r>
      <w:r w:rsidR="00ED0BB4" w:rsidRPr="005A302D">
        <w:t xml:space="preserve"> treatment was not influential for </w:t>
      </w:r>
      <w:r w:rsidR="00ED0BB4">
        <w:t xml:space="preserve">total </w:t>
      </w:r>
      <w:r w:rsidR="00ED0BB4" w:rsidRPr="005A302D">
        <w:t>forb plant density</w:t>
      </w:r>
      <w:r w:rsidR="00ED0BB4">
        <w:t xml:space="preserve"> or </w:t>
      </w:r>
      <w:r w:rsidR="00ED0BB4" w:rsidRPr="005A302D">
        <w:t>NWSG tiller</w:t>
      </w:r>
      <w:r w:rsidR="00ED0BB4">
        <w:t xml:space="preserve"> density thus</w:t>
      </w:r>
      <w:r w:rsidR="00ED0BB4" w:rsidRPr="005A302D">
        <w:t xml:space="preserve"> </w:t>
      </w:r>
      <w:r w:rsidR="00ED0BB4">
        <w:t xml:space="preserve">indicating </w:t>
      </w:r>
      <w:r w:rsidR="00ED0BB4" w:rsidRPr="005A302D">
        <w:t>persistenc</w:t>
      </w:r>
      <w:r w:rsidR="00ED0BB4">
        <w:t xml:space="preserve">e of forbs may </w:t>
      </w:r>
      <w:r w:rsidR="00ED0BB4" w:rsidRPr="005A302D">
        <w:t xml:space="preserve">not </w:t>
      </w:r>
      <w:r w:rsidR="00ED0BB4">
        <w:t>require</w:t>
      </w:r>
      <w:r w:rsidR="00ED0BB4" w:rsidRPr="005A302D">
        <w:t xml:space="preserve"> </w:t>
      </w:r>
      <w:r>
        <w:t>within-season rest</w:t>
      </w:r>
      <w:r w:rsidR="00ED0BB4" w:rsidRPr="005A302D">
        <w:t>.</w:t>
      </w:r>
      <w:r w:rsidR="00ED0BB4">
        <w:t xml:space="preserve">  </w:t>
      </w:r>
      <w:r>
        <w:t>P</w:t>
      </w:r>
      <w:r w:rsidR="00ED0BB4">
        <w:t xml:space="preserve">urple prairie clover never established while Illinois bundleflower was only observed flowering once despite having the greatest seeding rate among the forbs.  Of the 11-species in the current </w:t>
      </w:r>
      <w:r w:rsidR="00ED0BB4">
        <w:lastRenderedPageBreak/>
        <w:t xml:space="preserve">mixture, interseeding a 6-species polyculture of black-eyed susan, Dixie ticktrefoil, lanceleaf coreopsis, Maximilian sunflower, oxeye sunflower, and purple coneflower could allow for plant biodiversity while offering floral resources for pollinators during the NWSG grazing season.  Because CSA </w:t>
      </w:r>
      <w:r>
        <w:t xml:space="preserve">and native forbs </w:t>
      </w:r>
      <w:r w:rsidR="00ED0BB4">
        <w:t xml:space="preserve">did not affect plant density over the course of these experiments, incorporating CSA </w:t>
      </w:r>
      <w:r>
        <w:t xml:space="preserve">or native forbs </w:t>
      </w:r>
      <w:r w:rsidR="00ED0BB4">
        <w:t xml:space="preserve">may be a viable option for </w:t>
      </w:r>
      <w:r>
        <w:t xml:space="preserve">increasing </w:t>
      </w:r>
      <w:r w:rsidR="00ED0BB4">
        <w:t xml:space="preserve">grazing opportunities and forage production </w:t>
      </w:r>
      <w:r>
        <w:t>in</w:t>
      </w:r>
      <w:r w:rsidR="00ED0BB4">
        <w:t xml:space="preserve"> NWSG</w:t>
      </w:r>
      <w:r>
        <w:t xml:space="preserve"> pastures</w:t>
      </w:r>
      <w:r w:rsidR="00ED0BB4">
        <w:t xml:space="preserve">.   </w:t>
      </w:r>
    </w:p>
    <w:bookmarkEnd w:id="1"/>
    <w:p w14:paraId="2B163C64" w14:textId="5B9A1CDA" w:rsidR="0085757D" w:rsidRPr="004F6C28" w:rsidRDefault="0085757D" w:rsidP="00ED0BB4">
      <w:pPr>
        <w:pStyle w:val="Paragraphs"/>
        <w:spacing w:after="100" w:afterAutospacing="1"/>
        <w:ind w:firstLine="0"/>
        <w:rPr>
          <w:rFonts w:cs="Times New Roman"/>
        </w:rPr>
      </w:pPr>
    </w:p>
    <w:p w14:paraId="0F178519" w14:textId="77777777" w:rsidR="0085757D" w:rsidRPr="004F6C28" w:rsidRDefault="0085757D" w:rsidP="005E54E2">
      <w:pPr>
        <w:rPr>
          <w:rFonts w:cs="Times New Roman"/>
        </w:rPr>
      </w:pPr>
    </w:p>
    <w:p w14:paraId="1459CF79" w14:textId="77777777" w:rsidR="00236E6D" w:rsidRPr="004F6C28" w:rsidRDefault="00236E6D" w:rsidP="00387656">
      <w:pPr>
        <w:rPr>
          <w:rFonts w:cs="Times New Roman"/>
        </w:rPr>
      </w:pPr>
      <w:r w:rsidRPr="004F6C28">
        <w:rPr>
          <w:rFonts w:cs="Times New Roman"/>
        </w:rPr>
        <w:br w:type="page"/>
      </w:r>
    </w:p>
    <w:p w14:paraId="5479220F" w14:textId="77777777" w:rsidR="00387656" w:rsidRPr="00072AC5" w:rsidRDefault="00387656" w:rsidP="00387656">
      <w:pPr>
        <w:pStyle w:val="Title"/>
        <w:rPr>
          <w:rFonts w:ascii="Times New Roman" w:hAnsi="Times New Roman" w:cs="Times New Roman"/>
        </w:rPr>
      </w:pPr>
      <w:r w:rsidRPr="00072AC5">
        <w:rPr>
          <w:rFonts w:ascii="Times New Roman" w:hAnsi="Times New Roman" w:cs="Times New Roman"/>
        </w:rPr>
        <w:lastRenderedPageBreak/>
        <w:t>TABLE OF CONTENTS</w:t>
      </w:r>
    </w:p>
    <w:p w14:paraId="461C6FC4" w14:textId="77777777" w:rsidR="00387656" w:rsidRPr="00072AC5" w:rsidRDefault="00387656" w:rsidP="00387656">
      <w:pPr>
        <w:pStyle w:val="Title"/>
        <w:rPr>
          <w:rFonts w:ascii="Times New Roman" w:hAnsi="Times New Roman" w:cs="Times New Roman"/>
        </w:rPr>
      </w:pPr>
    </w:p>
    <w:p w14:paraId="670F1744" w14:textId="3050D06B" w:rsidR="004C58ED" w:rsidRDefault="00BE6C2B">
      <w:pPr>
        <w:pStyle w:val="TOC1"/>
        <w:tabs>
          <w:tab w:val="right" w:leader="dot" w:pos="8630"/>
        </w:tabs>
        <w:rPr>
          <w:rFonts w:asciiTheme="minorHAnsi" w:eastAsiaTheme="minorEastAsia" w:hAnsiTheme="minorHAnsi" w:cstheme="minorBidi"/>
          <w:noProof/>
          <w:sz w:val="22"/>
          <w:szCs w:val="22"/>
        </w:rPr>
      </w:pPr>
      <w:r>
        <w:rPr>
          <w:rFonts w:cs="Times New Roman"/>
        </w:rPr>
        <w:fldChar w:fldCharType="begin"/>
      </w:r>
      <w:r>
        <w:rPr>
          <w:rFonts w:cs="Times New Roman"/>
        </w:rPr>
        <w:instrText xml:space="preserve"> TOC \o "1-1" \h \z \t "Heading 2,3,Heading 3,7,Heading 4,8,Agronomy Journal Section Titles,2,Heading 4.1,9,Style2,2" </w:instrText>
      </w:r>
      <w:r>
        <w:rPr>
          <w:rFonts w:cs="Times New Roman"/>
        </w:rPr>
        <w:fldChar w:fldCharType="separate"/>
      </w:r>
      <w:hyperlink w:anchor="_Toc72305371" w:history="1">
        <w:r w:rsidR="004C58ED" w:rsidRPr="005B57E6">
          <w:rPr>
            <w:rStyle w:val="Hyperlink"/>
            <w:rFonts w:cs="Times New Roman"/>
            <w:noProof/>
          </w:rPr>
          <w:t>INTRODUCTION</w:t>
        </w:r>
        <w:r w:rsidR="004C58ED">
          <w:rPr>
            <w:noProof/>
            <w:webHidden/>
          </w:rPr>
          <w:tab/>
        </w:r>
        <w:r w:rsidR="004C58ED">
          <w:rPr>
            <w:noProof/>
            <w:webHidden/>
          </w:rPr>
          <w:fldChar w:fldCharType="begin"/>
        </w:r>
        <w:r w:rsidR="004C58ED">
          <w:rPr>
            <w:noProof/>
            <w:webHidden/>
          </w:rPr>
          <w:instrText xml:space="preserve"> PAGEREF _Toc72305371 \h </w:instrText>
        </w:r>
        <w:r w:rsidR="004C58ED">
          <w:rPr>
            <w:noProof/>
            <w:webHidden/>
          </w:rPr>
        </w:r>
        <w:r w:rsidR="004C58ED">
          <w:rPr>
            <w:noProof/>
            <w:webHidden/>
          </w:rPr>
          <w:fldChar w:fldCharType="separate"/>
        </w:r>
        <w:r w:rsidR="004C58ED">
          <w:rPr>
            <w:noProof/>
            <w:webHidden/>
          </w:rPr>
          <w:t>1</w:t>
        </w:r>
        <w:r w:rsidR="004C58ED">
          <w:rPr>
            <w:noProof/>
            <w:webHidden/>
          </w:rPr>
          <w:fldChar w:fldCharType="end"/>
        </w:r>
      </w:hyperlink>
    </w:p>
    <w:p w14:paraId="48FC6CA9" w14:textId="02AD1261" w:rsidR="004C58ED" w:rsidRDefault="004C58ED">
      <w:pPr>
        <w:pStyle w:val="TOC2"/>
        <w:rPr>
          <w:rFonts w:asciiTheme="minorHAnsi" w:eastAsiaTheme="minorEastAsia" w:hAnsiTheme="minorHAnsi" w:cstheme="minorBidi"/>
          <w:noProof/>
          <w:sz w:val="22"/>
          <w:szCs w:val="22"/>
        </w:rPr>
      </w:pPr>
      <w:hyperlink w:anchor="_Toc72305372" w:history="1">
        <w:r w:rsidRPr="005B57E6">
          <w:rPr>
            <w:rStyle w:val="Hyperlink"/>
            <w:noProof/>
          </w:rPr>
          <w:t>Overview of Warm-Season Grasses</w:t>
        </w:r>
        <w:r>
          <w:rPr>
            <w:noProof/>
            <w:webHidden/>
          </w:rPr>
          <w:tab/>
        </w:r>
        <w:r>
          <w:rPr>
            <w:noProof/>
            <w:webHidden/>
          </w:rPr>
          <w:fldChar w:fldCharType="begin"/>
        </w:r>
        <w:r>
          <w:rPr>
            <w:noProof/>
            <w:webHidden/>
          </w:rPr>
          <w:instrText xml:space="preserve"> PAGEREF _Toc72305372 \h </w:instrText>
        </w:r>
        <w:r>
          <w:rPr>
            <w:noProof/>
            <w:webHidden/>
          </w:rPr>
        </w:r>
        <w:r>
          <w:rPr>
            <w:noProof/>
            <w:webHidden/>
          </w:rPr>
          <w:fldChar w:fldCharType="separate"/>
        </w:r>
        <w:r>
          <w:rPr>
            <w:noProof/>
            <w:webHidden/>
          </w:rPr>
          <w:t>2</w:t>
        </w:r>
        <w:r>
          <w:rPr>
            <w:noProof/>
            <w:webHidden/>
          </w:rPr>
          <w:fldChar w:fldCharType="end"/>
        </w:r>
      </w:hyperlink>
    </w:p>
    <w:p w14:paraId="16E16AE3" w14:textId="78015779" w:rsidR="004C58ED" w:rsidRDefault="004C58ED">
      <w:pPr>
        <w:pStyle w:val="TOC2"/>
        <w:rPr>
          <w:rFonts w:asciiTheme="minorHAnsi" w:eastAsiaTheme="minorEastAsia" w:hAnsiTheme="minorHAnsi" w:cstheme="minorBidi"/>
          <w:noProof/>
          <w:sz w:val="22"/>
          <w:szCs w:val="22"/>
        </w:rPr>
      </w:pPr>
      <w:hyperlink w:anchor="_Toc72305373" w:history="1">
        <w:r w:rsidRPr="005B57E6">
          <w:rPr>
            <w:rStyle w:val="Hyperlink"/>
            <w:noProof/>
          </w:rPr>
          <w:t>Overview of Native Warm-Season Grasses</w:t>
        </w:r>
        <w:r>
          <w:rPr>
            <w:noProof/>
            <w:webHidden/>
          </w:rPr>
          <w:tab/>
        </w:r>
        <w:r>
          <w:rPr>
            <w:noProof/>
            <w:webHidden/>
          </w:rPr>
          <w:fldChar w:fldCharType="begin"/>
        </w:r>
        <w:r>
          <w:rPr>
            <w:noProof/>
            <w:webHidden/>
          </w:rPr>
          <w:instrText xml:space="preserve"> PAGEREF _Toc72305373 \h </w:instrText>
        </w:r>
        <w:r>
          <w:rPr>
            <w:noProof/>
            <w:webHidden/>
          </w:rPr>
        </w:r>
        <w:r>
          <w:rPr>
            <w:noProof/>
            <w:webHidden/>
          </w:rPr>
          <w:fldChar w:fldCharType="separate"/>
        </w:r>
        <w:r>
          <w:rPr>
            <w:noProof/>
            <w:webHidden/>
          </w:rPr>
          <w:t>3</w:t>
        </w:r>
        <w:r>
          <w:rPr>
            <w:noProof/>
            <w:webHidden/>
          </w:rPr>
          <w:fldChar w:fldCharType="end"/>
        </w:r>
      </w:hyperlink>
    </w:p>
    <w:p w14:paraId="60CE319F" w14:textId="6EB02A57" w:rsidR="004C58ED" w:rsidRDefault="004C58ED">
      <w:pPr>
        <w:pStyle w:val="TOC2"/>
        <w:rPr>
          <w:rFonts w:asciiTheme="minorHAnsi" w:eastAsiaTheme="minorEastAsia" w:hAnsiTheme="minorHAnsi" w:cstheme="minorBidi"/>
          <w:noProof/>
          <w:sz w:val="22"/>
          <w:szCs w:val="22"/>
        </w:rPr>
      </w:pPr>
      <w:hyperlink w:anchor="_Toc72305374" w:history="1">
        <w:r w:rsidRPr="005B57E6">
          <w:rPr>
            <w:rStyle w:val="Hyperlink"/>
            <w:noProof/>
          </w:rPr>
          <w:t>Companion Crops</w:t>
        </w:r>
        <w:r>
          <w:rPr>
            <w:noProof/>
            <w:webHidden/>
          </w:rPr>
          <w:tab/>
        </w:r>
        <w:r>
          <w:rPr>
            <w:noProof/>
            <w:webHidden/>
          </w:rPr>
          <w:fldChar w:fldCharType="begin"/>
        </w:r>
        <w:r>
          <w:rPr>
            <w:noProof/>
            <w:webHidden/>
          </w:rPr>
          <w:instrText xml:space="preserve"> PAGEREF _Toc72305374 \h </w:instrText>
        </w:r>
        <w:r>
          <w:rPr>
            <w:noProof/>
            <w:webHidden/>
          </w:rPr>
        </w:r>
        <w:r>
          <w:rPr>
            <w:noProof/>
            <w:webHidden/>
          </w:rPr>
          <w:fldChar w:fldCharType="separate"/>
        </w:r>
        <w:r>
          <w:rPr>
            <w:noProof/>
            <w:webHidden/>
          </w:rPr>
          <w:t>7</w:t>
        </w:r>
        <w:r>
          <w:rPr>
            <w:noProof/>
            <w:webHidden/>
          </w:rPr>
          <w:fldChar w:fldCharType="end"/>
        </w:r>
      </w:hyperlink>
    </w:p>
    <w:p w14:paraId="61529293" w14:textId="7052C75E" w:rsidR="004C58ED" w:rsidRDefault="004C58ED">
      <w:pPr>
        <w:pStyle w:val="TOC2"/>
        <w:rPr>
          <w:rFonts w:asciiTheme="minorHAnsi" w:eastAsiaTheme="minorEastAsia" w:hAnsiTheme="minorHAnsi" w:cstheme="minorBidi"/>
          <w:noProof/>
          <w:sz w:val="22"/>
          <w:szCs w:val="22"/>
        </w:rPr>
      </w:pPr>
      <w:hyperlink w:anchor="_Toc72305375" w:history="1">
        <w:r w:rsidRPr="005B57E6">
          <w:rPr>
            <w:rStyle w:val="Hyperlink"/>
            <w:noProof/>
          </w:rPr>
          <w:t>REFERENCES</w:t>
        </w:r>
        <w:r>
          <w:rPr>
            <w:noProof/>
            <w:webHidden/>
          </w:rPr>
          <w:tab/>
        </w:r>
        <w:r>
          <w:rPr>
            <w:noProof/>
            <w:webHidden/>
          </w:rPr>
          <w:fldChar w:fldCharType="begin"/>
        </w:r>
        <w:r>
          <w:rPr>
            <w:noProof/>
            <w:webHidden/>
          </w:rPr>
          <w:instrText xml:space="preserve"> PAGEREF _Toc72305375 \h </w:instrText>
        </w:r>
        <w:r>
          <w:rPr>
            <w:noProof/>
            <w:webHidden/>
          </w:rPr>
        </w:r>
        <w:r>
          <w:rPr>
            <w:noProof/>
            <w:webHidden/>
          </w:rPr>
          <w:fldChar w:fldCharType="separate"/>
        </w:r>
        <w:r>
          <w:rPr>
            <w:noProof/>
            <w:webHidden/>
          </w:rPr>
          <w:t>11</w:t>
        </w:r>
        <w:r>
          <w:rPr>
            <w:noProof/>
            <w:webHidden/>
          </w:rPr>
          <w:fldChar w:fldCharType="end"/>
        </w:r>
      </w:hyperlink>
    </w:p>
    <w:p w14:paraId="37CE0E3C" w14:textId="56427DF6" w:rsidR="004C58ED" w:rsidRDefault="004C58ED">
      <w:pPr>
        <w:pStyle w:val="TOC1"/>
        <w:tabs>
          <w:tab w:val="right" w:leader="dot" w:pos="8630"/>
        </w:tabs>
        <w:rPr>
          <w:rFonts w:asciiTheme="minorHAnsi" w:eastAsiaTheme="minorEastAsia" w:hAnsiTheme="minorHAnsi" w:cstheme="minorBidi"/>
          <w:noProof/>
          <w:sz w:val="22"/>
          <w:szCs w:val="22"/>
        </w:rPr>
      </w:pPr>
      <w:hyperlink w:anchor="_Toc72305376" w:history="1">
        <w:r w:rsidRPr="005B57E6">
          <w:rPr>
            <w:rStyle w:val="Hyperlink"/>
            <w:rFonts w:cs="Times New Roman"/>
            <w:noProof/>
          </w:rPr>
          <w:t xml:space="preserve">CHAPTER I </w:t>
        </w:r>
        <w:r>
          <w:rPr>
            <w:rStyle w:val="Hyperlink"/>
            <w:rFonts w:cs="Times New Roman"/>
            <w:noProof/>
          </w:rPr>
          <w:t xml:space="preserve">- </w:t>
        </w:r>
        <w:r w:rsidRPr="005B57E6">
          <w:rPr>
            <w:rStyle w:val="Hyperlink"/>
            <w:rFonts w:cs="Times New Roman"/>
            <w:noProof/>
          </w:rPr>
          <w:t>INTERSEEDING WINTER ANNUALS INTO NATIVE WARM-SEASON GRASS PASTURES</w:t>
        </w:r>
        <w:r>
          <w:rPr>
            <w:noProof/>
            <w:webHidden/>
          </w:rPr>
          <w:tab/>
        </w:r>
        <w:r>
          <w:rPr>
            <w:noProof/>
            <w:webHidden/>
          </w:rPr>
          <w:fldChar w:fldCharType="begin"/>
        </w:r>
        <w:r>
          <w:rPr>
            <w:noProof/>
            <w:webHidden/>
          </w:rPr>
          <w:instrText xml:space="preserve"> PAGEREF _Toc72305376 \h </w:instrText>
        </w:r>
        <w:r>
          <w:rPr>
            <w:noProof/>
            <w:webHidden/>
          </w:rPr>
        </w:r>
        <w:r>
          <w:rPr>
            <w:noProof/>
            <w:webHidden/>
          </w:rPr>
          <w:fldChar w:fldCharType="separate"/>
        </w:r>
        <w:r>
          <w:rPr>
            <w:noProof/>
            <w:webHidden/>
          </w:rPr>
          <w:t>16</w:t>
        </w:r>
        <w:r>
          <w:rPr>
            <w:noProof/>
            <w:webHidden/>
          </w:rPr>
          <w:fldChar w:fldCharType="end"/>
        </w:r>
      </w:hyperlink>
    </w:p>
    <w:p w14:paraId="7704DECC" w14:textId="0EC38872" w:rsidR="004C58ED" w:rsidRDefault="004C58ED">
      <w:pPr>
        <w:pStyle w:val="TOC2"/>
        <w:rPr>
          <w:rFonts w:asciiTheme="minorHAnsi" w:eastAsiaTheme="minorEastAsia" w:hAnsiTheme="minorHAnsi" w:cstheme="minorBidi"/>
          <w:noProof/>
          <w:sz w:val="22"/>
          <w:szCs w:val="22"/>
        </w:rPr>
      </w:pPr>
      <w:hyperlink w:anchor="_Toc72305377" w:history="1">
        <w:r w:rsidRPr="005B57E6">
          <w:rPr>
            <w:rStyle w:val="Hyperlink"/>
            <w:noProof/>
          </w:rPr>
          <w:t>ABSTRACT</w:t>
        </w:r>
        <w:r>
          <w:rPr>
            <w:noProof/>
            <w:webHidden/>
          </w:rPr>
          <w:tab/>
        </w:r>
        <w:r>
          <w:rPr>
            <w:noProof/>
            <w:webHidden/>
          </w:rPr>
          <w:fldChar w:fldCharType="begin"/>
        </w:r>
        <w:r>
          <w:rPr>
            <w:noProof/>
            <w:webHidden/>
          </w:rPr>
          <w:instrText xml:space="preserve"> PAGEREF _Toc72305377 \h </w:instrText>
        </w:r>
        <w:r>
          <w:rPr>
            <w:noProof/>
            <w:webHidden/>
          </w:rPr>
        </w:r>
        <w:r>
          <w:rPr>
            <w:noProof/>
            <w:webHidden/>
          </w:rPr>
          <w:fldChar w:fldCharType="separate"/>
        </w:r>
        <w:r>
          <w:rPr>
            <w:noProof/>
            <w:webHidden/>
          </w:rPr>
          <w:t>17</w:t>
        </w:r>
        <w:r>
          <w:rPr>
            <w:noProof/>
            <w:webHidden/>
          </w:rPr>
          <w:fldChar w:fldCharType="end"/>
        </w:r>
      </w:hyperlink>
    </w:p>
    <w:p w14:paraId="10E4317F" w14:textId="5E422715" w:rsidR="004C58ED" w:rsidRDefault="004C58ED">
      <w:pPr>
        <w:pStyle w:val="TOC2"/>
        <w:rPr>
          <w:rFonts w:asciiTheme="minorHAnsi" w:eastAsiaTheme="minorEastAsia" w:hAnsiTheme="minorHAnsi" w:cstheme="minorBidi"/>
          <w:noProof/>
          <w:sz w:val="22"/>
          <w:szCs w:val="22"/>
        </w:rPr>
      </w:pPr>
      <w:hyperlink w:anchor="_Toc72305378" w:history="1">
        <w:r w:rsidRPr="005B57E6">
          <w:rPr>
            <w:rStyle w:val="Hyperlink"/>
            <w:noProof/>
          </w:rPr>
          <w:t>INTRODUCTION</w:t>
        </w:r>
        <w:r>
          <w:rPr>
            <w:noProof/>
            <w:webHidden/>
          </w:rPr>
          <w:tab/>
        </w:r>
        <w:r>
          <w:rPr>
            <w:noProof/>
            <w:webHidden/>
          </w:rPr>
          <w:fldChar w:fldCharType="begin"/>
        </w:r>
        <w:r>
          <w:rPr>
            <w:noProof/>
            <w:webHidden/>
          </w:rPr>
          <w:instrText xml:space="preserve"> PAGEREF _Toc72305378 \h </w:instrText>
        </w:r>
        <w:r>
          <w:rPr>
            <w:noProof/>
            <w:webHidden/>
          </w:rPr>
        </w:r>
        <w:r>
          <w:rPr>
            <w:noProof/>
            <w:webHidden/>
          </w:rPr>
          <w:fldChar w:fldCharType="separate"/>
        </w:r>
        <w:r>
          <w:rPr>
            <w:noProof/>
            <w:webHidden/>
          </w:rPr>
          <w:t>18</w:t>
        </w:r>
        <w:r>
          <w:rPr>
            <w:noProof/>
            <w:webHidden/>
          </w:rPr>
          <w:fldChar w:fldCharType="end"/>
        </w:r>
      </w:hyperlink>
    </w:p>
    <w:p w14:paraId="1D4B9281" w14:textId="0C943EED" w:rsidR="004C58ED" w:rsidRDefault="004C58ED">
      <w:pPr>
        <w:pStyle w:val="TOC2"/>
        <w:rPr>
          <w:rFonts w:asciiTheme="minorHAnsi" w:eastAsiaTheme="minorEastAsia" w:hAnsiTheme="minorHAnsi" w:cstheme="minorBidi"/>
          <w:noProof/>
          <w:sz w:val="22"/>
          <w:szCs w:val="22"/>
        </w:rPr>
      </w:pPr>
      <w:hyperlink w:anchor="_Toc72305379" w:history="1">
        <w:r w:rsidRPr="005B57E6">
          <w:rPr>
            <w:rStyle w:val="Hyperlink"/>
            <w:noProof/>
          </w:rPr>
          <w:t>MATERIALS AND METHODS</w:t>
        </w:r>
        <w:r>
          <w:rPr>
            <w:noProof/>
            <w:webHidden/>
          </w:rPr>
          <w:tab/>
        </w:r>
        <w:r>
          <w:rPr>
            <w:noProof/>
            <w:webHidden/>
          </w:rPr>
          <w:fldChar w:fldCharType="begin"/>
        </w:r>
        <w:r>
          <w:rPr>
            <w:noProof/>
            <w:webHidden/>
          </w:rPr>
          <w:instrText xml:space="preserve"> PAGEREF _Toc72305379 \h </w:instrText>
        </w:r>
        <w:r>
          <w:rPr>
            <w:noProof/>
            <w:webHidden/>
          </w:rPr>
        </w:r>
        <w:r>
          <w:rPr>
            <w:noProof/>
            <w:webHidden/>
          </w:rPr>
          <w:fldChar w:fldCharType="separate"/>
        </w:r>
        <w:r>
          <w:rPr>
            <w:noProof/>
            <w:webHidden/>
          </w:rPr>
          <w:t>21</w:t>
        </w:r>
        <w:r>
          <w:rPr>
            <w:noProof/>
            <w:webHidden/>
          </w:rPr>
          <w:fldChar w:fldCharType="end"/>
        </w:r>
      </w:hyperlink>
    </w:p>
    <w:p w14:paraId="77402FA2" w14:textId="4953D041" w:rsidR="004C58ED" w:rsidRDefault="004C58ED">
      <w:pPr>
        <w:pStyle w:val="TOC3"/>
        <w:rPr>
          <w:rFonts w:asciiTheme="minorHAnsi" w:eastAsiaTheme="minorEastAsia" w:hAnsiTheme="minorHAnsi" w:cstheme="minorBidi"/>
          <w:noProof/>
          <w:sz w:val="22"/>
          <w:szCs w:val="22"/>
        </w:rPr>
      </w:pPr>
      <w:hyperlink w:anchor="_Toc72305380" w:history="1">
        <w:r w:rsidRPr="005B57E6">
          <w:rPr>
            <w:rStyle w:val="Hyperlink"/>
            <w:noProof/>
          </w:rPr>
          <w:t>Site Description</w:t>
        </w:r>
        <w:r>
          <w:rPr>
            <w:noProof/>
            <w:webHidden/>
          </w:rPr>
          <w:tab/>
        </w:r>
        <w:r>
          <w:rPr>
            <w:noProof/>
            <w:webHidden/>
          </w:rPr>
          <w:fldChar w:fldCharType="begin"/>
        </w:r>
        <w:r>
          <w:rPr>
            <w:noProof/>
            <w:webHidden/>
          </w:rPr>
          <w:instrText xml:space="preserve"> PAGEREF _Toc72305380 \h </w:instrText>
        </w:r>
        <w:r>
          <w:rPr>
            <w:noProof/>
            <w:webHidden/>
          </w:rPr>
        </w:r>
        <w:r>
          <w:rPr>
            <w:noProof/>
            <w:webHidden/>
          </w:rPr>
          <w:fldChar w:fldCharType="separate"/>
        </w:r>
        <w:r>
          <w:rPr>
            <w:noProof/>
            <w:webHidden/>
          </w:rPr>
          <w:t>21</w:t>
        </w:r>
        <w:r>
          <w:rPr>
            <w:noProof/>
            <w:webHidden/>
          </w:rPr>
          <w:fldChar w:fldCharType="end"/>
        </w:r>
      </w:hyperlink>
    </w:p>
    <w:p w14:paraId="747052B5" w14:textId="4AC2AA53" w:rsidR="004C58ED" w:rsidRDefault="004C58ED">
      <w:pPr>
        <w:pStyle w:val="TOC3"/>
        <w:rPr>
          <w:rFonts w:asciiTheme="minorHAnsi" w:eastAsiaTheme="minorEastAsia" w:hAnsiTheme="minorHAnsi" w:cstheme="minorBidi"/>
          <w:noProof/>
          <w:sz w:val="22"/>
          <w:szCs w:val="22"/>
        </w:rPr>
      </w:pPr>
      <w:hyperlink w:anchor="_Toc72305381" w:history="1">
        <w:r w:rsidRPr="005B57E6">
          <w:rPr>
            <w:rStyle w:val="Hyperlink"/>
            <w:noProof/>
            <w:lang w:val="en"/>
          </w:rPr>
          <w:t>Experimental Design</w:t>
        </w:r>
        <w:r>
          <w:rPr>
            <w:noProof/>
            <w:webHidden/>
          </w:rPr>
          <w:tab/>
        </w:r>
        <w:r>
          <w:rPr>
            <w:noProof/>
            <w:webHidden/>
          </w:rPr>
          <w:fldChar w:fldCharType="begin"/>
        </w:r>
        <w:r>
          <w:rPr>
            <w:noProof/>
            <w:webHidden/>
          </w:rPr>
          <w:instrText xml:space="preserve"> PAGEREF _Toc72305381 \h </w:instrText>
        </w:r>
        <w:r>
          <w:rPr>
            <w:noProof/>
            <w:webHidden/>
          </w:rPr>
        </w:r>
        <w:r>
          <w:rPr>
            <w:noProof/>
            <w:webHidden/>
          </w:rPr>
          <w:fldChar w:fldCharType="separate"/>
        </w:r>
        <w:r>
          <w:rPr>
            <w:noProof/>
            <w:webHidden/>
          </w:rPr>
          <w:t>22</w:t>
        </w:r>
        <w:r>
          <w:rPr>
            <w:noProof/>
            <w:webHidden/>
          </w:rPr>
          <w:fldChar w:fldCharType="end"/>
        </w:r>
      </w:hyperlink>
    </w:p>
    <w:p w14:paraId="1421E982" w14:textId="78F99C9A" w:rsidR="004C58ED" w:rsidRDefault="004C58ED">
      <w:pPr>
        <w:pStyle w:val="TOC7"/>
        <w:rPr>
          <w:rFonts w:asciiTheme="minorHAnsi" w:eastAsiaTheme="minorEastAsia" w:hAnsiTheme="minorHAnsi" w:cstheme="minorBidi"/>
          <w:noProof/>
          <w:sz w:val="22"/>
          <w:szCs w:val="22"/>
        </w:rPr>
      </w:pPr>
      <w:hyperlink w:anchor="_Toc72305382" w:history="1">
        <w:r w:rsidRPr="005B57E6">
          <w:rPr>
            <w:rStyle w:val="Hyperlink"/>
            <w:noProof/>
          </w:rPr>
          <w:t>Animal Management and Measurements</w:t>
        </w:r>
        <w:r>
          <w:rPr>
            <w:noProof/>
            <w:webHidden/>
          </w:rPr>
          <w:tab/>
        </w:r>
        <w:r>
          <w:rPr>
            <w:noProof/>
            <w:webHidden/>
          </w:rPr>
          <w:fldChar w:fldCharType="begin"/>
        </w:r>
        <w:r>
          <w:rPr>
            <w:noProof/>
            <w:webHidden/>
          </w:rPr>
          <w:instrText xml:space="preserve"> PAGEREF _Toc72305382 \h </w:instrText>
        </w:r>
        <w:r>
          <w:rPr>
            <w:noProof/>
            <w:webHidden/>
          </w:rPr>
        </w:r>
        <w:r>
          <w:rPr>
            <w:noProof/>
            <w:webHidden/>
          </w:rPr>
          <w:fldChar w:fldCharType="separate"/>
        </w:r>
        <w:r>
          <w:rPr>
            <w:noProof/>
            <w:webHidden/>
          </w:rPr>
          <w:t>23</w:t>
        </w:r>
        <w:r>
          <w:rPr>
            <w:noProof/>
            <w:webHidden/>
          </w:rPr>
          <w:fldChar w:fldCharType="end"/>
        </w:r>
      </w:hyperlink>
    </w:p>
    <w:p w14:paraId="7407EE86" w14:textId="1B62727D" w:rsidR="004C58ED" w:rsidRDefault="004C58ED">
      <w:pPr>
        <w:pStyle w:val="TOC7"/>
        <w:rPr>
          <w:rFonts w:asciiTheme="minorHAnsi" w:eastAsiaTheme="minorEastAsia" w:hAnsiTheme="minorHAnsi" w:cstheme="minorBidi"/>
          <w:noProof/>
          <w:sz w:val="22"/>
          <w:szCs w:val="22"/>
        </w:rPr>
      </w:pPr>
      <w:hyperlink w:anchor="_Toc72305383" w:history="1">
        <w:r w:rsidRPr="005B57E6">
          <w:rPr>
            <w:rStyle w:val="Hyperlink"/>
            <w:noProof/>
          </w:rPr>
          <w:t>Pasture Management and Measurements</w:t>
        </w:r>
        <w:r>
          <w:rPr>
            <w:noProof/>
            <w:webHidden/>
          </w:rPr>
          <w:tab/>
        </w:r>
        <w:r>
          <w:rPr>
            <w:noProof/>
            <w:webHidden/>
          </w:rPr>
          <w:fldChar w:fldCharType="begin"/>
        </w:r>
        <w:r>
          <w:rPr>
            <w:noProof/>
            <w:webHidden/>
          </w:rPr>
          <w:instrText xml:space="preserve"> PAGEREF _Toc72305383 \h </w:instrText>
        </w:r>
        <w:r>
          <w:rPr>
            <w:noProof/>
            <w:webHidden/>
          </w:rPr>
        </w:r>
        <w:r>
          <w:rPr>
            <w:noProof/>
            <w:webHidden/>
          </w:rPr>
          <w:fldChar w:fldCharType="separate"/>
        </w:r>
        <w:r>
          <w:rPr>
            <w:noProof/>
            <w:webHidden/>
          </w:rPr>
          <w:t>24</w:t>
        </w:r>
        <w:r>
          <w:rPr>
            <w:noProof/>
            <w:webHidden/>
          </w:rPr>
          <w:fldChar w:fldCharType="end"/>
        </w:r>
      </w:hyperlink>
    </w:p>
    <w:p w14:paraId="6F5683C3" w14:textId="35EC64BF" w:rsidR="004C58ED" w:rsidRDefault="004C58ED">
      <w:pPr>
        <w:pStyle w:val="TOC3"/>
        <w:rPr>
          <w:rFonts w:asciiTheme="minorHAnsi" w:eastAsiaTheme="minorEastAsia" w:hAnsiTheme="minorHAnsi" w:cstheme="minorBidi"/>
          <w:noProof/>
          <w:sz w:val="22"/>
          <w:szCs w:val="22"/>
        </w:rPr>
      </w:pPr>
      <w:hyperlink w:anchor="_Toc72305384" w:history="1">
        <w:r w:rsidRPr="005B57E6">
          <w:rPr>
            <w:rStyle w:val="Hyperlink"/>
            <w:noProof/>
          </w:rPr>
          <w:t>Nutritive Value Analysis</w:t>
        </w:r>
        <w:r>
          <w:rPr>
            <w:noProof/>
            <w:webHidden/>
          </w:rPr>
          <w:tab/>
        </w:r>
        <w:r>
          <w:rPr>
            <w:noProof/>
            <w:webHidden/>
          </w:rPr>
          <w:fldChar w:fldCharType="begin"/>
        </w:r>
        <w:r>
          <w:rPr>
            <w:noProof/>
            <w:webHidden/>
          </w:rPr>
          <w:instrText xml:space="preserve"> PAGEREF _Toc72305384 \h </w:instrText>
        </w:r>
        <w:r>
          <w:rPr>
            <w:noProof/>
            <w:webHidden/>
          </w:rPr>
        </w:r>
        <w:r>
          <w:rPr>
            <w:noProof/>
            <w:webHidden/>
          </w:rPr>
          <w:fldChar w:fldCharType="separate"/>
        </w:r>
        <w:r>
          <w:rPr>
            <w:noProof/>
            <w:webHidden/>
          </w:rPr>
          <w:t>25</w:t>
        </w:r>
        <w:r>
          <w:rPr>
            <w:noProof/>
            <w:webHidden/>
          </w:rPr>
          <w:fldChar w:fldCharType="end"/>
        </w:r>
      </w:hyperlink>
    </w:p>
    <w:p w14:paraId="6509BE0F" w14:textId="079BBBA5" w:rsidR="004C58ED" w:rsidRDefault="004C58ED">
      <w:pPr>
        <w:pStyle w:val="TOC3"/>
        <w:rPr>
          <w:rFonts w:asciiTheme="minorHAnsi" w:eastAsiaTheme="minorEastAsia" w:hAnsiTheme="minorHAnsi" w:cstheme="minorBidi"/>
          <w:noProof/>
          <w:sz w:val="22"/>
          <w:szCs w:val="22"/>
        </w:rPr>
      </w:pPr>
      <w:hyperlink w:anchor="_Toc72305385" w:history="1">
        <w:r w:rsidRPr="005B57E6">
          <w:rPr>
            <w:rStyle w:val="Hyperlink"/>
            <w:noProof/>
          </w:rPr>
          <w:t>Statistical Analysis</w:t>
        </w:r>
        <w:r>
          <w:rPr>
            <w:noProof/>
            <w:webHidden/>
          </w:rPr>
          <w:tab/>
        </w:r>
        <w:r>
          <w:rPr>
            <w:noProof/>
            <w:webHidden/>
          </w:rPr>
          <w:fldChar w:fldCharType="begin"/>
        </w:r>
        <w:r>
          <w:rPr>
            <w:noProof/>
            <w:webHidden/>
          </w:rPr>
          <w:instrText xml:space="preserve"> PAGEREF _Toc72305385 \h </w:instrText>
        </w:r>
        <w:r>
          <w:rPr>
            <w:noProof/>
            <w:webHidden/>
          </w:rPr>
        </w:r>
        <w:r>
          <w:rPr>
            <w:noProof/>
            <w:webHidden/>
          </w:rPr>
          <w:fldChar w:fldCharType="separate"/>
        </w:r>
        <w:r>
          <w:rPr>
            <w:noProof/>
            <w:webHidden/>
          </w:rPr>
          <w:t>26</w:t>
        </w:r>
        <w:r>
          <w:rPr>
            <w:noProof/>
            <w:webHidden/>
          </w:rPr>
          <w:fldChar w:fldCharType="end"/>
        </w:r>
      </w:hyperlink>
    </w:p>
    <w:p w14:paraId="41CD26C8" w14:textId="6C4D8D87" w:rsidR="004C58ED" w:rsidRDefault="004C58ED">
      <w:pPr>
        <w:pStyle w:val="TOC2"/>
        <w:rPr>
          <w:rFonts w:asciiTheme="minorHAnsi" w:eastAsiaTheme="minorEastAsia" w:hAnsiTheme="minorHAnsi" w:cstheme="minorBidi"/>
          <w:noProof/>
          <w:sz w:val="22"/>
          <w:szCs w:val="22"/>
        </w:rPr>
      </w:pPr>
      <w:hyperlink w:anchor="_Toc72305386" w:history="1">
        <w:r w:rsidRPr="005B57E6">
          <w:rPr>
            <w:rStyle w:val="Hyperlink"/>
            <w:noProof/>
          </w:rPr>
          <w:t>RESULTS AND DISCUSSION</w:t>
        </w:r>
        <w:r>
          <w:rPr>
            <w:noProof/>
            <w:webHidden/>
          </w:rPr>
          <w:tab/>
        </w:r>
        <w:r>
          <w:rPr>
            <w:noProof/>
            <w:webHidden/>
          </w:rPr>
          <w:fldChar w:fldCharType="begin"/>
        </w:r>
        <w:r>
          <w:rPr>
            <w:noProof/>
            <w:webHidden/>
          </w:rPr>
          <w:instrText xml:space="preserve"> PAGEREF _Toc72305386 \h </w:instrText>
        </w:r>
        <w:r>
          <w:rPr>
            <w:noProof/>
            <w:webHidden/>
          </w:rPr>
        </w:r>
        <w:r>
          <w:rPr>
            <w:noProof/>
            <w:webHidden/>
          </w:rPr>
          <w:fldChar w:fldCharType="separate"/>
        </w:r>
        <w:r>
          <w:rPr>
            <w:noProof/>
            <w:webHidden/>
          </w:rPr>
          <w:t>27</w:t>
        </w:r>
        <w:r>
          <w:rPr>
            <w:noProof/>
            <w:webHidden/>
          </w:rPr>
          <w:fldChar w:fldCharType="end"/>
        </w:r>
      </w:hyperlink>
    </w:p>
    <w:p w14:paraId="76559E9E" w14:textId="7D32F3B9" w:rsidR="004C58ED" w:rsidRDefault="004C58ED">
      <w:pPr>
        <w:pStyle w:val="TOC3"/>
        <w:rPr>
          <w:rFonts w:asciiTheme="minorHAnsi" w:eastAsiaTheme="minorEastAsia" w:hAnsiTheme="minorHAnsi" w:cstheme="minorBidi"/>
          <w:noProof/>
          <w:sz w:val="22"/>
          <w:szCs w:val="22"/>
        </w:rPr>
      </w:pPr>
      <w:hyperlink w:anchor="_Toc72305387" w:history="1">
        <w:r w:rsidRPr="005B57E6">
          <w:rPr>
            <w:rStyle w:val="Hyperlink"/>
            <w:noProof/>
          </w:rPr>
          <w:t>Environmental Conditions</w:t>
        </w:r>
        <w:r>
          <w:rPr>
            <w:noProof/>
            <w:webHidden/>
          </w:rPr>
          <w:tab/>
        </w:r>
        <w:r>
          <w:rPr>
            <w:noProof/>
            <w:webHidden/>
          </w:rPr>
          <w:fldChar w:fldCharType="begin"/>
        </w:r>
        <w:r>
          <w:rPr>
            <w:noProof/>
            <w:webHidden/>
          </w:rPr>
          <w:instrText xml:space="preserve"> PAGEREF _Toc72305387 \h </w:instrText>
        </w:r>
        <w:r>
          <w:rPr>
            <w:noProof/>
            <w:webHidden/>
          </w:rPr>
        </w:r>
        <w:r>
          <w:rPr>
            <w:noProof/>
            <w:webHidden/>
          </w:rPr>
          <w:fldChar w:fldCharType="separate"/>
        </w:r>
        <w:r>
          <w:rPr>
            <w:noProof/>
            <w:webHidden/>
          </w:rPr>
          <w:t>27</w:t>
        </w:r>
        <w:r>
          <w:rPr>
            <w:noProof/>
            <w:webHidden/>
          </w:rPr>
          <w:fldChar w:fldCharType="end"/>
        </w:r>
      </w:hyperlink>
    </w:p>
    <w:p w14:paraId="4DB31D0B" w14:textId="73162698" w:rsidR="004C58ED" w:rsidRDefault="004C58ED">
      <w:pPr>
        <w:pStyle w:val="TOC3"/>
        <w:rPr>
          <w:rFonts w:asciiTheme="minorHAnsi" w:eastAsiaTheme="minorEastAsia" w:hAnsiTheme="minorHAnsi" w:cstheme="minorBidi"/>
          <w:noProof/>
          <w:sz w:val="22"/>
          <w:szCs w:val="22"/>
        </w:rPr>
      </w:pPr>
      <w:hyperlink w:anchor="_Toc72305388" w:history="1">
        <w:r w:rsidRPr="005B57E6">
          <w:rPr>
            <w:rStyle w:val="Hyperlink"/>
            <w:noProof/>
          </w:rPr>
          <w:t>Density</w:t>
        </w:r>
        <w:r>
          <w:rPr>
            <w:noProof/>
            <w:webHidden/>
          </w:rPr>
          <w:tab/>
        </w:r>
        <w:r>
          <w:rPr>
            <w:noProof/>
            <w:webHidden/>
          </w:rPr>
          <w:fldChar w:fldCharType="begin"/>
        </w:r>
        <w:r>
          <w:rPr>
            <w:noProof/>
            <w:webHidden/>
          </w:rPr>
          <w:instrText xml:space="preserve"> PAGEREF _Toc72305388 \h </w:instrText>
        </w:r>
        <w:r>
          <w:rPr>
            <w:noProof/>
            <w:webHidden/>
          </w:rPr>
        </w:r>
        <w:r>
          <w:rPr>
            <w:noProof/>
            <w:webHidden/>
          </w:rPr>
          <w:fldChar w:fldCharType="separate"/>
        </w:r>
        <w:r>
          <w:rPr>
            <w:noProof/>
            <w:webHidden/>
          </w:rPr>
          <w:t>28</w:t>
        </w:r>
        <w:r>
          <w:rPr>
            <w:noProof/>
            <w:webHidden/>
          </w:rPr>
          <w:fldChar w:fldCharType="end"/>
        </w:r>
      </w:hyperlink>
    </w:p>
    <w:p w14:paraId="6B6DFC65" w14:textId="7C971BCA" w:rsidR="004C58ED" w:rsidRDefault="004C58ED">
      <w:pPr>
        <w:pStyle w:val="TOC3"/>
        <w:rPr>
          <w:rFonts w:asciiTheme="minorHAnsi" w:eastAsiaTheme="minorEastAsia" w:hAnsiTheme="minorHAnsi" w:cstheme="minorBidi"/>
          <w:noProof/>
          <w:sz w:val="22"/>
          <w:szCs w:val="22"/>
        </w:rPr>
      </w:pPr>
      <w:hyperlink w:anchor="_Toc72305389" w:history="1">
        <w:r w:rsidRPr="005B57E6">
          <w:rPr>
            <w:rStyle w:val="Hyperlink"/>
            <w:noProof/>
          </w:rPr>
          <w:t>Hay Yield, Nutritive Value, and Grazing Days</w:t>
        </w:r>
        <w:r>
          <w:rPr>
            <w:noProof/>
            <w:webHidden/>
          </w:rPr>
          <w:tab/>
        </w:r>
        <w:r>
          <w:rPr>
            <w:noProof/>
            <w:webHidden/>
          </w:rPr>
          <w:fldChar w:fldCharType="begin"/>
        </w:r>
        <w:r>
          <w:rPr>
            <w:noProof/>
            <w:webHidden/>
          </w:rPr>
          <w:instrText xml:space="preserve"> PAGEREF _Toc72305389 \h </w:instrText>
        </w:r>
        <w:r>
          <w:rPr>
            <w:noProof/>
            <w:webHidden/>
          </w:rPr>
        </w:r>
        <w:r>
          <w:rPr>
            <w:noProof/>
            <w:webHidden/>
          </w:rPr>
          <w:fldChar w:fldCharType="separate"/>
        </w:r>
        <w:r>
          <w:rPr>
            <w:noProof/>
            <w:webHidden/>
          </w:rPr>
          <w:t>31</w:t>
        </w:r>
        <w:r>
          <w:rPr>
            <w:noProof/>
            <w:webHidden/>
          </w:rPr>
          <w:fldChar w:fldCharType="end"/>
        </w:r>
      </w:hyperlink>
    </w:p>
    <w:p w14:paraId="7578A0E1" w14:textId="7271871A" w:rsidR="004C58ED" w:rsidRDefault="004C58ED">
      <w:pPr>
        <w:pStyle w:val="TOC2"/>
        <w:rPr>
          <w:rFonts w:asciiTheme="minorHAnsi" w:eastAsiaTheme="minorEastAsia" w:hAnsiTheme="minorHAnsi" w:cstheme="minorBidi"/>
          <w:noProof/>
          <w:sz w:val="22"/>
          <w:szCs w:val="22"/>
        </w:rPr>
      </w:pPr>
      <w:hyperlink w:anchor="_Toc72305390" w:history="1">
        <w:r w:rsidRPr="005B57E6">
          <w:rPr>
            <w:rStyle w:val="Hyperlink"/>
            <w:noProof/>
          </w:rPr>
          <w:t>CONCLUSIONS</w:t>
        </w:r>
        <w:r>
          <w:rPr>
            <w:noProof/>
            <w:webHidden/>
          </w:rPr>
          <w:tab/>
        </w:r>
        <w:r>
          <w:rPr>
            <w:noProof/>
            <w:webHidden/>
          </w:rPr>
          <w:fldChar w:fldCharType="begin"/>
        </w:r>
        <w:r>
          <w:rPr>
            <w:noProof/>
            <w:webHidden/>
          </w:rPr>
          <w:instrText xml:space="preserve"> PAGEREF _Toc72305390 \h </w:instrText>
        </w:r>
        <w:r>
          <w:rPr>
            <w:noProof/>
            <w:webHidden/>
          </w:rPr>
        </w:r>
        <w:r>
          <w:rPr>
            <w:noProof/>
            <w:webHidden/>
          </w:rPr>
          <w:fldChar w:fldCharType="separate"/>
        </w:r>
        <w:r>
          <w:rPr>
            <w:noProof/>
            <w:webHidden/>
          </w:rPr>
          <w:t>33</w:t>
        </w:r>
        <w:r>
          <w:rPr>
            <w:noProof/>
            <w:webHidden/>
          </w:rPr>
          <w:fldChar w:fldCharType="end"/>
        </w:r>
      </w:hyperlink>
    </w:p>
    <w:p w14:paraId="2FC0D10C" w14:textId="59F0283A" w:rsidR="004C58ED" w:rsidRDefault="004C58ED">
      <w:pPr>
        <w:pStyle w:val="TOC2"/>
        <w:rPr>
          <w:rFonts w:asciiTheme="minorHAnsi" w:eastAsiaTheme="minorEastAsia" w:hAnsiTheme="minorHAnsi" w:cstheme="minorBidi"/>
          <w:noProof/>
          <w:sz w:val="22"/>
          <w:szCs w:val="22"/>
        </w:rPr>
      </w:pPr>
      <w:hyperlink w:anchor="_Toc72305391" w:history="1">
        <w:r w:rsidRPr="005B57E6">
          <w:rPr>
            <w:rStyle w:val="Hyperlink"/>
            <w:noProof/>
          </w:rPr>
          <w:t>REFERENCES</w:t>
        </w:r>
        <w:r>
          <w:rPr>
            <w:noProof/>
            <w:webHidden/>
          </w:rPr>
          <w:tab/>
        </w:r>
        <w:r>
          <w:rPr>
            <w:noProof/>
            <w:webHidden/>
          </w:rPr>
          <w:fldChar w:fldCharType="begin"/>
        </w:r>
        <w:r>
          <w:rPr>
            <w:noProof/>
            <w:webHidden/>
          </w:rPr>
          <w:instrText xml:space="preserve"> PAGEREF _Toc72305391 \h </w:instrText>
        </w:r>
        <w:r>
          <w:rPr>
            <w:noProof/>
            <w:webHidden/>
          </w:rPr>
        </w:r>
        <w:r>
          <w:rPr>
            <w:noProof/>
            <w:webHidden/>
          </w:rPr>
          <w:fldChar w:fldCharType="separate"/>
        </w:r>
        <w:r>
          <w:rPr>
            <w:noProof/>
            <w:webHidden/>
          </w:rPr>
          <w:t>34</w:t>
        </w:r>
        <w:r>
          <w:rPr>
            <w:noProof/>
            <w:webHidden/>
          </w:rPr>
          <w:fldChar w:fldCharType="end"/>
        </w:r>
      </w:hyperlink>
    </w:p>
    <w:p w14:paraId="13209633" w14:textId="0ACA20F1" w:rsidR="004C58ED" w:rsidRDefault="004C58ED">
      <w:pPr>
        <w:pStyle w:val="TOC2"/>
        <w:rPr>
          <w:rFonts w:asciiTheme="minorHAnsi" w:eastAsiaTheme="minorEastAsia" w:hAnsiTheme="minorHAnsi" w:cstheme="minorBidi"/>
          <w:noProof/>
          <w:sz w:val="22"/>
          <w:szCs w:val="22"/>
        </w:rPr>
      </w:pPr>
      <w:hyperlink w:anchor="_Toc72305392" w:history="1">
        <w:r w:rsidRPr="005B57E6">
          <w:rPr>
            <w:rStyle w:val="Hyperlink"/>
            <w:noProof/>
          </w:rPr>
          <w:t>APPENDIX I</w:t>
        </w:r>
        <w:r>
          <w:rPr>
            <w:noProof/>
            <w:webHidden/>
          </w:rPr>
          <w:tab/>
        </w:r>
        <w:r>
          <w:rPr>
            <w:noProof/>
            <w:webHidden/>
          </w:rPr>
          <w:fldChar w:fldCharType="begin"/>
        </w:r>
        <w:r>
          <w:rPr>
            <w:noProof/>
            <w:webHidden/>
          </w:rPr>
          <w:instrText xml:space="preserve"> PAGEREF _Toc72305392 \h </w:instrText>
        </w:r>
        <w:r>
          <w:rPr>
            <w:noProof/>
            <w:webHidden/>
          </w:rPr>
        </w:r>
        <w:r>
          <w:rPr>
            <w:noProof/>
            <w:webHidden/>
          </w:rPr>
          <w:fldChar w:fldCharType="separate"/>
        </w:r>
        <w:r>
          <w:rPr>
            <w:noProof/>
            <w:webHidden/>
          </w:rPr>
          <w:t>38</w:t>
        </w:r>
        <w:r>
          <w:rPr>
            <w:noProof/>
            <w:webHidden/>
          </w:rPr>
          <w:fldChar w:fldCharType="end"/>
        </w:r>
      </w:hyperlink>
    </w:p>
    <w:p w14:paraId="642ED806" w14:textId="743DDB38" w:rsidR="004C58ED" w:rsidRDefault="004C58ED">
      <w:pPr>
        <w:pStyle w:val="TOC1"/>
        <w:tabs>
          <w:tab w:val="right" w:leader="dot" w:pos="8630"/>
        </w:tabs>
        <w:rPr>
          <w:rFonts w:asciiTheme="minorHAnsi" w:eastAsiaTheme="minorEastAsia" w:hAnsiTheme="minorHAnsi" w:cstheme="minorBidi"/>
          <w:noProof/>
          <w:sz w:val="22"/>
          <w:szCs w:val="22"/>
        </w:rPr>
      </w:pPr>
      <w:hyperlink w:anchor="_Toc72305393" w:history="1">
        <w:r w:rsidRPr="005B57E6">
          <w:rPr>
            <w:rStyle w:val="Hyperlink"/>
            <w:rFonts w:cs="Times New Roman"/>
            <w:noProof/>
          </w:rPr>
          <w:t xml:space="preserve">CHAPTER II </w:t>
        </w:r>
        <w:r>
          <w:rPr>
            <w:rStyle w:val="Hyperlink"/>
            <w:rFonts w:cs="Times New Roman"/>
            <w:noProof/>
          </w:rPr>
          <w:t xml:space="preserve">- </w:t>
        </w:r>
        <w:r w:rsidRPr="005B57E6">
          <w:rPr>
            <w:rStyle w:val="Hyperlink"/>
            <w:noProof/>
          </w:rPr>
          <w:t>NATIVE FORBS INTERSEEDED INTO NATIVE GRASS PASTURES PERSIST UNDER GRAZING</w:t>
        </w:r>
        <w:r>
          <w:rPr>
            <w:noProof/>
            <w:webHidden/>
          </w:rPr>
          <w:tab/>
        </w:r>
        <w:r>
          <w:rPr>
            <w:noProof/>
            <w:webHidden/>
          </w:rPr>
          <w:fldChar w:fldCharType="begin"/>
        </w:r>
        <w:r>
          <w:rPr>
            <w:noProof/>
            <w:webHidden/>
          </w:rPr>
          <w:instrText xml:space="preserve"> PAGEREF _Toc72305393 \h </w:instrText>
        </w:r>
        <w:r>
          <w:rPr>
            <w:noProof/>
            <w:webHidden/>
          </w:rPr>
        </w:r>
        <w:r>
          <w:rPr>
            <w:noProof/>
            <w:webHidden/>
          </w:rPr>
          <w:fldChar w:fldCharType="separate"/>
        </w:r>
        <w:r>
          <w:rPr>
            <w:noProof/>
            <w:webHidden/>
          </w:rPr>
          <w:t>44</w:t>
        </w:r>
        <w:r>
          <w:rPr>
            <w:noProof/>
            <w:webHidden/>
          </w:rPr>
          <w:fldChar w:fldCharType="end"/>
        </w:r>
      </w:hyperlink>
    </w:p>
    <w:p w14:paraId="7422528A" w14:textId="05D53432" w:rsidR="004C58ED" w:rsidRDefault="004C58ED">
      <w:pPr>
        <w:pStyle w:val="TOC2"/>
        <w:rPr>
          <w:rFonts w:asciiTheme="minorHAnsi" w:eastAsiaTheme="minorEastAsia" w:hAnsiTheme="minorHAnsi" w:cstheme="minorBidi"/>
          <w:noProof/>
          <w:sz w:val="22"/>
          <w:szCs w:val="22"/>
        </w:rPr>
      </w:pPr>
      <w:hyperlink w:anchor="_Toc72305394" w:history="1">
        <w:r w:rsidRPr="005B57E6">
          <w:rPr>
            <w:rStyle w:val="Hyperlink"/>
            <w:noProof/>
          </w:rPr>
          <w:t>ABSTRACT</w:t>
        </w:r>
        <w:r>
          <w:rPr>
            <w:noProof/>
            <w:webHidden/>
          </w:rPr>
          <w:tab/>
        </w:r>
        <w:r>
          <w:rPr>
            <w:noProof/>
            <w:webHidden/>
          </w:rPr>
          <w:fldChar w:fldCharType="begin"/>
        </w:r>
        <w:r>
          <w:rPr>
            <w:noProof/>
            <w:webHidden/>
          </w:rPr>
          <w:instrText xml:space="preserve"> PAGEREF _Toc72305394 \h </w:instrText>
        </w:r>
        <w:r>
          <w:rPr>
            <w:noProof/>
            <w:webHidden/>
          </w:rPr>
        </w:r>
        <w:r>
          <w:rPr>
            <w:noProof/>
            <w:webHidden/>
          </w:rPr>
          <w:fldChar w:fldCharType="separate"/>
        </w:r>
        <w:r>
          <w:rPr>
            <w:noProof/>
            <w:webHidden/>
          </w:rPr>
          <w:t>45</w:t>
        </w:r>
        <w:r>
          <w:rPr>
            <w:noProof/>
            <w:webHidden/>
          </w:rPr>
          <w:fldChar w:fldCharType="end"/>
        </w:r>
      </w:hyperlink>
    </w:p>
    <w:p w14:paraId="63C57BB4" w14:textId="230E3F32" w:rsidR="004C58ED" w:rsidRDefault="004C58ED">
      <w:pPr>
        <w:pStyle w:val="TOC2"/>
        <w:rPr>
          <w:rFonts w:asciiTheme="minorHAnsi" w:eastAsiaTheme="minorEastAsia" w:hAnsiTheme="minorHAnsi" w:cstheme="minorBidi"/>
          <w:noProof/>
          <w:sz w:val="22"/>
          <w:szCs w:val="22"/>
        </w:rPr>
      </w:pPr>
      <w:hyperlink w:anchor="_Toc72305395" w:history="1">
        <w:r w:rsidRPr="005B57E6">
          <w:rPr>
            <w:rStyle w:val="Hyperlink"/>
            <w:noProof/>
          </w:rPr>
          <w:t>INTRODUCTION</w:t>
        </w:r>
        <w:r>
          <w:rPr>
            <w:noProof/>
            <w:webHidden/>
          </w:rPr>
          <w:tab/>
        </w:r>
        <w:r>
          <w:rPr>
            <w:noProof/>
            <w:webHidden/>
          </w:rPr>
          <w:fldChar w:fldCharType="begin"/>
        </w:r>
        <w:r>
          <w:rPr>
            <w:noProof/>
            <w:webHidden/>
          </w:rPr>
          <w:instrText xml:space="preserve"> PAGEREF _Toc72305395 \h </w:instrText>
        </w:r>
        <w:r>
          <w:rPr>
            <w:noProof/>
            <w:webHidden/>
          </w:rPr>
        </w:r>
        <w:r>
          <w:rPr>
            <w:noProof/>
            <w:webHidden/>
          </w:rPr>
          <w:fldChar w:fldCharType="separate"/>
        </w:r>
        <w:r>
          <w:rPr>
            <w:noProof/>
            <w:webHidden/>
          </w:rPr>
          <w:t>46</w:t>
        </w:r>
        <w:r>
          <w:rPr>
            <w:noProof/>
            <w:webHidden/>
          </w:rPr>
          <w:fldChar w:fldCharType="end"/>
        </w:r>
      </w:hyperlink>
    </w:p>
    <w:p w14:paraId="2A27A719" w14:textId="7EFB13FB" w:rsidR="004C58ED" w:rsidRDefault="004C58ED">
      <w:pPr>
        <w:pStyle w:val="TOC2"/>
        <w:rPr>
          <w:rFonts w:asciiTheme="minorHAnsi" w:eastAsiaTheme="minorEastAsia" w:hAnsiTheme="minorHAnsi" w:cstheme="minorBidi"/>
          <w:noProof/>
          <w:sz w:val="22"/>
          <w:szCs w:val="22"/>
        </w:rPr>
      </w:pPr>
      <w:hyperlink w:anchor="_Toc72305396" w:history="1">
        <w:r w:rsidRPr="005B57E6">
          <w:rPr>
            <w:rStyle w:val="Hyperlink"/>
            <w:noProof/>
          </w:rPr>
          <w:t>MATERIALS AND METHODS</w:t>
        </w:r>
        <w:r>
          <w:rPr>
            <w:noProof/>
            <w:webHidden/>
          </w:rPr>
          <w:tab/>
        </w:r>
        <w:r>
          <w:rPr>
            <w:noProof/>
            <w:webHidden/>
          </w:rPr>
          <w:fldChar w:fldCharType="begin"/>
        </w:r>
        <w:r>
          <w:rPr>
            <w:noProof/>
            <w:webHidden/>
          </w:rPr>
          <w:instrText xml:space="preserve"> PAGEREF _Toc72305396 \h </w:instrText>
        </w:r>
        <w:r>
          <w:rPr>
            <w:noProof/>
            <w:webHidden/>
          </w:rPr>
        </w:r>
        <w:r>
          <w:rPr>
            <w:noProof/>
            <w:webHidden/>
          </w:rPr>
          <w:fldChar w:fldCharType="separate"/>
        </w:r>
        <w:r>
          <w:rPr>
            <w:noProof/>
            <w:webHidden/>
          </w:rPr>
          <w:t>48</w:t>
        </w:r>
        <w:r>
          <w:rPr>
            <w:noProof/>
            <w:webHidden/>
          </w:rPr>
          <w:fldChar w:fldCharType="end"/>
        </w:r>
      </w:hyperlink>
    </w:p>
    <w:p w14:paraId="4E42237A" w14:textId="7DAAC69A" w:rsidR="004C58ED" w:rsidRDefault="004C58ED">
      <w:pPr>
        <w:pStyle w:val="TOC3"/>
        <w:rPr>
          <w:rFonts w:asciiTheme="minorHAnsi" w:eastAsiaTheme="minorEastAsia" w:hAnsiTheme="minorHAnsi" w:cstheme="minorBidi"/>
          <w:noProof/>
          <w:sz w:val="22"/>
          <w:szCs w:val="22"/>
        </w:rPr>
      </w:pPr>
      <w:hyperlink w:anchor="_Toc72305397" w:history="1">
        <w:r w:rsidRPr="005B57E6">
          <w:rPr>
            <w:rStyle w:val="Hyperlink"/>
            <w:noProof/>
          </w:rPr>
          <w:t>Site Description</w:t>
        </w:r>
        <w:r>
          <w:rPr>
            <w:noProof/>
            <w:webHidden/>
          </w:rPr>
          <w:tab/>
        </w:r>
        <w:r>
          <w:rPr>
            <w:noProof/>
            <w:webHidden/>
          </w:rPr>
          <w:fldChar w:fldCharType="begin"/>
        </w:r>
        <w:r>
          <w:rPr>
            <w:noProof/>
            <w:webHidden/>
          </w:rPr>
          <w:instrText xml:space="preserve"> PAGEREF _Toc72305397 \h </w:instrText>
        </w:r>
        <w:r>
          <w:rPr>
            <w:noProof/>
            <w:webHidden/>
          </w:rPr>
        </w:r>
        <w:r>
          <w:rPr>
            <w:noProof/>
            <w:webHidden/>
          </w:rPr>
          <w:fldChar w:fldCharType="separate"/>
        </w:r>
        <w:r>
          <w:rPr>
            <w:noProof/>
            <w:webHidden/>
          </w:rPr>
          <w:t>48</w:t>
        </w:r>
        <w:r>
          <w:rPr>
            <w:noProof/>
            <w:webHidden/>
          </w:rPr>
          <w:fldChar w:fldCharType="end"/>
        </w:r>
      </w:hyperlink>
    </w:p>
    <w:p w14:paraId="5A57DE67" w14:textId="47862122" w:rsidR="004C58ED" w:rsidRDefault="004C58ED">
      <w:pPr>
        <w:pStyle w:val="TOC3"/>
        <w:rPr>
          <w:rFonts w:asciiTheme="minorHAnsi" w:eastAsiaTheme="minorEastAsia" w:hAnsiTheme="minorHAnsi" w:cstheme="minorBidi"/>
          <w:noProof/>
          <w:sz w:val="22"/>
          <w:szCs w:val="22"/>
        </w:rPr>
      </w:pPr>
      <w:hyperlink w:anchor="_Toc72305398" w:history="1">
        <w:r w:rsidRPr="005B57E6">
          <w:rPr>
            <w:rStyle w:val="Hyperlink"/>
            <w:noProof/>
          </w:rPr>
          <w:t>Experimental Design</w:t>
        </w:r>
        <w:r>
          <w:rPr>
            <w:noProof/>
            <w:webHidden/>
          </w:rPr>
          <w:tab/>
        </w:r>
        <w:r>
          <w:rPr>
            <w:noProof/>
            <w:webHidden/>
          </w:rPr>
          <w:fldChar w:fldCharType="begin"/>
        </w:r>
        <w:r>
          <w:rPr>
            <w:noProof/>
            <w:webHidden/>
          </w:rPr>
          <w:instrText xml:space="preserve"> PAGEREF _Toc72305398 \h </w:instrText>
        </w:r>
        <w:r>
          <w:rPr>
            <w:noProof/>
            <w:webHidden/>
          </w:rPr>
        </w:r>
        <w:r>
          <w:rPr>
            <w:noProof/>
            <w:webHidden/>
          </w:rPr>
          <w:fldChar w:fldCharType="separate"/>
        </w:r>
        <w:r>
          <w:rPr>
            <w:noProof/>
            <w:webHidden/>
          </w:rPr>
          <w:t>49</w:t>
        </w:r>
        <w:r>
          <w:rPr>
            <w:noProof/>
            <w:webHidden/>
          </w:rPr>
          <w:fldChar w:fldCharType="end"/>
        </w:r>
      </w:hyperlink>
    </w:p>
    <w:p w14:paraId="77FC0283" w14:textId="257B459F" w:rsidR="004C58ED" w:rsidRDefault="004C58ED">
      <w:pPr>
        <w:pStyle w:val="TOC7"/>
        <w:rPr>
          <w:rFonts w:asciiTheme="minorHAnsi" w:eastAsiaTheme="minorEastAsia" w:hAnsiTheme="minorHAnsi" w:cstheme="minorBidi"/>
          <w:noProof/>
          <w:sz w:val="22"/>
          <w:szCs w:val="22"/>
        </w:rPr>
      </w:pPr>
      <w:hyperlink w:anchor="_Toc72305399" w:history="1">
        <w:r w:rsidRPr="005B57E6">
          <w:rPr>
            <w:rStyle w:val="Hyperlink"/>
            <w:noProof/>
          </w:rPr>
          <w:t>Animal Management and Measurements</w:t>
        </w:r>
        <w:r>
          <w:rPr>
            <w:noProof/>
            <w:webHidden/>
          </w:rPr>
          <w:tab/>
        </w:r>
        <w:r>
          <w:rPr>
            <w:noProof/>
            <w:webHidden/>
          </w:rPr>
          <w:fldChar w:fldCharType="begin"/>
        </w:r>
        <w:r>
          <w:rPr>
            <w:noProof/>
            <w:webHidden/>
          </w:rPr>
          <w:instrText xml:space="preserve"> PAGEREF _Toc72305399 \h </w:instrText>
        </w:r>
        <w:r>
          <w:rPr>
            <w:noProof/>
            <w:webHidden/>
          </w:rPr>
        </w:r>
        <w:r>
          <w:rPr>
            <w:noProof/>
            <w:webHidden/>
          </w:rPr>
          <w:fldChar w:fldCharType="separate"/>
        </w:r>
        <w:r>
          <w:rPr>
            <w:noProof/>
            <w:webHidden/>
          </w:rPr>
          <w:t>50</w:t>
        </w:r>
        <w:r>
          <w:rPr>
            <w:noProof/>
            <w:webHidden/>
          </w:rPr>
          <w:fldChar w:fldCharType="end"/>
        </w:r>
      </w:hyperlink>
    </w:p>
    <w:p w14:paraId="19F9476A" w14:textId="04A295FC" w:rsidR="004C58ED" w:rsidRDefault="004C58ED">
      <w:pPr>
        <w:pStyle w:val="TOC7"/>
        <w:rPr>
          <w:rFonts w:asciiTheme="minorHAnsi" w:eastAsiaTheme="minorEastAsia" w:hAnsiTheme="minorHAnsi" w:cstheme="minorBidi"/>
          <w:noProof/>
          <w:sz w:val="22"/>
          <w:szCs w:val="22"/>
        </w:rPr>
      </w:pPr>
      <w:hyperlink w:anchor="_Toc72305400" w:history="1">
        <w:r w:rsidRPr="005B57E6">
          <w:rPr>
            <w:rStyle w:val="Hyperlink"/>
            <w:noProof/>
          </w:rPr>
          <w:t>Pasture Management and Measurements</w:t>
        </w:r>
        <w:r>
          <w:rPr>
            <w:noProof/>
            <w:webHidden/>
          </w:rPr>
          <w:tab/>
        </w:r>
        <w:r>
          <w:rPr>
            <w:noProof/>
            <w:webHidden/>
          </w:rPr>
          <w:fldChar w:fldCharType="begin"/>
        </w:r>
        <w:r>
          <w:rPr>
            <w:noProof/>
            <w:webHidden/>
          </w:rPr>
          <w:instrText xml:space="preserve"> PAGEREF _Toc72305400 \h </w:instrText>
        </w:r>
        <w:r>
          <w:rPr>
            <w:noProof/>
            <w:webHidden/>
          </w:rPr>
        </w:r>
        <w:r>
          <w:rPr>
            <w:noProof/>
            <w:webHidden/>
          </w:rPr>
          <w:fldChar w:fldCharType="separate"/>
        </w:r>
        <w:r>
          <w:rPr>
            <w:noProof/>
            <w:webHidden/>
          </w:rPr>
          <w:t>51</w:t>
        </w:r>
        <w:r>
          <w:rPr>
            <w:noProof/>
            <w:webHidden/>
          </w:rPr>
          <w:fldChar w:fldCharType="end"/>
        </w:r>
      </w:hyperlink>
    </w:p>
    <w:p w14:paraId="0B356FAC" w14:textId="0F9627CD" w:rsidR="004C58ED" w:rsidRDefault="004C58ED">
      <w:pPr>
        <w:pStyle w:val="TOC3"/>
        <w:rPr>
          <w:rFonts w:asciiTheme="minorHAnsi" w:eastAsiaTheme="minorEastAsia" w:hAnsiTheme="minorHAnsi" w:cstheme="minorBidi"/>
          <w:noProof/>
          <w:sz w:val="22"/>
          <w:szCs w:val="22"/>
        </w:rPr>
      </w:pPr>
      <w:hyperlink w:anchor="_Toc72305401" w:history="1">
        <w:r w:rsidRPr="005B57E6">
          <w:rPr>
            <w:rStyle w:val="Hyperlink"/>
            <w:noProof/>
          </w:rPr>
          <w:t>Nutritive Value Analysis</w:t>
        </w:r>
        <w:r>
          <w:rPr>
            <w:noProof/>
            <w:webHidden/>
          </w:rPr>
          <w:tab/>
        </w:r>
        <w:r>
          <w:rPr>
            <w:noProof/>
            <w:webHidden/>
          </w:rPr>
          <w:fldChar w:fldCharType="begin"/>
        </w:r>
        <w:r>
          <w:rPr>
            <w:noProof/>
            <w:webHidden/>
          </w:rPr>
          <w:instrText xml:space="preserve"> PAGEREF _Toc72305401 \h </w:instrText>
        </w:r>
        <w:r>
          <w:rPr>
            <w:noProof/>
            <w:webHidden/>
          </w:rPr>
        </w:r>
        <w:r>
          <w:rPr>
            <w:noProof/>
            <w:webHidden/>
          </w:rPr>
          <w:fldChar w:fldCharType="separate"/>
        </w:r>
        <w:r>
          <w:rPr>
            <w:noProof/>
            <w:webHidden/>
          </w:rPr>
          <w:t>52</w:t>
        </w:r>
        <w:r>
          <w:rPr>
            <w:noProof/>
            <w:webHidden/>
          </w:rPr>
          <w:fldChar w:fldCharType="end"/>
        </w:r>
      </w:hyperlink>
    </w:p>
    <w:p w14:paraId="1C09DBE0" w14:textId="6C562CAD" w:rsidR="004C58ED" w:rsidRDefault="004C58ED">
      <w:pPr>
        <w:pStyle w:val="TOC3"/>
        <w:rPr>
          <w:rFonts w:asciiTheme="minorHAnsi" w:eastAsiaTheme="minorEastAsia" w:hAnsiTheme="minorHAnsi" w:cstheme="minorBidi"/>
          <w:noProof/>
          <w:sz w:val="22"/>
          <w:szCs w:val="22"/>
        </w:rPr>
      </w:pPr>
      <w:hyperlink w:anchor="_Toc72305402" w:history="1">
        <w:r w:rsidRPr="005B57E6">
          <w:rPr>
            <w:rStyle w:val="Hyperlink"/>
            <w:noProof/>
          </w:rPr>
          <w:t>Statistical Analysis</w:t>
        </w:r>
        <w:r>
          <w:rPr>
            <w:noProof/>
            <w:webHidden/>
          </w:rPr>
          <w:tab/>
        </w:r>
        <w:r>
          <w:rPr>
            <w:noProof/>
            <w:webHidden/>
          </w:rPr>
          <w:fldChar w:fldCharType="begin"/>
        </w:r>
        <w:r>
          <w:rPr>
            <w:noProof/>
            <w:webHidden/>
          </w:rPr>
          <w:instrText xml:space="preserve"> PAGEREF _Toc72305402 \h </w:instrText>
        </w:r>
        <w:r>
          <w:rPr>
            <w:noProof/>
            <w:webHidden/>
          </w:rPr>
        </w:r>
        <w:r>
          <w:rPr>
            <w:noProof/>
            <w:webHidden/>
          </w:rPr>
          <w:fldChar w:fldCharType="separate"/>
        </w:r>
        <w:r>
          <w:rPr>
            <w:noProof/>
            <w:webHidden/>
          </w:rPr>
          <w:t>53</w:t>
        </w:r>
        <w:r>
          <w:rPr>
            <w:noProof/>
            <w:webHidden/>
          </w:rPr>
          <w:fldChar w:fldCharType="end"/>
        </w:r>
      </w:hyperlink>
    </w:p>
    <w:p w14:paraId="4144D14E" w14:textId="2002DABC" w:rsidR="004C58ED" w:rsidRDefault="004C58ED">
      <w:pPr>
        <w:pStyle w:val="TOC2"/>
        <w:rPr>
          <w:rFonts w:asciiTheme="minorHAnsi" w:eastAsiaTheme="minorEastAsia" w:hAnsiTheme="minorHAnsi" w:cstheme="minorBidi"/>
          <w:noProof/>
          <w:sz w:val="22"/>
          <w:szCs w:val="22"/>
        </w:rPr>
      </w:pPr>
      <w:hyperlink w:anchor="_Toc72305403" w:history="1">
        <w:r w:rsidRPr="005B57E6">
          <w:rPr>
            <w:rStyle w:val="Hyperlink"/>
            <w:noProof/>
          </w:rPr>
          <w:t>RESULTS</w:t>
        </w:r>
        <w:r>
          <w:rPr>
            <w:noProof/>
            <w:webHidden/>
          </w:rPr>
          <w:tab/>
        </w:r>
        <w:r>
          <w:rPr>
            <w:noProof/>
            <w:webHidden/>
          </w:rPr>
          <w:fldChar w:fldCharType="begin"/>
        </w:r>
        <w:r>
          <w:rPr>
            <w:noProof/>
            <w:webHidden/>
          </w:rPr>
          <w:instrText xml:space="preserve"> PAGEREF _Toc72305403 \h </w:instrText>
        </w:r>
        <w:r>
          <w:rPr>
            <w:noProof/>
            <w:webHidden/>
          </w:rPr>
        </w:r>
        <w:r>
          <w:rPr>
            <w:noProof/>
            <w:webHidden/>
          </w:rPr>
          <w:fldChar w:fldCharType="separate"/>
        </w:r>
        <w:r>
          <w:rPr>
            <w:noProof/>
            <w:webHidden/>
          </w:rPr>
          <w:t>54</w:t>
        </w:r>
        <w:r>
          <w:rPr>
            <w:noProof/>
            <w:webHidden/>
          </w:rPr>
          <w:fldChar w:fldCharType="end"/>
        </w:r>
      </w:hyperlink>
    </w:p>
    <w:p w14:paraId="081E6845" w14:textId="0818B489" w:rsidR="004C58ED" w:rsidRDefault="004C58ED">
      <w:pPr>
        <w:pStyle w:val="TOC3"/>
        <w:rPr>
          <w:rFonts w:asciiTheme="minorHAnsi" w:eastAsiaTheme="minorEastAsia" w:hAnsiTheme="minorHAnsi" w:cstheme="minorBidi"/>
          <w:noProof/>
          <w:sz w:val="22"/>
          <w:szCs w:val="22"/>
        </w:rPr>
      </w:pPr>
      <w:hyperlink w:anchor="_Toc72305404" w:history="1">
        <w:r w:rsidRPr="005B57E6">
          <w:rPr>
            <w:rStyle w:val="Hyperlink"/>
            <w:noProof/>
          </w:rPr>
          <w:t>Environmental Conditions</w:t>
        </w:r>
        <w:r>
          <w:rPr>
            <w:noProof/>
            <w:webHidden/>
          </w:rPr>
          <w:tab/>
        </w:r>
        <w:r>
          <w:rPr>
            <w:noProof/>
            <w:webHidden/>
          </w:rPr>
          <w:fldChar w:fldCharType="begin"/>
        </w:r>
        <w:r>
          <w:rPr>
            <w:noProof/>
            <w:webHidden/>
          </w:rPr>
          <w:instrText xml:space="preserve"> PAGEREF _Toc72305404 \h </w:instrText>
        </w:r>
        <w:r>
          <w:rPr>
            <w:noProof/>
            <w:webHidden/>
          </w:rPr>
        </w:r>
        <w:r>
          <w:rPr>
            <w:noProof/>
            <w:webHidden/>
          </w:rPr>
          <w:fldChar w:fldCharType="separate"/>
        </w:r>
        <w:r>
          <w:rPr>
            <w:noProof/>
            <w:webHidden/>
          </w:rPr>
          <w:t>54</w:t>
        </w:r>
        <w:r>
          <w:rPr>
            <w:noProof/>
            <w:webHidden/>
          </w:rPr>
          <w:fldChar w:fldCharType="end"/>
        </w:r>
      </w:hyperlink>
    </w:p>
    <w:p w14:paraId="1192C4C2" w14:textId="2D2FA27A" w:rsidR="004C58ED" w:rsidRDefault="004C58ED">
      <w:pPr>
        <w:pStyle w:val="TOC3"/>
        <w:rPr>
          <w:rFonts w:asciiTheme="minorHAnsi" w:eastAsiaTheme="minorEastAsia" w:hAnsiTheme="minorHAnsi" w:cstheme="minorBidi"/>
          <w:noProof/>
          <w:sz w:val="22"/>
          <w:szCs w:val="22"/>
        </w:rPr>
      </w:pPr>
      <w:hyperlink w:anchor="_Toc72305405" w:history="1">
        <w:r w:rsidRPr="005B57E6">
          <w:rPr>
            <w:rStyle w:val="Hyperlink"/>
            <w:noProof/>
          </w:rPr>
          <w:t>Tiller and Plant Density</w:t>
        </w:r>
        <w:r>
          <w:rPr>
            <w:noProof/>
            <w:webHidden/>
          </w:rPr>
          <w:tab/>
        </w:r>
        <w:r>
          <w:rPr>
            <w:noProof/>
            <w:webHidden/>
          </w:rPr>
          <w:fldChar w:fldCharType="begin"/>
        </w:r>
        <w:r>
          <w:rPr>
            <w:noProof/>
            <w:webHidden/>
          </w:rPr>
          <w:instrText xml:space="preserve"> PAGEREF _Toc72305405 \h </w:instrText>
        </w:r>
        <w:r>
          <w:rPr>
            <w:noProof/>
            <w:webHidden/>
          </w:rPr>
        </w:r>
        <w:r>
          <w:rPr>
            <w:noProof/>
            <w:webHidden/>
          </w:rPr>
          <w:fldChar w:fldCharType="separate"/>
        </w:r>
        <w:r>
          <w:rPr>
            <w:noProof/>
            <w:webHidden/>
          </w:rPr>
          <w:t>54</w:t>
        </w:r>
        <w:r>
          <w:rPr>
            <w:noProof/>
            <w:webHidden/>
          </w:rPr>
          <w:fldChar w:fldCharType="end"/>
        </w:r>
      </w:hyperlink>
    </w:p>
    <w:p w14:paraId="469307F7" w14:textId="443744BB" w:rsidR="004C58ED" w:rsidRDefault="004C58ED">
      <w:pPr>
        <w:pStyle w:val="TOC7"/>
        <w:rPr>
          <w:rFonts w:asciiTheme="minorHAnsi" w:eastAsiaTheme="minorEastAsia" w:hAnsiTheme="minorHAnsi" w:cstheme="minorBidi"/>
          <w:noProof/>
          <w:sz w:val="22"/>
          <w:szCs w:val="22"/>
        </w:rPr>
      </w:pPr>
      <w:hyperlink w:anchor="_Toc72305406" w:history="1">
        <w:r w:rsidRPr="005B57E6">
          <w:rPr>
            <w:rStyle w:val="Hyperlink"/>
            <w:noProof/>
          </w:rPr>
          <w:t>Switchgrass</w:t>
        </w:r>
        <w:r>
          <w:rPr>
            <w:noProof/>
            <w:webHidden/>
          </w:rPr>
          <w:tab/>
        </w:r>
        <w:r>
          <w:rPr>
            <w:noProof/>
            <w:webHidden/>
          </w:rPr>
          <w:fldChar w:fldCharType="begin"/>
        </w:r>
        <w:r>
          <w:rPr>
            <w:noProof/>
            <w:webHidden/>
          </w:rPr>
          <w:instrText xml:space="preserve"> PAGEREF _Toc72305406 \h </w:instrText>
        </w:r>
        <w:r>
          <w:rPr>
            <w:noProof/>
            <w:webHidden/>
          </w:rPr>
        </w:r>
        <w:r>
          <w:rPr>
            <w:noProof/>
            <w:webHidden/>
          </w:rPr>
          <w:fldChar w:fldCharType="separate"/>
        </w:r>
        <w:r>
          <w:rPr>
            <w:noProof/>
            <w:webHidden/>
          </w:rPr>
          <w:t>54</w:t>
        </w:r>
        <w:r>
          <w:rPr>
            <w:noProof/>
            <w:webHidden/>
          </w:rPr>
          <w:fldChar w:fldCharType="end"/>
        </w:r>
      </w:hyperlink>
    </w:p>
    <w:p w14:paraId="11A55F22" w14:textId="0640AD0F" w:rsidR="004C58ED" w:rsidRDefault="004C58ED">
      <w:pPr>
        <w:pStyle w:val="TOC7"/>
        <w:rPr>
          <w:rFonts w:asciiTheme="minorHAnsi" w:eastAsiaTheme="minorEastAsia" w:hAnsiTheme="minorHAnsi" w:cstheme="minorBidi"/>
          <w:noProof/>
          <w:sz w:val="22"/>
          <w:szCs w:val="22"/>
        </w:rPr>
      </w:pPr>
      <w:hyperlink w:anchor="_Toc72305407" w:history="1">
        <w:r w:rsidRPr="005B57E6">
          <w:rPr>
            <w:rStyle w:val="Hyperlink"/>
            <w:noProof/>
          </w:rPr>
          <w:t>Big Bluestem/Indiangrass</w:t>
        </w:r>
        <w:r>
          <w:rPr>
            <w:noProof/>
            <w:webHidden/>
          </w:rPr>
          <w:tab/>
        </w:r>
        <w:r>
          <w:rPr>
            <w:noProof/>
            <w:webHidden/>
          </w:rPr>
          <w:fldChar w:fldCharType="begin"/>
        </w:r>
        <w:r>
          <w:rPr>
            <w:noProof/>
            <w:webHidden/>
          </w:rPr>
          <w:instrText xml:space="preserve"> PAGEREF _Toc72305407 \h </w:instrText>
        </w:r>
        <w:r>
          <w:rPr>
            <w:noProof/>
            <w:webHidden/>
          </w:rPr>
        </w:r>
        <w:r>
          <w:rPr>
            <w:noProof/>
            <w:webHidden/>
          </w:rPr>
          <w:fldChar w:fldCharType="separate"/>
        </w:r>
        <w:r>
          <w:rPr>
            <w:noProof/>
            <w:webHidden/>
          </w:rPr>
          <w:t>56</w:t>
        </w:r>
        <w:r>
          <w:rPr>
            <w:noProof/>
            <w:webHidden/>
          </w:rPr>
          <w:fldChar w:fldCharType="end"/>
        </w:r>
      </w:hyperlink>
    </w:p>
    <w:p w14:paraId="103F4B02" w14:textId="725EDA0D" w:rsidR="004C58ED" w:rsidRDefault="004C58ED">
      <w:pPr>
        <w:pStyle w:val="TOC3"/>
        <w:rPr>
          <w:rFonts w:asciiTheme="minorHAnsi" w:eastAsiaTheme="minorEastAsia" w:hAnsiTheme="minorHAnsi" w:cstheme="minorBidi"/>
          <w:noProof/>
          <w:sz w:val="22"/>
          <w:szCs w:val="22"/>
        </w:rPr>
      </w:pPr>
      <w:hyperlink w:anchor="_Toc72305408" w:history="1">
        <w:r w:rsidRPr="005B57E6">
          <w:rPr>
            <w:rStyle w:val="Hyperlink"/>
            <w:noProof/>
          </w:rPr>
          <w:t>Forage Mass and Nutritive Value</w:t>
        </w:r>
        <w:r>
          <w:rPr>
            <w:noProof/>
            <w:webHidden/>
          </w:rPr>
          <w:tab/>
        </w:r>
        <w:r>
          <w:rPr>
            <w:noProof/>
            <w:webHidden/>
          </w:rPr>
          <w:fldChar w:fldCharType="begin"/>
        </w:r>
        <w:r>
          <w:rPr>
            <w:noProof/>
            <w:webHidden/>
          </w:rPr>
          <w:instrText xml:space="preserve"> PAGEREF _Toc72305408 \h </w:instrText>
        </w:r>
        <w:r>
          <w:rPr>
            <w:noProof/>
            <w:webHidden/>
          </w:rPr>
        </w:r>
        <w:r>
          <w:rPr>
            <w:noProof/>
            <w:webHidden/>
          </w:rPr>
          <w:fldChar w:fldCharType="separate"/>
        </w:r>
        <w:r>
          <w:rPr>
            <w:noProof/>
            <w:webHidden/>
          </w:rPr>
          <w:t>58</w:t>
        </w:r>
        <w:r>
          <w:rPr>
            <w:noProof/>
            <w:webHidden/>
          </w:rPr>
          <w:fldChar w:fldCharType="end"/>
        </w:r>
      </w:hyperlink>
    </w:p>
    <w:p w14:paraId="672D5348" w14:textId="38F56182" w:rsidR="004C58ED" w:rsidRDefault="004C58ED">
      <w:pPr>
        <w:pStyle w:val="TOC7"/>
        <w:rPr>
          <w:rFonts w:asciiTheme="minorHAnsi" w:eastAsiaTheme="minorEastAsia" w:hAnsiTheme="minorHAnsi" w:cstheme="minorBidi"/>
          <w:noProof/>
          <w:sz w:val="22"/>
          <w:szCs w:val="22"/>
        </w:rPr>
      </w:pPr>
      <w:hyperlink w:anchor="_Toc72305409" w:history="1">
        <w:r w:rsidRPr="005B57E6">
          <w:rPr>
            <w:rStyle w:val="Hyperlink"/>
            <w:noProof/>
          </w:rPr>
          <w:t>Switchgrass</w:t>
        </w:r>
        <w:r>
          <w:rPr>
            <w:noProof/>
            <w:webHidden/>
          </w:rPr>
          <w:tab/>
        </w:r>
        <w:r>
          <w:rPr>
            <w:noProof/>
            <w:webHidden/>
          </w:rPr>
          <w:fldChar w:fldCharType="begin"/>
        </w:r>
        <w:r>
          <w:rPr>
            <w:noProof/>
            <w:webHidden/>
          </w:rPr>
          <w:instrText xml:space="preserve"> PAGEREF _Toc72305409 \h </w:instrText>
        </w:r>
        <w:r>
          <w:rPr>
            <w:noProof/>
            <w:webHidden/>
          </w:rPr>
        </w:r>
        <w:r>
          <w:rPr>
            <w:noProof/>
            <w:webHidden/>
          </w:rPr>
          <w:fldChar w:fldCharType="separate"/>
        </w:r>
        <w:r>
          <w:rPr>
            <w:noProof/>
            <w:webHidden/>
          </w:rPr>
          <w:t>58</w:t>
        </w:r>
        <w:r>
          <w:rPr>
            <w:noProof/>
            <w:webHidden/>
          </w:rPr>
          <w:fldChar w:fldCharType="end"/>
        </w:r>
      </w:hyperlink>
    </w:p>
    <w:p w14:paraId="50E0DCE7" w14:textId="50265037" w:rsidR="004C58ED" w:rsidRDefault="004C58ED">
      <w:pPr>
        <w:pStyle w:val="TOC7"/>
        <w:rPr>
          <w:rFonts w:asciiTheme="minorHAnsi" w:eastAsiaTheme="minorEastAsia" w:hAnsiTheme="minorHAnsi" w:cstheme="minorBidi"/>
          <w:noProof/>
          <w:sz w:val="22"/>
          <w:szCs w:val="22"/>
        </w:rPr>
      </w:pPr>
      <w:hyperlink w:anchor="_Toc72305410" w:history="1">
        <w:r w:rsidRPr="005B57E6">
          <w:rPr>
            <w:rStyle w:val="Hyperlink"/>
            <w:noProof/>
          </w:rPr>
          <w:t>Big Bluestem/Indiangrass</w:t>
        </w:r>
        <w:r>
          <w:rPr>
            <w:noProof/>
            <w:webHidden/>
          </w:rPr>
          <w:tab/>
        </w:r>
        <w:r>
          <w:rPr>
            <w:noProof/>
            <w:webHidden/>
          </w:rPr>
          <w:fldChar w:fldCharType="begin"/>
        </w:r>
        <w:r>
          <w:rPr>
            <w:noProof/>
            <w:webHidden/>
          </w:rPr>
          <w:instrText xml:space="preserve"> PAGEREF _Toc72305410 \h </w:instrText>
        </w:r>
        <w:r>
          <w:rPr>
            <w:noProof/>
            <w:webHidden/>
          </w:rPr>
        </w:r>
        <w:r>
          <w:rPr>
            <w:noProof/>
            <w:webHidden/>
          </w:rPr>
          <w:fldChar w:fldCharType="separate"/>
        </w:r>
        <w:r>
          <w:rPr>
            <w:noProof/>
            <w:webHidden/>
          </w:rPr>
          <w:t>58</w:t>
        </w:r>
        <w:r>
          <w:rPr>
            <w:noProof/>
            <w:webHidden/>
          </w:rPr>
          <w:fldChar w:fldCharType="end"/>
        </w:r>
      </w:hyperlink>
    </w:p>
    <w:p w14:paraId="5D876B66" w14:textId="484ADEC5" w:rsidR="004C58ED" w:rsidRDefault="004C58ED">
      <w:pPr>
        <w:pStyle w:val="TOC3"/>
        <w:rPr>
          <w:rFonts w:asciiTheme="minorHAnsi" w:eastAsiaTheme="minorEastAsia" w:hAnsiTheme="minorHAnsi" w:cstheme="minorBidi"/>
          <w:noProof/>
          <w:sz w:val="22"/>
          <w:szCs w:val="22"/>
        </w:rPr>
      </w:pPr>
      <w:hyperlink w:anchor="_Toc72305411" w:history="1">
        <w:r w:rsidRPr="005B57E6">
          <w:rPr>
            <w:rStyle w:val="Hyperlink"/>
            <w:noProof/>
          </w:rPr>
          <w:t>Native Forb Flowering</w:t>
        </w:r>
        <w:r>
          <w:rPr>
            <w:noProof/>
            <w:webHidden/>
          </w:rPr>
          <w:tab/>
        </w:r>
        <w:r>
          <w:rPr>
            <w:noProof/>
            <w:webHidden/>
          </w:rPr>
          <w:fldChar w:fldCharType="begin"/>
        </w:r>
        <w:r>
          <w:rPr>
            <w:noProof/>
            <w:webHidden/>
          </w:rPr>
          <w:instrText xml:space="preserve"> PAGEREF _Toc72305411 \h </w:instrText>
        </w:r>
        <w:r>
          <w:rPr>
            <w:noProof/>
            <w:webHidden/>
          </w:rPr>
        </w:r>
        <w:r>
          <w:rPr>
            <w:noProof/>
            <w:webHidden/>
          </w:rPr>
          <w:fldChar w:fldCharType="separate"/>
        </w:r>
        <w:r>
          <w:rPr>
            <w:noProof/>
            <w:webHidden/>
          </w:rPr>
          <w:t>59</w:t>
        </w:r>
        <w:r>
          <w:rPr>
            <w:noProof/>
            <w:webHidden/>
          </w:rPr>
          <w:fldChar w:fldCharType="end"/>
        </w:r>
      </w:hyperlink>
    </w:p>
    <w:p w14:paraId="2F300DF5" w14:textId="6393A0D6" w:rsidR="004C58ED" w:rsidRDefault="004C58ED">
      <w:pPr>
        <w:pStyle w:val="TOC7"/>
        <w:rPr>
          <w:rFonts w:asciiTheme="minorHAnsi" w:eastAsiaTheme="minorEastAsia" w:hAnsiTheme="minorHAnsi" w:cstheme="minorBidi"/>
          <w:noProof/>
          <w:sz w:val="22"/>
          <w:szCs w:val="22"/>
        </w:rPr>
      </w:pPr>
      <w:hyperlink w:anchor="_Toc72305412" w:history="1">
        <w:r w:rsidRPr="005B57E6">
          <w:rPr>
            <w:rStyle w:val="Hyperlink"/>
            <w:noProof/>
          </w:rPr>
          <w:t>Switchgrass</w:t>
        </w:r>
        <w:r>
          <w:rPr>
            <w:noProof/>
            <w:webHidden/>
          </w:rPr>
          <w:tab/>
        </w:r>
        <w:r>
          <w:rPr>
            <w:noProof/>
            <w:webHidden/>
          </w:rPr>
          <w:fldChar w:fldCharType="begin"/>
        </w:r>
        <w:r>
          <w:rPr>
            <w:noProof/>
            <w:webHidden/>
          </w:rPr>
          <w:instrText xml:space="preserve"> PAGEREF _Toc72305412 \h </w:instrText>
        </w:r>
        <w:r>
          <w:rPr>
            <w:noProof/>
            <w:webHidden/>
          </w:rPr>
        </w:r>
        <w:r>
          <w:rPr>
            <w:noProof/>
            <w:webHidden/>
          </w:rPr>
          <w:fldChar w:fldCharType="separate"/>
        </w:r>
        <w:r>
          <w:rPr>
            <w:noProof/>
            <w:webHidden/>
          </w:rPr>
          <w:t>59</w:t>
        </w:r>
        <w:r>
          <w:rPr>
            <w:noProof/>
            <w:webHidden/>
          </w:rPr>
          <w:fldChar w:fldCharType="end"/>
        </w:r>
      </w:hyperlink>
    </w:p>
    <w:p w14:paraId="61944B0A" w14:textId="22DD0046" w:rsidR="004C58ED" w:rsidRDefault="004C58ED">
      <w:pPr>
        <w:pStyle w:val="TOC7"/>
        <w:rPr>
          <w:rFonts w:asciiTheme="minorHAnsi" w:eastAsiaTheme="minorEastAsia" w:hAnsiTheme="minorHAnsi" w:cstheme="minorBidi"/>
          <w:noProof/>
          <w:sz w:val="22"/>
          <w:szCs w:val="22"/>
        </w:rPr>
      </w:pPr>
      <w:hyperlink w:anchor="_Toc72305413" w:history="1">
        <w:r w:rsidRPr="005B57E6">
          <w:rPr>
            <w:rStyle w:val="Hyperlink"/>
            <w:noProof/>
          </w:rPr>
          <w:t>Big Bluestem/Indiangrass</w:t>
        </w:r>
        <w:r>
          <w:rPr>
            <w:noProof/>
            <w:webHidden/>
          </w:rPr>
          <w:tab/>
        </w:r>
        <w:r>
          <w:rPr>
            <w:noProof/>
            <w:webHidden/>
          </w:rPr>
          <w:fldChar w:fldCharType="begin"/>
        </w:r>
        <w:r>
          <w:rPr>
            <w:noProof/>
            <w:webHidden/>
          </w:rPr>
          <w:instrText xml:space="preserve"> PAGEREF _Toc72305413 \h </w:instrText>
        </w:r>
        <w:r>
          <w:rPr>
            <w:noProof/>
            <w:webHidden/>
          </w:rPr>
        </w:r>
        <w:r>
          <w:rPr>
            <w:noProof/>
            <w:webHidden/>
          </w:rPr>
          <w:fldChar w:fldCharType="separate"/>
        </w:r>
        <w:r>
          <w:rPr>
            <w:noProof/>
            <w:webHidden/>
          </w:rPr>
          <w:t>60</w:t>
        </w:r>
        <w:r>
          <w:rPr>
            <w:noProof/>
            <w:webHidden/>
          </w:rPr>
          <w:fldChar w:fldCharType="end"/>
        </w:r>
      </w:hyperlink>
    </w:p>
    <w:p w14:paraId="110FB313" w14:textId="55655F55" w:rsidR="004C58ED" w:rsidRDefault="004C58ED">
      <w:pPr>
        <w:pStyle w:val="TOC3"/>
        <w:rPr>
          <w:rFonts w:asciiTheme="minorHAnsi" w:eastAsiaTheme="minorEastAsia" w:hAnsiTheme="minorHAnsi" w:cstheme="minorBidi"/>
          <w:noProof/>
          <w:sz w:val="22"/>
          <w:szCs w:val="22"/>
        </w:rPr>
      </w:pPr>
      <w:hyperlink w:anchor="_Toc72305414" w:history="1">
        <w:r w:rsidRPr="005B57E6">
          <w:rPr>
            <w:rStyle w:val="Hyperlink"/>
            <w:noProof/>
          </w:rPr>
          <w:t>Steer Performance and Pasture Productivity</w:t>
        </w:r>
        <w:r>
          <w:rPr>
            <w:noProof/>
            <w:webHidden/>
          </w:rPr>
          <w:tab/>
        </w:r>
        <w:r>
          <w:rPr>
            <w:noProof/>
            <w:webHidden/>
          </w:rPr>
          <w:fldChar w:fldCharType="begin"/>
        </w:r>
        <w:r>
          <w:rPr>
            <w:noProof/>
            <w:webHidden/>
          </w:rPr>
          <w:instrText xml:space="preserve"> PAGEREF _Toc72305414 \h </w:instrText>
        </w:r>
        <w:r>
          <w:rPr>
            <w:noProof/>
            <w:webHidden/>
          </w:rPr>
        </w:r>
        <w:r>
          <w:rPr>
            <w:noProof/>
            <w:webHidden/>
          </w:rPr>
          <w:fldChar w:fldCharType="separate"/>
        </w:r>
        <w:r>
          <w:rPr>
            <w:noProof/>
            <w:webHidden/>
          </w:rPr>
          <w:t>60</w:t>
        </w:r>
        <w:r>
          <w:rPr>
            <w:noProof/>
            <w:webHidden/>
          </w:rPr>
          <w:fldChar w:fldCharType="end"/>
        </w:r>
      </w:hyperlink>
    </w:p>
    <w:p w14:paraId="22559DB8" w14:textId="4CD411DB" w:rsidR="004C58ED" w:rsidRDefault="004C58ED">
      <w:pPr>
        <w:pStyle w:val="TOC7"/>
        <w:rPr>
          <w:rFonts w:asciiTheme="minorHAnsi" w:eastAsiaTheme="minorEastAsia" w:hAnsiTheme="minorHAnsi" w:cstheme="minorBidi"/>
          <w:noProof/>
          <w:sz w:val="22"/>
          <w:szCs w:val="22"/>
        </w:rPr>
      </w:pPr>
      <w:hyperlink w:anchor="_Toc72305415" w:history="1">
        <w:r w:rsidRPr="005B57E6">
          <w:rPr>
            <w:rStyle w:val="Hyperlink"/>
            <w:noProof/>
          </w:rPr>
          <w:t>Switchgrass</w:t>
        </w:r>
        <w:r>
          <w:rPr>
            <w:noProof/>
            <w:webHidden/>
          </w:rPr>
          <w:tab/>
        </w:r>
        <w:r>
          <w:rPr>
            <w:noProof/>
            <w:webHidden/>
          </w:rPr>
          <w:fldChar w:fldCharType="begin"/>
        </w:r>
        <w:r>
          <w:rPr>
            <w:noProof/>
            <w:webHidden/>
          </w:rPr>
          <w:instrText xml:space="preserve"> PAGEREF _Toc72305415 \h </w:instrText>
        </w:r>
        <w:r>
          <w:rPr>
            <w:noProof/>
            <w:webHidden/>
          </w:rPr>
        </w:r>
        <w:r>
          <w:rPr>
            <w:noProof/>
            <w:webHidden/>
          </w:rPr>
          <w:fldChar w:fldCharType="separate"/>
        </w:r>
        <w:r>
          <w:rPr>
            <w:noProof/>
            <w:webHidden/>
          </w:rPr>
          <w:t>60</w:t>
        </w:r>
        <w:r>
          <w:rPr>
            <w:noProof/>
            <w:webHidden/>
          </w:rPr>
          <w:fldChar w:fldCharType="end"/>
        </w:r>
      </w:hyperlink>
    </w:p>
    <w:p w14:paraId="49907010" w14:textId="0D2C7A48" w:rsidR="004C58ED" w:rsidRDefault="004C58ED">
      <w:pPr>
        <w:pStyle w:val="TOC7"/>
        <w:rPr>
          <w:rFonts w:asciiTheme="minorHAnsi" w:eastAsiaTheme="minorEastAsia" w:hAnsiTheme="minorHAnsi" w:cstheme="minorBidi"/>
          <w:noProof/>
          <w:sz w:val="22"/>
          <w:szCs w:val="22"/>
        </w:rPr>
      </w:pPr>
      <w:hyperlink w:anchor="_Toc72305416" w:history="1">
        <w:r w:rsidRPr="005B57E6">
          <w:rPr>
            <w:rStyle w:val="Hyperlink"/>
            <w:noProof/>
          </w:rPr>
          <w:t>Big Bluestem/Indiangrass</w:t>
        </w:r>
        <w:r>
          <w:rPr>
            <w:noProof/>
            <w:webHidden/>
          </w:rPr>
          <w:tab/>
        </w:r>
        <w:r>
          <w:rPr>
            <w:noProof/>
            <w:webHidden/>
          </w:rPr>
          <w:fldChar w:fldCharType="begin"/>
        </w:r>
        <w:r>
          <w:rPr>
            <w:noProof/>
            <w:webHidden/>
          </w:rPr>
          <w:instrText xml:space="preserve"> PAGEREF _Toc72305416 \h </w:instrText>
        </w:r>
        <w:r>
          <w:rPr>
            <w:noProof/>
            <w:webHidden/>
          </w:rPr>
        </w:r>
        <w:r>
          <w:rPr>
            <w:noProof/>
            <w:webHidden/>
          </w:rPr>
          <w:fldChar w:fldCharType="separate"/>
        </w:r>
        <w:r>
          <w:rPr>
            <w:noProof/>
            <w:webHidden/>
          </w:rPr>
          <w:t>60</w:t>
        </w:r>
        <w:r>
          <w:rPr>
            <w:noProof/>
            <w:webHidden/>
          </w:rPr>
          <w:fldChar w:fldCharType="end"/>
        </w:r>
      </w:hyperlink>
    </w:p>
    <w:p w14:paraId="4527F5F2" w14:textId="0D262052" w:rsidR="004C58ED" w:rsidRDefault="004C58ED">
      <w:pPr>
        <w:pStyle w:val="TOC2"/>
        <w:rPr>
          <w:rFonts w:asciiTheme="minorHAnsi" w:eastAsiaTheme="minorEastAsia" w:hAnsiTheme="minorHAnsi" w:cstheme="minorBidi"/>
          <w:noProof/>
          <w:sz w:val="22"/>
          <w:szCs w:val="22"/>
        </w:rPr>
      </w:pPr>
      <w:hyperlink w:anchor="_Toc72305417" w:history="1">
        <w:r w:rsidRPr="005B57E6">
          <w:rPr>
            <w:rStyle w:val="Hyperlink"/>
            <w:rFonts w:eastAsia="Calibri"/>
            <w:noProof/>
          </w:rPr>
          <w:t>DISCUSSION</w:t>
        </w:r>
        <w:r>
          <w:rPr>
            <w:noProof/>
            <w:webHidden/>
          </w:rPr>
          <w:tab/>
        </w:r>
        <w:r>
          <w:rPr>
            <w:noProof/>
            <w:webHidden/>
          </w:rPr>
          <w:fldChar w:fldCharType="begin"/>
        </w:r>
        <w:r>
          <w:rPr>
            <w:noProof/>
            <w:webHidden/>
          </w:rPr>
          <w:instrText xml:space="preserve"> PAGEREF _Toc72305417 \h </w:instrText>
        </w:r>
        <w:r>
          <w:rPr>
            <w:noProof/>
            <w:webHidden/>
          </w:rPr>
        </w:r>
        <w:r>
          <w:rPr>
            <w:noProof/>
            <w:webHidden/>
          </w:rPr>
          <w:fldChar w:fldCharType="separate"/>
        </w:r>
        <w:r>
          <w:rPr>
            <w:noProof/>
            <w:webHidden/>
          </w:rPr>
          <w:t>61</w:t>
        </w:r>
        <w:r>
          <w:rPr>
            <w:noProof/>
            <w:webHidden/>
          </w:rPr>
          <w:fldChar w:fldCharType="end"/>
        </w:r>
      </w:hyperlink>
    </w:p>
    <w:p w14:paraId="2913207A" w14:textId="0F616665" w:rsidR="004C58ED" w:rsidRDefault="004C58ED">
      <w:pPr>
        <w:pStyle w:val="TOC3"/>
        <w:rPr>
          <w:rFonts w:asciiTheme="minorHAnsi" w:eastAsiaTheme="minorEastAsia" w:hAnsiTheme="minorHAnsi" w:cstheme="minorBidi"/>
          <w:noProof/>
          <w:sz w:val="22"/>
          <w:szCs w:val="22"/>
        </w:rPr>
      </w:pPr>
      <w:hyperlink w:anchor="_Toc72305418" w:history="1">
        <w:r w:rsidRPr="005B57E6">
          <w:rPr>
            <w:rStyle w:val="Hyperlink"/>
            <w:rFonts w:eastAsia="Calibri"/>
            <w:noProof/>
          </w:rPr>
          <w:t>Tiller and Plant Density</w:t>
        </w:r>
        <w:r>
          <w:rPr>
            <w:noProof/>
            <w:webHidden/>
          </w:rPr>
          <w:tab/>
        </w:r>
        <w:r>
          <w:rPr>
            <w:noProof/>
            <w:webHidden/>
          </w:rPr>
          <w:fldChar w:fldCharType="begin"/>
        </w:r>
        <w:r>
          <w:rPr>
            <w:noProof/>
            <w:webHidden/>
          </w:rPr>
          <w:instrText xml:space="preserve"> PAGEREF _Toc72305418 \h </w:instrText>
        </w:r>
        <w:r>
          <w:rPr>
            <w:noProof/>
            <w:webHidden/>
          </w:rPr>
        </w:r>
        <w:r>
          <w:rPr>
            <w:noProof/>
            <w:webHidden/>
          </w:rPr>
          <w:fldChar w:fldCharType="separate"/>
        </w:r>
        <w:r>
          <w:rPr>
            <w:noProof/>
            <w:webHidden/>
          </w:rPr>
          <w:t>61</w:t>
        </w:r>
        <w:r>
          <w:rPr>
            <w:noProof/>
            <w:webHidden/>
          </w:rPr>
          <w:fldChar w:fldCharType="end"/>
        </w:r>
      </w:hyperlink>
    </w:p>
    <w:p w14:paraId="5DD1C0CF" w14:textId="7F0DCA33" w:rsidR="004C58ED" w:rsidRDefault="004C58ED">
      <w:pPr>
        <w:pStyle w:val="TOC3"/>
        <w:rPr>
          <w:rFonts w:asciiTheme="minorHAnsi" w:eastAsiaTheme="minorEastAsia" w:hAnsiTheme="minorHAnsi" w:cstheme="minorBidi"/>
          <w:noProof/>
          <w:sz w:val="22"/>
          <w:szCs w:val="22"/>
        </w:rPr>
      </w:pPr>
      <w:hyperlink w:anchor="_Toc72305419" w:history="1">
        <w:r w:rsidRPr="005B57E6">
          <w:rPr>
            <w:rStyle w:val="Hyperlink"/>
            <w:rFonts w:eastAsia="Calibri"/>
            <w:noProof/>
          </w:rPr>
          <w:t>Forage Mass and Nutritive Value</w:t>
        </w:r>
        <w:r>
          <w:rPr>
            <w:noProof/>
            <w:webHidden/>
          </w:rPr>
          <w:tab/>
        </w:r>
        <w:r>
          <w:rPr>
            <w:noProof/>
            <w:webHidden/>
          </w:rPr>
          <w:fldChar w:fldCharType="begin"/>
        </w:r>
        <w:r>
          <w:rPr>
            <w:noProof/>
            <w:webHidden/>
          </w:rPr>
          <w:instrText xml:space="preserve"> PAGEREF _Toc72305419 \h </w:instrText>
        </w:r>
        <w:r>
          <w:rPr>
            <w:noProof/>
            <w:webHidden/>
          </w:rPr>
        </w:r>
        <w:r>
          <w:rPr>
            <w:noProof/>
            <w:webHidden/>
          </w:rPr>
          <w:fldChar w:fldCharType="separate"/>
        </w:r>
        <w:r>
          <w:rPr>
            <w:noProof/>
            <w:webHidden/>
          </w:rPr>
          <w:t>64</w:t>
        </w:r>
        <w:r>
          <w:rPr>
            <w:noProof/>
            <w:webHidden/>
          </w:rPr>
          <w:fldChar w:fldCharType="end"/>
        </w:r>
      </w:hyperlink>
    </w:p>
    <w:p w14:paraId="52DEB2E5" w14:textId="72BEA0FF" w:rsidR="004C58ED" w:rsidRDefault="004C58ED">
      <w:pPr>
        <w:pStyle w:val="TOC3"/>
        <w:rPr>
          <w:rFonts w:asciiTheme="minorHAnsi" w:eastAsiaTheme="minorEastAsia" w:hAnsiTheme="minorHAnsi" w:cstheme="minorBidi"/>
          <w:noProof/>
          <w:sz w:val="22"/>
          <w:szCs w:val="22"/>
        </w:rPr>
      </w:pPr>
      <w:hyperlink w:anchor="_Toc72305420" w:history="1">
        <w:r w:rsidRPr="005B57E6">
          <w:rPr>
            <w:rStyle w:val="Hyperlink"/>
            <w:rFonts w:eastAsia="Calibri"/>
            <w:noProof/>
          </w:rPr>
          <w:t>Native Forb Flowering</w:t>
        </w:r>
        <w:r>
          <w:rPr>
            <w:noProof/>
            <w:webHidden/>
          </w:rPr>
          <w:tab/>
        </w:r>
        <w:r>
          <w:rPr>
            <w:noProof/>
            <w:webHidden/>
          </w:rPr>
          <w:fldChar w:fldCharType="begin"/>
        </w:r>
        <w:r>
          <w:rPr>
            <w:noProof/>
            <w:webHidden/>
          </w:rPr>
          <w:instrText xml:space="preserve"> PAGEREF _Toc72305420 \h </w:instrText>
        </w:r>
        <w:r>
          <w:rPr>
            <w:noProof/>
            <w:webHidden/>
          </w:rPr>
        </w:r>
        <w:r>
          <w:rPr>
            <w:noProof/>
            <w:webHidden/>
          </w:rPr>
          <w:fldChar w:fldCharType="separate"/>
        </w:r>
        <w:r>
          <w:rPr>
            <w:noProof/>
            <w:webHidden/>
          </w:rPr>
          <w:t>65</w:t>
        </w:r>
        <w:r>
          <w:rPr>
            <w:noProof/>
            <w:webHidden/>
          </w:rPr>
          <w:fldChar w:fldCharType="end"/>
        </w:r>
      </w:hyperlink>
    </w:p>
    <w:p w14:paraId="4481D209" w14:textId="44983E16" w:rsidR="004C58ED" w:rsidRDefault="004C58ED">
      <w:pPr>
        <w:pStyle w:val="TOC3"/>
        <w:rPr>
          <w:rFonts w:asciiTheme="minorHAnsi" w:eastAsiaTheme="minorEastAsia" w:hAnsiTheme="minorHAnsi" w:cstheme="minorBidi"/>
          <w:noProof/>
          <w:sz w:val="22"/>
          <w:szCs w:val="22"/>
        </w:rPr>
      </w:pPr>
      <w:hyperlink w:anchor="_Toc72305421" w:history="1">
        <w:r w:rsidRPr="005B57E6">
          <w:rPr>
            <w:rStyle w:val="Hyperlink"/>
            <w:noProof/>
          </w:rPr>
          <w:t>Steer performance</w:t>
        </w:r>
        <w:r>
          <w:rPr>
            <w:noProof/>
            <w:webHidden/>
          </w:rPr>
          <w:tab/>
        </w:r>
        <w:r>
          <w:rPr>
            <w:noProof/>
            <w:webHidden/>
          </w:rPr>
          <w:fldChar w:fldCharType="begin"/>
        </w:r>
        <w:r>
          <w:rPr>
            <w:noProof/>
            <w:webHidden/>
          </w:rPr>
          <w:instrText xml:space="preserve"> PAGEREF _Toc72305421 \h </w:instrText>
        </w:r>
        <w:r>
          <w:rPr>
            <w:noProof/>
            <w:webHidden/>
          </w:rPr>
        </w:r>
        <w:r>
          <w:rPr>
            <w:noProof/>
            <w:webHidden/>
          </w:rPr>
          <w:fldChar w:fldCharType="separate"/>
        </w:r>
        <w:r>
          <w:rPr>
            <w:noProof/>
            <w:webHidden/>
          </w:rPr>
          <w:t>66</w:t>
        </w:r>
        <w:r>
          <w:rPr>
            <w:noProof/>
            <w:webHidden/>
          </w:rPr>
          <w:fldChar w:fldCharType="end"/>
        </w:r>
      </w:hyperlink>
    </w:p>
    <w:p w14:paraId="43636AC0" w14:textId="5F0B024B" w:rsidR="004C58ED" w:rsidRDefault="004C58ED">
      <w:pPr>
        <w:pStyle w:val="TOC2"/>
        <w:rPr>
          <w:rFonts w:asciiTheme="minorHAnsi" w:eastAsiaTheme="minorEastAsia" w:hAnsiTheme="minorHAnsi" w:cstheme="minorBidi"/>
          <w:noProof/>
          <w:sz w:val="22"/>
          <w:szCs w:val="22"/>
        </w:rPr>
      </w:pPr>
      <w:hyperlink w:anchor="_Toc72305422" w:history="1">
        <w:r w:rsidRPr="005B57E6">
          <w:rPr>
            <w:rStyle w:val="Hyperlink"/>
            <w:noProof/>
          </w:rPr>
          <w:t>CONCLUSIONS</w:t>
        </w:r>
        <w:r>
          <w:rPr>
            <w:noProof/>
            <w:webHidden/>
          </w:rPr>
          <w:tab/>
        </w:r>
        <w:r>
          <w:rPr>
            <w:noProof/>
            <w:webHidden/>
          </w:rPr>
          <w:fldChar w:fldCharType="begin"/>
        </w:r>
        <w:r>
          <w:rPr>
            <w:noProof/>
            <w:webHidden/>
          </w:rPr>
          <w:instrText xml:space="preserve"> PAGEREF _Toc72305422 \h </w:instrText>
        </w:r>
        <w:r>
          <w:rPr>
            <w:noProof/>
            <w:webHidden/>
          </w:rPr>
        </w:r>
        <w:r>
          <w:rPr>
            <w:noProof/>
            <w:webHidden/>
          </w:rPr>
          <w:fldChar w:fldCharType="separate"/>
        </w:r>
        <w:r>
          <w:rPr>
            <w:noProof/>
            <w:webHidden/>
          </w:rPr>
          <w:t>67</w:t>
        </w:r>
        <w:r>
          <w:rPr>
            <w:noProof/>
            <w:webHidden/>
          </w:rPr>
          <w:fldChar w:fldCharType="end"/>
        </w:r>
      </w:hyperlink>
    </w:p>
    <w:p w14:paraId="58032C87" w14:textId="25BF11BD" w:rsidR="004C58ED" w:rsidRDefault="004C58ED">
      <w:pPr>
        <w:pStyle w:val="TOC2"/>
        <w:rPr>
          <w:rFonts w:asciiTheme="minorHAnsi" w:eastAsiaTheme="minorEastAsia" w:hAnsiTheme="minorHAnsi" w:cstheme="minorBidi"/>
          <w:noProof/>
          <w:sz w:val="22"/>
          <w:szCs w:val="22"/>
        </w:rPr>
      </w:pPr>
      <w:hyperlink w:anchor="_Toc72305423" w:history="1">
        <w:r w:rsidRPr="005B57E6">
          <w:rPr>
            <w:rStyle w:val="Hyperlink"/>
            <w:noProof/>
          </w:rPr>
          <w:t>REFERENCES</w:t>
        </w:r>
        <w:r>
          <w:rPr>
            <w:noProof/>
            <w:webHidden/>
          </w:rPr>
          <w:tab/>
        </w:r>
        <w:r>
          <w:rPr>
            <w:noProof/>
            <w:webHidden/>
          </w:rPr>
          <w:fldChar w:fldCharType="begin"/>
        </w:r>
        <w:r>
          <w:rPr>
            <w:noProof/>
            <w:webHidden/>
          </w:rPr>
          <w:instrText xml:space="preserve"> PAGEREF _Toc72305423 \h </w:instrText>
        </w:r>
        <w:r>
          <w:rPr>
            <w:noProof/>
            <w:webHidden/>
          </w:rPr>
        </w:r>
        <w:r>
          <w:rPr>
            <w:noProof/>
            <w:webHidden/>
          </w:rPr>
          <w:fldChar w:fldCharType="separate"/>
        </w:r>
        <w:r>
          <w:rPr>
            <w:noProof/>
            <w:webHidden/>
          </w:rPr>
          <w:t>69</w:t>
        </w:r>
        <w:r>
          <w:rPr>
            <w:noProof/>
            <w:webHidden/>
          </w:rPr>
          <w:fldChar w:fldCharType="end"/>
        </w:r>
      </w:hyperlink>
    </w:p>
    <w:p w14:paraId="0CD01CA6" w14:textId="5C32148C" w:rsidR="004C58ED" w:rsidRDefault="004C58ED">
      <w:pPr>
        <w:pStyle w:val="TOC2"/>
        <w:rPr>
          <w:rFonts w:asciiTheme="minorHAnsi" w:eastAsiaTheme="minorEastAsia" w:hAnsiTheme="minorHAnsi" w:cstheme="minorBidi"/>
          <w:noProof/>
          <w:sz w:val="22"/>
          <w:szCs w:val="22"/>
        </w:rPr>
      </w:pPr>
      <w:hyperlink w:anchor="_Toc72305424" w:history="1">
        <w:r w:rsidRPr="005B57E6">
          <w:rPr>
            <w:rStyle w:val="Hyperlink"/>
            <w:noProof/>
          </w:rPr>
          <w:t>APPENDIX II</w:t>
        </w:r>
        <w:r>
          <w:rPr>
            <w:noProof/>
            <w:webHidden/>
          </w:rPr>
          <w:tab/>
        </w:r>
        <w:r>
          <w:rPr>
            <w:noProof/>
            <w:webHidden/>
          </w:rPr>
          <w:fldChar w:fldCharType="begin"/>
        </w:r>
        <w:r>
          <w:rPr>
            <w:noProof/>
            <w:webHidden/>
          </w:rPr>
          <w:instrText xml:space="preserve"> PAGEREF _Toc72305424 \h </w:instrText>
        </w:r>
        <w:r>
          <w:rPr>
            <w:noProof/>
            <w:webHidden/>
          </w:rPr>
        </w:r>
        <w:r>
          <w:rPr>
            <w:noProof/>
            <w:webHidden/>
          </w:rPr>
          <w:fldChar w:fldCharType="separate"/>
        </w:r>
        <w:r>
          <w:rPr>
            <w:noProof/>
            <w:webHidden/>
          </w:rPr>
          <w:t>73</w:t>
        </w:r>
        <w:r>
          <w:rPr>
            <w:noProof/>
            <w:webHidden/>
          </w:rPr>
          <w:fldChar w:fldCharType="end"/>
        </w:r>
      </w:hyperlink>
    </w:p>
    <w:p w14:paraId="26E7CB79" w14:textId="38041164" w:rsidR="004C58ED" w:rsidRDefault="004C58ED">
      <w:pPr>
        <w:pStyle w:val="TOC1"/>
        <w:tabs>
          <w:tab w:val="right" w:leader="dot" w:pos="8630"/>
        </w:tabs>
        <w:rPr>
          <w:rFonts w:asciiTheme="minorHAnsi" w:eastAsiaTheme="minorEastAsia" w:hAnsiTheme="minorHAnsi" w:cstheme="minorBidi"/>
          <w:noProof/>
          <w:sz w:val="22"/>
          <w:szCs w:val="22"/>
        </w:rPr>
      </w:pPr>
      <w:hyperlink w:anchor="_Toc72305425" w:history="1">
        <w:r w:rsidRPr="005B57E6">
          <w:rPr>
            <w:rStyle w:val="Hyperlink"/>
            <w:rFonts w:cs="Times New Roman"/>
            <w:noProof/>
          </w:rPr>
          <w:t>CONCLUSIONS</w:t>
        </w:r>
        <w:r>
          <w:rPr>
            <w:noProof/>
            <w:webHidden/>
          </w:rPr>
          <w:tab/>
        </w:r>
        <w:r>
          <w:rPr>
            <w:noProof/>
            <w:webHidden/>
          </w:rPr>
          <w:fldChar w:fldCharType="begin"/>
        </w:r>
        <w:r>
          <w:rPr>
            <w:noProof/>
            <w:webHidden/>
          </w:rPr>
          <w:instrText xml:space="preserve"> PAGEREF _Toc72305425 \h </w:instrText>
        </w:r>
        <w:r>
          <w:rPr>
            <w:noProof/>
            <w:webHidden/>
          </w:rPr>
        </w:r>
        <w:r>
          <w:rPr>
            <w:noProof/>
            <w:webHidden/>
          </w:rPr>
          <w:fldChar w:fldCharType="separate"/>
        </w:r>
        <w:r>
          <w:rPr>
            <w:noProof/>
            <w:webHidden/>
          </w:rPr>
          <w:t>99</w:t>
        </w:r>
        <w:r>
          <w:rPr>
            <w:noProof/>
            <w:webHidden/>
          </w:rPr>
          <w:fldChar w:fldCharType="end"/>
        </w:r>
      </w:hyperlink>
    </w:p>
    <w:p w14:paraId="25759928" w14:textId="730D72E2" w:rsidR="004C58ED" w:rsidRDefault="004C58ED">
      <w:pPr>
        <w:pStyle w:val="TOC1"/>
        <w:tabs>
          <w:tab w:val="right" w:leader="dot" w:pos="8630"/>
        </w:tabs>
        <w:rPr>
          <w:rFonts w:asciiTheme="minorHAnsi" w:eastAsiaTheme="minorEastAsia" w:hAnsiTheme="minorHAnsi" w:cstheme="minorBidi"/>
          <w:noProof/>
          <w:sz w:val="22"/>
          <w:szCs w:val="22"/>
        </w:rPr>
      </w:pPr>
      <w:hyperlink w:anchor="_Toc72305426" w:history="1">
        <w:r w:rsidRPr="005B57E6">
          <w:rPr>
            <w:rStyle w:val="Hyperlink"/>
            <w:rFonts w:cs="Times New Roman"/>
            <w:noProof/>
          </w:rPr>
          <w:t xml:space="preserve">APPENDIX III </w:t>
        </w:r>
        <w:r>
          <w:rPr>
            <w:rStyle w:val="Hyperlink"/>
            <w:rFonts w:cs="Times New Roman"/>
            <w:noProof/>
          </w:rPr>
          <w:t xml:space="preserve">- </w:t>
        </w:r>
        <w:r w:rsidRPr="005B57E6">
          <w:rPr>
            <w:rStyle w:val="Hyperlink"/>
            <w:noProof/>
          </w:rPr>
          <w:t>USING A BROWNTOP MILLET COMPANION CROP TO AID NATIVE GRASS ESTABLISHMENT</w:t>
        </w:r>
        <w:r>
          <w:rPr>
            <w:noProof/>
            <w:webHidden/>
          </w:rPr>
          <w:tab/>
        </w:r>
        <w:r>
          <w:rPr>
            <w:noProof/>
            <w:webHidden/>
          </w:rPr>
          <w:fldChar w:fldCharType="begin"/>
        </w:r>
        <w:r>
          <w:rPr>
            <w:noProof/>
            <w:webHidden/>
          </w:rPr>
          <w:instrText xml:space="preserve"> PAGEREF _Toc72305426 \h </w:instrText>
        </w:r>
        <w:r>
          <w:rPr>
            <w:noProof/>
            <w:webHidden/>
          </w:rPr>
        </w:r>
        <w:r>
          <w:rPr>
            <w:noProof/>
            <w:webHidden/>
          </w:rPr>
          <w:fldChar w:fldCharType="separate"/>
        </w:r>
        <w:r>
          <w:rPr>
            <w:noProof/>
            <w:webHidden/>
          </w:rPr>
          <w:t>100</w:t>
        </w:r>
        <w:r>
          <w:rPr>
            <w:noProof/>
            <w:webHidden/>
          </w:rPr>
          <w:fldChar w:fldCharType="end"/>
        </w:r>
      </w:hyperlink>
    </w:p>
    <w:p w14:paraId="2B814FDA" w14:textId="2EA20F2B" w:rsidR="004C58ED" w:rsidRDefault="004C58ED">
      <w:pPr>
        <w:pStyle w:val="TOC2"/>
        <w:rPr>
          <w:rFonts w:asciiTheme="minorHAnsi" w:eastAsiaTheme="minorEastAsia" w:hAnsiTheme="minorHAnsi" w:cstheme="minorBidi"/>
          <w:noProof/>
          <w:sz w:val="22"/>
          <w:szCs w:val="22"/>
        </w:rPr>
      </w:pPr>
      <w:hyperlink w:anchor="_Toc72305427" w:history="1">
        <w:r w:rsidRPr="005B57E6">
          <w:rPr>
            <w:rStyle w:val="Hyperlink"/>
            <w:noProof/>
          </w:rPr>
          <w:t>ABSTRACT</w:t>
        </w:r>
        <w:r>
          <w:rPr>
            <w:noProof/>
            <w:webHidden/>
          </w:rPr>
          <w:tab/>
        </w:r>
        <w:r>
          <w:rPr>
            <w:noProof/>
            <w:webHidden/>
          </w:rPr>
          <w:fldChar w:fldCharType="begin"/>
        </w:r>
        <w:r>
          <w:rPr>
            <w:noProof/>
            <w:webHidden/>
          </w:rPr>
          <w:instrText xml:space="preserve"> PAGEREF _Toc72305427 \h </w:instrText>
        </w:r>
        <w:r>
          <w:rPr>
            <w:noProof/>
            <w:webHidden/>
          </w:rPr>
        </w:r>
        <w:r>
          <w:rPr>
            <w:noProof/>
            <w:webHidden/>
          </w:rPr>
          <w:fldChar w:fldCharType="separate"/>
        </w:r>
        <w:r>
          <w:rPr>
            <w:noProof/>
            <w:webHidden/>
          </w:rPr>
          <w:t>101</w:t>
        </w:r>
        <w:r>
          <w:rPr>
            <w:noProof/>
            <w:webHidden/>
          </w:rPr>
          <w:fldChar w:fldCharType="end"/>
        </w:r>
      </w:hyperlink>
    </w:p>
    <w:p w14:paraId="1AE11A24" w14:textId="07B79B4D" w:rsidR="004C58ED" w:rsidRDefault="004C58ED">
      <w:pPr>
        <w:pStyle w:val="TOC2"/>
        <w:rPr>
          <w:rFonts w:asciiTheme="minorHAnsi" w:eastAsiaTheme="minorEastAsia" w:hAnsiTheme="minorHAnsi" w:cstheme="minorBidi"/>
          <w:noProof/>
          <w:sz w:val="22"/>
          <w:szCs w:val="22"/>
        </w:rPr>
      </w:pPr>
      <w:hyperlink w:anchor="_Toc72305428" w:history="1">
        <w:r w:rsidRPr="005B57E6">
          <w:rPr>
            <w:rStyle w:val="Hyperlink"/>
            <w:noProof/>
          </w:rPr>
          <w:t>INTRODUCTION</w:t>
        </w:r>
        <w:r>
          <w:rPr>
            <w:noProof/>
            <w:webHidden/>
          </w:rPr>
          <w:tab/>
        </w:r>
        <w:r>
          <w:rPr>
            <w:noProof/>
            <w:webHidden/>
          </w:rPr>
          <w:fldChar w:fldCharType="begin"/>
        </w:r>
        <w:r>
          <w:rPr>
            <w:noProof/>
            <w:webHidden/>
          </w:rPr>
          <w:instrText xml:space="preserve"> PAGEREF _Toc72305428 \h </w:instrText>
        </w:r>
        <w:r>
          <w:rPr>
            <w:noProof/>
            <w:webHidden/>
          </w:rPr>
        </w:r>
        <w:r>
          <w:rPr>
            <w:noProof/>
            <w:webHidden/>
          </w:rPr>
          <w:fldChar w:fldCharType="separate"/>
        </w:r>
        <w:r>
          <w:rPr>
            <w:noProof/>
            <w:webHidden/>
          </w:rPr>
          <w:t>102</w:t>
        </w:r>
        <w:r>
          <w:rPr>
            <w:noProof/>
            <w:webHidden/>
          </w:rPr>
          <w:fldChar w:fldCharType="end"/>
        </w:r>
      </w:hyperlink>
    </w:p>
    <w:p w14:paraId="48B4968B" w14:textId="173A5682" w:rsidR="004C58ED" w:rsidRDefault="004C58ED">
      <w:pPr>
        <w:pStyle w:val="TOC2"/>
        <w:rPr>
          <w:rFonts w:asciiTheme="minorHAnsi" w:eastAsiaTheme="minorEastAsia" w:hAnsiTheme="minorHAnsi" w:cstheme="minorBidi"/>
          <w:noProof/>
          <w:sz w:val="22"/>
          <w:szCs w:val="22"/>
        </w:rPr>
      </w:pPr>
      <w:hyperlink w:anchor="_Toc72305429" w:history="1">
        <w:r w:rsidRPr="005B57E6">
          <w:rPr>
            <w:rStyle w:val="Hyperlink"/>
            <w:noProof/>
          </w:rPr>
          <w:t>MATERIALS AND METHODS</w:t>
        </w:r>
        <w:r>
          <w:rPr>
            <w:noProof/>
            <w:webHidden/>
          </w:rPr>
          <w:tab/>
        </w:r>
        <w:r>
          <w:rPr>
            <w:noProof/>
            <w:webHidden/>
          </w:rPr>
          <w:fldChar w:fldCharType="begin"/>
        </w:r>
        <w:r>
          <w:rPr>
            <w:noProof/>
            <w:webHidden/>
          </w:rPr>
          <w:instrText xml:space="preserve"> PAGEREF _Toc72305429 \h </w:instrText>
        </w:r>
        <w:r>
          <w:rPr>
            <w:noProof/>
            <w:webHidden/>
          </w:rPr>
        </w:r>
        <w:r>
          <w:rPr>
            <w:noProof/>
            <w:webHidden/>
          </w:rPr>
          <w:fldChar w:fldCharType="separate"/>
        </w:r>
        <w:r>
          <w:rPr>
            <w:noProof/>
            <w:webHidden/>
          </w:rPr>
          <w:t>104</w:t>
        </w:r>
        <w:r>
          <w:rPr>
            <w:noProof/>
            <w:webHidden/>
          </w:rPr>
          <w:fldChar w:fldCharType="end"/>
        </w:r>
      </w:hyperlink>
    </w:p>
    <w:p w14:paraId="53002691" w14:textId="718D6A6F" w:rsidR="004C58ED" w:rsidRDefault="004C58ED">
      <w:pPr>
        <w:pStyle w:val="TOC3"/>
        <w:rPr>
          <w:rFonts w:asciiTheme="minorHAnsi" w:eastAsiaTheme="minorEastAsia" w:hAnsiTheme="minorHAnsi" w:cstheme="minorBidi"/>
          <w:noProof/>
          <w:sz w:val="22"/>
          <w:szCs w:val="22"/>
        </w:rPr>
      </w:pPr>
      <w:hyperlink w:anchor="_Toc72305430" w:history="1">
        <w:r w:rsidRPr="005B57E6">
          <w:rPr>
            <w:rStyle w:val="Hyperlink"/>
            <w:noProof/>
          </w:rPr>
          <w:t>Site Description</w:t>
        </w:r>
        <w:r>
          <w:rPr>
            <w:noProof/>
            <w:webHidden/>
          </w:rPr>
          <w:tab/>
        </w:r>
        <w:r>
          <w:rPr>
            <w:noProof/>
            <w:webHidden/>
          </w:rPr>
          <w:fldChar w:fldCharType="begin"/>
        </w:r>
        <w:r>
          <w:rPr>
            <w:noProof/>
            <w:webHidden/>
          </w:rPr>
          <w:instrText xml:space="preserve"> PAGEREF _Toc72305430 \h </w:instrText>
        </w:r>
        <w:r>
          <w:rPr>
            <w:noProof/>
            <w:webHidden/>
          </w:rPr>
        </w:r>
        <w:r>
          <w:rPr>
            <w:noProof/>
            <w:webHidden/>
          </w:rPr>
          <w:fldChar w:fldCharType="separate"/>
        </w:r>
        <w:r>
          <w:rPr>
            <w:noProof/>
            <w:webHidden/>
          </w:rPr>
          <w:t>104</w:t>
        </w:r>
        <w:r>
          <w:rPr>
            <w:noProof/>
            <w:webHidden/>
          </w:rPr>
          <w:fldChar w:fldCharType="end"/>
        </w:r>
      </w:hyperlink>
    </w:p>
    <w:p w14:paraId="47D45ADF" w14:textId="3DB4027F" w:rsidR="004C58ED" w:rsidRDefault="004C58ED">
      <w:pPr>
        <w:pStyle w:val="TOC3"/>
        <w:rPr>
          <w:rFonts w:asciiTheme="minorHAnsi" w:eastAsiaTheme="minorEastAsia" w:hAnsiTheme="minorHAnsi" w:cstheme="minorBidi"/>
          <w:noProof/>
          <w:sz w:val="22"/>
          <w:szCs w:val="22"/>
        </w:rPr>
      </w:pPr>
      <w:hyperlink w:anchor="_Toc72305431" w:history="1">
        <w:r w:rsidRPr="005B57E6">
          <w:rPr>
            <w:rStyle w:val="Hyperlink"/>
            <w:noProof/>
            <w:shd w:val="clear" w:color="auto" w:fill="FFFFFF"/>
          </w:rPr>
          <w:t>Experimental Design</w:t>
        </w:r>
        <w:r>
          <w:rPr>
            <w:noProof/>
            <w:webHidden/>
          </w:rPr>
          <w:tab/>
        </w:r>
        <w:r>
          <w:rPr>
            <w:noProof/>
            <w:webHidden/>
          </w:rPr>
          <w:fldChar w:fldCharType="begin"/>
        </w:r>
        <w:r>
          <w:rPr>
            <w:noProof/>
            <w:webHidden/>
          </w:rPr>
          <w:instrText xml:space="preserve"> PAGEREF _Toc72305431 \h </w:instrText>
        </w:r>
        <w:r>
          <w:rPr>
            <w:noProof/>
            <w:webHidden/>
          </w:rPr>
        </w:r>
        <w:r>
          <w:rPr>
            <w:noProof/>
            <w:webHidden/>
          </w:rPr>
          <w:fldChar w:fldCharType="separate"/>
        </w:r>
        <w:r>
          <w:rPr>
            <w:noProof/>
            <w:webHidden/>
          </w:rPr>
          <w:t>105</w:t>
        </w:r>
        <w:r>
          <w:rPr>
            <w:noProof/>
            <w:webHidden/>
          </w:rPr>
          <w:fldChar w:fldCharType="end"/>
        </w:r>
      </w:hyperlink>
    </w:p>
    <w:p w14:paraId="38AF00D1" w14:textId="5CDC8662" w:rsidR="004C58ED" w:rsidRDefault="004C58ED">
      <w:pPr>
        <w:pStyle w:val="TOC3"/>
        <w:rPr>
          <w:rFonts w:asciiTheme="minorHAnsi" w:eastAsiaTheme="minorEastAsia" w:hAnsiTheme="minorHAnsi" w:cstheme="minorBidi"/>
          <w:noProof/>
          <w:sz w:val="22"/>
          <w:szCs w:val="22"/>
        </w:rPr>
      </w:pPr>
      <w:hyperlink w:anchor="_Toc72305432" w:history="1">
        <w:r w:rsidRPr="005B57E6">
          <w:rPr>
            <w:rStyle w:val="Hyperlink"/>
            <w:noProof/>
          </w:rPr>
          <w:t>Data Collection</w:t>
        </w:r>
        <w:r>
          <w:rPr>
            <w:noProof/>
            <w:webHidden/>
          </w:rPr>
          <w:tab/>
        </w:r>
        <w:r>
          <w:rPr>
            <w:noProof/>
            <w:webHidden/>
          </w:rPr>
          <w:fldChar w:fldCharType="begin"/>
        </w:r>
        <w:r>
          <w:rPr>
            <w:noProof/>
            <w:webHidden/>
          </w:rPr>
          <w:instrText xml:space="preserve"> PAGEREF _Toc72305432 \h </w:instrText>
        </w:r>
        <w:r>
          <w:rPr>
            <w:noProof/>
            <w:webHidden/>
          </w:rPr>
        </w:r>
        <w:r>
          <w:rPr>
            <w:noProof/>
            <w:webHidden/>
          </w:rPr>
          <w:fldChar w:fldCharType="separate"/>
        </w:r>
        <w:r>
          <w:rPr>
            <w:noProof/>
            <w:webHidden/>
          </w:rPr>
          <w:t>106</w:t>
        </w:r>
        <w:r>
          <w:rPr>
            <w:noProof/>
            <w:webHidden/>
          </w:rPr>
          <w:fldChar w:fldCharType="end"/>
        </w:r>
      </w:hyperlink>
    </w:p>
    <w:p w14:paraId="2CBF29AB" w14:textId="18393734" w:rsidR="004C58ED" w:rsidRDefault="004C58ED">
      <w:pPr>
        <w:pStyle w:val="TOC3"/>
        <w:rPr>
          <w:rFonts w:asciiTheme="minorHAnsi" w:eastAsiaTheme="minorEastAsia" w:hAnsiTheme="minorHAnsi" w:cstheme="minorBidi"/>
          <w:noProof/>
          <w:sz w:val="22"/>
          <w:szCs w:val="22"/>
        </w:rPr>
      </w:pPr>
      <w:hyperlink w:anchor="_Toc72305433" w:history="1">
        <w:r w:rsidRPr="005B57E6">
          <w:rPr>
            <w:rStyle w:val="Hyperlink"/>
            <w:noProof/>
          </w:rPr>
          <w:t>Statistical Analysis</w:t>
        </w:r>
        <w:r>
          <w:rPr>
            <w:noProof/>
            <w:webHidden/>
          </w:rPr>
          <w:tab/>
        </w:r>
        <w:r>
          <w:rPr>
            <w:noProof/>
            <w:webHidden/>
          </w:rPr>
          <w:fldChar w:fldCharType="begin"/>
        </w:r>
        <w:r>
          <w:rPr>
            <w:noProof/>
            <w:webHidden/>
          </w:rPr>
          <w:instrText xml:space="preserve"> PAGEREF _Toc72305433 \h </w:instrText>
        </w:r>
        <w:r>
          <w:rPr>
            <w:noProof/>
            <w:webHidden/>
          </w:rPr>
        </w:r>
        <w:r>
          <w:rPr>
            <w:noProof/>
            <w:webHidden/>
          </w:rPr>
          <w:fldChar w:fldCharType="separate"/>
        </w:r>
        <w:r>
          <w:rPr>
            <w:noProof/>
            <w:webHidden/>
          </w:rPr>
          <w:t>107</w:t>
        </w:r>
        <w:r>
          <w:rPr>
            <w:noProof/>
            <w:webHidden/>
          </w:rPr>
          <w:fldChar w:fldCharType="end"/>
        </w:r>
      </w:hyperlink>
    </w:p>
    <w:p w14:paraId="3CAE537F" w14:textId="1997F6F0" w:rsidR="004C58ED" w:rsidRDefault="004C58ED">
      <w:pPr>
        <w:pStyle w:val="TOC2"/>
        <w:rPr>
          <w:rFonts w:asciiTheme="minorHAnsi" w:eastAsiaTheme="minorEastAsia" w:hAnsiTheme="minorHAnsi" w:cstheme="minorBidi"/>
          <w:noProof/>
          <w:sz w:val="22"/>
          <w:szCs w:val="22"/>
        </w:rPr>
      </w:pPr>
      <w:hyperlink w:anchor="_Toc72305434" w:history="1">
        <w:r w:rsidRPr="005B57E6">
          <w:rPr>
            <w:rStyle w:val="Hyperlink"/>
            <w:noProof/>
          </w:rPr>
          <w:t>RESULTS</w:t>
        </w:r>
        <w:r>
          <w:rPr>
            <w:noProof/>
            <w:webHidden/>
          </w:rPr>
          <w:tab/>
        </w:r>
        <w:r>
          <w:rPr>
            <w:noProof/>
            <w:webHidden/>
          </w:rPr>
          <w:fldChar w:fldCharType="begin"/>
        </w:r>
        <w:r>
          <w:rPr>
            <w:noProof/>
            <w:webHidden/>
          </w:rPr>
          <w:instrText xml:space="preserve"> PAGEREF _Toc72305434 \h </w:instrText>
        </w:r>
        <w:r>
          <w:rPr>
            <w:noProof/>
            <w:webHidden/>
          </w:rPr>
        </w:r>
        <w:r>
          <w:rPr>
            <w:noProof/>
            <w:webHidden/>
          </w:rPr>
          <w:fldChar w:fldCharType="separate"/>
        </w:r>
        <w:r>
          <w:rPr>
            <w:noProof/>
            <w:webHidden/>
          </w:rPr>
          <w:t>108</w:t>
        </w:r>
        <w:r>
          <w:rPr>
            <w:noProof/>
            <w:webHidden/>
          </w:rPr>
          <w:fldChar w:fldCharType="end"/>
        </w:r>
      </w:hyperlink>
    </w:p>
    <w:p w14:paraId="06C608D4" w14:textId="3A2536D9" w:rsidR="004C58ED" w:rsidRDefault="004C58ED">
      <w:pPr>
        <w:pStyle w:val="TOC3"/>
        <w:rPr>
          <w:rFonts w:asciiTheme="minorHAnsi" w:eastAsiaTheme="minorEastAsia" w:hAnsiTheme="minorHAnsi" w:cstheme="minorBidi"/>
          <w:noProof/>
          <w:sz w:val="22"/>
          <w:szCs w:val="22"/>
        </w:rPr>
      </w:pPr>
      <w:hyperlink w:anchor="_Toc72305435" w:history="1">
        <w:r w:rsidRPr="005B57E6">
          <w:rPr>
            <w:rStyle w:val="Hyperlink"/>
            <w:noProof/>
          </w:rPr>
          <w:t>Environmental Conditions</w:t>
        </w:r>
        <w:r>
          <w:rPr>
            <w:noProof/>
            <w:webHidden/>
          </w:rPr>
          <w:tab/>
        </w:r>
        <w:r>
          <w:rPr>
            <w:noProof/>
            <w:webHidden/>
          </w:rPr>
          <w:fldChar w:fldCharType="begin"/>
        </w:r>
        <w:r>
          <w:rPr>
            <w:noProof/>
            <w:webHidden/>
          </w:rPr>
          <w:instrText xml:space="preserve"> PAGEREF _Toc72305435 \h </w:instrText>
        </w:r>
        <w:r>
          <w:rPr>
            <w:noProof/>
            <w:webHidden/>
          </w:rPr>
        </w:r>
        <w:r>
          <w:rPr>
            <w:noProof/>
            <w:webHidden/>
          </w:rPr>
          <w:fldChar w:fldCharType="separate"/>
        </w:r>
        <w:r>
          <w:rPr>
            <w:noProof/>
            <w:webHidden/>
          </w:rPr>
          <w:t>108</w:t>
        </w:r>
        <w:r>
          <w:rPr>
            <w:noProof/>
            <w:webHidden/>
          </w:rPr>
          <w:fldChar w:fldCharType="end"/>
        </w:r>
      </w:hyperlink>
    </w:p>
    <w:p w14:paraId="764D70BF" w14:textId="71C6C2A5" w:rsidR="004C58ED" w:rsidRDefault="004C58ED">
      <w:pPr>
        <w:pStyle w:val="TOC3"/>
        <w:rPr>
          <w:rFonts w:asciiTheme="minorHAnsi" w:eastAsiaTheme="minorEastAsia" w:hAnsiTheme="minorHAnsi" w:cstheme="minorBidi"/>
          <w:noProof/>
          <w:sz w:val="22"/>
          <w:szCs w:val="22"/>
        </w:rPr>
      </w:pPr>
      <w:hyperlink w:anchor="_Toc72305436" w:history="1">
        <w:r w:rsidRPr="005B57E6">
          <w:rPr>
            <w:rStyle w:val="Hyperlink"/>
            <w:noProof/>
            <w:shd w:val="clear" w:color="auto" w:fill="FFFFFF"/>
          </w:rPr>
          <w:t>Big Bluestem</w:t>
        </w:r>
        <w:r>
          <w:rPr>
            <w:noProof/>
            <w:webHidden/>
          </w:rPr>
          <w:tab/>
        </w:r>
        <w:r>
          <w:rPr>
            <w:noProof/>
            <w:webHidden/>
          </w:rPr>
          <w:fldChar w:fldCharType="begin"/>
        </w:r>
        <w:r>
          <w:rPr>
            <w:noProof/>
            <w:webHidden/>
          </w:rPr>
          <w:instrText xml:space="preserve"> PAGEREF _Toc72305436 \h </w:instrText>
        </w:r>
        <w:r>
          <w:rPr>
            <w:noProof/>
            <w:webHidden/>
          </w:rPr>
        </w:r>
        <w:r>
          <w:rPr>
            <w:noProof/>
            <w:webHidden/>
          </w:rPr>
          <w:fldChar w:fldCharType="separate"/>
        </w:r>
        <w:r>
          <w:rPr>
            <w:noProof/>
            <w:webHidden/>
          </w:rPr>
          <w:t>109</w:t>
        </w:r>
        <w:r>
          <w:rPr>
            <w:noProof/>
            <w:webHidden/>
          </w:rPr>
          <w:fldChar w:fldCharType="end"/>
        </w:r>
      </w:hyperlink>
    </w:p>
    <w:p w14:paraId="13EB5762" w14:textId="220A1C4A" w:rsidR="004C58ED" w:rsidRDefault="004C58ED">
      <w:pPr>
        <w:pStyle w:val="TOC7"/>
        <w:rPr>
          <w:rFonts w:asciiTheme="minorHAnsi" w:eastAsiaTheme="minorEastAsia" w:hAnsiTheme="minorHAnsi" w:cstheme="minorBidi"/>
          <w:noProof/>
          <w:sz w:val="22"/>
          <w:szCs w:val="22"/>
        </w:rPr>
      </w:pPr>
      <w:hyperlink w:anchor="_Toc72305437" w:history="1">
        <w:r w:rsidRPr="005B57E6">
          <w:rPr>
            <w:rStyle w:val="Hyperlink"/>
            <w:noProof/>
          </w:rPr>
          <w:t>Establishment-year Plant Density</w:t>
        </w:r>
        <w:r>
          <w:rPr>
            <w:noProof/>
            <w:webHidden/>
          </w:rPr>
          <w:tab/>
        </w:r>
        <w:r>
          <w:rPr>
            <w:noProof/>
            <w:webHidden/>
          </w:rPr>
          <w:fldChar w:fldCharType="begin"/>
        </w:r>
        <w:r>
          <w:rPr>
            <w:noProof/>
            <w:webHidden/>
          </w:rPr>
          <w:instrText xml:space="preserve"> PAGEREF _Toc72305437 \h </w:instrText>
        </w:r>
        <w:r>
          <w:rPr>
            <w:noProof/>
            <w:webHidden/>
          </w:rPr>
        </w:r>
        <w:r>
          <w:rPr>
            <w:noProof/>
            <w:webHidden/>
          </w:rPr>
          <w:fldChar w:fldCharType="separate"/>
        </w:r>
        <w:r>
          <w:rPr>
            <w:noProof/>
            <w:webHidden/>
          </w:rPr>
          <w:t>109</w:t>
        </w:r>
        <w:r>
          <w:rPr>
            <w:noProof/>
            <w:webHidden/>
          </w:rPr>
          <w:fldChar w:fldCharType="end"/>
        </w:r>
      </w:hyperlink>
    </w:p>
    <w:p w14:paraId="46841827" w14:textId="63E9D603" w:rsidR="004C58ED" w:rsidRDefault="004C58ED">
      <w:pPr>
        <w:pStyle w:val="TOC7"/>
        <w:rPr>
          <w:rFonts w:asciiTheme="minorHAnsi" w:eastAsiaTheme="minorEastAsia" w:hAnsiTheme="minorHAnsi" w:cstheme="minorBidi"/>
          <w:noProof/>
          <w:sz w:val="22"/>
          <w:szCs w:val="22"/>
        </w:rPr>
      </w:pPr>
      <w:hyperlink w:anchor="_Toc72305438" w:history="1">
        <w:r w:rsidRPr="005B57E6">
          <w:rPr>
            <w:rStyle w:val="Hyperlink"/>
            <w:noProof/>
          </w:rPr>
          <w:t>Biomass Dry Matter Yield</w:t>
        </w:r>
        <w:r>
          <w:rPr>
            <w:noProof/>
            <w:webHidden/>
          </w:rPr>
          <w:tab/>
        </w:r>
        <w:r>
          <w:rPr>
            <w:noProof/>
            <w:webHidden/>
          </w:rPr>
          <w:fldChar w:fldCharType="begin"/>
        </w:r>
        <w:r>
          <w:rPr>
            <w:noProof/>
            <w:webHidden/>
          </w:rPr>
          <w:instrText xml:space="preserve"> PAGEREF _Toc72305438 \h </w:instrText>
        </w:r>
        <w:r>
          <w:rPr>
            <w:noProof/>
            <w:webHidden/>
          </w:rPr>
        </w:r>
        <w:r>
          <w:rPr>
            <w:noProof/>
            <w:webHidden/>
          </w:rPr>
          <w:fldChar w:fldCharType="separate"/>
        </w:r>
        <w:r>
          <w:rPr>
            <w:noProof/>
            <w:webHidden/>
          </w:rPr>
          <w:t>110</w:t>
        </w:r>
        <w:r>
          <w:rPr>
            <w:noProof/>
            <w:webHidden/>
          </w:rPr>
          <w:fldChar w:fldCharType="end"/>
        </w:r>
      </w:hyperlink>
    </w:p>
    <w:p w14:paraId="549F69EE" w14:textId="09F53A53" w:rsidR="004C58ED" w:rsidRDefault="004C58ED">
      <w:pPr>
        <w:pStyle w:val="TOC3"/>
        <w:rPr>
          <w:rFonts w:asciiTheme="minorHAnsi" w:eastAsiaTheme="minorEastAsia" w:hAnsiTheme="minorHAnsi" w:cstheme="minorBidi"/>
          <w:noProof/>
          <w:sz w:val="22"/>
          <w:szCs w:val="22"/>
        </w:rPr>
      </w:pPr>
      <w:hyperlink w:anchor="_Toc72305439" w:history="1">
        <w:r w:rsidRPr="005B57E6">
          <w:rPr>
            <w:rStyle w:val="Hyperlink"/>
            <w:noProof/>
          </w:rPr>
          <w:t>Switchgrass</w:t>
        </w:r>
        <w:r>
          <w:rPr>
            <w:noProof/>
            <w:webHidden/>
          </w:rPr>
          <w:tab/>
        </w:r>
        <w:r>
          <w:rPr>
            <w:noProof/>
            <w:webHidden/>
          </w:rPr>
          <w:fldChar w:fldCharType="begin"/>
        </w:r>
        <w:r>
          <w:rPr>
            <w:noProof/>
            <w:webHidden/>
          </w:rPr>
          <w:instrText xml:space="preserve"> PAGEREF _Toc72305439 \h </w:instrText>
        </w:r>
        <w:r>
          <w:rPr>
            <w:noProof/>
            <w:webHidden/>
          </w:rPr>
        </w:r>
        <w:r>
          <w:rPr>
            <w:noProof/>
            <w:webHidden/>
          </w:rPr>
          <w:fldChar w:fldCharType="separate"/>
        </w:r>
        <w:r>
          <w:rPr>
            <w:noProof/>
            <w:webHidden/>
          </w:rPr>
          <w:t>110</w:t>
        </w:r>
        <w:r>
          <w:rPr>
            <w:noProof/>
            <w:webHidden/>
          </w:rPr>
          <w:fldChar w:fldCharType="end"/>
        </w:r>
      </w:hyperlink>
    </w:p>
    <w:p w14:paraId="02AFC088" w14:textId="4FE84319" w:rsidR="004C58ED" w:rsidRDefault="004C58ED">
      <w:pPr>
        <w:pStyle w:val="TOC7"/>
        <w:rPr>
          <w:rFonts w:asciiTheme="minorHAnsi" w:eastAsiaTheme="minorEastAsia" w:hAnsiTheme="minorHAnsi" w:cstheme="minorBidi"/>
          <w:noProof/>
          <w:sz w:val="22"/>
          <w:szCs w:val="22"/>
        </w:rPr>
      </w:pPr>
      <w:hyperlink w:anchor="_Toc72305440" w:history="1">
        <w:r w:rsidRPr="005B57E6">
          <w:rPr>
            <w:rStyle w:val="Hyperlink"/>
            <w:noProof/>
          </w:rPr>
          <w:t>Establishment-year Plant Density</w:t>
        </w:r>
        <w:r>
          <w:rPr>
            <w:noProof/>
            <w:webHidden/>
          </w:rPr>
          <w:tab/>
        </w:r>
        <w:r>
          <w:rPr>
            <w:noProof/>
            <w:webHidden/>
          </w:rPr>
          <w:fldChar w:fldCharType="begin"/>
        </w:r>
        <w:r>
          <w:rPr>
            <w:noProof/>
            <w:webHidden/>
          </w:rPr>
          <w:instrText xml:space="preserve"> PAGEREF _Toc72305440 \h </w:instrText>
        </w:r>
        <w:r>
          <w:rPr>
            <w:noProof/>
            <w:webHidden/>
          </w:rPr>
        </w:r>
        <w:r>
          <w:rPr>
            <w:noProof/>
            <w:webHidden/>
          </w:rPr>
          <w:fldChar w:fldCharType="separate"/>
        </w:r>
        <w:r>
          <w:rPr>
            <w:noProof/>
            <w:webHidden/>
          </w:rPr>
          <w:t>110</w:t>
        </w:r>
        <w:r>
          <w:rPr>
            <w:noProof/>
            <w:webHidden/>
          </w:rPr>
          <w:fldChar w:fldCharType="end"/>
        </w:r>
      </w:hyperlink>
    </w:p>
    <w:p w14:paraId="2B79D88E" w14:textId="527A5039" w:rsidR="004C58ED" w:rsidRDefault="004C58ED">
      <w:pPr>
        <w:pStyle w:val="TOC7"/>
        <w:rPr>
          <w:rFonts w:asciiTheme="minorHAnsi" w:eastAsiaTheme="minorEastAsia" w:hAnsiTheme="minorHAnsi" w:cstheme="minorBidi"/>
          <w:noProof/>
          <w:sz w:val="22"/>
          <w:szCs w:val="22"/>
        </w:rPr>
      </w:pPr>
      <w:hyperlink w:anchor="_Toc72305441" w:history="1">
        <w:r w:rsidRPr="005B57E6">
          <w:rPr>
            <w:rStyle w:val="Hyperlink"/>
            <w:noProof/>
          </w:rPr>
          <w:t>Biomass Dry Matter Yield</w:t>
        </w:r>
        <w:r>
          <w:rPr>
            <w:noProof/>
            <w:webHidden/>
          </w:rPr>
          <w:tab/>
        </w:r>
        <w:r>
          <w:rPr>
            <w:noProof/>
            <w:webHidden/>
          </w:rPr>
          <w:fldChar w:fldCharType="begin"/>
        </w:r>
        <w:r>
          <w:rPr>
            <w:noProof/>
            <w:webHidden/>
          </w:rPr>
          <w:instrText xml:space="preserve"> PAGEREF _Toc72305441 \h </w:instrText>
        </w:r>
        <w:r>
          <w:rPr>
            <w:noProof/>
            <w:webHidden/>
          </w:rPr>
        </w:r>
        <w:r>
          <w:rPr>
            <w:noProof/>
            <w:webHidden/>
          </w:rPr>
          <w:fldChar w:fldCharType="separate"/>
        </w:r>
        <w:r>
          <w:rPr>
            <w:noProof/>
            <w:webHidden/>
          </w:rPr>
          <w:t>111</w:t>
        </w:r>
        <w:r>
          <w:rPr>
            <w:noProof/>
            <w:webHidden/>
          </w:rPr>
          <w:fldChar w:fldCharType="end"/>
        </w:r>
      </w:hyperlink>
    </w:p>
    <w:p w14:paraId="7C758D6F" w14:textId="674E3B4E" w:rsidR="004C58ED" w:rsidRDefault="004C58ED">
      <w:pPr>
        <w:pStyle w:val="TOC3"/>
        <w:rPr>
          <w:rFonts w:asciiTheme="minorHAnsi" w:eastAsiaTheme="minorEastAsia" w:hAnsiTheme="minorHAnsi" w:cstheme="minorBidi"/>
          <w:noProof/>
          <w:sz w:val="22"/>
          <w:szCs w:val="22"/>
        </w:rPr>
      </w:pPr>
      <w:hyperlink w:anchor="_Toc72305442" w:history="1">
        <w:r w:rsidRPr="005B57E6">
          <w:rPr>
            <w:rStyle w:val="Hyperlink"/>
            <w:noProof/>
          </w:rPr>
          <w:t>Browntop Millet</w:t>
        </w:r>
        <w:r>
          <w:rPr>
            <w:noProof/>
            <w:webHidden/>
          </w:rPr>
          <w:tab/>
        </w:r>
        <w:r>
          <w:rPr>
            <w:noProof/>
            <w:webHidden/>
          </w:rPr>
          <w:fldChar w:fldCharType="begin"/>
        </w:r>
        <w:r>
          <w:rPr>
            <w:noProof/>
            <w:webHidden/>
          </w:rPr>
          <w:instrText xml:space="preserve"> PAGEREF _Toc72305442 \h </w:instrText>
        </w:r>
        <w:r>
          <w:rPr>
            <w:noProof/>
            <w:webHidden/>
          </w:rPr>
        </w:r>
        <w:r>
          <w:rPr>
            <w:noProof/>
            <w:webHidden/>
          </w:rPr>
          <w:fldChar w:fldCharType="separate"/>
        </w:r>
        <w:r>
          <w:rPr>
            <w:noProof/>
            <w:webHidden/>
          </w:rPr>
          <w:t>111</w:t>
        </w:r>
        <w:r>
          <w:rPr>
            <w:noProof/>
            <w:webHidden/>
          </w:rPr>
          <w:fldChar w:fldCharType="end"/>
        </w:r>
      </w:hyperlink>
    </w:p>
    <w:p w14:paraId="44BFE7F7" w14:textId="3B532970" w:rsidR="004C58ED" w:rsidRDefault="004C58ED">
      <w:pPr>
        <w:pStyle w:val="TOC2"/>
        <w:rPr>
          <w:rFonts w:asciiTheme="minorHAnsi" w:eastAsiaTheme="minorEastAsia" w:hAnsiTheme="minorHAnsi" w:cstheme="minorBidi"/>
          <w:noProof/>
          <w:sz w:val="22"/>
          <w:szCs w:val="22"/>
        </w:rPr>
      </w:pPr>
      <w:hyperlink w:anchor="_Toc72305443" w:history="1">
        <w:r w:rsidRPr="005B57E6">
          <w:rPr>
            <w:rStyle w:val="Hyperlink"/>
            <w:noProof/>
          </w:rPr>
          <w:t>Discussion</w:t>
        </w:r>
        <w:r>
          <w:rPr>
            <w:noProof/>
            <w:webHidden/>
          </w:rPr>
          <w:tab/>
        </w:r>
        <w:r>
          <w:rPr>
            <w:noProof/>
            <w:webHidden/>
          </w:rPr>
          <w:fldChar w:fldCharType="begin"/>
        </w:r>
        <w:r>
          <w:rPr>
            <w:noProof/>
            <w:webHidden/>
          </w:rPr>
          <w:instrText xml:space="preserve"> PAGEREF _Toc72305443 \h </w:instrText>
        </w:r>
        <w:r>
          <w:rPr>
            <w:noProof/>
            <w:webHidden/>
          </w:rPr>
        </w:r>
        <w:r>
          <w:rPr>
            <w:noProof/>
            <w:webHidden/>
          </w:rPr>
          <w:fldChar w:fldCharType="separate"/>
        </w:r>
        <w:r>
          <w:rPr>
            <w:noProof/>
            <w:webHidden/>
          </w:rPr>
          <w:t>112</w:t>
        </w:r>
        <w:r>
          <w:rPr>
            <w:noProof/>
            <w:webHidden/>
          </w:rPr>
          <w:fldChar w:fldCharType="end"/>
        </w:r>
      </w:hyperlink>
    </w:p>
    <w:p w14:paraId="1132C653" w14:textId="6EA3DB96" w:rsidR="004C58ED" w:rsidRDefault="004C58ED">
      <w:pPr>
        <w:pStyle w:val="TOC3"/>
        <w:rPr>
          <w:rFonts w:asciiTheme="minorHAnsi" w:eastAsiaTheme="minorEastAsia" w:hAnsiTheme="minorHAnsi" w:cstheme="minorBidi"/>
          <w:noProof/>
          <w:sz w:val="22"/>
          <w:szCs w:val="22"/>
        </w:rPr>
      </w:pPr>
      <w:hyperlink w:anchor="_Toc72305444" w:history="1">
        <w:r w:rsidRPr="005B57E6">
          <w:rPr>
            <w:rStyle w:val="Hyperlink"/>
            <w:noProof/>
          </w:rPr>
          <w:t>Establishment-year Plant Density</w:t>
        </w:r>
        <w:r>
          <w:rPr>
            <w:noProof/>
            <w:webHidden/>
          </w:rPr>
          <w:tab/>
        </w:r>
        <w:r>
          <w:rPr>
            <w:noProof/>
            <w:webHidden/>
          </w:rPr>
          <w:fldChar w:fldCharType="begin"/>
        </w:r>
        <w:r>
          <w:rPr>
            <w:noProof/>
            <w:webHidden/>
          </w:rPr>
          <w:instrText xml:space="preserve"> PAGEREF _Toc72305444 \h </w:instrText>
        </w:r>
        <w:r>
          <w:rPr>
            <w:noProof/>
            <w:webHidden/>
          </w:rPr>
        </w:r>
        <w:r>
          <w:rPr>
            <w:noProof/>
            <w:webHidden/>
          </w:rPr>
          <w:fldChar w:fldCharType="separate"/>
        </w:r>
        <w:r>
          <w:rPr>
            <w:noProof/>
            <w:webHidden/>
          </w:rPr>
          <w:t>112</w:t>
        </w:r>
        <w:r>
          <w:rPr>
            <w:noProof/>
            <w:webHidden/>
          </w:rPr>
          <w:fldChar w:fldCharType="end"/>
        </w:r>
      </w:hyperlink>
    </w:p>
    <w:p w14:paraId="63EF1E97" w14:textId="28AF501A" w:rsidR="004C58ED" w:rsidRDefault="004C58ED">
      <w:pPr>
        <w:pStyle w:val="TOC3"/>
        <w:rPr>
          <w:rFonts w:asciiTheme="minorHAnsi" w:eastAsiaTheme="minorEastAsia" w:hAnsiTheme="minorHAnsi" w:cstheme="minorBidi"/>
          <w:noProof/>
          <w:sz w:val="22"/>
          <w:szCs w:val="22"/>
        </w:rPr>
      </w:pPr>
      <w:hyperlink w:anchor="_Toc72305445" w:history="1">
        <w:r w:rsidRPr="005B57E6">
          <w:rPr>
            <w:rStyle w:val="Hyperlink"/>
            <w:noProof/>
          </w:rPr>
          <w:t>Biomass Dry Matter Yield</w:t>
        </w:r>
        <w:r>
          <w:rPr>
            <w:noProof/>
            <w:webHidden/>
          </w:rPr>
          <w:tab/>
        </w:r>
        <w:r>
          <w:rPr>
            <w:noProof/>
            <w:webHidden/>
          </w:rPr>
          <w:fldChar w:fldCharType="begin"/>
        </w:r>
        <w:r>
          <w:rPr>
            <w:noProof/>
            <w:webHidden/>
          </w:rPr>
          <w:instrText xml:space="preserve"> PAGEREF _Toc72305445 \h </w:instrText>
        </w:r>
        <w:r>
          <w:rPr>
            <w:noProof/>
            <w:webHidden/>
          </w:rPr>
        </w:r>
        <w:r>
          <w:rPr>
            <w:noProof/>
            <w:webHidden/>
          </w:rPr>
          <w:fldChar w:fldCharType="separate"/>
        </w:r>
        <w:r>
          <w:rPr>
            <w:noProof/>
            <w:webHidden/>
          </w:rPr>
          <w:t>115</w:t>
        </w:r>
        <w:r>
          <w:rPr>
            <w:noProof/>
            <w:webHidden/>
          </w:rPr>
          <w:fldChar w:fldCharType="end"/>
        </w:r>
      </w:hyperlink>
    </w:p>
    <w:p w14:paraId="677568C9" w14:textId="26220BBC" w:rsidR="004C58ED" w:rsidRDefault="004C58ED">
      <w:pPr>
        <w:pStyle w:val="TOC2"/>
        <w:rPr>
          <w:rFonts w:asciiTheme="minorHAnsi" w:eastAsiaTheme="minorEastAsia" w:hAnsiTheme="minorHAnsi" w:cstheme="minorBidi"/>
          <w:noProof/>
          <w:sz w:val="22"/>
          <w:szCs w:val="22"/>
        </w:rPr>
      </w:pPr>
      <w:hyperlink w:anchor="_Toc72305446" w:history="1">
        <w:r w:rsidRPr="005B57E6">
          <w:rPr>
            <w:rStyle w:val="Hyperlink"/>
            <w:noProof/>
          </w:rPr>
          <w:t>CONCLUSIONS</w:t>
        </w:r>
        <w:r>
          <w:rPr>
            <w:noProof/>
            <w:webHidden/>
          </w:rPr>
          <w:tab/>
        </w:r>
        <w:r>
          <w:rPr>
            <w:noProof/>
            <w:webHidden/>
          </w:rPr>
          <w:fldChar w:fldCharType="begin"/>
        </w:r>
        <w:r>
          <w:rPr>
            <w:noProof/>
            <w:webHidden/>
          </w:rPr>
          <w:instrText xml:space="preserve"> PAGEREF _Toc72305446 \h </w:instrText>
        </w:r>
        <w:r>
          <w:rPr>
            <w:noProof/>
            <w:webHidden/>
          </w:rPr>
        </w:r>
        <w:r>
          <w:rPr>
            <w:noProof/>
            <w:webHidden/>
          </w:rPr>
          <w:fldChar w:fldCharType="separate"/>
        </w:r>
        <w:r>
          <w:rPr>
            <w:noProof/>
            <w:webHidden/>
          </w:rPr>
          <w:t>117</w:t>
        </w:r>
        <w:r>
          <w:rPr>
            <w:noProof/>
            <w:webHidden/>
          </w:rPr>
          <w:fldChar w:fldCharType="end"/>
        </w:r>
      </w:hyperlink>
    </w:p>
    <w:p w14:paraId="1E41D05F" w14:textId="4CB6CC43" w:rsidR="004C58ED" w:rsidRDefault="004C58ED">
      <w:pPr>
        <w:pStyle w:val="TOC2"/>
        <w:rPr>
          <w:rFonts w:asciiTheme="minorHAnsi" w:eastAsiaTheme="minorEastAsia" w:hAnsiTheme="minorHAnsi" w:cstheme="minorBidi"/>
          <w:noProof/>
          <w:sz w:val="22"/>
          <w:szCs w:val="22"/>
        </w:rPr>
      </w:pPr>
      <w:hyperlink w:anchor="_Toc72305447" w:history="1">
        <w:r w:rsidRPr="005B57E6">
          <w:rPr>
            <w:rStyle w:val="Hyperlink"/>
            <w:noProof/>
          </w:rPr>
          <w:t>ACKNOWLEDGEMENTS</w:t>
        </w:r>
        <w:r>
          <w:rPr>
            <w:noProof/>
            <w:webHidden/>
          </w:rPr>
          <w:tab/>
        </w:r>
        <w:r>
          <w:rPr>
            <w:noProof/>
            <w:webHidden/>
          </w:rPr>
          <w:fldChar w:fldCharType="begin"/>
        </w:r>
        <w:r>
          <w:rPr>
            <w:noProof/>
            <w:webHidden/>
          </w:rPr>
          <w:instrText xml:space="preserve"> PAGEREF _Toc72305447 \h </w:instrText>
        </w:r>
        <w:r>
          <w:rPr>
            <w:noProof/>
            <w:webHidden/>
          </w:rPr>
        </w:r>
        <w:r>
          <w:rPr>
            <w:noProof/>
            <w:webHidden/>
          </w:rPr>
          <w:fldChar w:fldCharType="separate"/>
        </w:r>
        <w:r>
          <w:rPr>
            <w:noProof/>
            <w:webHidden/>
          </w:rPr>
          <w:t>118</w:t>
        </w:r>
        <w:r>
          <w:rPr>
            <w:noProof/>
            <w:webHidden/>
          </w:rPr>
          <w:fldChar w:fldCharType="end"/>
        </w:r>
      </w:hyperlink>
    </w:p>
    <w:p w14:paraId="5DE38ED2" w14:textId="2E4CF301" w:rsidR="004C58ED" w:rsidRDefault="004C58ED">
      <w:pPr>
        <w:pStyle w:val="TOC2"/>
        <w:rPr>
          <w:rFonts w:asciiTheme="minorHAnsi" w:eastAsiaTheme="minorEastAsia" w:hAnsiTheme="minorHAnsi" w:cstheme="minorBidi"/>
          <w:noProof/>
          <w:sz w:val="22"/>
          <w:szCs w:val="22"/>
        </w:rPr>
      </w:pPr>
      <w:hyperlink w:anchor="_Toc72305448" w:history="1">
        <w:r w:rsidRPr="005B57E6">
          <w:rPr>
            <w:rStyle w:val="Hyperlink"/>
            <w:noProof/>
          </w:rPr>
          <w:t>REFERENCES</w:t>
        </w:r>
        <w:r>
          <w:rPr>
            <w:noProof/>
            <w:webHidden/>
          </w:rPr>
          <w:tab/>
        </w:r>
        <w:r>
          <w:rPr>
            <w:noProof/>
            <w:webHidden/>
          </w:rPr>
          <w:fldChar w:fldCharType="begin"/>
        </w:r>
        <w:r>
          <w:rPr>
            <w:noProof/>
            <w:webHidden/>
          </w:rPr>
          <w:instrText xml:space="preserve"> PAGEREF _Toc72305448 \h </w:instrText>
        </w:r>
        <w:r>
          <w:rPr>
            <w:noProof/>
            <w:webHidden/>
          </w:rPr>
        </w:r>
        <w:r>
          <w:rPr>
            <w:noProof/>
            <w:webHidden/>
          </w:rPr>
          <w:fldChar w:fldCharType="separate"/>
        </w:r>
        <w:r>
          <w:rPr>
            <w:noProof/>
            <w:webHidden/>
          </w:rPr>
          <w:t>119</w:t>
        </w:r>
        <w:r>
          <w:rPr>
            <w:noProof/>
            <w:webHidden/>
          </w:rPr>
          <w:fldChar w:fldCharType="end"/>
        </w:r>
      </w:hyperlink>
    </w:p>
    <w:p w14:paraId="7DEB04F9" w14:textId="6B74DE18" w:rsidR="004C58ED" w:rsidRDefault="004C58ED">
      <w:pPr>
        <w:pStyle w:val="TOC2"/>
        <w:rPr>
          <w:rFonts w:asciiTheme="minorHAnsi" w:eastAsiaTheme="minorEastAsia" w:hAnsiTheme="minorHAnsi" w:cstheme="minorBidi"/>
          <w:noProof/>
          <w:sz w:val="22"/>
          <w:szCs w:val="22"/>
        </w:rPr>
      </w:pPr>
      <w:hyperlink w:anchor="_Toc72305449" w:history="1">
        <w:r w:rsidRPr="005B57E6">
          <w:rPr>
            <w:rStyle w:val="Hyperlink"/>
            <w:noProof/>
          </w:rPr>
          <w:t>APPENDIX IIIA</w:t>
        </w:r>
        <w:r>
          <w:rPr>
            <w:noProof/>
            <w:webHidden/>
          </w:rPr>
          <w:tab/>
        </w:r>
        <w:r>
          <w:rPr>
            <w:noProof/>
            <w:webHidden/>
          </w:rPr>
          <w:fldChar w:fldCharType="begin"/>
        </w:r>
        <w:r>
          <w:rPr>
            <w:noProof/>
            <w:webHidden/>
          </w:rPr>
          <w:instrText xml:space="preserve"> PAGEREF _Toc72305449 \h </w:instrText>
        </w:r>
        <w:r>
          <w:rPr>
            <w:noProof/>
            <w:webHidden/>
          </w:rPr>
        </w:r>
        <w:r>
          <w:rPr>
            <w:noProof/>
            <w:webHidden/>
          </w:rPr>
          <w:fldChar w:fldCharType="separate"/>
        </w:r>
        <w:r>
          <w:rPr>
            <w:noProof/>
            <w:webHidden/>
          </w:rPr>
          <w:t>123</w:t>
        </w:r>
        <w:r>
          <w:rPr>
            <w:noProof/>
            <w:webHidden/>
          </w:rPr>
          <w:fldChar w:fldCharType="end"/>
        </w:r>
      </w:hyperlink>
    </w:p>
    <w:p w14:paraId="3C2AB9DF" w14:textId="281C86C7" w:rsidR="004C58ED" w:rsidRDefault="004C58ED">
      <w:pPr>
        <w:pStyle w:val="TOC1"/>
        <w:tabs>
          <w:tab w:val="right" w:leader="dot" w:pos="8630"/>
        </w:tabs>
        <w:rPr>
          <w:rFonts w:asciiTheme="minorHAnsi" w:eastAsiaTheme="minorEastAsia" w:hAnsiTheme="minorHAnsi" w:cstheme="minorBidi"/>
          <w:noProof/>
          <w:sz w:val="22"/>
          <w:szCs w:val="22"/>
        </w:rPr>
      </w:pPr>
      <w:hyperlink w:anchor="_Toc72305450" w:history="1">
        <w:r w:rsidRPr="005B57E6">
          <w:rPr>
            <w:rStyle w:val="Hyperlink"/>
            <w:rFonts w:cs="Times New Roman"/>
            <w:noProof/>
          </w:rPr>
          <w:t>VITA</w:t>
        </w:r>
        <w:r>
          <w:rPr>
            <w:noProof/>
            <w:webHidden/>
          </w:rPr>
          <w:tab/>
        </w:r>
        <w:r>
          <w:rPr>
            <w:noProof/>
            <w:webHidden/>
          </w:rPr>
          <w:fldChar w:fldCharType="begin"/>
        </w:r>
        <w:r>
          <w:rPr>
            <w:noProof/>
            <w:webHidden/>
          </w:rPr>
          <w:instrText xml:space="preserve"> PAGEREF _Toc72305450 \h </w:instrText>
        </w:r>
        <w:r>
          <w:rPr>
            <w:noProof/>
            <w:webHidden/>
          </w:rPr>
        </w:r>
        <w:r>
          <w:rPr>
            <w:noProof/>
            <w:webHidden/>
          </w:rPr>
          <w:fldChar w:fldCharType="separate"/>
        </w:r>
        <w:r>
          <w:rPr>
            <w:noProof/>
            <w:webHidden/>
          </w:rPr>
          <w:t>132</w:t>
        </w:r>
        <w:r>
          <w:rPr>
            <w:noProof/>
            <w:webHidden/>
          </w:rPr>
          <w:fldChar w:fldCharType="end"/>
        </w:r>
      </w:hyperlink>
    </w:p>
    <w:p w14:paraId="0144D002" w14:textId="4E296BC4" w:rsidR="00387656" w:rsidRPr="00B45A2A" w:rsidRDefault="00BE6C2B">
      <w:pPr>
        <w:rPr>
          <w:rFonts w:cs="Times New Roman"/>
        </w:rPr>
      </w:pPr>
      <w:r>
        <w:rPr>
          <w:rFonts w:cs="Times New Roman"/>
        </w:rPr>
        <w:fldChar w:fldCharType="end"/>
      </w:r>
    </w:p>
    <w:p w14:paraId="47EC8A95" w14:textId="77777777" w:rsidR="00387656" w:rsidRPr="00B45A2A" w:rsidRDefault="009C755C" w:rsidP="00387656">
      <w:pPr>
        <w:pStyle w:val="Title"/>
        <w:rPr>
          <w:rFonts w:ascii="Times New Roman" w:hAnsi="Times New Roman" w:cs="Times New Roman"/>
        </w:rPr>
      </w:pPr>
      <w:r w:rsidRPr="00B45A2A">
        <w:rPr>
          <w:rFonts w:ascii="Times New Roman" w:hAnsi="Times New Roman" w:cs="Times New Roman"/>
        </w:rPr>
        <w:br w:type="page"/>
      </w:r>
    </w:p>
    <w:p w14:paraId="588D5643" w14:textId="77777777" w:rsidR="00387656" w:rsidRPr="00B45A2A" w:rsidRDefault="00387656" w:rsidP="00387656">
      <w:pPr>
        <w:pStyle w:val="Title"/>
        <w:rPr>
          <w:rFonts w:ascii="Times New Roman" w:hAnsi="Times New Roman" w:cs="Times New Roman"/>
        </w:rPr>
      </w:pPr>
      <w:r w:rsidRPr="00B45A2A">
        <w:rPr>
          <w:rFonts w:ascii="Times New Roman" w:hAnsi="Times New Roman" w:cs="Times New Roman"/>
        </w:rPr>
        <w:lastRenderedPageBreak/>
        <w:t>LIST OF TABLES</w:t>
      </w:r>
    </w:p>
    <w:p w14:paraId="41332F5E" w14:textId="77777777" w:rsidR="00387656" w:rsidRPr="00B45A2A" w:rsidRDefault="00387656" w:rsidP="00387656">
      <w:pPr>
        <w:pStyle w:val="Title"/>
        <w:rPr>
          <w:rFonts w:ascii="Times New Roman" w:hAnsi="Times New Roman" w:cs="Times New Roman"/>
        </w:rPr>
      </w:pPr>
    </w:p>
    <w:p w14:paraId="24734B0D" w14:textId="6F969381" w:rsidR="00FA0ADB" w:rsidRDefault="00005219">
      <w:pPr>
        <w:pStyle w:val="TableofFigures"/>
        <w:tabs>
          <w:tab w:val="right" w:leader="dot" w:pos="8630"/>
        </w:tabs>
        <w:rPr>
          <w:rFonts w:asciiTheme="minorHAnsi" w:eastAsiaTheme="minorEastAsia" w:hAnsiTheme="minorHAnsi" w:cstheme="minorBidi"/>
          <w:noProof/>
          <w:sz w:val="22"/>
          <w:szCs w:val="22"/>
        </w:rPr>
      </w:pPr>
      <w:r>
        <w:rPr>
          <w:rFonts w:cs="Times New Roman"/>
        </w:rPr>
        <w:fldChar w:fldCharType="begin"/>
      </w:r>
      <w:r>
        <w:rPr>
          <w:rFonts w:cs="Times New Roman"/>
        </w:rPr>
        <w:instrText xml:space="preserve"> TOC \f F \h \z \t "Tables" \c </w:instrText>
      </w:r>
      <w:r>
        <w:rPr>
          <w:rFonts w:cs="Times New Roman"/>
        </w:rPr>
        <w:fldChar w:fldCharType="separate"/>
      </w:r>
      <w:hyperlink w:anchor="_Toc72300394" w:history="1">
        <w:r w:rsidR="00FA0ADB" w:rsidRPr="00DC3BD5">
          <w:rPr>
            <w:rStyle w:val="Hyperlink"/>
            <w:noProof/>
          </w:rPr>
          <w:t>Table 1.1.  Grazing days ha</w:t>
        </w:r>
        <w:r w:rsidR="00FA0ADB" w:rsidRPr="00DC3BD5">
          <w:rPr>
            <w:rStyle w:val="Hyperlink"/>
            <w:noProof/>
            <w:vertAlign w:val="superscript"/>
          </w:rPr>
          <w:t>-1</w:t>
        </w:r>
        <w:r w:rsidR="00FA0ADB" w:rsidRPr="00DC3BD5">
          <w:rPr>
            <w:rStyle w:val="Hyperlink"/>
            <w:noProof/>
          </w:rPr>
          <w:t xml:space="preserve"> for cow-calf pairs grazing interseeded cereal rye monoculture (RYE) and cereal rye, crimson clover, berseem clover, turnip, and rape polyculture (Poly) within switchgrass and big bluestem/indiangrass pastures, 2019-2020, University of Tennessee – Middle Tennessee AgResearch and Education Center, Spring Hill, TN.</w:t>
        </w:r>
        <w:r w:rsidR="00FA0ADB">
          <w:rPr>
            <w:noProof/>
            <w:webHidden/>
          </w:rPr>
          <w:tab/>
        </w:r>
        <w:r w:rsidR="00FA0ADB">
          <w:rPr>
            <w:noProof/>
            <w:webHidden/>
          </w:rPr>
          <w:fldChar w:fldCharType="begin"/>
        </w:r>
        <w:r w:rsidR="00FA0ADB">
          <w:rPr>
            <w:noProof/>
            <w:webHidden/>
          </w:rPr>
          <w:instrText xml:space="preserve"> PAGEREF _Toc72300394 \h </w:instrText>
        </w:r>
        <w:r w:rsidR="00FA0ADB">
          <w:rPr>
            <w:noProof/>
            <w:webHidden/>
          </w:rPr>
        </w:r>
        <w:r w:rsidR="00FA0ADB">
          <w:rPr>
            <w:noProof/>
            <w:webHidden/>
          </w:rPr>
          <w:fldChar w:fldCharType="separate"/>
        </w:r>
        <w:r w:rsidR="00FA0ADB">
          <w:rPr>
            <w:noProof/>
            <w:webHidden/>
          </w:rPr>
          <w:t>38</w:t>
        </w:r>
        <w:r w:rsidR="00FA0ADB">
          <w:rPr>
            <w:noProof/>
            <w:webHidden/>
          </w:rPr>
          <w:fldChar w:fldCharType="end"/>
        </w:r>
      </w:hyperlink>
    </w:p>
    <w:p w14:paraId="7612F84D" w14:textId="28FB6D6A"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395" w:history="1">
        <w:r w:rsidR="00FA0ADB" w:rsidRPr="00DC3BD5">
          <w:rPr>
            <w:rStyle w:val="Hyperlink"/>
            <w:noProof/>
          </w:rPr>
          <w:t>Table 1.2.  Plant cover (% m</w:t>
        </w:r>
        <w:r w:rsidR="00FA0ADB" w:rsidRPr="00DC3BD5">
          <w:rPr>
            <w:rStyle w:val="Hyperlink"/>
            <w:noProof/>
            <w:vertAlign w:val="superscript"/>
          </w:rPr>
          <w:t>-2</w:t>
        </w:r>
        <w:r w:rsidR="00FA0ADB" w:rsidRPr="00DC3BD5">
          <w:rPr>
            <w:rStyle w:val="Hyperlink"/>
            <w:noProof/>
          </w:rPr>
          <w:t>) of cool-season annual treatments of interseeded cereal rye and polyculture (cereal rye, turnip, rape, berseem clover, and crimson clover) within switchgrass and big bluestem/indiangrass pastures prior to grazing, 2019-2020, University of Tennessee – Middle Tennessee AgResearch and Education Center, Spring Hill, TN.</w:t>
        </w:r>
        <w:r w:rsidR="00FA0ADB">
          <w:rPr>
            <w:noProof/>
            <w:webHidden/>
          </w:rPr>
          <w:tab/>
        </w:r>
        <w:r w:rsidR="00FA0ADB">
          <w:rPr>
            <w:noProof/>
            <w:webHidden/>
          </w:rPr>
          <w:fldChar w:fldCharType="begin"/>
        </w:r>
        <w:r w:rsidR="00FA0ADB">
          <w:rPr>
            <w:noProof/>
            <w:webHidden/>
          </w:rPr>
          <w:instrText xml:space="preserve"> PAGEREF _Toc72300395 \h </w:instrText>
        </w:r>
        <w:r w:rsidR="00FA0ADB">
          <w:rPr>
            <w:noProof/>
            <w:webHidden/>
          </w:rPr>
        </w:r>
        <w:r w:rsidR="00FA0ADB">
          <w:rPr>
            <w:noProof/>
            <w:webHidden/>
          </w:rPr>
          <w:fldChar w:fldCharType="separate"/>
        </w:r>
        <w:r w:rsidR="00FA0ADB">
          <w:rPr>
            <w:noProof/>
            <w:webHidden/>
          </w:rPr>
          <w:t>38</w:t>
        </w:r>
        <w:r w:rsidR="00FA0ADB">
          <w:rPr>
            <w:noProof/>
            <w:webHidden/>
          </w:rPr>
          <w:fldChar w:fldCharType="end"/>
        </w:r>
      </w:hyperlink>
    </w:p>
    <w:p w14:paraId="50CCA638" w14:textId="44D62C15"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396" w:history="1">
        <w:r w:rsidR="00FA0ADB" w:rsidRPr="00DC3BD5">
          <w:rPr>
            <w:rStyle w:val="Hyperlink"/>
            <w:noProof/>
          </w:rPr>
          <w:t>Table 1.3.  Cool-season annual plant density (plants m</w:t>
        </w:r>
        <w:r w:rsidR="00FA0ADB" w:rsidRPr="00DC3BD5">
          <w:rPr>
            <w:rStyle w:val="Hyperlink"/>
            <w:noProof/>
            <w:vertAlign w:val="superscript"/>
          </w:rPr>
          <w:t>-2</w:t>
        </w:r>
        <w:r w:rsidR="00FA0ADB" w:rsidRPr="00DC3BD5">
          <w:rPr>
            <w:rStyle w:val="Hyperlink"/>
            <w:noProof/>
          </w:rPr>
          <w:t>) of interseeded cereal rye and polyculture (cereal rye, turnip, rape, berseem clover, and crimson clover) within switchgrass and big bluestem/indiangrass pastures prior to grazing, 2019-2020, University of Tennessee – Middle Tennessee AgResearch and Education Center, Spring Hill, TN.</w:t>
        </w:r>
        <w:r w:rsidR="00FA0ADB">
          <w:rPr>
            <w:noProof/>
            <w:webHidden/>
          </w:rPr>
          <w:tab/>
        </w:r>
        <w:r w:rsidR="00FA0ADB">
          <w:rPr>
            <w:noProof/>
            <w:webHidden/>
          </w:rPr>
          <w:fldChar w:fldCharType="begin"/>
        </w:r>
        <w:r w:rsidR="00FA0ADB">
          <w:rPr>
            <w:noProof/>
            <w:webHidden/>
          </w:rPr>
          <w:instrText xml:space="preserve"> PAGEREF _Toc72300396 \h </w:instrText>
        </w:r>
        <w:r w:rsidR="00FA0ADB">
          <w:rPr>
            <w:noProof/>
            <w:webHidden/>
          </w:rPr>
        </w:r>
        <w:r w:rsidR="00FA0ADB">
          <w:rPr>
            <w:noProof/>
            <w:webHidden/>
          </w:rPr>
          <w:fldChar w:fldCharType="separate"/>
        </w:r>
        <w:r w:rsidR="00FA0ADB">
          <w:rPr>
            <w:noProof/>
            <w:webHidden/>
          </w:rPr>
          <w:t>39</w:t>
        </w:r>
        <w:r w:rsidR="00FA0ADB">
          <w:rPr>
            <w:noProof/>
            <w:webHidden/>
          </w:rPr>
          <w:fldChar w:fldCharType="end"/>
        </w:r>
      </w:hyperlink>
    </w:p>
    <w:p w14:paraId="5611A31C" w14:textId="42FDE826"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397" w:history="1">
        <w:r w:rsidR="00FA0ADB" w:rsidRPr="00DC3BD5">
          <w:rPr>
            <w:rStyle w:val="Hyperlink"/>
            <w:noProof/>
          </w:rPr>
          <w:t xml:space="preserve">Table 1.4.  Mean crude protein (CP), acid detergent fiber (ADF), amylase neutral detergent fiber (aNDF), and </w:t>
        </w:r>
        <w:r w:rsidR="00FA0ADB" w:rsidRPr="00DC3BD5">
          <w:rPr>
            <w:rStyle w:val="Hyperlink"/>
            <w:i/>
            <w:iCs/>
            <w:noProof/>
          </w:rPr>
          <w:t>in vitro</w:t>
        </w:r>
        <w:r w:rsidR="00FA0ADB" w:rsidRPr="00DC3BD5">
          <w:rPr>
            <w:rStyle w:val="Hyperlink"/>
            <w:noProof/>
          </w:rPr>
          <w:t xml:space="preserve"> true dry matter digestibility 48 hours (IVTDMD48H) of interseeded cereal rye (RYE) and polyculture (cereal rye, turnip, rape, berseem clover, and crimson clover) within switchgrass and big bluestem/indiangrass pastures prior to grazing, 2019-2020, University of Tennessee – Middle Tennessee AgResearch and Education Center, Spring Hill, TN.</w:t>
        </w:r>
        <w:r w:rsidR="00FA0ADB">
          <w:rPr>
            <w:noProof/>
            <w:webHidden/>
          </w:rPr>
          <w:tab/>
        </w:r>
        <w:r w:rsidR="00FA0ADB">
          <w:rPr>
            <w:noProof/>
            <w:webHidden/>
          </w:rPr>
          <w:fldChar w:fldCharType="begin"/>
        </w:r>
        <w:r w:rsidR="00FA0ADB">
          <w:rPr>
            <w:noProof/>
            <w:webHidden/>
          </w:rPr>
          <w:instrText xml:space="preserve"> PAGEREF _Toc72300397 \h </w:instrText>
        </w:r>
        <w:r w:rsidR="00FA0ADB">
          <w:rPr>
            <w:noProof/>
            <w:webHidden/>
          </w:rPr>
        </w:r>
        <w:r w:rsidR="00FA0ADB">
          <w:rPr>
            <w:noProof/>
            <w:webHidden/>
          </w:rPr>
          <w:fldChar w:fldCharType="separate"/>
        </w:r>
        <w:r w:rsidR="00FA0ADB">
          <w:rPr>
            <w:noProof/>
            <w:webHidden/>
          </w:rPr>
          <w:t>39</w:t>
        </w:r>
        <w:r w:rsidR="00FA0ADB">
          <w:rPr>
            <w:noProof/>
            <w:webHidden/>
          </w:rPr>
          <w:fldChar w:fldCharType="end"/>
        </w:r>
      </w:hyperlink>
    </w:p>
    <w:p w14:paraId="7DAB512B" w14:textId="553FD523"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398" w:history="1">
        <w:r w:rsidR="00FA0ADB" w:rsidRPr="00DC3BD5">
          <w:rPr>
            <w:rStyle w:val="Hyperlink"/>
            <w:noProof/>
          </w:rPr>
          <w:t>Table 1.5.  Mixed-effects ANOVA model for switchgrass and big bluestem/indiangrass plant density (plants m</w:t>
        </w:r>
        <w:r w:rsidR="00FA0ADB" w:rsidRPr="00DC3BD5">
          <w:rPr>
            <w:rStyle w:val="Hyperlink"/>
            <w:noProof/>
            <w:vertAlign w:val="superscript"/>
          </w:rPr>
          <w:t>-2</w:t>
        </w:r>
        <w:r w:rsidR="00FA0ADB" w:rsidRPr="00DC3BD5">
          <w:rPr>
            <w:rStyle w:val="Hyperlink"/>
            <w:noProof/>
          </w:rPr>
          <w:t>) and switchgrass tillers (plant</w:t>
        </w:r>
        <w:r w:rsidR="00FA0ADB" w:rsidRPr="00DC3BD5">
          <w:rPr>
            <w:rStyle w:val="Hyperlink"/>
            <w:noProof/>
            <w:vertAlign w:val="superscript"/>
          </w:rPr>
          <w:t>-1</w:t>
        </w:r>
        <w:r w:rsidR="00FA0ADB" w:rsidRPr="00DC3BD5">
          <w:rPr>
            <w:rStyle w:val="Hyperlink"/>
            <w:noProof/>
          </w:rPr>
          <w:t>) in native pasture grazing experiments, 2018-2020, University of Tennessee – Middle Tennessee AgResearch and Education Center, Spring Hill, TN.</w:t>
        </w:r>
        <w:r w:rsidR="00FA0ADB">
          <w:rPr>
            <w:noProof/>
            <w:webHidden/>
          </w:rPr>
          <w:tab/>
        </w:r>
        <w:r w:rsidR="00FA0ADB">
          <w:rPr>
            <w:noProof/>
            <w:webHidden/>
          </w:rPr>
          <w:fldChar w:fldCharType="begin"/>
        </w:r>
        <w:r w:rsidR="00FA0ADB">
          <w:rPr>
            <w:noProof/>
            <w:webHidden/>
          </w:rPr>
          <w:instrText xml:space="preserve"> PAGEREF _Toc72300398 \h </w:instrText>
        </w:r>
        <w:r w:rsidR="00FA0ADB">
          <w:rPr>
            <w:noProof/>
            <w:webHidden/>
          </w:rPr>
        </w:r>
        <w:r w:rsidR="00FA0ADB">
          <w:rPr>
            <w:noProof/>
            <w:webHidden/>
          </w:rPr>
          <w:fldChar w:fldCharType="separate"/>
        </w:r>
        <w:r w:rsidR="00FA0ADB">
          <w:rPr>
            <w:noProof/>
            <w:webHidden/>
          </w:rPr>
          <w:t>40</w:t>
        </w:r>
        <w:r w:rsidR="00FA0ADB">
          <w:rPr>
            <w:noProof/>
            <w:webHidden/>
          </w:rPr>
          <w:fldChar w:fldCharType="end"/>
        </w:r>
      </w:hyperlink>
    </w:p>
    <w:p w14:paraId="3055E352" w14:textId="2B205521"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399" w:history="1">
        <w:r w:rsidR="00FA0ADB" w:rsidRPr="00DC3BD5">
          <w:rPr>
            <w:rStyle w:val="Hyperlink"/>
            <w:noProof/>
          </w:rPr>
          <w:t>Table 1.6.  Mixed-effects ANOVA model for hay yield (Mg ha</w:t>
        </w:r>
        <w:r w:rsidR="00FA0ADB" w:rsidRPr="00DC3BD5">
          <w:rPr>
            <w:rStyle w:val="Hyperlink"/>
            <w:noProof/>
            <w:vertAlign w:val="superscript"/>
          </w:rPr>
          <w:t>-1</w:t>
        </w:r>
        <w:r w:rsidR="00FA0ADB" w:rsidRPr="00DC3BD5">
          <w:rPr>
            <w:rStyle w:val="Hyperlink"/>
            <w:noProof/>
          </w:rPr>
          <w:t>) by cool-season annual (CSA) pasture for switchgrass and big bluestem/indiangrass pastures in native pasture grazing experiment, 2019-2020, University of Tennessee – Middle Tennessee AgResearch and Education Center, Spring Hill, TN.</w:t>
        </w:r>
        <w:r w:rsidR="00FA0ADB">
          <w:rPr>
            <w:noProof/>
            <w:webHidden/>
          </w:rPr>
          <w:tab/>
        </w:r>
        <w:r w:rsidR="00FA0ADB">
          <w:rPr>
            <w:noProof/>
            <w:webHidden/>
          </w:rPr>
          <w:fldChar w:fldCharType="begin"/>
        </w:r>
        <w:r w:rsidR="00FA0ADB">
          <w:rPr>
            <w:noProof/>
            <w:webHidden/>
          </w:rPr>
          <w:instrText xml:space="preserve"> PAGEREF _Toc72300399 \h </w:instrText>
        </w:r>
        <w:r w:rsidR="00FA0ADB">
          <w:rPr>
            <w:noProof/>
            <w:webHidden/>
          </w:rPr>
        </w:r>
        <w:r w:rsidR="00FA0ADB">
          <w:rPr>
            <w:noProof/>
            <w:webHidden/>
          </w:rPr>
          <w:fldChar w:fldCharType="separate"/>
        </w:r>
        <w:r w:rsidR="00FA0ADB">
          <w:rPr>
            <w:noProof/>
            <w:webHidden/>
          </w:rPr>
          <w:t>40</w:t>
        </w:r>
        <w:r w:rsidR="00FA0ADB">
          <w:rPr>
            <w:noProof/>
            <w:webHidden/>
          </w:rPr>
          <w:fldChar w:fldCharType="end"/>
        </w:r>
      </w:hyperlink>
    </w:p>
    <w:p w14:paraId="69FE8EA3" w14:textId="551DE7E1"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00" w:history="1">
        <w:r w:rsidR="00FA0ADB" w:rsidRPr="00DC3BD5">
          <w:rPr>
            <w:rStyle w:val="Hyperlink"/>
            <w:noProof/>
          </w:rPr>
          <w:t>Table 1.7.  Mixed-effects ANOVA model for nutritive value parameters for hay samples by cool-season annual (CSA) pasture for switchgrass and big bluestem/indiangrass pastures in native pasture grazing experiment, 2019-2020, University of Tennessee – Middle Tennessee AgResearch and Education Center, Spring Hill, TN.</w:t>
        </w:r>
        <w:r w:rsidR="00FA0ADB">
          <w:rPr>
            <w:noProof/>
            <w:webHidden/>
          </w:rPr>
          <w:tab/>
        </w:r>
        <w:r w:rsidR="00FA0ADB">
          <w:rPr>
            <w:noProof/>
            <w:webHidden/>
          </w:rPr>
          <w:fldChar w:fldCharType="begin"/>
        </w:r>
        <w:r w:rsidR="00FA0ADB">
          <w:rPr>
            <w:noProof/>
            <w:webHidden/>
          </w:rPr>
          <w:instrText xml:space="preserve"> PAGEREF _Toc72300400 \h </w:instrText>
        </w:r>
        <w:r w:rsidR="00FA0ADB">
          <w:rPr>
            <w:noProof/>
            <w:webHidden/>
          </w:rPr>
        </w:r>
        <w:r w:rsidR="00FA0ADB">
          <w:rPr>
            <w:noProof/>
            <w:webHidden/>
          </w:rPr>
          <w:fldChar w:fldCharType="separate"/>
        </w:r>
        <w:r w:rsidR="00FA0ADB">
          <w:rPr>
            <w:noProof/>
            <w:webHidden/>
          </w:rPr>
          <w:t>41</w:t>
        </w:r>
        <w:r w:rsidR="00FA0ADB">
          <w:rPr>
            <w:noProof/>
            <w:webHidden/>
          </w:rPr>
          <w:fldChar w:fldCharType="end"/>
        </w:r>
      </w:hyperlink>
    </w:p>
    <w:p w14:paraId="65B2F8DA" w14:textId="4D2E0A9B"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01" w:history="1">
        <w:r w:rsidR="00FA0ADB" w:rsidRPr="00DC3BD5">
          <w:rPr>
            <w:rStyle w:val="Hyperlink"/>
            <w:noProof/>
          </w:rPr>
          <w:t xml:space="preserve">Table 2.1.  Annual soil tests (0-15 cm; Mehlich 1) for switchgrass and big bluestem/indiangrass pastures planted with an 11-species forb blend at the </w:t>
        </w:r>
        <w:r w:rsidR="00FA0ADB" w:rsidRPr="00DC3BD5">
          <w:rPr>
            <w:rStyle w:val="Hyperlink"/>
            <w:noProof/>
          </w:rPr>
          <w:lastRenderedPageBreak/>
          <w:t>University of Tennessee – Northeast Tennessee AgResearch and Education Center, Greeneville, TN, in 2018-2020.</w:t>
        </w:r>
        <w:r w:rsidR="00FA0ADB">
          <w:rPr>
            <w:noProof/>
            <w:webHidden/>
          </w:rPr>
          <w:tab/>
        </w:r>
        <w:r w:rsidR="00FA0ADB">
          <w:rPr>
            <w:noProof/>
            <w:webHidden/>
          </w:rPr>
          <w:fldChar w:fldCharType="begin"/>
        </w:r>
        <w:r w:rsidR="00FA0ADB">
          <w:rPr>
            <w:noProof/>
            <w:webHidden/>
          </w:rPr>
          <w:instrText xml:space="preserve"> PAGEREF _Toc72300401 \h </w:instrText>
        </w:r>
        <w:r w:rsidR="00FA0ADB">
          <w:rPr>
            <w:noProof/>
            <w:webHidden/>
          </w:rPr>
        </w:r>
        <w:r w:rsidR="00FA0ADB">
          <w:rPr>
            <w:noProof/>
            <w:webHidden/>
          </w:rPr>
          <w:fldChar w:fldCharType="separate"/>
        </w:r>
        <w:r w:rsidR="00FA0ADB">
          <w:rPr>
            <w:noProof/>
            <w:webHidden/>
          </w:rPr>
          <w:t>72</w:t>
        </w:r>
        <w:r w:rsidR="00FA0ADB">
          <w:rPr>
            <w:noProof/>
            <w:webHidden/>
          </w:rPr>
          <w:fldChar w:fldCharType="end"/>
        </w:r>
      </w:hyperlink>
    </w:p>
    <w:p w14:paraId="1E01A3C8" w14:textId="25BA0561"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02" w:history="1">
        <w:r w:rsidR="00FA0ADB" w:rsidRPr="00DC3BD5">
          <w:rPr>
            <w:rStyle w:val="Hyperlink"/>
            <w:noProof/>
          </w:rPr>
          <w:t>Table 2.2.  Native warm-season forbs species planted in a mixture for native grass pasture grazing experiments, June 2017, University of Tennessee – Northeast Tennessee AgResearch and Education Center, Greeneville, TN.</w:t>
        </w:r>
        <w:r w:rsidR="00FA0ADB">
          <w:rPr>
            <w:noProof/>
            <w:webHidden/>
          </w:rPr>
          <w:tab/>
        </w:r>
        <w:r w:rsidR="00FA0ADB">
          <w:rPr>
            <w:noProof/>
            <w:webHidden/>
          </w:rPr>
          <w:fldChar w:fldCharType="begin"/>
        </w:r>
        <w:r w:rsidR="00FA0ADB">
          <w:rPr>
            <w:noProof/>
            <w:webHidden/>
          </w:rPr>
          <w:instrText xml:space="preserve"> PAGEREF _Toc72300402 \h </w:instrText>
        </w:r>
        <w:r w:rsidR="00FA0ADB">
          <w:rPr>
            <w:noProof/>
            <w:webHidden/>
          </w:rPr>
        </w:r>
        <w:r w:rsidR="00FA0ADB">
          <w:rPr>
            <w:noProof/>
            <w:webHidden/>
          </w:rPr>
          <w:fldChar w:fldCharType="separate"/>
        </w:r>
        <w:r w:rsidR="00FA0ADB">
          <w:rPr>
            <w:noProof/>
            <w:webHidden/>
          </w:rPr>
          <w:t>72</w:t>
        </w:r>
        <w:r w:rsidR="00FA0ADB">
          <w:rPr>
            <w:noProof/>
            <w:webHidden/>
          </w:rPr>
          <w:fldChar w:fldCharType="end"/>
        </w:r>
      </w:hyperlink>
    </w:p>
    <w:p w14:paraId="3FF4E84D" w14:textId="57522407"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03" w:history="1">
        <w:r w:rsidR="00FA0ADB" w:rsidRPr="00DC3BD5">
          <w:rPr>
            <w:rStyle w:val="Hyperlink"/>
            <w:noProof/>
          </w:rPr>
          <w:t>Table 2.3.  Grazing treatment dates within switchgrass and big bluestem/indiangrass pastures for native grass pasture grazing experiments, 2018-2020, University of Tennessee – Northeast Tennessee AgResearch and Education Center, Greeneville, TN.</w:t>
        </w:r>
        <w:r w:rsidR="00FA0ADB">
          <w:rPr>
            <w:noProof/>
            <w:webHidden/>
          </w:rPr>
          <w:tab/>
        </w:r>
        <w:r w:rsidR="00FA0ADB">
          <w:rPr>
            <w:noProof/>
            <w:webHidden/>
          </w:rPr>
          <w:fldChar w:fldCharType="begin"/>
        </w:r>
        <w:r w:rsidR="00FA0ADB">
          <w:rPr>
            <w:noProof/>
            <w:webHidden/>
          </w:rPr>
          <w:instrText xml:space="preserve"> PAGEREF _Toc72300403 \h </w:instrText>
        </w:r>
        <w:r w:rsidR="00FA0ADB">
          <w:rPr>
            <w:noProof/>
            <w:webHidden/>
          </w:rPr>
        </w:r>
        <w:r w:rsidR="00FA0ADB">
          <w:rPr>
            <w:noProof/>
            <w:webHidden/>
          </w:rPr>
          <w:fldChar w:fldCharType="separate"/>
        </w:r>
        <w:r w:rsidR="00FA0ADB">
          <w:rPr>
            <w:noProof/>
            <w:webHidden/>
          </w:rPr>
          <w:t>73</w:t>
        </w:r>
        <w:r w:rsidR="00FA0ADB">
          <w:rPr>
            <w:noProof/>
            <w:webHidden/>
          </w:rPr>
          <w:fldChar w:fldCharType="end"/>
        </w:r>
      </w:hyperlink>
    </w:p>
    <w:p w14:paraId="3180B81A" w14:textId="28BC9CDC"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04" w:history="1">
        <w:r w:rsidR="00FA0ADB" w:rsidRPr="00DC3BD5">
          <w:rPr>
            <w:rStyle w:val="Hyperlink"/>
            <w:noProof/>
          </w:rPr>
          <w:t>Table 2.4.  Sampling period dates for grazing treatments within switchgrass and big bluestem/indiangrass pastures for native grass pasture grazing experiments planted with an 11-species forb blend, 2019-2020, University of Tennessee – Northeast Tennessee AgResearch and Education Center, Greeneville, TN.</w:t>
        </w:r>
        <w:r w:rsidR="00FA0ADB">
          <w:rPr>
            <w:noProof/>
            <w:webHidden/>
          </w:rPr>
          <w:tab/>
        </w:r>
        <w:r w:rsidR="00FA0ADB">
          <w:rPr>
            <w:noProof/>
            <w:webHidden/>
          </w:rPr>
          <w:fldChar w:fldCharType="begin"/>
        </w:r>
        <w:r w:rsidR="00FA0ADB">
          <w:rPr>
            <w:noProof/>
            <w:webHidden/>
          </w:rPr>
          <w:instrText xml:space="preserve"> PAGEREF _Toc72300404 \h </w:instrText>
        </w:r>
        <w:r w:rsidR="00FA0ADB">
          <w:rPr>
            <w:noProof/>
            <w:webHidden/>
          </w:rPr>
        </w:r>
        <w:r w:rsidR="00FA0ADB">
          <w:rPr>
            <w:noProof/>
            <w:webHidden/>
          </w:rPr>
          <w:fldChar w:fldCharType="separate"/>
        </w:r>
        <w:r w:rsidR="00FA0ADB">
          <w:rPr>
            <w:noProof/>
            <w:webHidden/>
          </w:rPr>
          <w:t>73</w:t>
        </w:r>
        <w:r w:rsidR="00FA0ADB">
          <w:rPr>
            <w:noProof/>
            <w:webHidden/>
          </w:rPr>
          <w:fldChar w:fldCharType="end"/>
        </w:r>
      </w:hyperlink>
    </w:p>
    <w:p w14:paraId="32238707" w14:textId="6018E015"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05" w:history="1">
        <w:r w:rsidR="00FA0ADB" w:rsidRPr="00DC3BD5">
          <w:rPr>
            <w:rStyle w:val="Hyperlink"/>
            <w:noProof/>
          </w:rPr>
          <w:t>Table 2.5.  Mixed-effects ANOVA model for switchgrass tiller density and plant density of 11 native forb species within native grass pasture grazing experiment, 2018-2020, University of Tennessee – Northeast Tennessee AgResearch and Education Center, Greeneville, TN.</w:t>
        </w:r>
        <w:r w:rsidR="00FA0ADB">
          <w:rPr>
            <w:noProof/>
            <w:webHidden/>
          </w:rPr>
          <w:tab/>
        </w:r>
        <w:r w:rsidR="00FA0ADB">
          <w:rPr>
            <w:noProof/>
            <w:webHidden/>
          </w:rPr>
          <w:fldChar w:fldCharType="begin"/>
        </w:r>
        <w:r w:rsidR="00FA0ADB">
          <w:rPr>
            <w:noProof/>
            <w:webHidden/>
          </w:rPr>
          <w:instrText xml:space="preserve"> PAGEREF _Toc72300405 \h </w:instrText>
        </w:r>
        <w:r w:rsidR="00FA0ADB">
          <w:rPr>
            <w:noProof/>
            <w:webHidden/>
          </w:rPr>
        </w:r>
        <w:r w:rsidR="00FA0ADB">
          <w:rPr>
            <w:noProof/>
            <w:webHidden/>
          </w:rPr>
          <w:fldChar w:fldCharType="separate"/>
        </w:r>
        <w:r w:rsidR="00FA0ADB">
          <w:rPr>
            <w:noProof/>
            <w:webHidden/>
          </w:rPr>
          <w:t>74</w:t>
        </w:r>
        <w:r w:rsidR="00FA0ADB">
          <w:rPr>
            <w:noProof/>
            <w:webHidden/>
          </w:rPr>
          <w:fldChar w:fldCharType="end"/>
        </w:r>
      </w:hyperlink>
    </w:p>
    <w:p w14:paraId="17FFD942" w14:textId="67843BDF"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06" w:history="1">
        <w:r w:rsidR="00FA0ADB" w:rsidRPr="00DC3BD5">
          <w:rPr>
            <w:rStyle w:val="Hyperlink"/>
            <w:noProof/>
          </w:rPr>
          <w:t>Table 2.6.  Black-eyed susan mean plant density (plants m</w:t>
        </w:r>
        <w:r w:rsidR="00FA0ADB" w:rsidRPr="00DC3BD5">
          <w:rPr>
            <w:rStyle w:val="Hyperlink"/>
            <w:noProof/>
            <w:vertAlign w:val="superscript"/>
          </w:rPr>
          <w:t>-2</w:t>
        </w:r>
        <w:r w:rsidR="00FA0ADB" w:rsidRPr="00DC3BD5">
          <w:rPr>
            <w:rStyle w:val="Hyperlink"/>
            <w:noProof/>
          </w:rPr>
          <w:t>) in a switchgrass pasture for native grass pasture grazing experiment, 2018-2020, University of Tennessee – Northeast Tennessee AgResearch and Education Center, Greeneville, TN.</w:t>
        </w:r>
        <w:r w:rsidR="00FA0ADB">
          <w:rPr>
            <w:noProof/>
            <w:webHidden/>
          </w:rPr>
          <w:tab/>
        </w:r>
        <w:r w:rsidR="00FA0ADB">
          <w:rPr>
            <w:noProof/>
            <w:webHidden/>
          </w:rPr>
          <w:fldChar w:fldCharType="begin"/>
        </w:r>
        <w:r w:rsidR="00FA0ADB">
          <w:rPr>
            <w:noProof/>
            <w:webHidden/>
          </w:rPr>
          <w:instrText xml:space="preserve"> PAGEREF _Toc72300406 \h </w:instrText>
        </w:r>
        <w:r w:rsidR="00FA0ADB">
          <w:rPr>
            <w:noProof/>
            <w:webHidden/>
          </w:rPr>
        </w:r>
        <w:r w:rsidR="00FA0ADB">
          <w:rPr>
            <w:noProof/>
            <w:webHidden/>
          </w:rPr>
          <w:fldChar w:fldCharType="separate"/>
        </w:r>
        <w:r w:rsidR="00FA0ADB">
          <w:rPr>
            <w:noProof/>
            <w:webHidden/>
          </w:rPr>
          <w:t>75</w:t>
        </w:r>
        <w:r w:rsidR="00FA0ADB">
          <w:rPr>
            <w:noProof/>
            <w:webHidden/>
          </w:rPr>
          <w:fldChar w:fldCharType="end"/>
        </w:r>
      </w:hyperlink>
    </w:p>
    <w:p w14:paraId="4D3E77EA" w14:textId="488C89E4"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07" w:history="1">
        <w:r w:rsidR="00FA0ADB" w:rsidRPr="00DC3BD5">
          <w:rPr>
            <w:rStyle w:val="Hyperlink"/>
            <w:noProof/>
          </w:rPr>
          <w:t>Table 2.7.  Mean plant density (plants m</w:t>
        </w:r>
        <w:r w:rsidR="00FA0ADB" w:rsidRPr="00DC3BD5">
          <w:rPr>
            <w:rStyle w:val="Hyperlink"/>
            <w:noProof/>
            <w:vertAlign w:val="superscript"/>
          </w:rPr>
          <w:t>-2</w:t>
        </w:r>
        <w:r w:rsidR="00FA0ADB" w:rsidRPr="00DC3BD5">
          <w:rPr>
            <w:rStyle w:val="Hyperlink"/>
            <w:noProof/>
          </w:rPr>
          <w:t>) for DITI, LANC, and PPEA for grazing treatment by year in a switchgrass pasture for native grass pasture grazing experiment, 2018-2020, University of Tennessee – Northeast Tennessee AgResearch and Education Center, Greeneville, TN.</w:t>
        </w:r>
        <w:r w:rsidR="00FA0ADB">
          <w:rPr>
            <w:noProof/>
            <w:webHidden/>
          </w:rPr>
          <w:tab/>
        </w:r>
        <w:r w:rsidR="00FA0ADB">
          <w:rPr>
            <w:noProof/>
            <w:webHidden/>
          </w:rPr>
          <w:fldChar w:fldCharType="begin"/>
        </w:r>
        <w:r w:rsidR="00FA0ADB">
          <w:rPr>
            <w:noProof/>
            <w:webHidden/>
          </w:rPr>
          <w:instrText xml:space="preserve"> PAGEREF _Toc72300407 \h </w:instrText>
        </w:r>
        <w:r w:rsidR="00FA0ADB">
          <w:rPr>
            <w:noProof/>
            <w:webHidden/>
          </w:rPr>
        </w:r>
        <w:r w:rsidR="00FA0ADB">
          <w:rPr>
            <w:noProof/>
            <w:webHidden/>
          </w:rPr>
          <w:fldChar w:fldCharType="separate"/>
        </w:r>
        <w:r w:rsidR="00FA0ADB">
          <w:rPr>
            <w:noProof/>
            <w:webHidden/>
          </w:rPr>
          <w:t>76</w:t>
        </w:r>
        <w:r w:rsidR="00FA0ADB">
          <w:rPr>
            <w:noProof/>
            <w:webHidden/>
          </w:rPr>
          <w:fldChar w:fldCharType="end"/>
        </w:r>
      </w:hyperlink>
    </w:p>
    <w:p w14:paraId="708B3C06" w14:textId="5196F225"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08" w:history="1">
        <w:r w:rsidR="00FA0ADB" w:rsidRPr="00DC3BD5">
          <w:rPr>
            <w:rStyle w:val="Hyperlink"/>
            <w:noProof/>
          </w:rPr>
          <w:t>Table 2.8.  Mean plant density (plants m</w:t>
        </w:r>
        <w:r w:rsidR="00FA0ADB" w:rsidRPr="00DC3BD5">
          <w:rPr>
            <w:rStyle w:val="Hyperlink"/>
            <w:noProof/>
            <w:vertAlign w:val="superscript"/>
          </w:rPr>
          <w:t>-2</w:t>
        </w:r>
        <w:r w:rsidR="00FA0ADB" w:rsidRPr="00DC3BD5">
          <w:rPr>
            <w:rStyle w:val="Hyperlink"/>
            <w:noProof/>
          </w:rPr>
          <w:t>) for DITI, LANC, OXEY, PLAC, and PPEA for period by year in a switchgrass pasture for native grass pasture grazing experiment, 2018-2020, University of Tennessee – Northeast Tennessee AgResearch and Education Center, Greeneville, TN.</w:t>
        </w:r>
        <w:r w:rsidR="00FA0ADB">
          <w:rPr>
            <w:noProof/>
            <w:webHidden/>
          </w:rPr>
          <w:tab/>
        </w:r>
        <w:r w:rsidR="00FA0ADB">
          <w:rPr>
            <w:noProof/>
            <w:webHidden/>
          </w:rPr>
          <w:fldChar w:fldCharType="begin"/>
        </w:r>
        <w:r w:rsidR="00FA0ADB">
          <w:rPr>
            <w:noProof/>
            <w:webHidden/>
          </w:rPr>
          <w:instrText xml:space="preserve"> PAGEREF _Toc72300408 \h </w:instrText>
        </w:r>
        <w:r w:rsidR="00FA0ADB">
          <w:rPr>
            <w:noProof/>
            <w:webHidden/>
          </w:rPr>
        </w:r>
        <w:r w:rsidR="00FA0ADB">
          <w:rPr>
            <w:noProof/>
            <w:webHidden/>
          </w:rPr>
          <w:fldChar w:fldCharType="separate"/>
        </w:r>
        <w:r w:rsidR="00FA0ADB">
          <w:rPr>
            <w:noProof/>
            <w:webHidden/>
          </w:rPr>
          <w:t>77</w:t>
        </w:r>
        <w:r w:rsidR="00FA0ADB">
          <w:rPr>
            <w:noProof/>
            <w:webHidden/>
          </w:rPr>
          <w:fldChar w:fldCharType="end"/>
        </w:r>
      </w:hyperlink>
    </w:p>
    <w:p w14:paraId="288AA13A" w14:textId="54BA9FC1"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09" w:history="1">
        <w:r w:rsidR="00FA0ADB" w:rsidRPr="00DC3BD5">
          <w:rPr>
            <w:rStyle w:val="Hyperlink"/>
            <w:noProof/>
          </w:rPr>
          <w:t>Table 2.9.  Forb species overall rank for abundance, persistence, and flowering for 11 native forb species planted within switchgrass and big bluestem/indiangrass pastures for native grass pasture grazing experiments, 2018-2020, University of Tennessee – Northeast Tennessee AgResearch and Education Center, Greeneville, TN.</w:t>
        </w:r>
        <w:r w:rsidR="00FA0ADB">
          <w:rPr>
            <w:noProof/>
            <w:webHidden/>
          </w:rPr>
          <w:tab/>
        </w:r>
        <w:r w:rsidR="00FA0ADB">
          <w:rPr>
            <w:noProof/>
            <w:webHidden/>
          </w:rPr>
          <w:fldChar w:fldCharType="begin"/>
        </w:r>
        <w:r w:rsidR="00FA0ADB">
          <w:rPr>
            <w:noProof/>
            <w:webHidden/>
          </w:rPr>
          <w:instrText xml:space="preserve"> PAGEREF _Toc72300409 \h </w:instrText>
        </w:r>
        <w:r w:rsidR="00FA0ADB">
          <w:rPr>
            <w:noProof/>
            <w:webHidden/>
          </w:rPr>
        </w:r>
        <w:r w:rsidR="00FA0ADB">
          <w:rPr>
            <w:noProof/>
            <w:webHidden/>
          </w:rPr>
          <w:fldChar w:fldCharType="separate"/>
        </w:r>
        <w:r w:rsidR="00FA0ADB">
          <w:rPr>
            <w:noProof/>
            <w:webHidden/>
          </w:rPr>
          <w:t>78</w:t>
        </w:r>
        <w:r w:rsidR="00FA0ADB">
          <w:rPr>
            <w:noProof/>
            <w:webHidden/>
          </w:rPr>
          <w:fldChar w:fldCharType="end"/>
        </w:r>
      </w:hyperlink>
    </w:p>
    <w:p w14:paraId="6957E909" w14:textId="2C1ABBD1"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10" w:history="1">
        <w:r w:rsidR="00FA0ADB" w:rsidRPr="00DC3BD5">
          <w:rPr>
            <w:rStyle w:val="Hyperlink"/>
            <w:noProof/>
          </w:rPr>
          <w:t>Table 2.10.  Mixed-effects ANOVA model for big bluestem/indiangrass tiller density and plant density of 11 native forb species for native grass pasture grazing experiment, 2018-2020, University of Tennessee – Northeast Tennessee AgResearch and Education Center, Greeneville, TN.</w:t>
        </w:r>
        <w:r w:rsidR="00FA0ADB">
          <w:rPr>
            <w:noProof/>
            <w:webHidden/>
          </w:rPr>
          <w:tab/>
        </w:r>
        <w:r w:rsidR="00FA0ADB">
          <w:rPr>
            <w:noProof/>
            <w:webHidden/>
          </w:rPr>
          <w:fldChar w:fldCharType="begin"/>
        </w:r>
        <w:r w:rsidR="00FA0ADB">
          <w:rPr>
            <w:noProof/>
            <w:webHidden/>
          </w:rPr>
          <w:instrText xml:space="preserve"> PAGEREF _Toc72300410 \h </w:instrText>
        </w:r>
        <w:r w:rsidR="00FA0ADB">
          <w:rPr>
            <w:noProof/>
            <w:webHidden/>
          </w:rPr>
        </w:r>
        <w:r w:rsidR="00FA0ADB">
          <w:rPr>
            <w:noProof/>
            <w:webHidden/>
          </w:rPr>
          <w:fldChar w:fldCharType="separate"/>
        </w:r>
        <w:r w:rsidR="00FA0ADB">
          <w:rPr>
            <w:noProof/>
            <w:webHidden/>
          </w:rPr>
          <w:t>79</w:t>
        </w:r>
        <w:r w:rsidR="00FA0ADB">
          <w:rPr>
            <w:noProof/>
            <w:webHidden/>
          </w:rPr>
          <w:fldChar w:fldCharType="end"/>
        </w:r>
      </w:hyperlink>
    </w:p>
    <w:p w14:paraId="6C93FC99" w14:textId="400E0875"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11" w:history="1">
        <w:r w:rsidR="00FA0ADB" w:rsidRPr="00DC3BD5">
          <w:rPr>
            <w:rStyle w:val="Hyperlink"/>
            <w:noProof/>
          </w:rPr>
          <w:t>Table 2.11.  Mean plant density (plants m</w:t>
        </w:r>
        <w:r w:rsidR="00FA0ADB" w:rsidRPr="00DC3BD5">
          <w:rPr>
            <w:rStyle w:val="Hyperlink"/>
            <w:noProof/>
            <w:vertAlign w:val="superscript"/>
          </w:rPr>
          <w:t>-2</w:t>
        </w:r>
        <w:r w:rsidR="00FA0ADB" w:rsidRPr="00DC3BD5">
          <w:rPr>
            <w:rStyle w:val="Hyperlink"/>
            <w:noProof/>
          </w:rPr>
          <w:t>) for PCON for grazing treatment by year in a big bluestem/indiangrass pasture for native grass pasture grazing experiment, 2018-2020, University of Tennessee – Northeast Tennessee AgResearch and Education Center, Greeneville, TN.</w:t>
        </w:r>
        <w:r w:rsidR="00FA0ADB">
          <w:rPr>
            <w:noProof/>
            <w:webHidden/>
          </w:rPr>
          <w:tab/>
        </w:r>
        <w:r w:rsidR="00FA0ADB">
          <w:rPr>
            <w:noProof/>
            <w:webHidden/>
          </w:rPr>
          <w:fldChar w:fldCharType="begin"/>
        </w:r>
        <w:r w:rsidR="00FA0ADB">
          <w:rPr>
            <w:noProof/>
            <w:webHidden/>
          </w:rPr>
          <w:instrText xml:space="preserve"> PAGEREF _Toc72300411 \h </w:instrText>
        </w:r>
        <w:r w:rsidR="00FA0ADB">
          <w:rPr>
            <w:noProof/>
            <w:webHidden/>
          </w:rPr>
        </w:r>
        <w:r w:rsidR="00FA0ADB">
          <w:rPr>
            <w:noProof/>
            <w:webHidden/>
          </w:rPr>
          <w:fldChar w:fldCharType="separate"/>
        </w:r>
        <w:r w:rsidR="00FA0ADB">
          <w:rPr>
            <w:noProof/>
            <w:webHidden/>
          </w:rPr>
          <w:t>80</w:t>
        </w:r>
        <w:r w:rsidR="00FA0ADB">
          <w:rPr>
            <w:noProof/>
            <w:webHidden/>
          </w:rPr>
          <w:fldChar w:fldCharType="end"/>
        </w:r>
      </w:hyperlink>
    </w:p>
    <w:p w14:paraId="044E5CDE" w14:textId="756EB148"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12" w:history="1">
        <w:r w:rsidR="00FA0ADB" w:rsidRPr="00DC3BD5">
          <w:rPr>
            <w:rStyle w:val="Hyperlink"/>
            <w:noProof/>
          </w:rPr>
          <w:t>Table 2.12.  Mean plant density (plants m</w:t>
        </w:r>
        <w:r w:rsidR="00FA0ADB" w:rsidRPr="00DC3BD5">
          <w:rPr>
            <w:rStyle w:val="Hyperlink"/>
            <w:noProof/>
            <w:vertAlign w:val="superscript"/>
          </w:rPr>
          <w:t>-2</w:t>
        </w:r>
        <w:r w:rsidR="00FA0ADB" w:rsidRPr="00DC3BD5">
          <w:rPr>
            <w:rStyle w:val="Hyperlink"/>
            <w:noProof/>
          </w:rPr>
          <w:t>) for BESU and MAXI for grazing treatment  by period in a big bluestem/indiangrass pasture for native grass pasture grazing experiment, 2018-2020, University of Tennessee – Northeast Tennessee AgResearch and Education Center, Greeneville, TN.</w:t>
        </w:r>
        <w:r w:rsidR="00FA0ADB">
          <w:rPr>
            <w:noProof/>
            <w:webHidden/>
          </w:rPr>
          <w:tab/>
        </w:r>
        <w:r w:rsidR="00FA0ADB">
          <w:rPr>
            <w:noProof/>
            <w:webHidden/>
          </w:rPr>
          <w:fldChar w:fldCharType="begin"/>
        </w:r>
        <w:r w:rsidR="00FA0ADB">
          <w:rPr>
            <w:noProof/>
            <w:webHidden/>
          </w:rPr>
          <w:instrText xml:space="preserve"> PAGEREF _Toc72300412 \h </w:instrText>
        </w:r>
        <w:r w:rsidR="00FA0ADB">
          <w:rPr>
            <w:noProof/>
            <w:webHidden/>
          </w:rPr>
        </w:r>
        <w:r w:rsidR="00FA0ADB">
          <w:rPr>
            <w:noProof/>
            <w:webHidden/>
          </w:rPr>
          <w:fldChar w:fldCharType="separate"/>
        </w:r>
        <w:r w:rsidR="00FA0ADB">
          <w:rPr>
            <w:noProof/>
            <w:webHidden/>
          </w:rPr>
          <w:t>80</w:t>
        </w:r>
        <w:r w:rsidR="00FA0ADB">
          <w:rPr>
            <w:noProof/>
            <w:webHidden/>
          </w:rPr>
          <w:fldChar w:fldCharType="end"/>
        </w:r>
      </w:hyperlink>
    </w:p>
    <w:p w14:paraId="4D4D57B0" w14:textId="579C1CD1"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13" w:history="1">
        <w:r w:rsidR="00FA0ADB" w:rsidRPr="00DC3BD5">
          <w:rPr>
            <w:rStyle w:val="Hyperlink"/>
            <w:noProof/>
          </w:rPr>
          <w:t>Table 2.13.  Mean plant density (plants m</w:t>
        </w:r>
        <w:r w:rsidR="00FA0ADB" w:rsidRPr="00DC3BD5">
          <w:rPr>
            <w:rStyle w:val="Hyperlink"/>
            <w:noProof/>
            <w:vertAlign w:val="superscript"/>
          </w:rPr>
          <w:t>-2</w:t>
        </w:r>
        <w:r w:rsidR="00FA0ADB" w:rsidRPr="00DC3BD5">
          <w:rPr>
            <w:rStyle w:val="Hyperlink"/>
            <w:noProof/>
          </w:rPr>
          <w:t>) for BESU, LANC, OXEY, PCON, and PLAC for period by year in a big bluestem/indiangrass pasture for native grass pasture grazing experiment, 2018-2020, University of Tennessee – Northeast Tennessee AgResearch and Education Center, Greeneville, TN.</w:t>
        </w:r>
        <w:r w:rsidR="00FA0ADB">
          <w:rPr>
            <w:noProof/>
            <w:webHidden/>
          </w:rPr>
          <w:tab/>
        </w:r>
        <w:r w:rsidR="00FA0ADB">
          <w:rPr>
            <w:noProof/>
            <w:webHidden/>
          </w:rPr>
          <w:fldChar w:fldCharType="begin"/>
        </w:r>
        <w:r w:rsidR="00FA0ADB">
          <w:rPr>
            <w:noProof/>
            <w:webHidden/>
          </w:rPr>
          <w:instrText xml:space="preserve"> PAGEREF _Toc72300413 \h </w:instrText>
        </w:r>
        <w:r w:rsidR="00FA0ADB">
          <w:rPr>
            <w:noProof/>
            <w:webHidden/>
          </w:rPr>
        </w:r>
        <w:r w:rsidR="00FA0ADB">
          <w:rPr>
            <w:noProof/>
            <w:webHidden/>
          </w:rPr>
          <w:fldChar w:fldCharType="separate"/>
        </w:r>
        <w:r w:rsidR="00FA0ADB">
          <w:rPr>
            <w:noProof/>
            <w:webHidden/>
          </w:rPr>
          <w:t>81</w:t>
        </w:r>
        <w:r w:rsidR="00FA0ADB">
          <w:rPr>
            <w:noProof/>
            <w:webHidden/>
          </w:rPr>
          <w:fldChar w:fldCharType="end"/>
        </w:r>
      </w:hyperlink>
    </w:p>
    <w:p w14:paraId="2B29C6C4" w14:textId="6C2468CB"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14" w:history="1">
        <w:r w:rsidR="00FA0ADB" w:rsidRPr="00DC3BD5">
          <w:rPr>
            <w:rStyle w:val="Hyperlink"/>
            <w:noProof/>
          </w:rPr>
          <w:t>Table 2.14.  Mixed-effects ANOVA model for forb, switchgrass, and total forage mass across within-season rest treatments sampled within sampling date in a switchgrass and native forb pasture for native grass pasture grazing experiment, 2019, University of Tennessee – Northeast Tennessee AgResearch and Education Center, Greeneville, TN.</w:t>
        </w:r>
        <w:r w:rsidR="00FA0ADB">
          <w:rPr>
            <w:noProof/>
            <w:webHidden/>
          </w:rPr>
          <w:tab/>
        </w:r>
        <w:r w:rsidR="00FA0ADB">
          <w:rPr>
            <w:noProof/>
            <w:webHidden/>
          </w:rPr>
          <w:fldChar w:fldCharType="begin"/>
        </w:r>
        <w:r w:rsidR="00FA0ADB">
          <w:rPr>
            <w:noProof/>
            <w:webHidden/>
          </w:rPr>
          <w:instrText xml:space="preserve"> PAGEREF _Toc72300414 \h </w:instrText>
        </w:r>
        <w:r w:rsidR="00FA0ADB">
          <w:rPr>
            <w:noProof/>
            <w:webHidden/>
          </w:rPr>
        </w:r>
        <w:r w:rsidR="00FA0ADB">
          <w:rPr>
            <w:noProof/>
            <w:webHidden/>
          </w:rPr>
          <w:fldChar w:fldCharType="separate"/>
        </w:r>
        <w:r w:rsidR="00FA0ADB">
          <w:rPr>
            <w:noProof/>
            <w:webHidden/>
          </w:rPr>
          <w:t>82</w:t>
        </w:r>
        <w:r w:rsidR="00FA0ADB">
          <w:rPr>
            <w:noProof/>
            <w:webHidden/>
          </w:rPr>
          <w:fldChar w:fldCharType="end"/>
        </w:r>
      </w:hyperlink>
    </w:p>
    <w:p w14:paraId="7CBB2025" w14:textId="5C5A8299"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15" w:history="1">
        <w:r w:rsidR="00FA0ADB" w:rsidRPr="00DC3BD5">
          <w:rPr>
            <w:rStyle w:val="Hyperlink"/>
            <w:noProof/>
          </w:rPr>
          <w:t>Table 2.15.  Mixed-effects ANOVA model for forb, big bluestem/indiangrass, and total forage mass across within-season rest treatments sampled within sampling date in a big bluestem/indiangrass and native forb pasture for native grass pasture grazing experiment, 2019, University of Tennessee – Northeast Tennessee AgResearch and Education Center, Greeneville, TN.</w:t>
        </w:r>
        <w:r w:rsidR="00FA0ADB">
          <w:rPr>
            <w:noProof/>
            <w:webHidden/>
          </w:rPr>
          <w:tab/>
        </w:r>
        <w:r w:rsidR="00FA0ADB">
          <w:rPr>
            <w:noProof/>
            <w:webHidden/>
          </w:rPr>
          <w:fldChar w:fldCharType="begin"/>
        </w:r>
        <w:r w:rsidR="00FA0ADB">
          <w:rPr>
            <w:noProof/>
            <w:webHidden/>
          </w:rPr>
          <w:instrText xml:space="preserve"> PAGEREF _Toc72300415 \h </w:instrText>
        </w:r>
        <w:r w:rsidR="00FA0ADB">
          <w:rPr>
            <w:noProof/>
            <w:webHidden/>
          </w:rPr>
        </w:r>
        <w:r w:rsidR="00FA0ADB">
          <w:rPr>
            <w:noProof/>
            <w:webHidden/>
          </w:rPr>
          <w:fldChar w:fldCharType="separate"/>
        </w:r>
        <w:r w:rsidR="00FA0ADB">
          <w:rPr>
            <w:noProof/>
            <w:webHidden/>
          </w:rPr>
          <w:t>83</w:t>
        </w:r>
        <w:r w:rsidR="00FA0ADB">
          <w:rPr>
            <w:noProof/>
            <w:webHidden/>
          </w:rPr>
          <w:fldChar w:fldCharType="end"/>
        </w:r>
      </w:hyperlink>
    </w:p>
    <w:p w14:paraId="31CD2E91" w14:textId="7C107636"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16" w:history="1">
        <w:r w:rsidR="00FA0ADB" w:rsidRPr="00DC3BD5">
          <w:rPr>
            <w:rStyle w:val="Hyperlink"/>
            <w:noProof/>
          </w:rPr>
          <w:t>Table 2.16.  Mixed-effects ANOVA model for forage nutritive value parameters across within-rest treatments sampled within sampling date in a big bluestem/indiangrass and native forb pasture for native grass pasture grazing experiment, 2019, University of Tennessee – Northeast Tennessee AgResearch and Education Center, Greeneville, TN.</w:t>
        </w:r>
        <w:r w:rsidR="00FA0ADB">
          <w:rPr>
            <w:noProof/>
            <w:webHidden/>
          </w:rPr>
          <w:tab/>
        </w:r>
        <w:r w:rsidR="00FA0ADB">
          <w:rPr>
            <w:noProof/>
            <w:webHidden/>
          </w:rPr>
          <w:fldChar w:fldCharType="begin"/>
        </w:r>
        <w:r w:rsidR="00FA0ADB">
          <w:rPr>
            <w:noProof/>
            <w:webHidden/>
          </w:rPr>
          <w:instrText xml:space="preserve"> PAGEREF _Toc72300416 \h </w:instrText>
        </w:r>
        <w:r w:rsidR="00FA0ADB">
          <w:rPr>
            <w:noProof/>
            <w:webHidden/>
          </w:rPr>
        </w:r>
        <w:r w:rsidR="00FA0ADB">
          <w:rPr>
            <w:noProof/>
            <w:webHidden/>
          </w:rPr>
          <w:fldChar w:fldCharType="separate"/>
        </w:r>
        <w:r w:rsidR="00FA0ADB">
          <w:rPr>
            <w:noProof/>
            <w:webHidden/>
          </w:rPr>
          <w:t>84</w:t>
        </w:r>
        <w:r w:rsidR="00FA0ADB">
          <w:rPr>
            <w:noProof/>
            <w:webHidden/>
          </w:rPr>
          <w:fldChar w:fldCharType="end"/>
        </w:r>
      </w:hyperlink>
    </w:p>
    <w:p w14:paraId="278045B9" w14:textId="7C10AFB1"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17" w:history="1">
        <w:r w:rsidR="00FA0ADB" w:rsidRPr="00DC3BD5">
          <w:rPr>
            <w:rStyle w:val="Hyperlink"/>
            <w:noProof/>
          </w:rPr>
          <w:t>Table 2.17.  Chi-square test for native forb flowering of an 11-species forb blend planted within switchgrass and big bluestem/indiangrass pastures for native grass pasture grazing experiments, 2019-2020, University of Tennessee – Northeast Tennessee AgResearch and Education Center, Greeneville, TN.</w:t>
        </w:r>
        <w:r w:rsidR="00FA0ADB">
          <w:rPr>
            <w:noProof/>
            <w:webHidden/>
          </w:rPr>
          <w:tab/>
        </w:r>
        <w:r w:rsidR="00FA0ADB">
          <w:rPr>
            <w:noProof/>
            <w:webHidden/>
          </w:rPr>
          <w:fldChar w:fldCharType="begin"/>
        </w:r>
        <w:r w:rsidR="00FA0ADB">
          <w:rPr>
            <w:noProof/>
            <w:webHidden/>
          </w:rPr>
          <w:instrText xml:space="preserve"> PAGEREF _Toc72300417 \h </w:instrText>
        </w:r>
        <w:r w:rsidR="00FA0ADB">
          <w:rPr>
            <w:noProof/>
            <w:webHidden/>
          </w:rPr>
        </w:r>
        <w:r w:rsidR="00FA0ADB">
          <w:rPr>
            <w:noProof/>
            <w:webHidden/>
          </w:rPr>
          <w:fldChar w:fldCharType="separate"/>
        </w:r>
        <w:r w:rsidR="00FA0ADB">
          <w:rPr>
            <w:noProof/>
            <w:webHidden/>
          </w:rPr>
          <w:t>85</w:t>
        </w:r>
        <w:r w:rsidR="00FA0ADB">
          <w:rPr>
            <w:noProof/>
            <w:webHidden/>
          </w:rPr>
          <w:fldChar w:fldCharType="end"/>
        </w:r>
      </w:hyperlink>
    </w:p>
    <w:p w14:paraId="7EFF83E6" w14:textId="1D0F3FCB"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18" w:history="1">
        <w:r w:rsidR="00FA0ADB" w:rsidRPr="00DC3BD5">
          <w:rPr>
            <w:rStyle w:val="Hyperlink"/>
            <w:noProof/>
          </w:rPr>
          <w:t>Table 3A.1. Harvest dates for browntop millet defoliation strategies for big bluestem and switchgrass at each site at East Tennessee AgResearch and Education Center-Plant Science Unit, Knoxville, TN, during establishment experiments in 2016 and 2017.</w:t>
        </w:r>
        <w:r w:rsidR="00FA0ADB">
          <w:rPr>
            <w:noProof/>
            <w:webHidden/>
          </w:rPr>
          <w:tab/>
        </w:r>
        <w:r w:rsidR="00FA0ADB">
          <w:rPr>
            <w:noProof/>
            <w:webHidden/>
          </w:rPr>
          <w:fldChar w:fldCharType="begin"/>
        </w:r>
        <w:r w:rsidR="00FA0ADB">
          <w:rPr>
            <w:noProof/>
            <w:webHidden/>
          </w:rPr>
          <w:instrText xml:space="preserve"> PAGEREF _Toc72300418 \h </w:instrText>
        </w:r>
        <w:r w:rsidR="00FA0ADB">
          <w:rPr>
            <w:noProof/>
            <w:webHidden/>
          </w:rPr>
        </w:r>
        <w:r w:rsidR="00FA0ADB">
          <w:rPr>
            <w:noProof/>
            <w:webHidden/>
          </w:rPr>
          <w:fldChar w:fldCharType="separate"/>
        </w:r>
        <w:r w:rsidR="00FA0ADB">
          <w:rPr>
            <w:noProof/>
            <w:webHidden/>
          </w:rPr>
          <w:t>122</w:t>
        </w:r>
        <w:r w:rsidR="00FA0ADB">
          <w:rPr>
            <w:noProof/>
            <w:webHidden/>
          </w:rPr>
          <w:fldChar w:fldCharType="end"/>
        </w:r>
      </w:hyperlink>
    </w:p>
    <w:p w14:paraId="2B740983" w14:textId="31266469"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19" w:history="1">
        <w:r w:rsidR="00FA0ADB" w:rsidRPr="00DC3BD5">
          <w:rPr>
            <w:rStyle w:val="Hyperlink"/>
            <w:noProof/>
          </w:rPr>
          <w:t xml:space="preserve">Table 3A.2. Mixed-effects ANOVA model results for establishment-year plant density of big bluestem seedlings, weeds, and browntop millet (BTM) + weeds at each site at </w:t>
        </w:r>
        <w:r w:rsidR="00FA0ADB" w:rsidRPr="00DC3BD5">
          <w:rPr>
            <w:rStyle w:val="Hyperlink"/>
            <w:noProof/>
          </w:rPr>
          <w:lastRenderedPageBreak/>
          <w:t>East Tennessee AgResearch and Education Center-Plant Science Unit, Knoxville, TN, 2016-2017, during a big bluestem establishment experiment.</w:t>
        </w:r>
        <w:r w:rsidR="00FA0ADB">
          <w:rPr>
            <w:noProof/>
            <w:webHidden/>
          </w:rPr>
          <w:tab/>
        </w:r>
        <w:r w:rsidR="00FA0ADB">
          <w:rPr>
            <w:noProof/>
            <w:webHidden/>
          </w:rPr>
          <w:fldChar w:fldCharType="begin"/>
        </w:r>
        <w:r w:rsidR="00FA0ADB">
          <w:rPr>
            <w:noProof/>
            <w:webHidden/>
          </w:rPr>
          <w:instrText xml:space="preserve"> PAGEREF _Toc72300419 \h </w:instrText>
        </w:r>
        <w:r w:rsidR="00FA0ADB">
          <w:rPr>
            <w:noProof/>
            <w:webHidden/>
          </w:rPr>
        </w:r>
        <w:r w:rsidR="00FA0ADB">
          <w:rPr>
            <w:noProof/>
            <w:webHidden/>
          </w:rPr>
          <w:fldChar w:fldCharType="separate"/>
        </w:r>
        <w:r w:rsidR="00FA0ADB">
          <w:rPr>
            <w:noProof/>
            <w:webHidden/>
          </w:rPr>
          <w:t>123</w:t>
        </w:r>
        <w:r w:rsidR="00FA0ADB">
          <w:rPr>
            <w:noProof/>
            <w:webHidden/>
          </w:rPr>
          <w:fldChar w:fldCharType="end"/>
        </w:r>
      </w:hyperlink>
    </w:p>
    <w:p w14:paraId="1D9DC347" w14:textId="4DBC2A9B"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20" w:history="1">
        <w:r w:rsidR="00FA0ADB" w:rsidRPr="00DC3BD5">
          <w:rPr>
            <w:rStyle w:val="Hyperlink"/>
            <w:noProof/>
          </w:rPr>
          <w:t>Table 3A.3. Mixed-effects ANOVA model results for big bluestem and switchgrass second-year biomass dry matter yield for each site at East Tennessee AgResearch and Education Center-Plant Science Unit, Knoxville, TN, during establishment experiments.  Harvests were conducted in 2017 and 2018 for Site 1 and 2, respectively.</w:t>
        </w:r>
        <w:r w:rsidR="00FA0ADB">
          <w:rPr>
            <w:noProof/>
            <w:webHidden/>
          </w:rPr>
          <w:tab/>
        </w:r>
        <w:r w:rsidR="00FA0ADB">
          <w:rPr>
            <w:noProof/>
            <w:webHidden/>
          </w:rPr>
          <w:fldChar w:fldCharType="begin"/>
        </w:r>
        <w:r w:rsidR="00FA0ADB">
          <w:rPr>
            <w:noProof/>
            <w:webHidden/>
          </w:rPr>
          <w:instrText xml:space="preserve"> PAGEREF _Toc72300420 \h </w:instrText>
        </w:r>
        <w:r w:rsidR="00FA0ADB">
          <w:rPr>
            <w:noProof/>
            <w:webHidden/>
          </w:rPr>
        </w:r>
        <w:r w:rsidR="00FA0ADB">
          <w:rPr>
            <w:noProof/>
            <w:webHidden/>
          </w:rPr>
          <w:fldChar w:fldCharType="separate"/>
        </w:r>
        <w:r w:rsidR="00FA0ADB">
          <w:rPr>
            <w:noProof/>
            <w:webHidden/>
          </w:rPr>
          <w:t>124</w:t>
        </w:r>
        <w:r w:rsidR="00FA0ADB">
          <w:rPr>
            <w:noProof/>
            <w:webHidden/>
          </w:rPr>
          <w:fldChar w:fldCharType="end"/>
        </w:r>
      </w:hyperlink>
    </w:p>
    <w:p w14:paraId="485948B8" w14:textId="56673382"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21" w:history="1">
        <w:r w:rsidR="00FA0ADB" w:rsidRPr="00DC3BD5">
          <w:rPr>
            <w:rStyle w:val="Hyperlink"/>
            <w:noProof/>
          </w:rPr>
          <w:t>Table 3A.4. Mixed-effects ANOVA model results for establishment-year plant density of switchgrass seedlings, weeds, and browntop millet (BTM) + weeds at each site at East Tennessee AgResearch and Education Center-Plant Science Unit, Knoxville, TN, 2016-2017 during a switchgrass establishment experiment.</w:t>
        </w:r>
        <w:r w:rsidR="00FA0ADB">
          <w:rPr>
            <w:noProof/>
            <w:webHidden/>
          </w:rPr>
          <w:tab/>
        </w:r>
        <w:r w:rsidR="00FA0ADB">
          <w:rPr>
            <w:noProof/>
            <w:webHidden/>
          </w:rPr>
          <w:fldChar w:fldCharType="begin"/>
        </w:r>
        <w:r w:rsidR="00FA0ADB">
          <w:rPr>
            <w:noProof/>
            <w:webHidden/>
          </w:rPr>
          <w:instrText xml:space="preserve"> PAGEREF _Toc72300421 \h </w:instrText>
        </w:r>
        <w:r w:rsidR="00FA0ADB">
          <w:rPr>
            <w:noProof/>
            <w:webHidden/>
          </w:rPr>
        </w:r>
        <w:r w:rsidR="00FA0ADB">
          <w:rPr>
            <w:noProof/>
            <w:webHidden/>
          </w:rPr>
          <w:fldChar w:fldCharType="separate"/>
        </w:r>
        <w:r w:rsidR="00FA0ADB">
          <w:rPr>
            <w:noProof/>
            <w:webHidden/>
          </w:rPr>
          <w:t>125</w:t>
        </w:r>
        <w:r w:rsidR="00FA0ADB">
          <w:rPr>
            <w:noProof/>
            <w:webHidden/>
          </w:rPr>
          <w:fldChar w:fldCharType="end"/>
        </w:r>
      </w:hyperlink>
    </w:p>
    <w:p w14:paraId="7C360D34" w14:textId="24479117" w:rsidR="0085757D" w:rsidRPr="004F6C28" w:rsidRDefault="00005219" w:rsidP="00005219">
      <w:pPr>
        <w:pStyle w:val="TableofFigures"/>
        <w:tabs>
          <w:tab w:val="right" w:leader="dot" w:pos="8630"/>
        </w:tabs>
        <w:rPr>
          <w:rFonts w:cs="Times New Roman"/>
        </w:rPr>
      </w:pPr>
      <w:r>
        <w:rPr>
          <w:rFonts w:cs="Times New Roman"/>
        </w:rPr>
        <w:fldChar w:fldCharType="end"/>
      </w:r>
    </w:p>
    <w:p w14:paraId="40A5872A" w14:textId="77777777" w:rsidR="00904969" w:rsidRPr="004F6C28" w:rsidRDefault="00236E6D" w:rsidP="00904969">
      <w:pPr>
        <w:pStyle w:val="Title"/>
        <w:rPr>
          <w:rFonts w:ascii="Times New Roman" w:hAnsi="Times New Roman" w:cs="Times New Roman"/>
        </w:rPr>
      </w:pPr>
      <w:r w:rsidRPr="004F6C28">
        <w:rPr>
          <w:rFonts w:ascii="Times New Roman" w:hAnsi="Times New Roman" w:cs="Times New Roman"/>
        </w:rPr>
        <w:br w:type="page"/>
      </w:r>
      <w:r w:rsidR="00904969" w:rsidRPr="004F6C28">
        <w:rPr>
          <w:rFonts w:ascii="Times New Roman" w:hAnsi="Times New Roman" w:cs="Times New Roman"/>
        </w:rPr>
        <w:lastRenderedPageBreak/>
        <w:t>LIST OF FIGURES</w:t>
      </w:r>
    </w:p>
    <w:p w14:paraId="293F3917" w14:textId="77777777" w:rsidR="00C30D60" w:rsidRPr="004F6C28" w:rsidRDefault="00C30D60" w:rsidP="00904969">
      <w:pPr>
        <w:pStyle w:val="Title"/>
        <w:rPr>
          <w:rFonts w:ascii="Times New Roman" w:hAnsi="Times New Roman" w:cs="Times New Roman"/>
        </w:rPr>
      </w:pPr>
    </w:p>
    <w:p w14:paraId="4AEE8744" w14:textId="627A11B6" w:rsidR="00FA0ADB" w:rsidRDefault="003900BD">
      <w:pPr>
        <w:pStyle w:val="TableofFigures"/>
        <w:tabs>
          <w:tab w:val="right" w:leader="dot" w:pos="8630"/>
        </w:tabs>
        <w:rPr>
          <w:rFonts w:asciiTheme="minorHAnsi" w:eastAsiaTheme="minorEastAsia" w:hAnsiTheme="minorHAnsi" w:cstheme="minorBidi"/>
          <w:noProof/>
          <w:sz w:val="22"/>
          <w:szCs w:val="22"/>
        </w:rPr>
      </w:pPr>
      <w:r>
        <w:rPr>
          <w:rFonts w:cs="Times New Roman"/>
          <w:b/>
        </w:rPr>
        <w:fldChar w:fldCharType="begin"/>
      </w:r>
      <w:r>
        <w:rPr>
          <w:rFonts w:cs="Times New Roman"/>
          <w:b/>
        </w:rPr>
        <w:instrText xml:space="preserve"> TOC \f F \h \z \t "Figures" \c </w:instrText>
      </w:r>
      <w:r>
        <w:rPr>
          <w:rFonts w:cs="Times New Roman"/>
          <w:b/>
        </w:rPr>
        <w:fldChar w:fldCharType="separate"/>
      </w:r>
      <w:hyperlink w:anchor="_Toc72300464" w:history="1">
        <w:r w:rsidR="00FA0ADB" w:rsidRPr="004E3CDC">
          <w:rPr>
            <w:rStyle w:val="Hyperlink"/>
            <w:noProof/>
          </w:rPr>
          <w:t>Figure. 1.1.  Field layout of three c</w:t>
        </w:r>
        <w:r w:rsidR="00FA0ADB" w:rsidRPr="004E3CDC">
          <w:rPr>
            <w:rStyle w:val="Hyperlink"/>
            <w:noProof/>
            <w:lang w:val="en"/>
          </w:rPr>
          <w:t>ool-season annual (CSA) treatments (non-planted control, cereal rye monoculture, and CSA polyculture of cereal rye, ‘Purple Top’ turnip, ‘Trophy’ rape, ‘Frosty’ berseem clover, and ‘Dixie’ crimson clover) coupled with two w</w:t>
        </w:r>
        <w:r w:rsidR="00FA0ADB" w:rsidRPr="004E3CDC">
          <w:rPr>
            <w:rStyle w:val="Hyperlink"/>
            <w:noProof/>
          </w:rPr>
          <w:t xml:space="preserve">arm-season </w:t>
        </w:r>
        <w:r w:rsidR="00FA0ADB" w:rsidRPr="004E3CDC">
          <w:rPr>
            <w:rStyle w:val="Hyperlink"/>
            <w:noProof/>
            <w:lang w:val="en"/>
          </w:rPr>
          <w:t>N fertilization rates (0 and 67 kg N ha</w:t>
        </w:r>
        <w:r w:rsidR="00FA0ADB" w:rsidRPr="004E3CDC">
          <w:rPr>
            <w:rStyle w:val="Hyperlink"/>
            <w:noProof/>
            <w:vertAlign w:val="superscript"/>
            <w:lang w:val="en"/>
          </w:rPr>
          <w:t>-1</w:t>
        </w:r>
        <w:r w:rsidR="00FA0ADB" w:rsidRPr="004E3CDC">
          <w:rPr>
            <w:rStyle w:val="Hyperlink"/>
            <w:noProof/>
            <w:lang w:val="en"/>
          </w:rPr>
          <w:t xml:space="preserve">) </w:t>
        </w:r>
        <w:r w:rsidR="00FA0ADB" w:rsidRPr="004E3CDC">
          <w:rPr>
            <w:rStyle w:val="Hyperlink"/>
            <w:noProof/>
          </w:rPr>
          <w:t>within 14, 1.2-ha pastures (eight switchgrass and six big bluestem/indiangrass mixture) at the University of Tennessee – Middle Tennessee AgResearch and Education Center, Spring Hill, TN, 2018-2020.</w:t>
        </w:r>
        <w:r w:rsidR="00FA0ADB">
          <w:rPr>
            <w:noProof/>
            <w:webHidden/>
          </w:rPr>
          <w:tab/>
        </w:r>
        <w:r w:rsidR="00FA0ADB">
          <w:rPr>
            <w:noProof/>
            <w:webHidden/>
          </w:rPr>
          <w:fldChar w:fldCharType="begin"/>
        </w:r>
        <w:r w:rsidR="00FA0ADB">
          <w:rPr>
            <w:noProof/>
            <w:webHidden/>
          </w:rPr>
          <w:instrText xml:space="preserve"> PAGEREF _Toc72300464 \h </w:instrText>
        </w:r>
        <w:r w:rsidR="00FA0ADB">
          <w:rPr>
            <w:noProof/>
            <w:webHidden/>
          </w:rPr>
        </w:r>
        <w:r w:rsidR="00FA0ADB">
          <w:rPr>
            <w:noProof/>
            <w:webHidden/>
          </w:rPr>
          <w:fldChar w:fldCharType="separate"/>
        </w:r>
        <w:r w:rsidR="00FA0ADB">
          <w:rPr>
            <w:noProof/>
            <w:webHidden/>
          </w:rPr>
          <w:t>42</w:t>
        </w:r>
        <w:r w:rsidR="00FA0ADB">
          <w:rPr>
            <w:noProof/>
            <w:webHidden/>
          </w:rPr>
          <w:fldChar w:fldCharType="end"/>
        </w:r>
      </w:hyperlink>
    </w:p>
    <w:p w14:paraId="3BC81518" w14:textId="419B9621"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65" w:history="1">
        <w:r w:rsidR="00FA0ADB" w:rsidRPr="004E3CDC">
          <w:rPr>
            <w:rStyle w:val="Hyperlink"/>
            <w:noProof/>
          </w:rPr>
          <w:t>Figure. 1.2.  (a) Mean monthly air temperature (°C) and 30-year mean and (b) total monthly precipitation (mm) and 30-year mean for the University of Tennessee – Middle Tennessee AgResearch and Education Center, Spring Hill, TN, 2018-2020. †Some months’ data are missing in overall 30-year mean from 1991-2020.</w:t>
        </w:r>
        <w:r w:rsidR="00FA0ADB">
          <w:rPr>
            <w:noProof/>
            <w:webHidden/>
          </w:rPr>
          <w:tab/>
        </w:r>
        <w:r w:rsidR="00FA0ADB">
          <w:rPr>
            <w:noProof/>
            <w:webHidden/>
          </w:rPr>
          <w:fldChar w:fldCharType="begin"/>
        </w:r>
        <w:r w:rsidR="00FA0ADB">
          <w:rPr>
            <w:noProof/>
            <w:webHidden/>
          </w:rPr>
          <w:instrText xml:space="preserve"> PAGEREF _Toc72300465 \h </w:instrText>
        </w:r>
        <w:r w:rsidR="00FA0ADB">
          <w:rPr>
            <w:noProof/>
            <w:webHidden/>
          </w:rPr>
        </w:r>
        <w:r w:rsidR="00FA0ADB">
          <w:rPr>
            <w:noProof/>
            <w:webHidden/>
          </w:rPr>
          <w:fldChar w:fldCharType="separate"/>
        </w:r>
        <w:r w:rsidR="00FA0ADB">
          <w:rPr>
            <w:noProof/>
            <w:webHidden/>
          </w:rPr>
          <w:t>43</w:t>
        </w:r>
        <w:r w:rsidR="00FA0ADB">
          <w:rPr>
            <w:noProof/>
            <w:webHidden/>
          </w:rPr>
          <w:fldChar w:fldCharType="end"/>
        </w:r>
      </w:hyperlink>
    </w:p>
    <w:p w14:paraId="05DE07F3" w14:textId="4F969BBA"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66" w:history="1">
        <w:r w:rsidR="00FA0ADB" w:rsidRPr="004E3CDC">
          <w:rPr>
            <w:rStyle w:val="Hyperlink"/>
            <w:noProof/>
          </w:rPr>
          <w:t>Figure 2.1  Field layout of five grazing treatments based on the timing of within-season rest (no rest, early rest, middle rest, late rest, and no grazing control) arranged in a completely randomized design with four replicates (n = 20 plots) within each of the two, 1.2-ha pastures (switchgrass and big bluestem/indiangrass mixture) interseeded with an 11-species biodiversity mixture of native forbs at the University of Tennessee – Northeast Tennessee AgResearch and Education Center, Greeneville, TN, 2017-2020.</w:t>
        </w:r>
        <w:r w:rsidR="00FA0ADB">
          <w:rPr>
            <w:noProof/>
            <w:webHidden/>
          </w:rPr>
          <w:tab/>
        </w:r>
        <w:r w:rsidR="00FA0ADB">
          <w:rPr>
            <w:noProof/>
            <w:webHidden/>
          </w:rPr>
          <w:fldChar w:fldCharType="begin"/>
        </w:r>
        <w:r w:rsidR="00FA0ADB">
          <w:rPr>
            <w:noProof/>
            <w:webHidden/>
          </w:rPr>
          <w:instrText xml:space="preserve"> PAGEREF _Toc72300466 \h </w:instrText>
        </w:r>
        <w:r w:rsidR="00FA0ADB">
          <w:rPr>
            <w:noProof/>
            <w:webHidden/>
          </w:rPr>
        </w:r>
        <w:r w:rsidR="00FA0ADB">
          <w:rPr>
            <w:noProof/>
            <w:webHidden/>
          </w:rPr>
          <w:fldChar w:fldCharType="separate"/>
        </w:r>
        <w:r w:rsidR="00FA0ADB">
          <w:rPr>
            <w:noProof/>
            <w:webHidden/>
          </w:rPr>
          <w:t>86</w:t>
        </w:r>
        <w:r w:rsidR="00FA0ADB">
          <w:rPr>
            <w:noProof/>
            <w:webHidden/>
          </w:rPr>
          <w:fldChar w:fldCharType="end"/>
        </w:r>
      </w:hyperlink>
    </w:p>
    <w:p w14:paraId="31E39AAB" w14:textId="1301A513"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67" w:history="1">
        <w:r w:rsidR="00FA0ADB" w:rsidRPr="004E3CDC">
          <w:rPr>
            <w:rStyle w:val="Hyperlink"/>
            <w:noProof/>
          </w:rPr>
          <w:t>Figure. 2.2.  (a) Mean monthly air temperature (°C) and 30-year mean and (b) total monthly precipitation (mm) and 30-year mean for University of Tennessee – Northeast Tennessee AgResearch and Education Center, Greeneville, TN, 2017-2020. †Some months’ data are missing in overall 30-year mean from 1991-2020.</w:t>
        </w:r>
        <w:r w:rsidR="00FA0ADB">
          <w:rPr>
            <w:noProof/>
            <w:webHidden/>
          </w:rPr>
          <w:tab/>
        </w:r>
        <w:r w:rsidR="00FA0ADB">
          <w:rPr>
            <w:noProof/>
            <w:webHidden/>
          </w:rPr>
          <w:fldChar w:fldCharType="begin"/>
        </w:r>
        <w:r w:rsidR="00FA0ADB">
          <w:rPr>
            <w:noProof/>
            <w:webHidden/>
          </w:rPr>
          <w:instrText xml:space="preserve"> PAGEREF _Toc72300467 \h </w:instrText>
        </w:r>
        <w:r w:rsidR="00FA0ADB">
          <w:rPr>
            <w:noProof/>
            <w:webHidden/>
          </w:rPr>
        </w:r>
        <w:r w:rsidR="00FA0ADB">
          <w:rPr>
            <w:noProof/>
            <w:webHidden/>
          </w:rPr>
          <w:fldChar w:fldCharType="separate"/>
        </w:r>
        <w:r w:rsidR="00FA0ADB">
          <w:rPr>
            <w:noProof/>
            <w:webHidden/>
          </w:rPr>
          <w:t>87</w:t>
        </w:r>
        <w:r w:rsidR="00FA0ADB">
          <w:rPr>
            <w:noProof/>
            <w:webHidden/>
          </w:rPr>
          <w:fldChar w:fldCharType="end"/>
        </w:r>
      </w:hyperlink>
    </w:p>
    <w:p w14:paraId="03B15E1A" w14:textId="73E7D20C"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68" w:history="1">
        <w:r w:rsidR="00FA0ADB" w:rsidRPr="004E3CDC">
          <w:rPr>
            <w:rStyle w:val="Hyperlink"/>
            <w:noProof/>
          </w:rPr>
          <w:t>Figure 2.3.  Mean tiller density (tillers m</w:t>
        </w:r>
        <w:r w:rsidR="00FA0ADB" w:rsidRPr="004E3CDC">
          <w:rPr>
            <w:rStyle w:val="Hyperlink"/>
            <w:noProof/>
            <w:vertAlign w:val="superscript"/>
          </w:rPr>
          <w:t>-2</w:t>
        </w:r>
        <w:r w:rsidR="00FA0ADB" w:rsidRPr="004E3CDC">
          <w:rPr>
            <w:rStyle w:val="Hyperlink"/>
            <w:noProof/>
          </w:rPr>
          <w:t>) for switchgrass by period within year (2018-2020) at the University of Tennessee – Northeast Tennessee AgResearch and Education Center, Greeneville, TN.  *Different letters indicate significant difference at α = 0.05 for Year x Period interaction (Fisher’s least significant difference).</w:t>
        </w:r>
        <w:r w:rsidR="00FA0ADB">
          <w:rPr>
            <w:noProof/>
            <w:webHidden/>
          </w:rPr>
          <w:tab/>
        </w:r>
        <w:r w:rsidR="00FA0ADB">
          <w:rPr>
            <w:noProof/>
            <w:webHidden/>
          </w:rPr>
          <w:fldChar w:fldCharType="begin"/>
        </w:r>
        <w:r w:rsidR="00FA0ADB">
          <w:rPr>
            <w:noProof/>
            <w:webHidden/>
          </w:rPr>
          <w:instrText xml:space="preserve"> PAGEREF _Toc72300468 \h </w:instrText>
        </w:r>
        <w:r w:rsidR="00FA0ADB">
          <w:rPr>
            <w:noProof/>
            <w:webHidden/>
          </w:rPr>
        </w:r>
        <w:r w:rsidR="00FA0ADB">
          <w:rPr>
            <w:noProof/>
            <w:webHidden/>
          </w:rPr>
          <w:fldChar w:fldCharType="separate"/>
        </w:r>
        <w:r w:rsidR="00FA0ADB">
          <w:rPr>
            <w:noProof/>
            <w:webHidden/>
          </w:rPr>
          <w:t>88</w:t>
        </w:r>
        <w:r w:rsidR="00FA0ADB">
          <w:rPr>
            <w:noProof/>
            <w:webHidden/>
          </w:rPr>
          <w:fldChar w:fldCharType="end"/>
        </w:r>
      </w:hyperlink>
    </w:p>
    <w:p w14:paraId="4673C5F7" w14:textId="65EFAD7F"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69" w:history="1">
        <w:r w:rsidR="00FA0ADB" w:rsidRPr="004E3CDC">
          <w:rPr>
            <w:rStyle w:val="Hyperlink"/>
            <w:noProof/>
          </w:rPr>
          <w:t>Figure 2.4.  Mean tiller density (tillers m</w:t>
        </w:r>
        <w:r w:rsidR="00FA0ADB" w:rsidRPr="004E3CDC">
          <w:rPr>
            <w:rStyle w:val="Hyperlink"/>
            <w:noProof/>
            <w:vertAlign w:val="superscript"/>
          </w:rPr>
          <w:t>-2</w:t>
        </w:r>
        <w:r w:rsidR="00FA0ADB" w:rsidRPr="004E3CDC">
          <w:rPr>
            <w:rStyle w:val="Hyperlink"/>
            <w:noProof/>
          </w:rPr>
          <w:t>) for big bluestem/indiangrass by period within year (2018-2020) at the University of Tennessee – Northeast Tennessee AgResearch and Education Center, Greeneville, TN.  *Different letters indicate significant difference at α = 0.05 for Year x Period interaction (Fisher’s least significant difference).</w:t>
        </w:r>
        <w:r w:rsidR="00FA0ADB">
          <w:rPr>
            <w:noProof/>
            <w:webHidden/>
          </w:rPr>
          <w:tab/>
        </w:r>
        <w:r w:rsidR="00FA0ADB">
          <w:rPr>
            <w:noProof/>
            <w:webHidden/>
          </w:rPr>
          <w:fldChar w:fldCharType="begin"/>
        </w:r>
        <w:r w:rsidR="00FA0ADB">
          <w:rPr>
            <w:noProof/>
            <w:webHidden/>
          </w:rPr>
          <w:instrText xml:space="preserve"> PAGEREF _Toc72300469 \h </w:instrText>
        </w:r>
        <w:r w:rsidR="00FA0ADB">
          <w:rPr>
            <w:noProof/>
            <w:webHidden/>
          </w:rPr>
        </w:r>
        <w:r w:rsidR="00FA0ADB">
          <w:rPr>
            <w:noProof/>
            <w:webHidden/>
          </w:rPr>
          <w:fldChar w:fldCharType="separate"/>
        </w:r>
        <w:r w:rsidR="00FA0ADB">
          <w:rPr>
            <w:noProof/>
            <w:webHidden/>
          </w:rPr>
          <w:t>89</w:t>
        </w:r>
        <w:r w:rsidR="00FA0ADB">
          <w:rPr>
            <w:noProof/>
            <w:webHidden/>
          </w:rPr>
          <w:fldChar w:fldCharType="end"/>
        </w:r>
      </w:hyperlink>
    </w:p>
    <w:p w14:paraId="627E693F" w14:textId="4B99D057"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70" w:history="1">
        <w:r w:rsidR="00FA0ADB" w:rsidRPr="004E3CDC">
          <w:rPr>
            <w:rStyle w:val="Hyperlink"/>
            <w:noProof/>
          </w:rPr>
          <w:t>Figure 2.5.  Mean big bluetem/indiangrass dry matter yield (Mg ha</w:t>
        </w:r>
        <w:r w:rsidR="00FA0ADB" w:rsidRPr="004E3CDC">
          <w:rPr>
            <w:rStyle w:val="Hyperlink"/>
            <w:noProof/>
            <w:vertAlign w:val="superscript"/>
          </w:rPr>
          <w:t>-1</w:t>
        </w:r>
        <w:r w:rsidR="00FA0ADB" w:rsidRPr="004E3CDC">
          <w:rPr>
            <w:rStyle w:val="Hyperlink"/>
            <w:noProof/>
          </w:rPr>
          <w:t>) of big bluestem/indiangrass and native forb pasture for native grass pasture grazing experiment, 2019, University of Tennessee – Northeast Tennessee AgResearch and Education Center, Greeneville, TN.  Grazing treatments were early rest (EARL), middle rest (MIDD), late rest (LATE), no rest (NORE), and no graze (NOGR).  *Significant difference among grazing treatments, α = 0.05</w:t>
        </w:r>
        <w:r w:rsidR="00FA0ADB">
          <w:rPr>
            <w:noProof/>
            <w:webHidden/>
          </w:rPr>
          <w:tab/>
        </w:r>
        <w:r w:rsidR="00FA0ADB">
          <w:rPr>
            <w:noProof/>
            <w:webHidden/>
          </w:rPr>
          <w:fldChar w:fldCharType="begin"/>
        </w:r>
        <w:r w:rsidR="00FA0ADB">
          <w:rPr>
            <w:noProof/>
            <w:webHidden/>
          </w:rPr>
          <w:instrText xml:space="preserve"> PAGEREF _Toc72300470 \h </w:instrText>
        </w:r>
        <w:r w:rsidR="00FA0ADB">
          <w:rPr>
            <w:noProof/>
            <w:webHidden/>
          </w:rPr>
        </w:r>
        <w:r w:rsidR="00FA0ADB">
          <w:rPr>
            <w:noProof/>
            <w:webHidden/>
          </w:rPr>
          <w:fldChar w:fldCharType="separate"/>
        </w:r>
        <w:r w:rsidR="00FA0ADB">
          <w:rPr>
            <w:noProof/>
            <w:webHidden/>
          </w:rPr>
          <w:t>90</w:t>
        </w:r>
        <w:r w:rsidR="00FA0ADB">
          <w:rPr>
            <w:noProof/>
            <w:webHidden/>
          </w:rPr>
          <w:fldChar w:fldCharType="end"/>
        </w:r>
      </w:hyperlink>
    </w:p>
    <w:p w14:paraId="269891E5" w14:textId="45EF50D8"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71" w:history="1">
        <w:r w:rsidR="00FA0ADB" w:rsidRPr="004E3CDC">
          <w:rPr>
            <w:rStyle w:val="Hyperlink"/>
            <w:noProof/>
          </w:rPr>
          <w:t>Figure 2.6.  Mean total forage dry matter yield (Mg ha</w:t>
        </w:r>
        <w:r w:rsidR="00FA0ADB" w:rsidRPr="004E3CDC">
          <w:rPr>
            <w:rStyle w:val="Hyperlink"/>
            <w:noProof/>
            <w:vertAlign w:val="superscript"/>
          </w:rPr>
          <w:t>-1</w:t>
        </w:r>
        <w:r w:rsidR="00FA0ADB" w:rsidRPr="004E3CDC">
          <w:rPr>
            <w:rStyle w:val="Hyperlink"/>
            <w:noProof/>
          </w:rPr>
          <w:t>) of big bluestem/indiangrass and native forb pasture for native grass pasture grazing experiment, 2019, University of Tennessee – Northeast Tennessee AgResearch and Education Center, Greeneville, TN.  Grazing treatments were early rest (EARL), middle rest (MIDD), late rest (LATE), no rest (NORE), and no graze (NOGR).  *Significant difference among grazing treatments, α = 0.05</w:t>
        </w:r>
        <w:r w:rsidR="00FA0ADB">
          <w:rPr>
            <w:noProof/>
            <w:webHidden/>
          </w:rPr>
          <w:tab/>
        </w:r>
        <w:r w:rsidR="00FA0ADB">
          <w:rPr>
            <w:noProof/>
            <w:webHidden/>
          </w:rPr>
          <w:fldChar w:fldCharType="begin"/>
        </w:r>
        <w:r w:rsidR="00FA0ADB">
          <w:rPr>
            <w:noProof/>
            <w:webHidden/>
          </w:rPr>
          <w:instrText xml:space="preserve"> PAGEREF _Toc72300471 \h </w:instrText>
        </w:r>
        <w:r w:rsidR="00FA0ADB">
          <w:rPr>
            <w:noProof/>
            <w:webHidden/>
          </w:rPr>
        </w:r>
        <w:r w:rsidR="00FA0ADB">
          <w:rPr>
            <w:noProof/>
            <w:webHidden/>
          </w:rPr>
          <w:fldChar w:fldCharType="separate"/>
        </w:r>
        <w:r w:rsidR="00FA0ADB">
          <w:rPr>
            <w:noProof/>
            <w:webHidden/>
          </w:rPr>
          <w:t>91</w:t>
        </w:r>
        <w:r w:rsidR="00FA0ADB">
          <w:rPr>
            <w:noProof/>
            <w:webHidden/>
          </w:rPr>
          <w:fldChar w:fldCharType="end"/>
        </w:r>
      </w:hyperlink>
    </w:p>
    <w:p w14:paraId="4621C945" w14:textId="29EE7E71"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72" w:history="1">
        <w:r w:rsidR="00FA0ADB" w:rsidRPr="004E3CDC">
          <w:rPr>
            <w:rStyle w:val="Hyperlink"/>
            <w:noProof/>
          </w:rPr>
          <w:t>Figure 2.7.  Mean crude protein (g kg</w:t>
        </w:r>
        <w:r w:rsidR="00FA0ADB" w:rsidRPr="004E3CDC">
          <w:rPr>
            <w:rStyle w:val="Hyperlink"/>
            <w:noProof/>
            <w:vertAlign w:val="superscript"/>
          </w:rPr>
          <w:t>-1</w:t>
        </w:r>
        <w:r w:rsidR="00FA0ADB" w:rsidRPr="004E3CDC">
          <w:rPr>
            <w:rStyle w:val="Hyperlink"/>
            <w:noProof/>
          </w:rPr>
          <w:t>) of big bluestem/indiangrass and native forb pasture for native grass pasture grazing experiment, 2019, University of Tennessee – Northeast Tennessee AgResearch and Education Center, Greeneville, TN.  Grazing treatments were early rest (EARL), middle rest (MIDD), late rest (LATE), no rest (NORE), and no graze (NOGR).  *Significant difference among grazing treatments, α = 0.05</w:t>
        </w:r>
        <w:r w:rsidR="00FA0ADB">
          <w:rPr>
            <w:noProof/>
            <w:webHidden/>
          </w:rPr>
          <w:tab/>
        </w:r>
        <w:r w:rsidR="00FA0ADB">
          <w:rPr>
            <w:noProof/>
            <w:webHidden/>
          </w:rPr>
          <w:fldChar w:fldCharType="begin"/>
        </w:r>
        <w:r w:rsidR="00FA0ADB">
          <w:rPr>
            <w:noProof/>
            <w:webHidden/>
          </w:rPr>
          <w:instrText xml:space="preserve"> PAGEREF _Toc72300472 \h </w:instrText>
        </w:r>
        <w:r w:rsidR="00FA0ADB">
          <w:rPr>
            <w:noProof/>
            <w:webHidden/>
          </w:rPr>
        </w:r>
        <w:r w:rsidR="00FA0ADB">
          <w:rPr>
            <w:noProof/>
            <w:webHidden/>
          </w:rPr>
          <w:fldChar w:fldCharType="separate"/>
        </w:r>
        <w:r w:rsidR="00FA0ADB">
          <w:rPr>
            <w:noProof/>
            <w:webHidden/>
          </w:rPr>
          <w:t>92</w:t>
        </w:r>
        <w:r w:rsidR="00FA0ADB">
          <w:rPr>
            <w:noProof/>
            <w:webHidden/>
          </w:rPr>
          <w:fldChar w:fldCharType="end"/>
        </w:r>
      </w:hyperlink>
    </w:p>
    <w:p w14:paraId="1933360F" w14:textId="6EBE5CD8"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73" w:history="1">
        <w:r w:rsidR="00FA0ADB" w:rsidRPr="004E3CDC">
          <w:rPr>
            <w:rStyle w:val="Hyperlink"/>
            <w:noProof/>
          </w:rPr>
          <w:t>Figure 2.8.  Mean amylase neutral detergent fiber (g kg</w:t>
        </w:r>
        <w:r w:rsidR="00FA0ADB" w:rsidRPr="004E3CDC">
          <w:rPr>
            <w:rStyle w:val="Hyperlink"/>
            <w:noProof/>
            <w:vertAlign w:val="superscript"/>
          </w:rPr>
          <w:t>-1</w:t>
        </w:r>
        <w:r w:rsidR="00FA0ADB" w:rsidRPr="004E3CDC">
          <w:rPr>
            <w:rStyle w:val="Hyperlink"/>
            <w:noProof/>
          </w:rPr>
          <w:t>) of big bluestem/indiangrass and native forb pasture for native grass pasture grazing experiment, 2019, University of Tennessee – Northeast Tennessee AgResearch and Education Center, Greeneville, TN.  Grazing treatments were early rest (EARL), middle rest (MIDD), late rest (LATE), no rest (NORE), and no graze (NOGR).  *Significant difference among grazing treatments, α = 0.05</w:t>
        </w:r>
        <w:r w:rsidR="00FA0ADB">
          <w:rPr>
            <w:noProof/>
            <w:webHidden/>
          </w:rPr>
          <w:tab/>
        </w:r>
        <w:r w:rsidR="00FA0ADB">
          <w:rPr>
            <w:noProof/>
            <w:webHidden/>
          </w:rPr>
          <w:fldChar w:fldCharType="begin"/>
        </w:r>
        <w:r w:rsidR="00FA0ADB">
          <w:rPr>
            <w:noProof/>
            <w:webHidden/>
          </w:rPr>
          <w:instrText xml:space="preserve"> PAGEREF _Toc72300473 \h </w:instrText>
        </w:r>
        <w:r w:rsidR="00FA0ADB">
          <w:rPr>
            <w:noProof/>
            <w:webHidden/>
          </w:rPr>
        </w:r>
        <w:r w:rsidR="00FA0ADB">
          <w:rPr>
            <w:noProof/>
            <w:webHidden/>
          </w:rPr>
          <w:fldChar w:fldCharType="separate"/>
        </w:r>
        <w:r w:rsidR="00FA0ADB">
          <w:rPr>
            <w:noProof/>
            <w:webHidden/>
          </w:rPr>
          <w:t>93</w:t>
        </w:r>
        <w:r w:rsidR="00FA0ADB">
          <w:rPr>
            <w:noProof/>
            <w:webHidden/>
          </w:rPr>
          <w:fldChar w:fldCharType="end"/>
        </w:r>
      </w:hyperlink>
    </w:p>
    <w:p w14:paraId="5CAD96B1" w14:textId="0E82EA8B"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74" w:history="1">
        <w:r w:rsidR="00FA0ADB" w:rsidRPr="004E3CDC">
          <w:rPr>
            <w:rStyle w:val="Hyperlink"/>
            <w:noProof/>
          </w:rPr>
          <w:t>Figure 2.9.  Mean acid detergent fiber (g kg</w:t>
        </w:r>
        <w:r w:rsidR="00FA0ADB" w:rsidRPr="004E3CDC">
          <w:rPr>
            <w:rStyle w:val="Hyperlink"/>
            <w:noProof/>
            <w:vertAlign w:val="superscript"/>
          </w:rPr>
          <w:t>-1</w:t>
        </w:r>
        <w:r w:rsidR="00FA0ADB" w:rsidRPr="004E3CDC">
          <w:rPr>
            <w:rStyle w:val="Hyperlink"/>
            <w:noProof/>
          </w:rPr>
          <w:t>) of big bluestem/indiangrass and native forb pasture for native grass pasture grazing experiment, 2019, University of Tennessee – Northeast Tennessee AgResearch and Education Center, Greeneville, TN.  Grazing treatments were early rest (EARL), middle rest (MIDD), late rest (LATE), no rest (NORE), and no graze (NOGR).  *Significant difference among grazing treatments, α = 0.05</w:t>
        </w:r>
        <w:r w:rsidR="00FA0ADB">
          <w:rPr>
            <w:noProof/>
            <w:webHidden/>
          </w:rPr>
          <w:tab/>
        </w:r>
        <w:r w:rsidR="00FA0ADB">
          <w:rPr>
            <w:noProof/>
            <w:webHidden/>
          </w:rPr>
          <w:fldChar w:fldCharType="begin"/>
        </w:r>
        <w:r w:rsidR="00FA0ADB">
          <w:rPr>
            <w:noProof/>
            <w:webHidden/>
          </w:rPr>
          <w:instrText xml:space="preserve"> PAGEREF _Toc72300474 \h </w:instrText>
        </w:r>
        <w:r w:rsidR="00FA0ADB">
          <w:rPr>
            <w:noProof/>
            <w:webHidden/>
          </w:rPr>
        </w:r>
        <w:r w:rsidR="00FA0ADB">
          <w:rPr>
            <w:noProof/>
            <w:webHidden/>
          </w:rPr>
          <w:fldChar w:fldCharType="separate"/>
        </w:r>
        <w:r w:rsidR="00FA0ADB">
          <w:rPr>
            <w:noProof/>
            <w:webHidden/>
          </w:rPr>
          <w:t>94</w:t>
        </w:r>
        <w:r w:rsidR="00FA0ADB">
          <w:rPr>
            <w:noProof/>
            <w:webHidden/>
          </w:rPr>
          <w:fldChar w:fldCharType="end"/>
        </w:r>
      </w:hyperlink>
    </w:p>
    <w:p w14:paraId="0A7AFBD1" w14:textId="15324B5B"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75" w:history="1">
        <w:r w:rsidR="00FA0ADB" w:rsidRPr="004E3CDC">
          <w:rPr>
            <w:rStyle w:val="Hyperlink"/>
            <w:noProof/>
          </w:rPr>
          <w:t xml:space="preserve">Figure 2.10.  Mean </w:t>
        </w:r>
        <w:r w:rsidR="00FA0ADB" w:rsidRPr="004E3CDC">
          <w:rPr>
            <w:rStyle w:val="Hyperlink"/>
            <w:i/>
            <w:iCs/>
            <w:noProof/>
          </w:rPr>
          <w:t>in vitro</w:t>
        </w:r>
        <w:r w:rsidR="00FA0ADB" w:rsidRPr="004E3CDC">
          <w:rPr>
            <w:rStyle w:val="Hyperlink"/>
            <w:noProof/>
          </w:rPr>
          <w:t xml:space="preserve"> true dry matter digestibility 48 hours (g kg</w:t>
        </w:r>
        <w:r w:rsidR="00FA0ADB" w:rsidRPr="004E3CDC">
          <w:rPr>
            <w:rStyle w:val="Hyperlink"/>
            <w:noProof/>
            <w:vertAlign w:val="superscript"/>
          </w:rPr>
          <w:t>-1</w:t>
        </w:r>
        <w:r w:rsidR="00FA0ADB" w:rsidRPr="004E3CDC">
          <w:rPr>
            <w:rStyle w:val="Hyperlink"/>
            <w:noProof/>
          </w:rPr>
          <w:t>) of big bluestem/indiangrass and native forb pasture for native grass pasture grazing experiment, 2019, University of Tennessee – Northeast Tennessee AgResearch and Education Center, Greeneville, TN.  Grazing treatments were early rest (EARL), middle rest (MIDD), late rest (LATE), no rest (NORE), and no graze (NOGR).  *Significant difference among grazing treatments, α = 0.05</w:t>
        </w:r>
        <w:r w:rsidR="00FA0ADB">
          <w:rPr>
            <w:noProof/>
            <w:webHidden/>
          </w:rPr>
          <w:tab/>
        </w:r>
        <w:r w:rsidR="00FA0ADB">
          <w:rPr>
            <w:noProof/>
            <w:webHidden/>
          </w:rPr>
          <w:fldChar w:fldCharType="begin"/>
        </w:r>
        <w:r w:rsidR="00FA0ADB">
          <w:rPr>
            <w:noProof/>
            <w:webHidden/>
          </w:rPr>
          <w:instrText xml:space="preserve"> PAGEREF _Toc72300475 \h </w:instrText>
        </w:r>
        <w:r w:rsidR="00FA0ADB">
          <w:rPr>
            <w:noProof/>
            <w:webHidden/>
          </w:rPr>
        </w:r>
        <w:r w:rsidR="00FA0ADB">
          <w:rPr>
            <w:noProof/>
            <w:webHidden/>
          </w:rPr>
          <w:fldChar w:fldCharType="separate"/>
        </w:r>
        <w:r w:rsidR="00FA0ADB">
          <w:rPr>
            <w:noProof/>
            <w:webHidden/>
          </w:rPr>
          <w:t>95</w:t>
        </w:r>
        <w:r w:rsidR="00FA0ADB">
          <w:rPr>
            <w:noProof/>
            <w:webHidden/>
          </w:rPr>
          <w:fldChar w:fldCharType="end"/>
        </w:r>
      </w:hyperlink>
    </w:p>
    <w:p w14:paraId="2B1B298A" w14:textId="1D878C02"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76" w:history="1">
        <w:r w:rsidR="00FA0ADB" w:rsidRPr="004E3CDC">
          <w:rPr>
            <w:rStyle w:val="Hyperlink"/>
            <w:noProof/>
          </w:rPr>
          <w:t>Figure 2.11.  Flowering percentage of 10 native warm-season forb species pooled across years (2019-2020) at the same sampling periods in a switchgrass pasture for native grass pasture grazing experiment at the University of Tennessee – Northeast Tennessee AgResearch and Education Center, Greeneville, TN.  †Flowering percentage compared across grazing treatments within sampling periods.  All sampling periods compared no graze and no rest to the respective sampled grazing treatment. May = early rest, middle rest, and late rest; June = early rest; July = middle rest; July/Aug = late rest; Aug/Sept = early rest, middle rest, and late rest.</w:t>
        </w:r>
        <w:r w:rsidR="00FA0ADB">
          <w:rPr>
            <w:noProof/>
            <w:webHidden/>
          </w:rPr>
          <w:tab/>
        </w:r>
        <w:r w:rsidR="00FA0ADB">
          <w:rPr>
            <w:noProof/>
            <w:webHidden/>
          </w:rPr>
          <w:fldChar w:fldCharType="begin"/>
        </w:r>
        <w:r w:rsidR="00FA0ADB">
          <w:rPr>
            <w:noProof/>
            <w:webHidden/>
          </w:rPr>
          <w:instrText xml:space="preserve"> PAGEREF _Toc72300476 \h </w:instrText>
        </w:r>
        <w:r w:rsidR="00FA0ADB">
          <w:rPr>
            <w:noProof/>
            <w:webHidden/>
          </w:rPr>
        </w:r>
        <w:r w:rsidR="00FA0ADB">
          <w:rPr>
            <w:noProof/>
            <w:webHidden/>
          </w:rPr>
          <w:fldChar w:fldCharType="separate"/>
        </w:r>
        <w:r w:rsidR="00FA0ADB">
          <w:rPr>
            <w:noProof/>
            <w:webHidden/>
          </w:rPr>
          <w:t>96</w:t>
        </w:r>
        <w:r w:rsidR="00FA0ADB">
          <w:rPr>
            <w:noProof/>
            <w:webHidden/>
          </w:rPr>
          <w:fldChar w:fldCharType="end"/>
        </w:r>
      </w:hyperlink>
    </w:p>
    <w:p w14:paraId="4C1557D7" w14:textId="26E9ED5D"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77" w:history="1">
        <w:r w:rsidR="00FA0ADB" w:rsidRPr="004E3CDC">
          <w:rPr>
            <w:rStyle w:val="Hyperlink"/>
            <w:noProof/>
          </w:rPr>
          <w:t xml:space="preserve">Figure 2.12.  Flowering percentage of 10 native warm-season forb species pooled across years (2019-2020) at the same sampling periods in a big bluestem/indiangrass </w:t>
        </w:r>
        <w:r w:rsidR="00FA0ADB" w:rsidRPr="004E3CDC">
          <w:rPr>
            <w:rStyle w:val="Hyperlink"/>
            <w:noProof/>
          </w:rPr>
          <w:lastRenderedPageBreak/>
          <w:t>pasture for native grass pasture grazing experiment at the University of Tennessee – Northeast Tennessee AgResearch and Education Center, Greeneville, TN.  †Flowering percentage compared across grazing treatments within sampling periods.  All sampling periods compared no graze and no rest to the respective sampled grazing treatment. May = early rest, middle rest, and late rest; June = early rest; July = middle rest; July/Aug = late rest; Aug/Sept = early rest, middle rest, and late rest.</w:t>
        </w:r>
        <w:r w:rsidR="00FA0ADB">
          <w:rPr>
            <w:noProof/>
            <w:webHidden/>
          </w:rPr>
          <w:tab/>
        </w:r>
        <w:r w:rsidR="00FA0ADB">
          <w:rPr>
            <w:noProof/>
            <w:webHidden/>
          </w:rPr>
          <w:fldChar w:fldCharType="begin"/>
        </w:r>
        <w:r w:rsidR="00FA0ADB">
          <w:rPr>
            <w:noProof/>
            <w:webHidden/>
          </w:rPr>
          <w:instrText xml:space="preserve"> PAGEREF _Toc72300477 \h </w:instrText>
        </w:r>
        <w:r w:rsidR="00FA0ADB">
          <w:rPr>
            <w:noProof/>
            <w:webHidden/>
          </w:rPr>
        </w:r>
        <w:r w:rsidR="00FA0ADB">
          <w:rPr>
            <w:noProof/>
            <w:webHidden/>
          </w:rPr>
          <w:fldChar w:fldCharType="separate"/>
        </w:r>
        <w:r w:rsidR="00FA0ADB">
          <w:rPr>
            <w:noProof/>
            <w:webHidden/>
          </w:rPr>
          <w:t>97</w:t>
        </w:r>
        <w:r w:rsidR="00FA0ADB">
          <w:rPr>
            <w:noProof/>
            <w:webHidden/>
          </w:rPr>
          <w:fldChar w:fldCharType="end"/>
        </w:r>
      </w:hyperlink>
    </w:p>
    <w:p w14:paraId="69D7C299" w14:textId="0A5F60DC"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78" w:history="1">
        <w:r w:rsidR="00FA0ADB" w:rsidRPr="004E3CDC">
          <w:rPr>
            <w:rStyle w:val="Hyperlink"/>
            <w:noProof/>
          </w:rPr>
          <w:t>Figure 3A.1. (a) Mean monthly air temperature (°C) and 30-year mean and (b) total monthly precipitation (mm) and 30-year mean for East Tennessee AgResearch and Education Center-Plant Science Unit, Knoxville, TN, 2016-2018. †Some months’ data are missing in overall 30-year mean from 1988-2018. ‡No data were reported in 2016.</w:t>
        </w:r>
        <w:r w:rsidR="00FA0ADB">
          <w:rPr>
            <w:noProof/>
            <w:webHidden/>
          </w:rPr>
          <w:tab/>
        </w:r>
        <w:r w:rsidR="00FA0ADB">
          <w:rPr>
            <w:noProof/>
            <w:webHidden/>
          </w:rPr>
          <w:fldChar w:fldCharType="begin"/>
        </w:r>
        <w:r w:rsidR="00FA0ADB">
          <w:rPr>
            <w:noProof/>
            <w:webHidden/>
          </w:rPr>
          <w:instrText xml:space="preserve"> PAGEREF _Toc72300478 \h </w:instrText>
        </w:r>
        <w:r w:rsidR="00FA0ADB">
          <w:rPr>
            <w:noProof/>
            <w:webHidden/>
          </w:rPr>
        </w:r>
        <w:r w:rsidR="00FA0ADB">
          <w:rPr>
            <w:noProof/>
            <w:webHidden/>
          </w:rPr>
          <w:fldChar w:fldCharType="separate"/>
        </w:r>
        <w:r w:rsidR="00FA0ADB">
          <w:rPr>
            <w:noProof/>
            <w:webHidden/>
          </w:rPr>
          <w:t>126</w:t>
        </w:r>
        <w:r w:rsidR="00FA0ADB">
          <w:rPr>
            <w:noProof/>
            <w:webHidden/>
          </w:rPr>
          <w:fldChar w:fldCharType="end"/>
        </w:r>
      </w:hyperlink>
    </w:p>
    <w:p w14:paraId="15514C37" w14:textId="39A385B6"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79" w:history="1">
        <w:r w:rsidR="00FA0ADB" w:rsidRPr="004E3CDC">
          <w:rPr>
            <w:rStyle w:val="Hyperlink"/>
            <w:noProof/>
          </w:rPr>
          <w:t>Figure 3A.2. Establishment-year plant density (seedlings m</w:t>
        </w:r>
        <w:r w:rsidR="00FA0ADB" w:rsidRPr="004E3CDC">
          <w:rPr>
            <w:rStyle w:val="Hyperlink"/>
            <w:noProof/>
            <w:vertAlign w:val="superscript"/>
          </w:rPr>
          <w:t>-2</w:t>
        </w:r>
        <w:r w:rsidR="00FA0ADB" w:rsidRPr="004E3CDC">
          <w:rPr>
            <w:rStyle w:val="Hyperlink"/>
            <w:noProof/>
          </w:rPr>
          <w:t>) for big bluestem (BB), browntop millet (BTM), and weeds by BTM seeding rate (kg PLS ha</w:t>
        </w:r>
        <w:r w:rsidR="00FA0ADB" w:rsidRPr="004E3CDC">
          <w:rPr>
            <w:rStyle w:val="Hyperlink"/>
            <w:noProof/>
            <w:vertAlign w:val="superscript"/>
          </w:rPr>
          <w:t>-1</w:t>
        </w:r>
        <w:r w:rsidR="00FA0ADB" w:rsidRPr="004E3CDC">
          <w:rPr>
            <w:rStyle w:val="Hyperlink"/>
            <w:noProof/>
          </w:rPr>
          <w:t>) at 30 and 60 days after planting (DAP) BB for Site 1 (top) and Site 2 (bottom) at East Tennessee AgResearch and Education Center-Plant Science Unit, Knoxville, TN.  †Number of BB seedlings per BTM seeding rate at 30 and 60 DAP.  ‡Different lowercase letters indicate significant differences among weed + BTM seedling totals by BTM seeding rates at 30 and 60 DAP within site.  §Different UPPERCASE letters indicate significant differences for BB seedlings by BTM seeding rate at 30 and 60 DAP within site.</w:t>
        </w:r>
        <w:r w:rsidR="00FA0ADB">
          <w:rPr>
            <w:noProof/>
            <w:webHidden/>
          </w:rPr>
          <w:tab/>
        </w:r>
        <w:r w:rsidR="00FA0ADB">
          <w:rPr>
            <w:noProof/>
            <w:webHidden/>
          </w:rPr>
          <w:fldChar w:fldCharType="begin"/>
        </w:r>
        <w:r w:rsidR="00FA0ADB">
          <w:rPr>
            <w:noProof/>
            <w:webHidden/>
          </w:rPr>
          <w:instrText xml:space="preserve"> PAGEREF _Toc72300479 \h </w:instrText>
        </w:r>
        <w:r w:rsidR="00FA0ADB">
          <w:rPr>
            <w:noProof/>
            <w:webHidden/>
          </w:rPr>
        </w:r>
        <w:r w:rsidR="00FA0ADB">
          <w:rPr>
            <w:noProof/>
            <w:webHidden/>
          </w:rPr>
          <w:fldChar w:fldCharType="separate"/>
        </w:r>
        <w:r w:rsidR="00FA0ADB">
          <w:rPr>
            <w:noProof/>
            <w:webHidden/>
          </w:rPr>
          <w:t>127</w:t>
        </w:r>
        <w:r w:rsidR="00FA0ADB">
          <w:rPr>
            <w:noProof/>
            <w:webHidden/>
          </w:rPr>
          <w:fldChar w:fldCharType="end"/>
        </w:r>
      </w:hyperlink>
    </w:p>
    <w:p w14:paraId="6AE58B48" w14:textId="2CDE6AFB"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80" w:history="1">
        <w:r w:rsidR="00FA0ADB" w:rsidRPr="004E3CDC">
          <w:rPr>
            <w:rStyle w:val="Hyperlink"/>
            <w:noProof/>
          </w:rPr>
          <w:t>Figure 3A.3. Establishment-year plant density (seedlings m</w:t>
        </w:r>
        <w:r w:rsidR="00FA0ADB" w:rsidRPr="004E3CDC">
          <w:rPr>
            <w:rStyle w:val="Hyperlink"/>
            <w:noProof/>
            <w:vertAlign w:val="superscript"/>
          </w:rPr>
          <w:t>-2</w:t>
        </w:r>
        <w:r w:rsidR="00FA0ADB" w:rsidRPr="004E3CDC">
          <w:rPr>
            <w:rStyle w:val="Hyperlink"/>
            <w:noProof/>
          </w:rPr>
          <w:t>) at dormancy for big bluestem (BB) and switchgrass (SG) by browntop millet (BTM) seeding rate (kg PLS   ha</w:t>
        </w:r>
        <w:r w:rsidR="00FA0ADB" w:rsidRPr="004E3CDC">
          <w:rPr>
            <w:rStyle w:val="Hyperlink"/>
            <w:noProof/>
            <w:vertAlign w:val="superscript"/>
          </w:rPr>
          <w:t>-1</w:t>
        </w:r>
        <w:r w:rsidR="00FA0ADB" w:rsidRPr="004E3CDC">
          <w:rPr>
            <w:rStyle w:val="Hyperlink"/>
            <w:noProof/>
          </w:rPr>
          <w:t>) compared to using imazapic (Plateau) for Site 1 (2016) and Site 2 (2017) at East Tennessee AgResearch and Education Center-Plant Science Unit, Knoxville, TN.  Plant density for imazapic treatment (BB only) are horizontal lines; not compared statistically to other BB treatments.  †Different UPPERCASE letters indicate significant differences for BB plant density by BTM seeding rate within site.  ‡Different lowercase letters indicate significant differences for SG plant density by BTM seeding rate within site.</w:t>
        </w:r>
        <w:r w:rsidR="00FA0ADB">
          <w:rPr>
            <w:noProof/>
            <w:webHidden/>
          </w:rPr>
          <w:tab/>
        </w:r>
        <w:r w:rsidR="00FA0ADB">
          <w:rPr>
            <w:noProof/>
            <w:webHidden/>
          </w:rPr>
          <w:fldChar w:fldCharType="begin"/>
        </w:r>
        <w:r w:rsidR="00FA0ADB">
          <w:rPr>
            <w:noProof/>
            <w:webHidden/>
          </w:rPr>
          <w:instrText xml:space="preserve"> PAGEREF _Toc72300480 \h </w:instrText>
        </w:r>
        <w:r w:rsidR="00FA0ADB">
          <w:rPr>
            <w:noProof/>
            <w:webHidden/>
          </w:rPr>
        </w:r>
        <w:r w:rsidR="00FA0ADB">
          <w:rPr>
            <w:noProof/>
            <w:webHidden/>
          </w:rPr>
          <w:fldChar w:fldCharType="separate"/>
        </w:r>
        <w:r w:rsidR="00FA0ADB">
          <w:rPr>
            <w:noProof/>
            <w:webHidden/>
          </w:rPr>
          <w:t>128</w:t>
        </w:r>
        <w:r w:rsidR="00FA0ADB">
          <w:rPr>
            <w:noProof/>
            <w:webHidden/>
          </w:rPr>
          <w:fldChar w:fldCharType="end"/>
        </w:r>
      </w:hyperlink>
    </w:p>
    <w:p w14:paraId="031D36EE" w14:textId="3A3312AB"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81" w:history="1">
        <w:r w:rsidR="00FA0ADB" w:rsidRPr="004E3CDC">
          <w:rPr>
            <w:rStyle w:val="Hyperlink"/>
            <w:noProof/>
          </w:rPr>
          <w:t>Figure 3A.4. Biomass dry matter (DM) yield (Mg DM ha</w:t>
        </w:r>
        <w:r w:rsidR="00FA0ADB" w:rsidRPr="004E3CDC">
          <w:rPr>
            <w:rStyle w:val="Hyperlink"/>
            <w:noProof/>
            <w:vertAlign w:val="superscript"/>
          </w:rPr>
          <w:t>-1</w:t>
        </w:r>
        <w:r w:rsidR="00FA0ADB" w:rsidRPr="004E3CDC">
          <w:rPr>
            <w:rStyle w:val="Hyperlink"/>
            <w:noProof/>
          </w:rPr>
          <w:t>) for (a) big bluestem and (b) switchgrass by browntop millet (BTM) seeding rate (kg PLS ha</w:t>
        </w:r>
        <w:r w:rsidR="00FA0ADB" w:rsidRPr="004E3CDC">
          <w:rPr>
            <w:rStyle w:val="Hyperlink"/>
            <w:noProof/>
            <w:vertAlign w:val="superscript"/>
          </w:rPr>
          <w:t>-1</w:t>
        </w:r>
        <w:r w:rsidR="00FA0ADB" w:rsidRPr="004E3CDC">
          <w:rPr>
            <w:rStyle w:val="Hyperlink"/>
            <w:noProof/>
          </w:rPr>
          <w:t>) following the second year of each study at Site 1 (2017) and Site 2 (2018) at East Tennessee AgResearch and Education Center-Plant Science Unit, Knoxville, TN.  †Different UPPERCASE letters indicate significant differences among Site 1 (2017) DM biomass yield among BTM seeding rate per species.  ‡Different lowercase letters indicate significant differences among Site 2 (2018) DM biomass yield among BTM seeding rate per species.</w:t>
        </w:r>
        <w:r w:rsidR="00FA0ADB">
          <w:rPr>
            <w:noProof/>
            <w:webHidden/>
          </w:rPr>
          <w:tab/>
        </w:r>
        <w:r w:rsidR="00FA0ADB">
          <w:rPr>
            <w:noProof/>
            <w:webHidden/>
          </w:rPr>
          <w:fldChar w:fldCharType="begin"/>
        </w:r>
        <w:r w:rsidR="00FA0ADB">
          <w:rPr>
            <w:noProof/>
            <w:webHidden/>
          </w:rPr>
          <w:instrText xml:space="preserve"> PAGEREF _Toc72300481 \h </w:instrText>
        </w:r>
        <w:r w:rsidR="00FA0ADB">
          <w:rPr>
            <w:noProof/>
            <w:webHidden/>
          </w:rPr>
        </w:r>
        <w:r w:rsidR="00FA0ADB">
          <w:rPr>
            <w:noProof/>
            <w:webHidden/>
          </w:rPr>
          <w:fldChar w:fldCharType="separate"/>
        </w:r>
        <w:r w:rsidR="00FA0ADB">
          <w:rPr>
            <w:noProof/>
            <w:webHidden/>
          </w:rPr>
          <w:t>129</w:t>
        </w:r>
        <w:r w:rsidR="00FA0ADB">
          <w:rPr>
            <w:noProof/>
            <w:webHidden/>
          </w:rPr>
          <w:fldChar w:fldCharType="end"/>
        </w:r>
      </w:hyperlink>
    </w:p>
    <w:p w14:paraId="12D0FFFC" w14:textId="6A27F942" w:rsidR="00FA0ADB" w:rsidRDefault="00080DD2">
      <w:pPr>
        <w:pStyle w:val="TableofFigures"/>
        <w:tabs>
          <w:tab w:val="right" w:leader="dot" w:pos="8630"/>
        </w:tabs>
        <w:rPr>
          <w:rFonts w:asciiTheme="minorHAnsi" w:eastAsiaTheme="minorEastAsia" w:hAnsiTheme="minorHAnsi" w:cstheme="minorBidi"/>
          <w:noProof/>
          <w:sz w:val="22"/>
          <w:szCs w:val="22"/>
        </w:rPr>
      </w:pPr>
      <w:hyperlink w:anchor="_Toc72300482" w:history="1">
        <w:r w:rsidR="00FA0ADB" w:rsidRPr="004E3CDC">
          <w:rPr>
            <w:rStyle w:val="Hyperlink"/>
            <w:noProof/>
          </w:rPr>
          <w:t>Figure 3A.5. Establishment-year plant density (seedlings m</w:t>
        </w:r>
        <w:r w:rsidR="00FA0ADB" w:rsidRPr="004E3CDC">
          <w:rPr>
            <w:rStyle w:val="Hyperlink"/>
            <w:noProof/>
            <w:vertAlign w:val="superscript"/>
          </w:rPr>
          <w:t>-2</w:t>
        </w:r>
        <w:r w:rsidR="00FA0ADB" w:rsidRPr="004E3CDC">
          <w:rPr>
            <w:rStyle w:val="Hyperlink"/>
            <w:noProof/>
          </w:rPr>
          <w:t>) for switchgrass (SG), browntop millet (BTM), and weeds by BTM seeding rate (kg PLS ha</w:t>
        </w:r>
        <w:r w:rsidR="00FA0ADB" w:rsidRPr="004E3CDC">
          <w:rPr>
            <w:rStyle w:val="Hyperlink"/>
            <w:noProof/>
            <w:vertAlign w:val="superscript"/>
          </w:rPr>
          <w:t>-1</w:t>
        </w:r>
        <w:r w:rsidR="00FA0ADB" w:rsidRPr="004E3CDC">
          <w:rPr>
            <w:rStyle w:val="Hyperlink"/>
            <w:noProof/>
          </w:rPr>
          <w:t xml:space="preserve">) at 30 and 60 days after planting (DAP) SG for Site 1 (top) and Site 2 (bottom) at East Tennessee </w:t>
        </w:r>
        <w:r w:rsidR="00FA0ADB" w:rsidRPr="004E3CDC">
          <w:rPr>
            <w:rStyle w:val="Hyperlink"/>
            <w:noProof/>
          </w:rPr>
          <w:lastRenderedPageBreak/>
          <w:t>AgResearch and Education Center-Plant Science Unit, Knoxville, TN.  †Number of SG seedlings per BTM seeding rate at 30 and 60 DAP.  ‡Different lowercase letters indicate significant differences among weed + BTM seedling totals by BTM seeding rate at 30 and 60 DAP within site.  §Different UPPERCASE letters indicate significant differences for SG seedlings by BTM seeding rate at 30 and 60 DAP within site.</w:t>
        </w:r>
        <w:r w:rsidR="00FA0ADB">
          <w:rPr>
            <w:noProof/>
            <w:webHidden/>
          </w:rPr>
          <w:tab/>
        </w:r>
        <w:r w:rsidR="00FA0ADB">
          <w:rPr>
            <w:noProof/>
            <w:webHidden/>
          </w:rPr>
          <w:fldChar w:fldCharType="begin"/>
        </w:r>
        <w:r w:rsidR="00FA0ADB">
          <w:rPr>
            <w:noProof/>
            <w:webHidden/>
          </w:rPr>
          <w:instrText xml:space="preserve"> PAGEREF _Toc72300482 \h </w:instrText>
        </w:r>
        <w:r w:rsidR="00FA0ADB">
          <w:rPr>
            <w:noProof/>
            <w:webHidden/>
          </w:rPr>
        </w:r>
        <w:r w:rsidR="00FA0ADB">
          <w:rPr>
            <w:noProof/>
            <w:webHidden/>
          </w:rPr>
          <w:fldChar w:fldCharType="separate"/>
        </w:r>
        <w:r w:rsidR="00FA0ADB">
          <w:rPr>
            <w:noProof/>
            <w:webHidden/>
          </w:rPr>
          <w:t>130</w:t>
        </w:r>
        <w:r w:rsidR="00FA0ADB">
          <w:rPr>
            <w:noProof/>
            <w:webHidden/>
          </w:rPr>
          <w:fldChar w:fldCharType="end"/>
        </w:r>
      </w:hyperlink>
    </w:p>
    <w:p w14:paraId="6F9C6861" w14:textId="76F930E0" w:rsidR="00387656" w:rsidRPr="00DD3196" w:rsidRDefault="003900BD" w:rsidP="00387656">
      <w:pPr>
        <w:pStyle w:val="Title"/>
        <w:rPr>
          <w:rFonts w:ascii="Times New Roman" w:hAnsi="Times New Roman" w:cs="Times New Roman"/>
        </w:rPr>
      </w:pPr>
      <w:r>
        <w:rPr>
          <w:rFonts w:ascii="Times New Roman" w:hAnsi="Times New Roman" w:cs="Times New Roman"/>
          <w:b w:val="0"/>
          <w:sz w:val="24"/>
          <w:lang w:val="en-US"/>
        </w:rPr>
        <w:fldChar w:fldCharType="end"/>
      </w:r>
      <w:r w:rsidR="00387656" w:rsidRPr="00DD3196">
        <w:rPr>
          <w:rFonts w:ascii="Times New Roman" w:hAnsi="Times New Roman" w:cs="Times New Roman"/>
        </w:rPr>
        <w:t xml:space="preserve"> </w:t>
      </w:r>
    </w:p>
    <w:p w14:paraId="02BD0CCE" w14:textId="77777777" w:rsidR="0085757D" w:rsidRPr="004F6C28" w:rsidRDefault="0085757D" w:rsidP="005E54E2">
      <w:pPr>
        <w:rPr>
          <w:rFonts w:cs="Times New Roman"/>
        </w:rPr>
      </w:pPr>
    </w:p>
    <w:p w14:paraId="29A0EE2A" w14:textId="77777777" w:rsidR="0085757D" w:rsidRPr="004F6C28" w:rsidRDefault="0085757D" w:rsidP="005E54E2">
      <w:pPr>
        <w:rPr>
          <w:rFonts w:cs="Times New Roman"/>
        </w:rPr>
        <w:sectPr w:rsidR="0085757D" w:rsidRPr="004F6C28" w:rsidSect="00D95FBF">
          <w:footerReference w:type="default" r:id="rId8"/>
          <w:pgSz w:w="12240" w:h="15840" w:code="1"/>
          <w:pgMar w:top="1440" w:right="1800" w:bottom="1872" w:left="1800" w:header="720" w:footer="1440" w:gutter="0"/>
          <w:pgNumType w:fmt="lowerRoman" w:start="1"/>
          <w:cols w:space="720"/>
          <w:noEndnote/>
          <w:titlePg/>
        </w:sectPr>
      </w:pPr>
    </w:p>
    <w:p w14:paraId="19DB3504" w14:textId="77777777" w:rsidR="006E3013" w:rsidRDefault="006E3013" w:rsidP="005E54E2">
      <w:pPr>
        <w:pStyle w:val="Heading1"/>
        <w:rPr>
          <w:rFonts w:cs="Times New Roman"/>
        </w:rPr>
      </w:pPr>
      <w:bookmarkStart w:id="2" w:name="_Toc289175819"/>
    </w:p>
    <w:p w14:paraId="1A422A54" w14:textId="77777777" w:rsidR="006E3013" w:rsidRDefault="006E3013" w:rsidP="005E54E2">
      <w:pPr>
        <w:pStyle w:val="Heading1"/>
        <w:rPr>
          <w:rFonts w:cs="Times New Roman"/>
        </w:rPr>
      </w:pPr>
    </w:p>
    <w:p w14:paraId="03A8A45E" w14:textId="77777777" w:rsidR="006E3013" w:rsidRDefault="006E3013" w:rsidP="005E54E2">
      <w:pPr>
        <w:pStyle w:val="Heading1"/>
        <w:rPr>
          <w:rFonts w:cs="Times New Roman"/>
        </w:rPr>
      </w:pPr>
    </w:p>
    <w:p w14:paraId="2BA2843F" w14:textId="77777777" w:rsidR="006E3013" w:rsidRDefault="006E3013" w:rsidP="005E54E2">
      <w:pPr>
        <w:pStyle w:val="Heading1"/>
        <w:rPr>
          <w:rFonts w:cs="Times New Roman"/>
        </w:rPr>
      </w:pPr>
    </w:p>
    <w:p w14:paraId="76EFE96B" w14:textId="77777777" w:rsidR="006E3013" w:rsidRDefault="006E3013" w:rsidP="005E54E2">
      <w:pPr>
        <w:pStyle w:val="Heading1"/>
        <w:rPr>
          <w:rFonts w:cs="Times New Roman"/>
        </w:rPr>
      </w:pPr>
    </w:p>
    <w:p w14:paraId="4A2CB563" w14:textId="77777777" w:rsidR="006E3013" w:rsidRDefault="006E3013" w:rsidP="002F02BB">
      <w:pPr>
        <w:pStyle w:val="Heading1"/>
        <w:jc w:val="left"/>
        <w:rPr>
          <w:rFonts w:cs="Times New Roman"/>
        </w:rPr>
      </w:pPr>
    </w:p>
    <w:p w14:paraId="5BCF6AE9" w14:textId="77777777" w:rsidR="006E3013" w:rsidRDefault="006E3013" w:rsidP="005E54E2">
      <w:pPr>
        <w:pStyle w:val="Heading1"/>
        <w:rPr>
          <w:rFonts w:cs="Times New Roman"/>
        </w:rPr>
      </w:pPr>
    </w:p>
    <w:p w14:paraId="1836B231" w14:textId="121446EE" w:rsidR="002F02BB" w:rsidRDefault="00DD3196" w:rsidP="005E54E2">
      <w:pPr>
        <w:pStyle w:val="Heading1"/>
        <w:rPr>
          <w:rFonts w:cs="Times New Roman"/>
        </w:rPr>
        <w:sectPr w:rsidR="002F02BB" w:rsidSect="00D95FBF">
          <w:pgSz w:w="12240" w:h="15840" w:code="1"/>
          <w:pgMar w:top="1440" w:right="1800" w:bottom="1872" w:left="1800" w:header="720" w:footer="1155" w:gutter="0"/>
          <w:pgNumType w:start="1"/>
          <w:cols w:space="720"/>
          <w:noEndnote/>
          <w:docGrid w:linePitch="360"/>
        </w:sectPr>
      </w:pPr>
      <w:bookmarkStart w:id="3" w:name="_Toc72026006"/>
      <w:bookmarkStart w:id="4" w:name="_Toc72305371"/>
      <w:bookmarkEnd w:id="2"/>
      <w:r>
        <w:rPr>
          <w:rFonts w:cs="Times New Roman"/>
        </w:rPr>
        <w:t>INTRODUCTION</w:t>
      </w:r>
      <w:bookmarkEnd w:id="3"/>
      <w:bookmarkEnd w:id="4"/>
    </w:p>
    <w:p w14:paraId="094A3B0F" w14:textId="4A5B2065" w:rsidR="00236E6D" w:rsidRPr="00514533" w:rsidRDefault="001C5C01" w:rsidP="00514533">
      <w:pPr>
        <w:pStyle w:val="AgronomyJournalSectionTitles"/>
      </w:pPr>
      <w:bookmarkStart w:id="5" w:name="_Toc72026007"/>
      <w:bookmarkStart w:id="6" w:name="_Toc72305372"/>
      <w:r w:rsidRPr="00514533">
        <w:lastRenderedPageBreak/>
        <w:t>Overview of Warm-Season Grasses</w:t>
      </w:r>
      <w:bookmarkEnd w:id="5"/>
      <w:bookmarkEnd w:id="6"/>
    </w:p>
    <w:p w14:paraId="7790CA03" w14:textId="2C1C8470" w:rsidR="001C5C01" w:rsidRDefault="001C5C01" w:rsidP="00237978">
      <w:pPr>
        <w:ind w:firstLine="720"/>
        <w:rPr>
          <w:b/>
          <w:bCs/>
          <w:iCs/>
        </w:rPr>
      </w:pPr>
      <w:bookmarkStart w:id="7" w:name="_Toc289175821"/>
      <w:r w:rsidRPr="001C5C01">
        <w:t xml:space="preserve">Warm-season </w:t>
      </w:r>
      <w:r w:rsidR="005060CE">
        <w:t>(C</w:t>
      </w:r>
      <w:r w:rsidR="005060CE" w:rsidRPr="005060CE">
        <w:rPr>
          <w:vertAlign w:val="subscript"/>
        </w:rPr>
        <w:t>4</w:t>
      </w:r>
      <w:r w:rsidR="005060CE">
        <w:t xml:space="preserve">) </w:t>
      </w:r>
      <w:r w:rsidRPr="001C5C01">
        <w:t>grasses (WSG) are from the Poaceae family that conduct photosynthesis via C</w:t>
      </w:r>
      <w:r w:rsidRPr="00642ADA">
        <w:rPr>
          <w:vertAlign w:val="subscript"/>
        </w:rPr>
        <w:t>4</w:t>
      </w:r>
      <w:r w:rsidRPr="001C5C01">
        <w:t xml:space="preserve"> photosynthetic pathway.  Most WSG are located between 30°N and 30°S latitude (Moser et al., 2004), where the most favorable temperatures for WSG growth occurs.  </w:t>
      </w:r>
      <w:r w:rsidR="008F4D8D">
        <w:t xml:space="preserve">However, many WSG species are adapted to areas with a temperate climate (Waramit, Moore, &amp; Heggenstaller, 2011), such as the dominant species of the tall grass prairie of North America (Weaver, 1954). </w:t>
      </w:r>
      <w:r w:rsidR="00692CC7">
        <w:t xml:space="preserve"> </w:t>
      </w:r>
      <w:r w:rsidRPr="001C5C01">
        <w:t>The optimum temperature for growth of C</w:t>
      </w:r>
      <w:r w:rsidRPr="00642ADA">
        <w:rPr>
          <w:vertAlign w:val="subscript"/>
        </w:rPr>
        <w:t>4</w:t>
      </w:r>
      <w:r w:rsidRPr="001C5C01">
        <w:t xml:space="preserve"> grasses is from 30 to 35°C (Long, 1999).  In Tennessee, WSG grow predominantly during late spring, summer, and early fall (Ball et al., 2015).  </w:t>
      </w:r>
    </w:p>
    <w:p w14:paraId="5D0DC261" w14:textId="79BF9E00" w:rsidR="001C5C01" w:rsidRDefault="00E26EB1" w:rsidP="00237978">
      <w:pPr>
        <w:ind w:firstLine="720"/>
        <w:rPr>
          <w:b/>
          <w:bCs/>
          <w:iCs/>
        </w:rPr>
      </w:pPr>
      <w:r>
        <w:t xml:space="preserve">Warm-season grasses </w:t>
      </w:r>
      <w:r w:rsidR="001C5C01" w:rsidRPr="001C5C01">
        <w:t xml:space="preserve">have multiple characteristics that make them more advantageous to grow during summer </w:t>
      </w:r>
      <w:r>
        <w:t xml:space="preserve">months rather </w:t>
      </w:r>
      <w:r w:rsidR="001C5C01" w:rsidRPr="001C5C01">
        <w:t>than cool-season (C</w:t>
      </w:r>
      <w:r w:rsidR="001C5C01" w:rsidRPr="00642ADA">
        <w:rPr>
          <w:vertAlign w:val="subscript"/>
        </w:rPr>
        <w:t>3</w:t>
      </w:r>
      <w:r w:rsidR="001C5C01" w:rsidRPr="001C5C01">
        <w:t xml:space="preserve">) grasses (CSG).  Warm-season grasses can produce the same amount of dry matter </w:t>
      </w:r>
      <w:r w:rsidR="005060CE">
        <w:t xml:space="preserve">(DM) </w:t>
      </w:r>
      <w:r w:rsidR="001C5C01" w:rsidRPr="001C5C01">
        <w:t xml:space="preserve">as that of CSG while utilizing one-third to one-half less water (Moser et al., 2004).  </w:t>
      </w:r>
      <w:r w:rsidR="005060CE">
        <w:t>Although</w:t>
      </w:r>
      <w:r w:rsidR="001C5C01" w:rsidRPr="001C5C01">
        <w:t xml:space="preserve"> C</w:t>
      </w:r>
      <w:r w:rsidR="001C5C01" w:rsidRPr="00642ADA">
        <w:rPr>
          <w:vertAlign w:val="subscript"/>
        </w:rPr>
        <w:t>4</w:t>
      </w:r>
      <w:r w:rsidR="001C5C01" w:rsidRPr="001C5C01">
        <w:t xml:space="preserve"> grasses have a greater water-use efficiency (WUE) than C</w:t>
      </w:r>
      <w:r w:rsidR="001C5C01" w:rsidRPr="00642ADA">
        <w:rPr>
          <w:vertAlign w:val="subscript"/>
        </w:rPr>
        <w:t>3</w:t>
      </w:r>
      <w:r w:rsidR="001C5C01" w:rsidRPr="001C5C01">
        <w:t xml:space="preserve"> grasses, not all WSG are drought tolerant (Moser et al., 2004).  </w:t>
      </w:r>
      <w:r w:rsidR="00561A06">
        <w:t>Also, WSG</w:t>
      </w:r>
      <w:r w:rsidR="001C5C01" w:rsidRPr="001C5C01">
        <w:t xml:space="preserve"> are able to use nitrogen (N) more efficiently than C</w:t>
      </w:r>
      <w:r w:rsidR="001C5C01" w:rsidRPr="00642ADA">
        <w:rPr>
          <w:vertAlign w:val="subscript"/>
        </w:rPr>
        <w:t>3</w:t>
      </w:r>
      <w:r w:rsidR="001C5C01" w:rsidRPr="001C5C01">
        <w:t xml:space="preserve"> grasses thus reducing the cost and amount of N inputs needed in a forage production system.  However, N fertilization is still required to optimize forage yield (Brejda, 2000).  </w:t>
      </w:r>
    </w:p>
    <w:p w14:paraId="26F6AAD7" w14:textId="6FFC0ECF" w:rsidR="001C5C01" w:rsidRDefault="001C5C01" w:rsidP="00FE004D">
      <w:pPr>
        <w:spacing w:after="100" w:afterAutospacing="1"/>
        <w:ind w:firstLine="720"/>
      </w:pPr>
      <w:r w:rsidRPr="001C5C01">
        <w:t xml:space="preserve">Forage production in the Mid-South focuses on introduced, exotic </w:t>
      </w:r>
      <w:r w:rsidR="000359FF">
        <w:t xml:space="preserve">grass </w:t>
      </w:r>
      <w:r w:rsidRPr="001C5C01">
        <w:t>species.  Bermudagrass [</w:t>
      </w:r>
      <w:r w:rsidRPr="00C83DFA">
        <w:rPr>
          <w:i/>
          <w:iCs/>
        </w:rPr>
        <w:t>Cynodon dactylon</w:t>
      </w:r>
      <w:r w:rsidRPr="001C5C01">
        <w:t xml:space="preserve"> (L.) Pers.] and annual</w:t>
      </w:r>
      <w:r w:rsidR="005060CE">
        <w:t xml:space="preserve"> species</w:t>
      </w:r>
      <w:r w:rsidRPr="001C5C01">
        <w:t xml:space="preserve"> supply the majority of warm-season forage in the Mid-South (Burns et al., 1984) while tall fescue [</w:t>
      </w:r>
      <w:r w:rsidRPr="00C83DFA">
        <w:rPr>
          <w:i/>
          <w:iCs/>
        </w:rPr>
        <w:t xml:space="preserve">Schedonorus arundinaceus </w:t>
      </w:r>
      <w:r w:rsidRPr="001C5C01">
        <w:t xml:space="preserve">(Schreb.) Dumort., nom. cons.] is the main </w:t>
      </w:r>
      <w:r w:rsidR="005060CE">
        <w:t>CSG</w:t>
      </w:r>
      <w:r w:rsidRPr="001C5C01">
        <w:t xml:space="preserve"> used in Tennessee (Bates, </w:t>
      </w:r>
      <w:r w:rsidRPr="001C5C01">
        <w:lastRenderedPageBreak/>
        <w:t>1997) and in the Mid-South (</w:t>
      </w:r>
      <w:r w:rsidR="00A7020D" w:rsidRPr="001C5C01">
        <w:t>Steen et al., 1979</w:t>
      </w:r>
      <w:r w:rsidR="00A7020D">
        <w:t xml:space="preserve">; </w:t>
      </w:r>
      <w:r w:rsidRPr="001C5C01">
        <w:t>Pendulum et al., 1980).  During the warmer months of the year in Tennessee, CSG become semi-dormant.  This period is referred to as the “summer slump”</w:t>
      </w:r>
      <w:r w:rsidR="005060CE">
        <w:t>.</w:t>
      </w:r>
      <w:r w:rsidRPr="001C5C01">
        <w:t xml:space="preserve">  Some producers stockpile CSG by not grazing or reducing stocking rates </w:t>
      </w:r>
      <w:r w:rsidR="007633D2">
        <w:t xml:space="preserve">during spring </w:t>
      </w:r>
      <w:r w:rsidRPr="001C5C01">
        <w:t xml:space="preserve">in these pastures to extend </w:t>
      </w:r>
      <w:r w:rsidR="00FC59E4" w:rsidRPr="001C5C01">
        <w:t>cool</w:t>
      </w:r>
      <w:r w:rsidR="005060CE">
        <w:t>-</w:t>
      </w:r>
      <w:r w:rsidR="00FC59E4" w:rsidRPr="001C5C01">
        <w:t>season</w:t>
      </w:r>
      <w:r w:rsidRPr="001C5C01">
        <w:t xml:space="preserve"> grazing</w:t>
      </w:r>
      <w:r w:rsidR="007633D2">
        <w:t xml:space="preserve"> further into the summer</w:t>
      </w:r>
      <w:r w:rsidRPr="001C5C01">
        <w:t xml:space="preserve">.  </w:t>
      </w:r>
      <w:r w:rsidR="007633D2">
        <w:t>However, t</w:t>
      </w:r>
      <w:r w:rsidRPr="001C5C01">
        <w:t xml:space="preserve">his management approach allows the grass to mature therefore reducing its nutritive value (Moore et al., 2004).  By </w:t>
      </w:r>
      <w:r w:rsidR="00467D02">
        <w:t>relying on</w:t>
      </w:r>
      <w:r w:rsidRPr="001C5C01">
        <w:t xml:space="preserve"> both WSG and CSG, a greater overall forage </w:t>
      </w:r>
      <w:r w:rsidR="005060CE">
        <w:t>nutritive value</w:t>
      </w:r>
      <w:r w:rsidRPr="001C5C01">
        <w:t xml:space="preserve"> can be achieved (</w:t>
      </w:r>
      <w:r w:rsidR="002D0222" w:rsidRPr="001055EB">
        <w:t xml:space="preserve">Keyser, Bates, Waller, Harper, </w:t>
      </w:r>
      <w:r w:rsidR="002D0222">
        <w:t>&amp;</w:t>
      </w:r>
      <w:r w:rsidR="002D0222" w:rsidRPr="001055EB">
        <w:t xml:space="preserve"> </w:t>
      </w:r>
      <w:r w:rsidR="002D0222">
        <w:t>Holcomb</w:t>
      </w:r>
      <w:r w:rsidR="002D0222" w:rsidRPr="001055EB">
        <w:t>. 2011</w:t>
      </w:r>
      <w:r w:rsidRPr="001C5C01">
        <w:t xml:space="preserve">b).  Also, having grass species from both photosynthetic </w:t>
      </w:r>
      <w:r w:rsidR="002C02C6">
        <w:t>pathways can</w:t>
      </w:r>
      <w:r w:rsidRPr="001C5C01">
        <w:t xml:space="preserve"> aid in extending the number of grazing days, thus lowering the amount and number of days of supplemental feeding (Hoveland et al., 1977).  By incorporating WSG into rotation</w:t>
      </w:r>
      <w:r w:rsidR="002C02C6">
        <w:t>al stocking management</w:t>
      </w:r>
      <w:r w:rsidRPr="001C5C01">
        <w:t xml:space="preserve"> with CSG, CSG are allowed time to recover following grazing and can be rested when growth conditions are unfavorable (Moore et al., 2004).</w:t>
      </w:r>
    </w:p>
    <w:p w14:paraId="7D835EC2" w14:textId="2365C4FB" w:rsidR="00237978" w:rsidRPr="00514533" w:rsidRDefault="00237978" w:rsidP="00514533">
      <w:pPr>
        <w:pStyle w:val="AgronomyJournalSectionTitles"/>
      </w:pPr>
      <w:bookmarkStart w:id="8" w:name="_Toc72026008"/>
      <w:bookmarkStart w:id="9" w:name="_Toc72305373"/>
      <w:r w:rsidRPr="00514533">
        <w:t>Overview of Native Warm-Season Grasses</w:t>
      </w:r>
      <w:bookmarkEnd w:id="8"/>
      <w:bookmarkEnd w:id="9"/>
    </w:p>
    <w:p w14:paraId="58846003" w14:textId="0D79079F" w:rsidR="004F5AE6" w:rsidRDefault="00237978" w:rsidP="004F5AE6">
      <w:pPr>
        <w:ind w:firstLine="720"/>
      </w:pPr>
      <w:r>
        <w:t xml:space="preserve">Native warm-season grasses (NWSG) are species that grow during the warmer months and inhabited </w:t>
      </w:r>
      <w:r w:rsidR="007633D2">
        <w:t>North America</w:t>
      </w:r>
      <w:r>
        <w:t xml:space="preserve"> prior to European settlement.  </w:t>
      </w:r>
      <w:bookmarkStart w:id="10" w:name="_Hlk56645087"/>
      <w:r>
        <w:t xml:space="preserve">The perennial, deep-rooted, bunchgrass species were dominant in the tallgrass prairie of the United States.  However, multiple species, such as those used for forage production, ranged farther east than the tallgrass prairie to encompass </w:t>
      </w:r>
      <w:r w:rsidR="00467D02">
        <w:t>the</w:t>
      </w:r>
      <w:r>
        <w:t xml:space="preserve"> Mid-South and Southeastern United States</w:t>
      </w:r>
      <w:bookmarkEnd w:id="10"/>
      <w:r>
        <w:t xml:space="preserve">.  </w:t>
      </w:r>
      <w:bookmarkStart w:id="11" w:name="_Hlk56722733"/>
      <w:r>
        <w:t>Native WSG species are known for their adaptability to environmental conditions associated with the Mid-South.  These conditions include (but are not limited to) insect, disease, heat, and drought tolerance (</w:t>
      </w:r>
      <w:r w:rsidR="002D0222" w:rsidRPr="001055EB">
        <w:t xml:space="preserve">Keyser, Bates, Waller, Harper, </w:t>
      </w:r>
      <w:r w:rsidR="002D0222">
        <w:t>&amp;</w:t>
      </w:r>
      <w:r w:rsidR="002D0222" w:rsidRPr="001055EB">
        <w:t xml:space="preserve"> </w:t>
      </w:r>
      <w:r w:rsidR="002D0222">
        <w:t>Holcomb</w:t>
      </w:r>
      <w:r w:rsidR="002D0222" w:rsidRPr="001055EB">
        <w:t>. 2011a</w:t>
      </w:r>
      <w:r>
        <w:t xml:space="preserve">).  </w:t>
      </w:r>
      <w:bookmarkEnd w:id="11"/>
      <w:r>
        <w:lastRenderedPageBreak/>
        <w:t xml:space="preserve">Native WSG are utilized for forage and biomass production, wildlife habitat restoration, riparian buffers, roadside revegetation efforts, and controlling soil erosion.  Some NWSG that have received attention as forage crops include </w:t>
      </w:r>
      <w:bookmarkStart w:id="12" w:name="_Hlk56643304"/>
      <w:r>
        <w:t>big bluestem [</w:t>
      </w:r>
      <w:r w:rsidRPr="00C83DFA">
        <w:rPr>
          <w:i/>
          <w:iCs/>
        </w:rPr>
        <w:t>Andropogon gerardii</w:t>
      </w:r>
      <w:r>
        <w:t xml:space="preserve"> Vitman], eastern gamagrass [</w:t>
      </w:r>
      <w:r w:rsidRPr="00C83DFA">
        <w:rPr>
          <w:i/>
          <w:iCs/>
        </w:rPr>
        <w:t>Tripsacum dactyloides</w:t>
      </w:r>
      <w:r>
        <w:t xml:space="preserve"> (L.) L.], indiangrass [</w:t>
      </w:r>
      <w:r w:rsidRPr="00C83DFA">
        <w:rPr>
          <w:i/>
          <w:iCs/>
        </w:rPr>
        <w:t xml:space="preserve">Sorghastrum nutans </w:t>
      </w:r>
      <w:r>
        <w:t>(L.) Nash], little bluestem [</w:t>
      </w:r>
      <w:r w:rsidRPr="00C83DFA">
        <w:rPr>
          <w:i/>
          <w:iCs/>
        </w:rPr>
        <w:t>Schizachyrium scoparium</w:t>
      </w:r>
      <w:r>
        <w:t xml:space="preserve"> (Michx.) Nash], and switchgrass [</w:t>
      </w:r>
      <w:r w:rsidRPr="00C83DFA">
        <w:rPr>
          <w:i/>
          <w:iCs/>
        </w:rPr>
        <w:t>Panicum virgatum</w:t>
      </w:r>
      <w:r>
        <w:t xml:space="preserve"> L.]</w:t>
      </w:r>
      <w:bookmarkEnd w:id="12"/>
      <w:r>
        <w:t>.</w:t>
      </w:r>
    </w:p>
    <w:p w14:paraId="736B1E0F" w14:textId="77777777" w:rsidR="00AC5D9B" w:rsidRDefault="00237978" w:rsidP="00BF1927">
      <w:pPr>
        <w:ind w:firstLine="720"/>
      </w:pPr>
      <w:r>
        <w:t>Native WSG require proper nutrient management for optimum growth.  The most limiting nutrient in NWSG production is N (Vogel et al., 2002).  Nitrogen is needed to produce large amounts of high-quality switchgrass (</w:t>
      </w:r>
      <w:r w:rsidR="00A7020D">
        <w:t xml:space="preserve">Smith, 1979; </w:t>
      </w:r>
      <w:r>
        <w:t>Hall et al., 1982).  Even though C</w:t>
      </w:r>
      <w:r w:rsidRPr="00642ADA">
        <w:rPr>
          <w:vertAlign w:val="subscript"/>
        </w:rPr>
        <w:t>4</w:t>
      </w:r>
      <w:r>
        <w:t xml:space="preserve"> grasses have a higher N use efficiency than C</w:t>
      </w:r>
      <w:r w:rsidRPr="00642ADA">
        <w:rPr>
          <w:vertAlign w:val="subscript"/>
        </w:rPr>
        <w:t>3</w:t>
      </w:r>
      <w:r>
        <w:t xml:space="preserve"> grasses, WSG normally utilize less than 60% of N from applied fertilizers (Sinclair, 2006).  When fertilizing switchgrass, applying a minimum of 50 kg N ha</w:t>
      </w:r>
      <w:r w:rsidRPr="00C83DFA">
        <w:rPr>
          <w:vertAlign w:val="superscript"/>
        </w:rPr>
        <w:t xml:space="preserve">-1 </w:t>
      </w:r>
      <w:r>
        <w:t>should occur during the first year of production (</w:t>
      </w:r>
      <w:r w:rsidR="00467D02">
        <w:t>y</w:t>
      </w:r>
      <w:r>
        <w:t>ear 2</w:t>
      </w:r>
      <w:r w:rsidR="00467D02">
        <w:t>,</w:t>
      </w:r>
      <w:r>
        <w:t xml:space="preserve"> the year following establishment).  Following the first year of production, application of 67</w:t>
      </w:r>
      <w:r w:rsidR="00467D02">
        <w:t>-</w:t>
      </w:r>
      <w:r>
        <w:t>100 kg N ha</w:t>
      </w:r>
      <w:r w:rsidRPr="00C83DFA">
        <w:rPr>
          <w:vertAlign w:val="superscript"/>
        </w:rPr>
        <w:t>-1</w:t>
      </w:r>
      <w:r>
        <w:t xml:space="preserve"> annually has been recommended (</w:t>
      </w:r>
      <w:r w:rsidR="00A7020D">
        <w:t xml:space="preserve">Wolf &amp; Fiske, 1995; McLaughlin &amp; Walsh, 1998; </w:t>
      </w:r>
      <w:r>
        <w:t>Mooney et al., 2009).  Vogel et al. (2002) found that 120 kg N ha</w:t>
      </w:r>
      <w:r w:rsidRPr="00C83DFA">
        <w:rPr>
          <w:vertAlign w:val="superscript"/>
        </w:rPr>
        <w:t>-1</w:t>
      </w:r>
      <w:r>
        <w:t xml:space="preserve"> was the optimum N fertilization rate when harvesting switchgrass twice for forage in Iowa and Nebraska.  Muir et al. (2001) reported that switchgrass reached maximum biomass production or began to plateau when fertilized with 168 kg N ha</w:t>
      </w:r>
      <w:r w:rsidRPr="00C83DFA">
        <w:rPr>
          <w:vertAlign w:val="superscript"/>
        </w:rPr>
        <w:t>-1</w:t>
      </w:r>
      <w:r>
        <w:t xml:space="preserve"> in Texas.  </w:t>
      </w:r>
    </w:p>
    <w:p w14:paraId="415E2D82" w14:textId="4F54631D" w:rsidR="004F5AE6" w:rsidRDefault="00237978" w:rsidP="00BF1927">
      <w:pPr>
        <w:ind w:firstLine="720"/>
      </w:pPr>
      <w:r>
        <w:t>However,</w:t>
      </w:r>
      <w:r w:rsidR="007E3031">
        <w:t xml:space="preserve"> </w:t>
      </w:r>
      <w:r w:rsidR="006E7792">
        <w:t xml:space="preserve">even with marginal inputs or </w:t>
      </w:r>
      <w:r w:rsidR="007E3031">
        <w:t xml:space="preserve">when </w:t>
      </w:r>
      <w:r w:rsidR="006E7792">
        <w:t xml:space="preserve">grown on poor sites, these grasses </w:t>
      </w:r>
      <w:r>
        <w:t xml:space="preserve">can </w:t>
      </w:r>
      <w:r w:rsidR="007E3031">
        <w:t xml:space="preserve">be </w:t>
      </w:r>
      <w:r>
        <w:t>produc</w:t>
      </w:r>
      <w:r w:rsidR="007E3031">
        <w:t>tive</w:t>
      </w:r>
      <w:r>
        <w:t>.  Berg (1995) reported that unfertilized swards of a NWSG mixture consisting of blue grama [</w:t>
      </w:r>
      <w:r w:rsidRPr="00C83DFA">
        <w:rPr>
          <w:i/>
          <w:iCs/>
        </w:rPr>
        <w:t>Bouteloua gracilis</w:t>
      </w:r>
      <w:r>
        <w:t xml:space="preserve"> (Willd. ex Kunth) Lag. ex Griffiths], indiangrass, little bluestem, sand bluestem [</w:t>
      </w:r>
      <w:r w:rsidRPr="00C83DFA">
        <w:rPr>
          <w:i/>
          <w:iCs/>
        </w:rPr>
        <w:t>Andropogon hallii</w:t>
      </w:r>
      <w:r>
        <w:t xml:space="preserve"> Hack], sideoats grama </w:t>
      </w:r>
      <w:r>
        <w:lastRenderedPageBreak/>
        <w:t>[</w:t>
      </w:r>
      <w:r w:rsidRPr="00C83DFA">
        <w:rPr>
          <w:i/>
          <w:iCs/>
        </w:rPr>
        <w:t>Bouteloua curtipendula</w:t>
      </w:r>
      <w:r>
        <w:t xml:space="preserve"> (Michx.) Torr.], and switchgrass grown in northwestern Oklahoma yielded an average of 1</w:t>
      </w:r>
      <w:r w:rsidR="006304BB">
        <w:t>.2</w:t>
      </w:r>
      <w:r>
        <w:t xml:space="preserve"> </w:t>
      </w:r>
      <w:r w:rsidR="006304BB">
        <w:t>M</w:t>
      </w:r>
      <w:r>
        <w:t>g ha</w:t>
      </w:r>
      <w:r w:rsidRPr="00C83DFA">
        <w:rPr>
          <w:vertAlign w:val="superscript"/>
        </w:rPr>
        <w:t>-1</w:t>
      </w:r>
      <w:r>
        <w:t xml:space="preserve"> yr</w:t>
      </w:r>
      <w:r w:rsidRPr="00C83DFA">
        <w:rPr>
          <w:vertAlign w:val="superscript"/>
        </w:rPr>
        <w:t>-1</w:t>
      </w:r>
      <w:r>
        <w:t xml:space="preserve"> of herbage over three years.  He also noted that NWSG yield increased by 15 kg </w:t>
      </w:r>
      <w:r w:rsidR="00FA460A">
        <w:t xml:space="preserve">with each </w:t>
      </w:r>
      <w:r>
        <w:t xml:space="preserve">kg </w:t>
      </w:r>
      <w:r w:rsidR="00FA460A">
        <w:t xml:space="preserve">of </w:t>
      </w:r>
      <w:r>
        <w:t>N applied over the three-year study.  Gillen and Berg (1998) reported 60 and 63% increase in forage mass in June and August, respectively, when an ungrazed NWSG mixture consisting of blue grama, sideoats grama, indiangrass, little bluestem, sand bluestem, and switchgrass was fertilized with 35 kg N ha</w:t>
      </w:r>
      <w:r w:rsidRPr="00C83DFA">
        <w:rPr>
          <w:vertAlign w:val="superscript"/>
        </w:rPr>
        <w:t>-1</w:t>
      </w:r>
      <w:r>
        <w:t xml:space="preserve"> yr</w:t>
      </w:r>
      <w:r w:rsidRPr="00C83DFA">
        <w:rPr>
          <w:vertAlign w:val="superscript"/>
        </w:rPr>
        <w:t>-1</w:t>
      </w:r>
      <w:r>
        <w:t xml:space="preserve"> as compared to the unfertilized control.  Jung et al. (1985) conducted a grazing experiment in Pennsylvania with switchgrass and big bluestem cultivars from 1975-1977.  Native WSG were planted in 1973 into a prepared seedbed, grazed three times a year for three years (1975-1977), and no N fertilizer was added to the plots until 1977.  This study shows how these grasses can be managed with low fertilizer inputs.</w:t>
      </w:r>
      <w:r w:rsidR="008F6C76">
        <w:t xml:space="preserve">  </w:t>
      </w:r>
      <w:r w:rsidR="008F6C76" w:rsidRPr="008B00A0">
        <w:t>Currently, 67 kg N ha</w:t>
      </w:r>
      <w:r w:rsidR="008F6C76" w:rsidRPr="008B00A0">
        <w:rPr>
          <w:vertAlign w:val="superscript"/>
        </w:rPr>
        <w:t>-1</w:t>
      </w:r>
      <w:r w:rsidR="008F6C76" w:rsidRPr="008B00A0">
        <w:t xml:space="preserve"> is </w:t>
      </w:r>
      <w:r w:rsidR="008F6C76">
        <w:t xml:space="preserve">the </w:t>
      </w:r>
      <w:r w:rsidR="008F6C76" w:rsidRPr="008B00A0">
        <w:t xml:space="preserve">recommended </w:t>
      </w:r>
      <w:r w:rsidR="008F6C76">
        <w:t xml:space="preserve">rate </w:t>
      </w:r>
      <w:r w:rsidR="008F6C76" w:rsidRPr="008B00A0">
        <w:t xml:space="preserve">for SG forage production (Keyser et al., </w:t>
      </w:r>
      <w:r w:rsidR="008F6C76" w:rsidRPr="008B00A0">
        <w:rPr>
          <w:rFonts w:cs="Times New Roman"/>
          <w:lang w:val="en"/>
        </w:rPr>
        <w:t>2011b</w:t>
      </w:r>
      <w:r w:rsidR="008F6C76" w:rsidRPr="008B00A0">
        <w:t>; Popp et al., 2018).</w:t>
      </w:r>
    </w:p>
    <w:p w14:paraId="464432CA" w14:textId="2F15EC34" w:rsidR="00BF1927" w:rsidRDefault="00BF1927" w:rsidP="00BF1927">
      <w:pPr>
        <w:ind w:firstLine="720"/>
      </w:pPr>
      <w:r>
        <w:t>Big bluestem and indiangrass are commonly planted in polycultures with one another (</w:t>
      </w:r>
      <w:r w:rsidR="002D0222" w:rsidRPr="001055EB">
        <w:t xml:space="preserve">Keyser, Harper, Bates, Waller, </w:t>
      </w:r>
      <w:r w:rsidR="002D0222">
        <w:t>&amp;</w:t>
      </w:r>
      <w:r w:rsidR="002D0222" w:rsidRPr="001055EB">
        <w:t xml:space="preserve"> </w:t>
      </w:r>
      <w:r w:rsidR="002D0222">
        <w:t>Holcomb, 2011c</w:t>
      </w:r>
      <w:r>
        <w:t>).  Early summer biomass production of big bluestem and indiangrass normally has greater nutritive value than switchgrass (Gillen et al., 1998; Mitchell et al., 2001; McIntosh et al., 2015).  Hall et al. (1982) found that big bluestem had greater season-long DM yield (6.77 Mg ha</w:t>
      </w:r>
      <w:r w:rsidRPr="00C83DFA">
        <w:rPr>
          <w:vertAlign w:val="superscript"/>
        </w:rPr>
        <w:t>-1</w:t>
      </w:r>
      <w:r>
        <w:t>) than switchgrass and indiangrass (6.33 and 5.73 Mg ha</w:t>
      </w:r>
      <w:r w:rsidRPr="00C83DFA">
        <w:rPr>
          <w:vertAlign w:val="superscript"/>
        </w:rPr>
        <w:t>-1</w:t>
      </w:r>
      <w:r>
        <w:t xml:space="preserve">, respectively) when harvested four times and averaged across four replications and three N rates in Iowa; switchgrass yield exceeded that of indiangrass.  Griffin et al. (1980) studied the quality of big bluestem, switchgrass, and tall fescue.  They determined that WSG dry matter intake and dry matter </w:t>
      </w:r>
      <w:r>
        <w:lastRenderedPageBreak/>
        <w:t>digestibility are equal to or better than that of tall fescue when tall fescue was harvested in summer or fall.</w:t>
      </w:r>
    </w:p>
    <w:p w14:paraId="5B2525BB" w14:textId="66D2D2D4" w:rsidR="00237978" w:rsidRDefault="00237978" w:rsidP="00BF1927">
      <w:pPr>
        <w:spacing w:after="100" w:afterAutospacing="1"/>
        <w:ind w:firstLine="720"/>
      </w:pPr>
      <w:r>
        <w:t>Multiple researchers (</w:t>
      </w:r>
      <w:r w:rsidR="00A7020D">
        <w:t xml:space="preserve">Burns &amp; Fisher, 2013; </w:t>
      </w:r>
      <w:r>
        <w:t>Keyser et al., 2016; Backus</w:t>
      </w:r>
      <w:r w:rsidR="006E7792">
        <w:t xml:space="preserve"> et al.</w:t>
      </w:r>
      <w:r>
        <w:t>, 201</w:t>
      </w:r>
      <w:r w:rsidR="006E7792">
        <w:t>7</w:t>
      </w:r>
      <w:r>
        <w:t>) have conducted grazing studies on NWSG to evaluate their ability to produce weight gain in cattle (</w:t>
      </w:r>
      <w:r w:rsidRPr="00E478C4">
        <w:rPr>
          <w:i/>
          <w:iCs/>
        </w:rPr>
        <w:t>Bos taurus</w:t>
      </w:r>
      <w:r>
        <w:t xml:space="preserve">).  Cattle grazing big bluestem and </w:t>
      </w:r>
      <w:r w:rsidR="002C02C6">
        <w:t>indiangrass mixed stands</w:t>
      </w:r>
      <w:r>
        <w:t xml:space="preserve"> </w:t>
      </w:r>
      <w:r w:rsidR="009D760D">
        <w:t xml:space="preserve">can </w:t>
      </w:r>
      <w:r>
        <w:t xml:space="preserve">attain </w:t>
      </w:r>
      <w:r w:rsidR="009D760D">
        <w:t xml:space="preserve">1.2-2.0 times </w:t>
      </w:r>
      <w:r>
        <w:t xml:space="preserve">greater </w:t>
      </w:r>
      <w:r w:rsidR="009D760D">
        <w:t xml:space="preserve">season long average daily </w:t>
      </w:r>
      <w:r>
        <w:t xml:space="preserve">gains </w:t>
      </w:r>
      <w:r w:rsidR="009D760D">
        <w:t xml:space="preserve">(ADG) </w:t>
      </w:r>
      <w:r>
        <w:t>than those grazing other NWSG (Keyser et al., 2011</w:t>
      </w:r>
      <w:r w:rsidR="003B4DEB">
        <w:t>a</w:t>
      </w:r>
      <w:r>
        <w:t xml:space="preserve">).  Krueger and Curtis (1979) found </w:t>
      </w:r>
      <w:r w:rsidR="009D760D">
        <w:t>ADG</w:t>
      </w:r>
      <w:r>
        <w:t xml:space="preserve"> of 1.08, 0.93, 0.88, and 0.70 kg day</w:t>
      </w:r>
      <w:r w:rsidRPr="00C83DFA">
        <w:rPr>
          <w:vertAlign w:val="superscript"/>
        </w:rPr>
        <w:t>-1</w:t>
      </w:r>
      <w:r>
        <w:t xml:space="preserve"> when yearling steers were grazing indiangrass, switchgrass, sideoats grama, and big bluestem, respectively, in </w:t>
      </w:r>
      <w:r w:rsidR="007E3705">
        <w:t xml:space="preserve">a study conducted in </w:t>
      </w:r>
      <w:r>
        <w:t xml:space="preserve">South Dakota with total beef </w:t>
      </w:r>
      <w:r w:rsidR="007E3705">
        <w:t xml:space="preserve">weight </w:t>
      </w:r>
      <w:r>
        <w:t>gains of 119, 146, 112, and 138 kg ha</w:t>
      </w:r>
      <w:r w:rsidRPr="00C83DFA">
        <w:rPr>
          <w:vertAlign w:val="superscript"/>
        </w:rPr>
        <w:t>-1</w:t>
      </w:r>
      <w:r>
        <w:t>, respectively.  Burns and Fisher (2013) reported that steers grazing three NWSG (big bluestem, switchgrass, and eastern gamagrass) in North Carolina had greater ADG (1.08, 0.91, and 0.87 kg day</w:t>
      </w:r>
      <w:r w:rsidRPr="00C83DFA">
        <w:rPr>
          <w:vertAlign w:val="superscript"/>
        </w:rPr>
        <w:t>-1</w:t>
      </w:r>
      <w:r>
        <w:t>, respectively) than a bermudagrass-tall fescue system (0.73 kg day</w:t>
      </w:r>
      <w:r w:rsidRPr="00C83DFA">
        <w:rPr>
          <w:vertAlign w:val="superscript"/>
        </w:rPr>
        <w:t>-1</w:t>
      </w:r>
      <w:r>
        <w:t>).  They also reported a total beef yield of 839, 752, and 732 kg ha</w:t>
      </w:r>
      <w:r w:rsidRPr="00C83DFA">
        <w:rPr>
          <w:vertAlign w:val="superscript"/>
        </w:rPr>
        <w:t>-1</w:t>
      </w:r>
      <w:r>
        <w:t xml:space="preserve"> for </w:t>
      </w:r>
      <w:r w:rsidR="007E3705">
        <w:t xml:space="preserve">animals grazing </w:t>
      </w:r>
      <w:r>
        <w:t xml:space="preserve">switchgrass, eastern gamagrass, and big bluestem, respectively.  </w:t>
      </w:r>
      <w:r w:rsidR="00093BE7">
        <w:t xml:space="preserve">Working in Iowa, </w:t>
      </w:r>
      <w:r>
        <w:t>Moore et al. (2004)</w:t>
      </w:r>
      <w:r w:rsidR="00093BE7">
        <w:t xml:space="preserve"> found</w:t>
      </w:r>
      <w:r w:rsidR="00C31BA1">
        <w:t xml:space="preserve"> </w:t>
      </w:r>
      <w:r w:rsidR="007E3031">
        <w:t xml:space="preserve">across five grazing seasons that </w:t>
      </w:r>
      <w:r>
        <w:t xml:space="preserve">big bluestem </w:t>
      </w:r>
      <w:r w:rsidR="007E3031">
        <w:t>generally had</w:t>
      </w:r>
      <w:r w:rsidR="00093BE7">
        <w:t xml:space="preserve"> greater digestibility than switchgrass </w:t>
      </w:r>
      <w:r w:rsidR="00C31BA1">
        <w:t xml:space="preserve">whereas </w:t>
      </w:r>
      <w:r>
        <w:t>switchgrass pastures</w:t>
      </w:r>
      <w:r w:rsidR="00093BE7">
        <w:t xml:space="preserve"> </w:t>
      </w:r>
      <w:r w:rsidR="007E3031">
        <w:t xml:space="preserve">generally </w:t>
      </w:r>
      <w:r w:rsidR="00C31BA1">
        <w:t xml:space="preserve">had greater </w:t>
      </w:r>
      <w:r w:rsidR="00BF1927">
        <w:t xml:space="preserve">available </w:t>
      </w:r>
      <w:r w:rsidR="00C31BA1">
        <w:t>forage and crude protein</w:t>
      </w:r>
      <w:r w:rsidR="007E3705">
        <w:t xml:space="preserve"> (CP)</w:t>
      </w:r>
      <w:r>
        <w:t xml:space="preserve">.  Moore et al. (2004) also reported that </w:t>
      </w:r>
      <w:r w:rsidR="007E3705">
        <w:t xml:space="preserve">beef </w:t>
      </w:r>
      <w:r>
        <w:t>cattle grazing big bluestem following smooth bromegrass in Iowa in 1997 had greater live weight gains than those animals grazing CSG during the same time of year.</w:t>
      </w:r>
    </w:p>
    <w:p w14:paraId="474E9EDA" w14:textId="77777777" w:rsidR="00037822" w:rsidRPr="002F02BB" w:rsidRDefault="00037822" w:rsidP="00037822">
      <w:pPr>
        <w:pStyle w:val="AgronomyJournalSectionTitles"/>
      </w:pPr>
      <w:bookmarkStart w:id="13" w:name="_Toc65538854"/>
      <w:bookmarkStart w:id="14" w:name="_Toc72026010"/>
      <w:bookmarkStart w:id="15" w:name="_Toc72305374"/>
      <w:r w:rsidRPr="002F02BB">
        <w:lastRenderedPageBreak/>
        <w:t>Companion Crops</w:t>
      </w:r>
      <w:bookmarkEnd w:id="13"/>
      <w:bookmarkEnd w:id="14"/>
      <w:bookmarkEnd w:id="15"/>
    </w:p>
    <w:p w14:paraId="6278CCF3" w14:textId="77777777" w:rsidR="00E11025" w:rsidRDefault="00037822" w:rsidP="000123DE">
      <w:pPr>
        <w:ind w:firstLine="720"/>
      </w:pPr>
      <w:r>
        <w:t>Companion crops</w:t>
      </w:r>
      <w:r w:rsidR="00F57424">
        <w:t>, crops planted with or within a species to increase or hasten returns of an area of land,</w:t>
      </w:r>
      <w:r>
        <w:t xml:space="preserve"> </w:t>
      </w:r>
      <w:r w:rsidR="00642492">
        <w:t>can be advantageous in a forage production system.</w:t>
      </w:r>
      <w:r>
        <w:t xml:space="preserve">  </w:t>
      </w:r>
      <w:r w:rsidR="000123DE">
        <w:t>C</w:t>
      </w:r>
      <w:r>
        <w:t xml:space="preserve">ool-season annual grasses </w:t>
      </w:r>
      <w:r w:rsidR="000123DE">
        <w:t xml:space="preserve">and </w:t>
      </w:r>
      <w:r>
        <w:t xml:space="preserve">legumes </w:t>
      </w:r>
      <w:r w:rsidR="000123DE">
        <w:t xml:space="preserve">have been reported to </w:t>
      </w:r>
      <w:r>
        <w:t>increase the number of grazing days per season (</w:t>
      </w:r>
      <w:r w:rsidRPr="001F3A1F">
        <w:t>Hoveland et al., 1977) and lower production costs by reducing the need for supplemental feedstuffs</w:t>
      </w:r>
      <w:r w:rsidR="000123DE" w:rsidRPr="001F3A1F">
        <w:t xml:space="preserve"> when incorporated into warm-season pastures</w:t>
      </w:r>
      <w:r w:rsidRPr="001F3A1F">
        <w:t xml:space="preserve">.  </w:t>
      </w:r>
      <w:r w:rsidR="000123DE" w:rsidRPr="001F3A1F">
        <w:t>Adding l</w:t>
      </w:r>
      <w:r w:rsidRPr="001F3A1F">
        <w:t xml:space="preserve">egumes to a </w:t>
      </w:r>
      <w:r w:rsidR="00541689">
        <w:t xml:space="preserve">grazing </w:t>
      </w:r>
      <w:r w:rsidRPr="001F3A1F">
        <w:t xml:space="preserve">system </w:t>
      </w:r>
      <w:r w:rsidR="000123DE" w:rsidRPr="001F3A1F">
        <w:t xml:space="preserve">can have positive effects </w:t>
      </w:r>
      <w:r w:rsidRPr="001F3A1F">
        <w:t>from both environmental and ecological perspective</w:t>
      </w:r>
      <w:r w:rsidR="007E3031">
        <w:t>s</w:t>
      </w:r>
      <w:r w:rsidRPr="001F3A1F">
        <w:t>.  Legumes enhance the soil by contributing carbon from green manure and organic N (Ashworth et al., 2015).  Legumes have Rhizobium bacteria that inhabit nodules on the roots</w:t>
      </w:r>
      <w:r w:rsidR="000123DE" w:rsidRPr="001F3A1F">
        <w:t xml:space="preserve"> and </w:t>
      </w:r>
      <w:r w:rsidRPr="001F3A1F">
        <w:t>fix atmospheric N into a usable form for plants (</w:t>
      </w:r>
      <w:r w:rsidR="006D0B2B" w:rsidRPr="001F3A1F">
        <w:t xml:space="preserve">Graham, 2005; </w:t>
      </w:r>
      <w:r w:rsidRPr="001F3A1F">
        <w:t>Peoples et al., 2009), which in turn can reduce N inputs (Ashworth et al., 2015).  Legumes also reduce the contamination of groundwater by soil nitrates (NO</w:t>
      </w:r>
      <w:r w:rsidRPr="001F3A1F">
        <w:rPr>
          <w:vertAlign w:val="subscript"/>
        </w:rPr>
        <w:t>3</w:t>
      </w:r>
      <w:r w:rsidRPr="001F3A1F">
        <w:t xml:space="preserve">) </w:t>
      </w:r>
      <w:r w:rsidR="00642492" w:rsidRPr="001F3A1F">
        <w:t xml:space="preserve">and aid in decreasing weed encroachment by increasing ground cover </w:t>
      </w:r>
      <w:r w:rsidRPr="001F3A1F">
        <w:t>(Ashworth et al., 2015).  These companion crops compete for the same nutrients, sunlight, and water as the weeds thereby decreasing the resources used by invasive species (Ashworth et al., 2015).</w:t>
      </w:r>
      <w:r w:rsidR="000909D4" w:rsidRPr="001F3A1F">
        <w:t xml:space="preserve">  </w:t>
      </w:r>
    </w:p>
    <w:p w14:paraId="5D9CAA6E" w14:textId="6A13E49E" w:rsidR="00037822" w:rsidRDefault="00881998" w:rsidP="000909D4">
      <w:pPr>
        <w:ind w:firstLine="720"/>
      </w:pPr>
      <w:r w:rsidRPr="001F3A1F">
        <w:t>C</w:t>
      </w:r>
      <w:r w:rsidR="00037822" w:rsidRPr="001F3A1F">
        <w:t xml:space="preserve">ool-season legumes </w:t>
      </w:r>
      <w:r w:rsidRPr="001F3A1F">
        <w:t>planted into WSG pastures</w:t>
      </w:r>
      <w:r w:rsidR="00037822" w:rsidRPr="001F3A1F">
        <w:t xml:space="preserve"> can </w:t>
      </w:r>
      <w:r w:rsidRPr="001F3A1F">
        <w:t>extend t</w:t>
      </w:r>
      <w:r w:rsidR="00037822" w:rsidRPr="001F3A1F">
        <w:t>he grazing season</w:t>
      </w:r>
      <w:r w:rsidR="006D0B2B" w:rsidRPr="001F3A1F">
        <w:t xml:space="preserve"> (</w:t>
      </w:r>
      <w:r w:rsidR="00037822" w:rsidRPr="001F3A1F">
        <w:t>Springer, 1997)</w:t>
      </w:r>
      <w:r w:rsidR="00541689">
        <w:t>, by</w:t>
      </w:r>
      <w:r w:rsidR="006D0B2B" w:rsidRPr="001F3A1F">
        <w:t xml:space="preserve"> </w:t>
      </w:r>
      <w:r w:rsidR="00037822" w:rsidRPr="001F3A1F">
        <w:t>increas</w:t>
      </w:r>
      <w:r w:rsidR="00541689">
        <w:t>ing</w:t>
      </w:r>
      <w:r w:rsidR="006D0B2B" w:rsidRPr="001F3A1F">
        <w:t xml:space="preserve"> </w:t>
      </w:r>
      <w:r w:rsidR="00037822" w:rsidRPr="001F3A1F">
        <w:t>CP, forage intake, and overall animal performance (</w:t>
      </w:r>
      <w:r w:rsidR="006D0B2B" w:rsidRPr="001F3A1F">
        <w:t xml:space="preserve">Blaser et al., 1976; </w:t>
      </w:r>
      <w:r w:rsidR="00037822" w:rsidRPr="001F3A1F">
        <w:t xml:space="preserve">Vallis, 1976; Van Soest, 1976; </w:t>
      </w:r>
      <w:r w:rsidR="006D0B2B" w:rsidRPr="001F3A1F">
        <w:t>Marten, 1985</w:t>
      </w:r>
      <w:r w:rsidR="00037822" w:rsidRPr="001F3A1F">
        <w:t>)</w:t>
      </w:r>
      <w:r w:rsidR="006D0B2B" w:rsidRPr="001F3A1F">
        <w:t xml:space="preserve">, </w:t>
      </w:r>
      <w:r w:rsidR="00541689">
        <w:t xml:space="preserve">while also </w:t>
      </w:r>
      <w:r w:rsidR="006D0B2B" w:rsidRPr="001F3A1F">
        <w:t>increas</w:t>
      </w:r>
      <w:r w:rsidR="00541689">
        <w:t>ing</w:t>
      </w:r>
      <w:r w:rsidR="006D0B2B" w:rsidRPr="001F3A1F">
        <w:t xml:space="preserve"> </w:t>
      </w:r>
      <w:r w:rsidR="00541689">
        <w:t>forage</w:t>
      </w:r>
      <w:r w:rsidR="006D0B2B" w:rsidRPr="001F3A1F">
        <w:t xml:space="preserve"> production</w:t>
      </w:r>
      <w:r w:rsidR="00037822" w:rsidRPr="001F3A1F">
        <w:t xml:space="preserve">.  George et al. (1995) concluded that incorporating cool-season legumes into switchgrass pasture could be beneficial to livestock producers </w:t>
      </w:r>
      <w:r w:rsidR="00F57424">
        <w:t>for such reasons</w:t>
      </w:r>
      <w:r w:rsidR="009E5C40">
        <w:t>.</w:t>
      </w:r>
      <w:r w:rsidR="00037822" w:rsidRPr="001F3A1F">
        <w:t xml:space="preserve">  Bow et al. (2008)</w:t>
      </w:r>
      <w:r w:rsidR="00037822">
        <w:t xml:space="preserve"> reported that switchgrass-arrowleaf clover and switchgrass-common vetch [</w:t>
      </w:r>
      <w:r w:rsidR="00037822" w:rsidRPr="00C83DFA">
        <w:rPr>
          <w:i/>
          <w:iCs/>
        </w:rPr>
        <w:t>Vicia sativa</w:t>
      </w:r>
      <w:r w:rsidR="00037822">
        <w:t xml:space="preserve"> L.] </w:t>
      </w:r>
      <w:r w:rsidR="00541689">
        <w:t xml:space="preserve">mixed </w:t>
      </w:r>
      <w:r w:rsidR="00037822">
        <w:t xml:space="preserve">plots grown without compost in central Texas </w:t>
      </w:r>
      <w:r w:rsidR="00037822">
        <w:lastRenderedPageBreak/>
        <w:t xml:space="preserve">produced an average of 60% greater </w:t>
      </w:r>
      <w:r w:rsidR="00541689">
        <w:t>forage</w:t>
      </w:r>
      <w:r w:rsidR="00037822">
        <w:t xml:space="preserve"> than switchgrass monocultures in the second year of the study. </w:t>
      </w:r>
    </w:p>
    <w:p w14:paraId="5E43365F" w14:textId="77777777" w:rsidR="00037822" w:rsidRPr="001F3A1F" w:rsidRDefault="00037822" w:rsidP="00037822">
      <w:pPr>
        <w:ind w:firstLine="720"/>
      </w:pPr>
      <w:r>
        <w:t xml:space="preserve">Incorporating </w:t>
      </w:r>
      <w:r w:rsidRPr="001F3A1F">
        <w:t>warm-season legumes into a mixture with WSG can be advantageous as well.  Posler et al. (1993), working in Kansas, evaluated 18 binary legume-grass mixtures and reported that all of them except for a leadplant [</w:t>
      </w:r>
      <w:r w:rsidRPr="001F3A1F">
        <w:rPr>
          <w:i/>
          <w:iCs/>
        </w:rPr>
        <w:t xml:space="preserve">Amorpha canescens </w:t>
      </w:r>
      <w:r w:rsidRPr="001F3A1F">
        <w:t>Pursh]-switchgrass mixture had greater forage yield and CP than monocultures of indiangrass, sideoats grama, and switchgrass.  Dovel et al. (1990) researching legume-grass mixtures in eastern Texas noted that a binary mixture of Illinois bundleflower [</w:t>
      </w:r>
      <w:r w:rsidRPr="001F3A1F">
        <w:rPr>
          <w:i/>
          <w:iCs/>
        </w:rPr>
        <w:t>Desmanthus illinoensis</w:t>
      </w:r>
      <w:r w:rsidRPr="001F3A1F">
        <w:t xml:space="preserve"> (Michx.) MacMill. ex B.L. Rob. &amp; Fernald] and kleingrass [</w:t>
      </w:r>
      <w:r w:rsidRPr="001F3A1F">
        <w:rPr>
          <w:i/>
          <w:iCs/>
        </w:rPr>
        <w:t>Panicum coloratum</w:t>
      </w:r>
      <w:r w:rsidRPr="001F3A1F">
        <w:t xml:space="preserve"> L.] produced more forage than a monoculture of kleingrass.  </w:t>
      </w:r>
    </w:p>
    <w:p w14:paraId="4500D121" w14:textId="46CA5FD1" w:rsidR="00557BD5" w:rsidRDefault="00DE4868" w:rsidP="00037822">
      <w:pPr>
        <w:ind w:firstLine="720"/>
      </w:pPr>
      <w:r w:rsidRPr="001F3A1F">
        <w:t xml:space="preserve">Species compatibility should be considered when intercropping multiple plants.  </w:t>
      </w:r>
      <w:r w:rsidR="00E33383">
        <w:t xml:space="preserve">Both </w:t>
      </w:r>
      <w:r w:rsidR="00D045A6">
        <w:t>non-</w:t>
      </w:r>
      <w:r w:rsidR="00E33383">
        <w:t xml:space="preserve">leguminous and leguminous forb species can inhibit adjacent plant growth.  </w:t>
      </w:r>
      <w:r w:rsidR="00CE44D4">
        <w:t>Wagner (2020) reported that black-eyed susan [</w:t>
      </w:r>
      <w:r w:rsidR="00CE44D4" w:rsidRPr="002E3246">
        <w:rPr>
          <w:i/>
          <w:iCs/>
        </w:rPr>
        <w:t>Rudbeckia hirta</w:t>
      </w:r>
      <w:r w:rsidR="00CE44D4">
        <w:t xml:space="preserve"> L.], an annual/biennial forb species, dominated an 18-species mixture </w:t>
      </w:r>
      <w:r w:rsidR="00D045A6">
        <w:t xml:space="preserve">the first two years after planting.  However, by the third year, Wagner (2020) reported a dominance shift to perennial species (e.g., </w:t>
      </w:r>
      <w:r w:rsidR="00CE44D4">
        <w:t>grey-headed coneflower</w:t>
      </w:r>
      <w:r w:rsidR="00D045A6">
        <w:t xml:space="preserve"> [</w:t>
      </w:r>
      <w:r w:rsidR="00D045A6" w:rsidRPr="00D045A6">
        <w:rPr>
          <w:i/>
          <w:iCs/>
        </w:rPr>
        <w:t>Ratibida pinnata</w:t>
      </w:r>
      <w:r w:rsidR="00D045A6" w:rsidRPr="00D045A6">
        <w:t xml:space="preserve"> (Vent.) Barnhart</w:t>
      </w:r>
      <w:r w:rsidR="00D045A6">
        <w:t xml:space="preserve">].  </w:t>
      </w:r>
      <w:r w:rsidR="00034F14">
        <w:t>Researchers have attributed other species of the Asteraceae family (i.e., annual ragweed [</w:t>
      </w:r>
      <w:r w:rsidR="00034F14" w:rsidRPr="00034F14">
        <w:rPr>
          <w:i/>
          <w:iCs/>
        </w:rPr>
        <w:t>Ambrosia artemisiifolia</w:t>
      </w:r>
      <w:r w:rsidR="00034F14" w:rsidRPr="00034F14">
        <w:t xml:space="preserve"> L.</w:t>
      </w:r>
      <w:r w:rsidR="00034F14">
        <w:t>] and common sunflower [</w:t>
      </w:r>
      <w:r w:rsidR="00034F14" w:rsidRPr="00034F14">
        <w:rPr>
          <w:i/>
          <w:iCs/>
        </w:rPr>
        <w:t>Helianthus annuus</w:t>
      </w:r>
      <w:r w:rsidR="00034F14" w:rsidRPr="00034F14">
        <w:t xml:space="preserve"> L.</w:t>
      </w:r>
      <w:r w:rsidR="00034F14">
        <w:t>])</w:t>
      </w:r>
      <w:r w:rsidR="00034F14" w:rsidRPr="00034F14">
        <w:t xml:space="preserve"> </w:t>
      </w:r>
      <w:r w:rsidR="00034F14">
        <w:t>to have allelopathic properties (</w:t>
      </w:r>
      <w:r w:rsidR="00724902">
        <w:t xml:space="preserve">Azania et al., 2003; Shetty et al., 2007).  </w:t>
      </w:r>
      <w:r w:rsidR="00CE44D4">
        <w:t>High</w:t>
      </w:r>
      <w:r w:rsidRPr="001F3A1F">
        <w:t>-</w:t>
      </w:r>
      <w:r w:rsidR="00037822" w:rsidRPr="001F3A1F">
        <w:t xml:space="preserve">yielding legume species can compete directly </w:t>
      </w:r>
      <w:r w:rsidRPr="001F3A1F">
        <w:t xml:space="preserve">for water, sunlight, and essential nutrients causing a shift in the composition of the mixture </w:t>
      </w:r>
      <w:r w:rsidR="00037822" w:rsidRPr="001F3A1F">
        <w:t>and thus reduc</w:t>
      </w:r>
      <w:r w:rsidR="00541689">
        <w:t>ing</w:t>
      </w:r>
      <w:r w:rsidR="00037822" w:rsidRPr="001F3A1F">
        <w:t xml:space="preserve"> yield (Blanchet et al., 1995</w:t>
      </w:r>
      <w:r w:rsidRPr="001F3A1F">
        <w:t>; George et al., 1995</w:t>
      </w:r>
      <w:r w:rsidR="00037822" w:rsidRPr="001F3A1F">
        <w:t>).</w:t>
      </w:r>
      <w:r w:rsidRPr="001F3A1F">
        <w:t xml:space="preserve"> </w:t>
      </w:r>
      <w:r w:rsidR="009B0085" w:rsidRPr="001F3A1F">
        <w:t xml:space="preserve"> </w:t>
      </w:r>
      <w:r w:rsidR="00037822" w:rsidRPr="001F3A1F">
        <w:t>Jones et al. (1988) reported alfalfa [</w:t>
      </w:r>
      <w:r w:rsidR="00037822" w:rsidRPr="001F3A1F">
        <w:rPr>
          <w:i/>
          <w:iCs/>
        </w:rPr>
        <w:t>Medicago sativa</w:t>
      </w:r>
      <w:r w:rsidR="00037822" w:rsidRPr="001F3A1F">
        <w:t xml:space="preserve"> L.] and birdsfoot trefoil [</w:t>
      </w:r>
      <w:r w:rsidR="00037822" w:rsidRPr="001F3A1F">
        <w:rPr>
          <w:i/>
          <w:iCs/>
        </w:rPr>
        <w:t>Lotus corniculatus</w:t>
      </w:r>
      <w:r w:rsidR="00037822" w:rsidRPr="001F3A1F">
        <w:t xml:space="preserve"> L.] dominated stands when planted in binary mixtures with reed </w:t>
      </w:r>
      <w:r w:rsidR="00037822" w:rsidRPr="001F3A1F">
        <w:lastRenderedPageBreak/>
        <w:t>canarygrass [</w:t>
      </w:r>
      <w:r w:rsidR="00037822" w:rsidRPr="001F3A1F">
        <w:rPr>
          <w:i/>
          <w:iCs/>
        </w:rPr>
        <w:t xml:space="preserve">Phalaris arundinacea </w:t>
      </w:r>
      <w:r w:rsidR="00037822" w:rsidRPr="001F3A1F">
        <w:t>L.] in Iowa.  When intercropping legumes with switchgrass, legume growth habits can adversely affect the growth of switchgrass (George et al., 1995; Marten, 1989).  Posler et al. (1993)</w:t>
      </w:r>
      <w:r w:rsidR="00037822">
        <w:t xml:space="preserve"> found binary grass-legume mixtures of switchgrass-cicer milkvetch [</w:t>
      </w:r>
      <w:r w:rsidR="00037822" w:rsidRPr="00C83DFA">
        <w:rPr>
          <w:i/>
          <w:iCs/>
        </w:rPr>
        <w:t>Astragalus cicer</w:t>
      </w:r>
      <w:r w:rsidR="00037822">
        <w:t xml:space="preserve"> L.] and switchgrass-catclaw sensitive brier [</w:t>
      </w:r>
      <w:r w:rsidR="00037822" w:rsidRPr="00C83DFA">
        <w:rPr>
          <w:i/>
          <w:iCs/>
        </w:rPr>
        <w:t>Mimosa nuttallii</w:t>
      </w:r>
      <w:r w:rsidR="00037822">
        <w:t xml:space="preserve"> (DC. ex Britton &amp; Rose) B.L. Turner formerly known as </w:t>
      </w:r>
      <w:r w:rsidR="00037822" w:rsidRPr="00C83DFA">
        <w:rPr>
          <w:i/>
          <w:iCs/>
        </w:rPr>
        <w:t>Schrankia nuttallii</w:t>
      </w:r>
      <w:r w:rsidR="00037822">
        <w:t xml:space="preserve"> (DC. ex Britton &amp; Rose) Standl.] grown in Kansas had a reduction in switchgrass percentage due to the prostrate growth habit and thick canopy cover of the legumes.</w:t>
      </w:r>
      <w:r w:rsidR="00E33383">
        <w:t xml:space="preserve"> </w:t>
      </w:r>
    </w:p>
    <w:p w14:paraId="0FE833C2" w14:textId="590B4308" w:rsidR="001D644F" w:rsidRPr="00A41CAD" w:rsidRDefault="006359E5" w:rsidP="001D644F">
      <w:pPr>
        <w:pStyle w:val="Paragraphs"/>
        <w:spacing w:after="100" w:afterAutospacing="1"/>
      </w:pPr>
      <w:r>
        <w:t>To further investigate the impact of companion crops on NWSG pastures, t</w:t>
      </w:r>
      <w:r w:rsidR="00492AC0">
        <w:t xml:space="preserve">he </w:t>
      </w:r>
      <w:r>
        <w:t xml:space="preserve">research reported in the </w:t>
      </w:r>
      <w:r w:rsidR="00492AC0">
        <w:t>following chapters</w:t>
      </w:r>
      <w:r w:rsidR="001D644F">
        <w:t xml:space="preserve"> focus</w:t>
      </w:r>
      <w:r>
        <w:t>ed</w:t>
      </w:r>
      <w:r w:rsidR="001D644F">
        <w:t xml:space="preserve"> on evaluating how </w:t>
      </w:r>
      <w:r w:rsidR="00492AC0">
        <w:t xml:space="preserve">interseeding </w:t>
      </w:r>
      <w:r w:rsidR="001D644F" w:rsidRPr="001D644F">
        <w:t xml:space="preserve">CSA grass and legume species, as well as warm-season forbs, can </w:t>
      </w:r>
      <w:r w:rsidR="00492AC0">
        <w:t>affect</w:t>
      </w:r>
      <w:r w:rsidR="001D644F" w:rsidRPr="001D644F">
        <w:t xml:space="preserve"> established </w:t>
      </w:r>
      <w:r w:rsidR="001D644F">
        <w:t>NWSG</w:t>
      </w:r>
      <w:r w:rsidR="001D644F" w:rsidRPr="001D644F">
        <w:t xml:space="preserve"> pastures</w:t>
      </w:r>
      <w:r w:rsidR="001D644F">
        <w:t xml:space="preserve">.  In Chapter 1, </w:t>
      </w:r>
      <w:r w:rsidR="00492AC0">
        <w:t>the</w:t>
      </w:r>
      <w:r w:rsidR="001D644F">
        <w:t xml:space="preserve"> objective was </w:t>
      </w:r>
      <w:r w:rsidR="001D644F" w:rsidRPr="00A41CAD">
        <w:t>to assess the impact of t</w:t>
      </w:r>
      <w:r w:rsidR="00C55724">
        <w:t>hree</w:t>
      </w:r>
      <w:r w:rsidR="001D644F" w:rsidRPr="00A41CAD">
        <w:t xml:space="preserve"> cool-season annual seeding strategies and </w:t>
      </w:r>
      <w:r>
        <w:t xml:space="preserve">two </w:t>
      </w:r>
      <w:r w:rsidR="001D644F" w:rsidRPr="00A41CAD">
        <w:t xml:space="preserve">warm-season N </w:t>
      </w:r>
      <w:r>
        <w:t>fertilization rates</w:t>
      </w:r>
      <w:r w:rsidR="001D644F" w:rsidRPr="00B63E3B">
        <w:t xml:space="preserve"> </w:t>
      </w:r>
      <w:r w:rsidR="001D644F">
        <w:t>over three years</w:t>
      </w:r>
      <w:r w:rsidR="001D644F" w:rsidRPr="00A41CAD">
        <w:t xml:space="preserve"> on established switchgrass and big bluestem/indiangrass pastures.  Specifically, </w:t>
      </w:r>
      <w:r w:rsidR="00492AC0">
        <w:t xml:space="preserve">the research </w:t>
      </w:r>
      <w:r w:rsidR="001D644F" w:rsidRPr="00A41CAD">
        <w:t>evaluat</w:t>
      </w:r>
      <w:r w:rsidR="00492AC0">
        <w:t>ed</w:t>
      </w:r>
      <w:r w:rsidR="001D644F" w:rsidRPr="00A41CAD">
        <w:t xml:space="preserve"> NWSG plant density, </w:t>
      </w:r>
      <w:r w:rsidR="001D644F">
        <w:t>switchgrass</w:t>
      </w:r>
      <w:r w:rsidR="001D644F" w:rsidRPr="00A41CAD">
        <w:t xml:space="preserve"> tiller density, and NWSG hay yield as affected by interseeding a </w:t>
      </w:r>
      <w:r w:rsidR="00C55724">
        <w:t xml:space="preserve">cereal rye </w:t>
      </w:r>
      <w:r w:rsidR="001D644F" w:rsidRPr="00A41CAD">
        <w:t>monoculture</w:t>
      </w:r>
      <w:r w:rsidR="00492AC0">
        <w:t>,</w:t>
      </w:r>
      <w:r w:rsidR="001D644F" w:rsidRPr="00A41CAD">
        <w:t xml:space="preserve"> a polyculture of </w:t>
      </w:r>
      <w:r w:rsidR="001D644F" w:rsidRPr="00A41CAD">
        <w:rPr>
          <w:rFonts w:cs="Times New Roman"/>
          <w:lang w:val="en"/>
        </w:rPr>
        <w:t>cereal rye, ‘Purple Top’ turnip [</w:t>
      </w:r>
      <w:r w:rsidR="001D644F" w:rsidRPr="00A41CAD">
        <w:rPr>
          <w:rFonts w:cs="Times New Roman"/>
          <w:i/>
          <w:lang w:val="en"/>
        </w:rPr>
        <w:t>Brassica septiceps</w:t>
      </w:r>
      <w:r w:rsidR="001D644F" w:rsidRPr="00A41CAD">
        <w:rPr>
          <w:rFonts w:cs="Times New Roman"/>
          <w:lang w:val="en"/>
        </w:rPr>
        <w:t xml:space="preserve"> (L.H. Bailey) L.H. Bailey], ‘Trophy’ rape [</w:t>
      </w:r>
      <w:r w:rsidR="001D644F" w:rsidRPr="00A41CAD">
        <w:rPr>
          <w:rFonts w:cs="Times New Roman"/>
          <w:i/>
          <w:lang w:val="en"/>
        </w:rPr>
        <w:t>Brassica napus</w:t>
      </w:r>
      <w:r w:rsidR="001D644F" w:rsidRPr="00A41CAD">
        <w:rPr>
          <w:rFonts w:cs="Times New Roman"/>
          <w:lang w:val="en"/>
        </w:rPr>
        <w:t xml:space="preserve"> L.], ‘Frosty’ berseem clover [</w:t>
      </w:r>
      <w:r w:rsidR="001D644F" w:rsidRPr="00A41CAD">
        <w:rPr>
          <w:rFonts w:cs="Times New Roman"/>
          <w:i/>
          <w:lang w:val="en"/>
        </w:rPr>
        <w:t>Trifolium alexandrinum</w:t>
      </w:r>
      <w:r w:rsidR="001D644F" w:rsidRPr="00A41CAD">
        <w:rPr>
          <w:rFonts w:cs="Times New Roman"/>
          <w:lang w:val="en"/>
        </w:rPr>
        <w:t xml:space="preserve"> L.], and ‘Dixie’ crimson clover</w:t>
      </w:r>
      <w:r w:rsidR="00492AC0">
        <w:rPr>
          <w:rFonts w:cs="Times New Roman"/>
          <w:lang w:val="en"/>
        </w:rPr>
        <w:t>, or a fallow control</w:t>
      </w:r>
      <w:r w:rsidR="001D644F" w:rsidRPr="00A41CAD">
        <w:rPr>
          <w:rFonts w:cs="Times New Roman"/>
          <w:lang w:val="en"/>
        </w:rPr>
        <w:t xml:space="preserve"> and </w:t>
      </w:r>
      <w:r w:rsidR="00492AC0">
        <w:rPr>
          <w:rFonts w:cs="Times New Roman"/>
          <w:lang w:val="en"/>
        </w:rPr>
        <w:t xml:space="preserve">applying </w:t>
      </w:r>
      <w:r w:rsidR="001D644F" w:rsidRPr="00A41CAD">
        <w:rPr>
          <w:rFonts w:cs="Times New Roman"/>
          <w:lang w:val="en"/>
        </w:rPr>
        <w:t>0 or 67 kg N ha</w:t>
      </w:r>
      <w:r w:rsidR="001D644F" w:rsidRPr="00A41CAD">
        <w:rPr>
          <w:rFonts w:cs="Times New Roman"/>
          <w:vertAlign w:val="superscript"/>
          <w:lang w:val="en"/>
        </w:rPr>
        <w:t>-1</w:t>
      </w:r>
      <w:r w:rsidR="00492AC0">
        <w:rPr>
          <w:rFonts w:cs="Times New Roman"/>
          <w:lang w:val="en"/>
        </w:rPr>
        <w:t xml:space="preserve"> during NWSG growth</w:t>
      </w:r>
      <w:r w:rsidR="001D644F" w:rsidRPr="00A41CAD">
        <w:rPr>
          <w:rFonts w:cs="Times New Roman"/>
          <w:lang w:val="en"/>
        </w:rPr>
        <w:t>.</w:t>
      </w:r>
      <w:r w:rsidR="001D644F" w:rsidRPr="00A41CAD">
        <w:t xml:space="preserve"> </w:t>
      </w:r>
      <w:r w:rsidR="001D644F">
        <w:t xml:space="preserve"> In Chapter 2, </w:t>
      </w:r>
      <w:r w:rsidR="00492AC0">
        <w:t>the</w:t>
      </w:r>
      <w:r w:rsidR="001D644F">
        <w:t xml:space="preserve"> objective</w:t>
      </w:r>
      <w:r w:rsidR="00492AC0">
        <w:t xml:space="preserve"> was</w:t>
      </w:r>
      <w:r w:rsidR="001D644F">
        <w:t xml:space="preserve"> </w:t>
      </w:r>
      <w:r w:rsidR="00492AC0">
        <w:t>to evaluate whether within-season rest from grazing is needed for sustainability</w:t>
      </w:r>
      <w:r w:rsidR="00492AC0" w:rsidRPr="001F4E4C">
        <w:t xml:space="preserve"> </w:t>
      </w:r>
      <w:r w:rsidR="00492AC0">
        <w:t xml:space="preserve">of interseeded forbs within native pasture.  Two NWSG grazing studies were conducted to assess the persistence of native forbs when an 11-species native forb blend was sown into established </w:t>
      </w:r>
      <w:r>
        <w:t xml:space="preserve">switchgrass and big bluestem/indiangrass </w:t>
      </w:r>
      <w:r w:rsidR="00492AC0">
        <w:lastRenderedPageBreak/>
        <w:t>pastures.  Specifically, the research evaluated forb plant density per species,</w:t>
      </w:r>
      <w:r w:rsidR="00492AC0" w:rsidRPr="002528F0">
        <w:t xml:space="preserve"> </w:t>
      </w:r>
      <w:r w:rsidR="00492AC0">
        <w:t xml:space="preserve">NWSG tiller density, forage nutritive value, and forb flowering percentage of these polycultures as affected by </w:t>
      </w:r>
      <w:r>
        <w:t xml:space="preserve">within-season rest </w:t>
      </w:r>
      <w:r w:rsidR="00492AC0">
        <w:t>treatments implemented throughout the grazing season (May-August).</w:t>
      </w:r>
    </w:p>
    <w:p w14:paraId="1AB29417" w14:textId="77777777" w:rsidR="00FE004D" w:rsidRDefault="00FE004D" w:rsidP="00037822">
      <w:pPr>
        <w:ind w:firstLine="720"/>
      </w:pPr>
    </w:p>
    <w:p w14:paraId="10C5ADC0" w14:textId="77777777" w:rsidR="00FE004D" w:rsidRDefault="00FE004D" w:rsidP="00037822">
      <w:pPr>
        <w:ind w:firstLine="720"/>
      </w:pPr>
    </w:p>
    <w:p w14:paraId="64BDBFD9" w14:textId="4FE7F598" w:rsidR="00FE004D" w:rsidRDefault="00FE004D" w:rsidP="00037822">
      <w:pPr>
        <w:ind w:firstLine="720"/>
        <w:sectPr w:rsidR="00FE004D" w:rsidSect="00C92DB5">
          <w:pgSz w:w="12240" w:h="15840" w:code="1"/>
          <w:pgMar w:top="1440" w:right="1800" w:bottom="1872" w:left="1800" w:header="720" w:footer="1440" w:gutter="0"/>
          <w:cols w:space="720"/>
          <w:noEndnote/>
          <w:docGrid w:linePitch="360"/>
        </w:sectPr>
      </w:pPr>
    </w:p>
    <w:p w14:paraId="0A74141C" w14:textId="142263A2" w:rsidR="00236E6D" w:rsidRPr="004F6C28" w:rsidRDefault="00F868AD" w:rsidP="00514533">
      <w:pPr>
        <w:pStyle w:val="AgronomyJournalSectionTitles"/>
      </w:pPr>
      <w:bookmarkStart w:id="16" w:name="_Toc72026011"/>
      <w:bookmarkStart w:id="17" w:name="_Toc72305375"/>
      <w:bookmarkEnd w:id="7"/>
      <w:r>
        <w:lastRenderedPageBreak/>
        <w:t>REFERENCES</w:t>
      </w:r>
      <w:bookmarkEnd w:id="16"/>
      <w:bookmarkEnd w:id="17"/>
    </w:p>
    <w:p w14:paraId="673A5110" w14:textId="5CCAAD44" w:rsidR="002B2848" w:rsidRDefault="002B2848" w:rsidP="002B2848">
      <w:pPr>
        <w:pStyle w:val="ListParagraph"/>
      </w:pPr>
      <w:r w:rsidRPr="006322A8">
        <w:t>Ashworth, A.J., F.L. Allen, P.D. Keyser, D.D. Tyler, A.M. Saxton, and A.M. Taylor. 2015. Switchgrass yield and stand dynamics from legume intercropping based on seeding rate and harvest management. J. Soil Water Conserv. 70:374-384.</w:t>
      </w:r>
    </w:p>
    <w:p w14:paraId="6665F4EC" w14:textId="7071FF29" w:rsidR="00724902" w:rsidRDefault="00724902" w:rsidP="002B2848">
      <w:pPr>
        <w:pStyle w:val="ListParagraph"/>
      </w:pPr>
    </w:p>
    <w:p w14:paraId="6056CAA5" w14:textId="16D4EEE2" w:rsidR="00724902" w:rsidRPr="006322A8" w:rsidRDefault="00724902" w:rsidP="002B2848">
      <w:pPr>
        <w:pStyle w:val="ListParagraph"/>
      </w:pPr>
      <w:r w:rsidRPr="00724902">
        <w:t xml:space="preserve">Azania, A.A.P.M., C.A.M. Azania, P.L.C.A. Alves, R. Palaniraj, H.S. Kadian, S.C. Sati, L.S. Rawat, D.S. Dahiya, and S.S. Narwal. </w:t>
      </w:r>
      <w:r>
        <w:t xml:space="preserve">2003. </w:t>
      </w:r>
      <w:r w:rsidRPr="00724902">
        <w:t>Allelopathic plants. 7. Sunflower (</w:t>
      </w:r>
      <w:r w:rsidRPr="00724902">
        <w:rPr>
          <w:i/>
          <w:iCs/>
        </w:rPr>
        <w:t>Helianthus annuus</w:t>
      </w:r>
      <w:r w:rsidRPr="00724902">
        <w:t xml:space="preserve"> L.). Allelopathy J</w:t>
      </w:r>
      <w:r>
        <w:t>.</w:t>
      </w:r>
      <w:r w:rsidRPr="00724902">
        <w:t xml:space="preserve"> 11</w:t>
      </w:r>
      <w:r>
        <w:t>:</w:t>
      </w:r>
      <w:r w:rsidRPr="00724902">
        <w:t>1-20.</w:t>
      </w:r>
    </w:p>
    <w:p w14:paraId="34E60882" w14:textId="77777777" w:rsidR="002B2848" w:rsidRDefault="002B2848" w:rsidP="006E7792">
      <w:pPr>
        <w:pStyle w:val="ListParagraph"/>
      </w:pPr>
    </w:p>
    <w:p w14:paraId="795D1573" w14:textId="2DCD37E5" w:rsidR="006E7792" w:rsidRDefault="006E7792" w:rsidP="006E7792">
      <w:pPr>
        <w:pStyle w:val="ListParagraph"/>
      </w:pPr>
      <w:r w:rsidRPr="006D1464">
        <w:t>Backus, W. M., J.C. Waller, G.E. Bates, C.A. Harper, A. Saxton, D.W. McIntosh, J. Birckhead, and P.D. Keyser. 2017. Management of native warm-season grasses for beef cattle and biomass production in the Mid-South USA. J. Anim. Sci. 95:3143</w:t>
      </w:r>
      <w:r>
        <w:t>-</w:t>
      </w:r>
      <w:r w:rsidRPr="006D1464">
        <w:t>3153.</w:t>
      </w:r>
    </w:p>
    <w:p w14:paraId="029DEFDA" w14:textId="77777777" w:rsidR="006322A8" w:rsidRPr="001055EB" w:rsidRDefault="006322A8" w:rsidP="006322A8">
      <w:pPr>
        <w:pStyle w:val="ListParagraph"/>
      </w:pPr>
    </w:p>
    <w:p w14:paraId="00073C77" w14:textId="77777777" w:rsidR="006322A8" w:rsidRPr="001055EB" w:rsidRDefault="006322A8" w:rsidP="006322A8">
      <w:pPr>
        <w:pStyle w:val="ListParagraph"/>
      </w:pPr>
      <w:r w:rsidRPr="001055EB">
        <w:t>Ball, D.M., C.S. Hoveland, and G.D. Lacefield. 2015. Southern forages: Modern concepts for forage crop management. 5th ed. International Plant Nutrition Institute, Peachtree Corners, GA.</w:t>
      </w:r>
    </w:p>
    <w:p w14:paraId="30A75289" w14:textId="77777777" w:rsidR="006322A8" w:rsidRPr="001055EB" w:rsidRDefault="006322A8" w:rsidP="006322A8">
      <w:pPr>
        <w:pStyle w:val="ListParagraph"/>
      </w:pPr>
    </w:p>
    <w:p w14:paraId="1E16302D" w14:textId="77777777" w:rsidR="006322A8" w:rsidRPr="001055EB" w:rsidRDefault="006322A8" w:rsidP="006322A8">
      <w:pPr>
        <w:pStyle w:val="ListParagraph"/>
      </w:pPr>
      <w:r w:rsidRPr="001055EB">
        <w:t>Bates, G. 1997. Tall fescue: Endophyte-infected or endophyte-free? Univ. of Tenn. Agric. Ext. Serv., Knoxville, TN. PB SP439-A.</w:t>
      </w:r>
    </w:p>
    <w:p w14:paraId="5442F21F" w14:textId="77777777" w:rsidR="006322A8" w:rsidRPr="001055EB" w:rsidRDefault="006322A8" w:rsidP="006322A8">
      <w:pPr>
        <w:pStyle w:val="ListParagraph"/>
      </w:pPr>
    </w:p>
    <w:p w14:paraId="274F6133" w14:textId="134876E7" w:rsidR="006322A8" w:rsidRDefault="006322A8" w:rsidP="006322A8">
      <w:pPr>
        <w:pStyle w:val="ListParagraph"/>
      </w:pPr>
      <w:r w:rsidRPr="001055EB">
        <w:t>Berg, W.A. 1995. Response of a mixed native warm-season grass planting to nitrogen fertilization. J. Range Manage. 48:64-67.</w:t>
      </w:r>
    </w:p>
    <w:p w14:paraId="5E062CEB" w14:textId="05D057DE" w:rsidR="009B0085" w:rsidRDefault="009B0085" w:rsidP="006322A8">
      <w:pPr>
        <w:pStyle w:val="ListParagraph"/>
      </w:pPr>
    </w:p>
    <w:p w14:paraId="04B515F4" w14:textId="77777777" w:rsidR="009B0085" w:rsidRPr="006322A8" w:rsidRDefault="009B0085" w:rsidP="009B0085">
      <w:pPr>
        <w:pStyle w:val="ListParagraph"/>
      </w:pPr>
      <w:r w:rsidRPr="006322A8">
        <w:t>Blanchet, K.M., J.R. George, R.M. Gettle, D.R. Buxton, and K.J. Moore. 1995. Establishment and persistence of legume interseeded into switchgrass. Agron. J. 87:935-941.</w:t>
      </w:r>
    </w:p>
    <w:p w14:paraId="4BC42A37" w14:textId="6BE1FE9A" w:rsidR="002B2848" w:rsidRDefault="002B2848" w:rsidP="006322A8">
      <w:pPr>
        <w:pStyle w:val="ListParagraph"/>
      </w:pPr>
    </w:p>
    <w:p w14:paraId="6550E0B9" w14:textId="77777777" w:rsidR="002B2848" w:rsidRPr="006322A8" w:rsidRDefault="002B2848" w:rsidP="002B2848">
      <w:pPr>
        <w:pStyle w:val="ListParagraph"/>
      </w:pPr>
      <w:r w:rsidRPr="006322A8">
        <w:t>Blaser, R.E., R.C. Hammes, H.T. Bryant, C.M. Kincaid, W.H. Skrdla, T.H. Taylor, and W.L. Griffeth. 1956. The value of forage species and mixtures for fattening steers. Agron. J. 48:508-513.</w:t>
      </w:r>
    </w:p>
    <w:p w14:paraId="060CE198" w14:textId="77777777" w:rsidR="007E3681" w:rsidRPr="001055EB" w:rsidRDefault="007E3681" w:rsidP="006322A8">
      <w:pPr>
        <w:pStyle w:val="ListParagraph"/>
      </w:pPr>
    </w:p>
    <w:p w14:paraId="68A4BA94" w14:textId="77777777" w:rsidR="007E3681" w:rsidRPr="006322A8" w:rsidRDefault="007E3681" w:rsidP="007E3681">
      <w:pPr>
        <w:pStyle w:val="ListParagraph"/>
      </w:pPr>
      <w:r w:rsidRPr="006322A8">
        <w:t>Bow, J.R., J.P. Muir, D.C. Weindorf, R.E. Rosiere, and T.J. Butler. 2008. Integration of cool-season annual legumes and dairy manure compost with switchgrass. Crop Sci. 48:1621-1628.</w:t>
      </w:r>
    </w:p>
    <w:p w14:paraId="2B5099BA" w14:textId="77777777" w:rsidR="006322A8" w:rsidRPr="001055EB" w:rsidRDefault="006322A8" w:rsidP="006322A8">
      <w:pPr>
        <w:pStyle w:val="ListParagraph"/>
      </w:pPr>
    </w:p>
    <w:p w14:paraId="67E343A4" w14:textId="2B5A149A" w:rsidR="006322A8" w:rsidRPr="001055EB" w:rsidRDefault="006322A8" w:rsidP="006322A8">
      <w:pPr>
        <w:pStyle w:val="ListParagraph"/>
      </w:pPr>
      <w:r w:rsidRPr="001055EB">
        <w:t xml:space="preserve">Brejda, J.J. 2000. Fertilization of native warm-season grasses. </w:t>
      </w:r>
      <w:r w:rsidRPr="001F3A1F">
        <w:rPr>
          <w:i/>
          <w:iCs/>
        </w:rPr>
        <w:t>In</w:t>
      </w:r>
      <w:r w:rsidRPr="001055EB">
        <w:t xml:space="preserve"> B.E. Anderson and K.J. Moore (ed</w:t>
      </w:r>
      <w:r w:rsidR="001F3A1F">
        <w:t>s</w:t>
      </w:r>
      <w:r w:rsidRPr="001055EB">
        <w:t>.) Native warm-season grasses: Research trends and issues. CSSA Spec. Pub. 30. CSSA and ASA, Madison, WI.</w:t>
      </w:r>
    </w:p>
    <w:p w14:paraId="14A6DF52" w14:textId="77777777" w:rsidR="006322A8" w:rsidRPr="001055EB" w:rsidRDefault="006322A8" w:rsidP="006322A8">
      <w:pPr>
        <w:pStyle w:val="ListParagraph"/>
      </w:pPr>
    </w:p>
    <w:p w14:paraId="60D2001D" w14:textId="77777777" w:rsidR="006322A8" w:rsidRPr="001055EB" w:rsidRDefault="006322A8" w:rsidP="006322A8">
      <w:pPr>
        <w:pStyle w:val="ListParagraph"/>
      </w:pPr>
      <w:r w:rsidRPr="001055EB">
        <w:t>Burns, J.C., and D.S. Fisher. 2013. Steer performance and pasture productivity among five perennial warm-season grasses. Agron. J. 105:113-123.</w:t>
      </w:r>
    </w:p>
    <w:p w14:paraId="735B42A1" w14:textId="77777777" w:rsidR="006322A8" w:rsidRPr="001055EB" w:rsidRDefault="006322A8" w:rsidP="006322A8">
      <w:pPr>
        <w:pStyle w:val="ListParagraph"/>
      </w:pPr>
    </w:p>
    <w:p w14:paraId="0F18227D" w14:textId="4BED71F0" w:rsidR="006322A8" w:rsidRDefault="006322A8" w:rsidP="006322A8">
      <w:pPr>
        <w:pStyle w:val="ListParagraph"/>
      </w:pPr>
      <w:bookmarkStart w:id="18" w:name="_Hlk56731352"/>
      <w:r w:rsidRPr="001055EB">
        <w:lastRenderedPageBreak/>
        <w:t>Burns, J.C., R.D. Mochrie, and D.H. Timothy. 1984. Steer performance form two perennial Pennisetum species, switchgrass, and a fescue-‘Coastal’ bermudagrass system. Agron. J. 76:795-800.</w:t>
      </w:r>
    </w:p>
    <w:p w14:paraId="6F38D256" w14:textId="1F6377C6" w:rsidR="000D286A" w:rsidRDefault="000D286A" w:rsidP="006322A8">
      <w:pPr>
        <w:pStyle w:val="ListParagraph"/>
      </w:pPr>
    </w:p>
    <w:p w14:paraId="112AC58D" w14:textId="77777777" w:rsidR="000D286A" w:rsidRPr="006322A8" w:rsidRDefault="000D286A" w:rsidP="000D286A">
      <w:pPr>
        <w:pStyle w:val="ListParagraph"/>
      </w:pPr>
      <w:r w:rsidRPr="006322A8">
        <w:t>Dovel, R.L., M.A. Hussey, and E.C. Holt. 1990. Establishment and survival of Illinois bundleflower interseeded into an established kleingrass pasture. J. Range Manage. 43:153-156.</w:t>
      </w:r>
    </w:p>
    <w:p w14:paraId="45F69F93" w14:textId="77777777" w:rsidR="000D286A" w:rsidRPr="001055EB" w:rsidRDefault="000D286A" w:rsidP="006322A8">
      <w:pPr>
        <w:pStyle w:val="ListParagraph"/>
      </w:pPr>
    </w:p>
    <w:bookmarkEnd w:id="18"/>
    <w:p w14:paraId="270ECC7F" w14:textId="77777777" w:rsidR="00B36B67" w:rsidRPr="006322A8" w:rsidRDefault="00B36B67" w:rsidP="00B36B67">
      <w:pPr>
        <w:pStyle w:val="ListParagraph"/>
      </w:pPr>
      <w:r w:rsidRPr="006322A8">
        <w:t>George, J.R., K.M. Blanchet, R.M. Gettle, D.R. Buxton, and K.J. Moore. 1995. Yield and botanical composition of legume-interseeded vs. nitrogen-fertilized switchgrass. Agron. J. 87:1147-1153.</w:t>
      </w:r>
    </w:p>
    <w:p w14:paraId="158B0468" w14:textId="77777777" w:rsidR="00B36B67" w:rsidRPr="001055EB" w:rsidRDefault="00B36B67" w:rsidP="006322A8">
      <w:pPr>
        <w:pStyle w:val="ListParagraph"/>
      </w:pPr>
    </w:p>
    <w:p w14:paraId="2A0EEDB7" w14:textId="77777777" w:rsidR="006322A8" w:rsidRPr="001055EB" w:rsidRDefault="006322A8" w:rsidP="006322A8">
      <w:pPr>
        <w:pStyle w:val="ListParagraph"/>
      </w:pPr>
      <w:r w:rsidRPr="001055EB">
        <w:t>Gillen, R.T., and W.A. Berg. 1998. Nitrogen fertilization of a native grass planting in western Oklahoma. J. Range Manage. 51:436-441.</w:t>
      </w:r>
    </w:p>
    <w:p w14:paraId="19C24C37" w14:textId="77777777" w:rsidR="006322A8" w:rsidRPr="001055EB" w:rsidRDefault="006322A8" w:rsidP="006322A8">
      <w:pPr>
        <w:pStyle w:val="ListParagraph"/>
      </w:pPr>
    </w:p>
    <w:p w14:paraId="4DF29F70" w14:textId="46ED1A94" w:rsidR="006322A8" w:rsidRDefault="006322A8" w:rsidP="006322A8">
      <w:pPr>
        <w:pStyle w:val="ListParagraph"/>
      </w:pPr>
      <w:r w:rsidRPr="001055EB">
        <w:t xml:space="preserve">Gillen, R.T., F.T. McCollum, III, K.W. Tate, and M.E. Hodges. 1998. Tallgrass prairie response to grazing system and stocking rate. J. Range Manage. 51:139-146. </w:t>
      </w:r>
    </w:p>
    <w:p w14:paraId="11218885" w14:textId="01AFA4EA" w:rsidR="002B2848" w:rsidRDefault="002B2848" w:rsidP="006322A8">
      <w:pPr>
        <w:pStyle w:val="ListParagraph"/>
      </w:pPr>
    </w:p>
    <w:p w14:paraId="3E9D6E8F" w14:textId="06BDFEF0" w:rsidR="002B2848" w:rsidRPr="006322A8" w:rsidRDefault="002B2848" w:rsidP="002B2848">
      <w:pPr>
        <w:pStyle w:val="ListParagraph"/>
      </w:pPr>
      <w:r w:rsidRPr="006322A8">
        <w:t xml:space="preserve">Graham, P.H. 2005. Biological dinitrogen fixation: symbiotic. p. 405-432. </w:t>
      </w:r>
      <w:r w:rsidRPr="002B2848">
        <w:rPr>
          <w:i/>
          <w:iCs/>
        </w:rPr>
        <w:t>In</w:t>
      </w:r>
      <w:r w:rsidRPr="006322A8">
        <w:t xml:space="preserve"> Sylvia et al. (ed</w:t>
      </w:r>
      <w:r>
        <w:t>s</w:t>
      </w:r>
      <w:r w:rsidRPr="006322A8">
        <w:t>.) Principles and applications of soil microbiology. Pearson Education Inc., Upper Saddle River, NJ.</w:t>
      </w:r>
    </w:p>
    <w:p w14:paraId="4A5645D3" w14:textId="77777777" w:rsidR="002B2848" w:rsidRPr="001055EB" w:rsidRDefault="002B2848" w:rsidP="006322A8">
      <w:pPr>
        <w:pStyle w:val="ListParagraph"/>
      </w:pPr>
    </w:p>
    <w:p w14:paraId="7230A6A5" w14:textId="77777777" w:rsidR="006322A8" w:rsidRPr="001055EB" w:rsidRDefault="006322A8" w:rsidP="006322A8">
      <w:pPr>
        <w:pStyle w:val="ListParagraph"/>
      </w:pPr>
      <w:r w:rsidRPr="001055EB">
        <w:t>Griffin, J.L., P.J. Wangness, and G.A. Jung. 1980. Forage quality evaluation of two warm-season range grasses using laboratory and animal measurements. Agron. J. 72: 951-956.</w:t>
      </w:r>
    </w:p>
    <w:p w14:paraId="4F75F9C2" w14:textId="77777777" w:rsidR="006322A8" w:rsidRPr="001055EB" w:rsidRDefault="006322A8" w:rsidP="006322A8">
      <w:pPr>
        <w:pStyle w:val="ListParagraph"/>
      </w:pPr>
    </w:p>
    <w:p w14:paraId="7BFB5E04" w14:textId="77777777" w:rsidR="006322A8" w:rsidRPr="001055EB" w:rsidRDefault="006322A8" w:rsidP="006322A8">
      <w:pPr>
        <w:pStyle w:val="ListParagraph"/>
      </w:pPr>
      <w:r w:rsidRPr="001055EB">
        <w:t>Hall, K.E., J.R. George, and R.R. Riedl. 1982. Herbage dry matter yields of switchgrass, big bluestem, and indiangrass with N fertilization. Agron. J. 74:47-51.</w:t>
      </w:r>
    </w:p>
    <w:p w14:paraId="7552B7C9" w14:textId="77777777" w:rsidR="006322A8" w:rsidRPr="001055EB" w:rsidRDefault="006322A8" w:rsidP="006322A8">
      <w:pPr>
        <w:pStyle w:val="ListParagraph"/>
      </w:pPr>
    </w:p>
    <w:p w14:paraId="01618F70" w14:textId="77777777" w:rsidR="006322A8" w:rsidRPr="001055EB" w:rsidRDefault="006322A8" w:rsidP="006322A8">
      <w:pPr>
        <w:pStyle w:val="ListParagraph"/>
      </w:pPr>
      <w:r w:rsidRPr="001055EB">
        <w:t>Hoveland, C.S., W.B. Anthony, J.A. McGuire, and J.G. Starling. 1977. Overseeding winter annual forages on Coastal bermudagrass sod for beef cows and calves. Alabama Agri. Exp. Stat. Bull. 496.</w:t>
      </w:r>
    </w:p>
    <w:p w14:paraId="16C86114" w14:textId="18A4D72D" w:rsidR="006322A8" w:rsidRDefault="006322A8" w:rsidP="006322A8">
      <w:pPr>
        <w:pStyle w:val="ListParagraph"/>
      </w:pPr>
    </w:p>
    <w:p w14:paraId="2702C7A1" w14:textId="77777777" w:rsidR="009B0085" w:rsidRPr="006322A8" w:rsidRDefault="009B0085" w:rsidP="009B0085">
      <w:pPr>
        <w:pStyle w:val="ListParagraph"/>
      </w:pPr>
      <w:r w:rsidRPr="006322A8">
        <w:t>Jones, T.A., I.T. Carlson, and D.R. Buxton. 1988. Reed canarygrass binary mixtures with alfalfa and birdsfoot trefoil in comparison to monocultures. Agron. J. 80:49-55.</w:t>
      </w:r>
    </w:p>
    <w:p w14:paraId="06DF8E7A" w14:textId="77777777" w:rsidR="009B0085" w:rsidRPr="001055EB" w:rsidRDefault="009B0085" w:rsidP="006322A8">
      <w:pPr>
        <w:pStyle w:val="ListParagraph"/>
      </w:pPr>
    </w:p>
    <w:p w14:paraId="6E441B89" w14:textId="77777777" w:rsidR="006322A8" w:rsidRPr="001055EB" w:rsidRDefault="006322A8" w:rsidP="006322A8">
      <w:pPr>
        <w:pStyle w:val="ListParagraph"/>
      </w:pPr>
      <w:r w:rsidRPr="001055EB">
        <w:t>Jung, G.A., J.L. Griffin, R.E. Kocher, J.A. Shaffer, and C.F. Gross. 1985. Performance of switchgrass and bluestem cultivars mixed with cool-season species. Agron. J. 77:846-850.</w:t>
      </w:r>
    </w:p>
    <w:p w14:paraId="10289DE6" w14:textId="77777777" w:rsidR="006322A8" w:rsidRPr="001055EB" w:rsidRDefault="006322A8" w:rsidP="006322A8">
      <w:pPr>
        <w:pStyle w:val="ListParagraph"/>
      </w:pPr>
    </w:p>
    <w:p w14:paraId="590406F2" w14:textId="2DAC0697" w:rsidR="006322A8" w:rsidRPr="001055EB" w:rsidRDefault="006322A8" w:rsidP="006322A8">
      <w:pPr>
        <w:pStyle w:val="ListParagraph"/>
      </w:pPr>
      <w:r w:rsidRPr="001055EB">
        <w:t>Keyser, P.D., E.D. Holcomb, C.M. Lituma, G.E. Bates, J.C. Waller, C.N. Boyer, and J.T. Mulliniks. 2016. Forage attributes and animal performance from native grass inter-seeded with red clover. Agron. J. 108:373-383.</w:t>
      </w:r>
    </w:p>
    <w:p w14:paraId="0A8B5F8A" w14:textId="77777777" w:rsidR="006322A8" w:rsidRPr="001055EB" w:rsidRDefault="006322A8" w:rsidP="006322A8">
      <w:pPr>
        <w:pStyle w:val="ListParagraph"/>
      </w:pPr>
    </w:p>
    <w:p w14:paraId="1FDCDAA5" w14:textId="7ADE0104" w:rsidR="006322A8" w:rsidRPr="001055EB" w:rsidRDefault="006322A8" w:rsidP="006322A8">
      <w:pPr>
        <w:pStyle w:val="ListParagraph"/>
      </w:pPr>
      <w:bookmarkStart w:id="19" w:name="_Hlk72021991"/>
      <w:r w:rsidRPr="001055EB">
        <w:lastRenderedPageBreak/>
        <w:t xml:space="preserve">Keyser, P., G. Bates, J. Waller, C. Harper, and E. </w:t>
      </w:r>
      <w:r w:rsidR="002218D3">
        <w:t>Holcomb</w:t>
      </w:r>
      <w:r w:rsidRPr="001055EB">
        <w:t>. 2011a</w:t>
      </w:r>
      <w:bookmarkEnd w:id="19"/>
      <w:r w:rsidRPr="001055EB">
        <w:t xml:space="preserve">. Grazing native warm-season grasses in the Mid-South. Univ. of Tenn. Ext. SP731-C, Knoxville, TN. </w:t>
      </w:r>
    </w:p>
    <w:p w14:paraId="76BCB78B" w14:textId="77777777" w:rsidR="006322A8" w:rsidRPr="001055EB" w:rsidRDefault="006322A8" w:rsidP="006322A8">
      <w:pPr>
        <w:pStyle w:val="ListParagraph"/>
      </w:pPr>
    </w:p>
    <w:p w14:paraId="40DA33E6" w14:textId="11F7FB6F" w:rsidR="006322A8" w:rsidRPr="001055EB" w:rsidRDefault="006322A8" w:rsidP="006322A8">
      <w:pPr>
        <w:pStyle w:val="ListParagraph"/>
      </w:pPr>
      <w:r w:rsidRPr="001055EB">
        <w:t xml:space="preserve">Keyser, P., G. Bates, J. Waller, C. Harper, and E. </w:t>
      </w:r>
      <w:r w:rsidR="002218D3">
        <w:t>Holcomb</w:t>
      </w:r>
      <w:r w:rsidRPr="001055EB">
        <w:t xml:space="preserve">. 2011b. Producing hay from native warm-season grasses in the Mid-South. Univ. of Tenn. Ext. SP731-D, Knoxville, TN. </w:t>
      </w:r>
    </w:p>
    <w:p w14:paraId="0E05E7AF" w14:textId="77777777" w:rsidR="006322A8" w:rsidRPr="001055EB" w:rsidRDefault="006322A8" w:rsidP="006322A8">
      <w:pPr>
        <w:pStyle w:val="ListParagraph"/>
      </w:pPr>
    </w:p>
    <w:p w14:paraId="1395D1FC" w14:textId="71758B51" w:rsidR="006322A8" w:rsidRPr="001055EB" w:rsidRDefault="006322A8" w:rsidP="006322A8">
      <w:pPr>
        <w:pStyle w:val="ListParagraph"/>
      </w:pPr>
      <w:r w:rsidRPr="001055EB">
        <w:t xml:space="preserve">Keyser, P., C. Harper, G. Bates, J. Waller, and E. </w:t>
      </w:r>
      <w:r w:rsidR="002218D3">
        <w:t>Holcomb</w:t>
      </w:r>
      <w:r w:rsidRPr="001055EB">
        <w:t xml:space="preserve">. 2011c. Establishing native warm-season grasses for livestock forage in the Mid-South. Univ. of Tenn. Ext. SP731-B, Knoxville, TN. </w:t>
      </w:r>
    </w:p>
    <w:p w14:paraId="75A566DE" w14:textId="77777777" w:rsidR="006322A8" w:rsidRPr="001055EB" w:rsidRDefault="006322A8" w:rsidP="006322A8">
      <w:pPr>
        <w:pStyle w:val="ListParagraph"/>
      </w:pPr>
    </w:p>
    <w:p w14:paraId="656846EF" w14:textId="77777777" w:rsidR="006322A8" w:rsidRPr="001055EB" w:rsidRDefault="006322A8" w:rsidP="006322A8">
      <w:pPr>
        <w:pStyle w:val="ListParagraph"/>
      </w:pPr>
      <w:r w:rsidRPr="001055EB">
        <w:t>Krueger, C.R., and D.C. Curtis. 1979. Evaluation of big bluestem, indiangrass, sideoats grama, and switchgrass pastures with yearling steers. Agron. J. 71:480-482.</w:t>
      </w:r>
    </w:p>
    <w:p w14:paraId="473959C5" w14:textId="77777777" w:rsidR="006322A8" w:rsidRPr="001055EB" w:rsidRDefault="006322A8" w:rsidP="006322A8">
      <w:pPr>
        <w:pStyle w:val="ListParagraph"/>
      </w:pPr>
    </w:p>
    <w:p w14:paraId="7E35A4BE" w14:textId="1E098522" w:rsidR="006322A8" w:rsidRDefault="006322A8" w:rsidP="006322A8">
      <w:pPr>
        <w:pStyle w:val="ListParagraph"/>
      </w:pPr>
      <w:r w:rsidRPr="001055EB">
        <w:t>Long, S.P. 1999. Environmental responses. p. 215-249. In R.F. Sage and R.K. Monson (ed.) C</w:t>
      </w:r>
      <w:r w:rsidRPr="001055EB">
        <w:rPr>
          <w:vertAlign w:val="subscript"/>
        </w:rPr>
        <w:t>4</w:t>
      </w:r>
      <w:r w:rsidRPr="001055EB">
        <w:t xml:space="preserve"> plant biology. Academic Press, New York, NY.</w:t>
      </w:r>
    </w:p>
    <w:p w14:paraId="6E4522D2" w14:textId="61DEA9E2" w:rsidR="00B36B67" w:rsidRDefault="00B36B67" w:rsidP="006322A8">
      <w:pPr>
        <w:pStyle w:val="ListParagraph"/>
      </w:pPr>
    </w:p>
    <w:p w14:paraId="718B7A82" w14:textId="1CF963BD" w:rsidR="00B36B67" w:rsidRPr="006322A8" w:rsidRDefault="00B36B67" w:rsidP="00B36B67">
      <w:pPr>
        <w:pStyle w:val="ListParagraph"/>
      </w:pPr>
      <w:r w:rsidRPr="006322A8">
        <w:t xml:space="preserve">Marten, G.C. 1985. Nutritional value of legumes in temperate pasture of the U.S. p. 204-212. </w:t>
      </w:r>
      <w:r w:rsidRPr="0015217F">
        <w:rPr>
          <w:i/>
          <w:iCs/>
        </w:rPr>
        <w:t>In</w:t>
      </w:r>
      <w:r w:rsidRPr="006322A8">
        <w:t xml:space="preserve"> R.F. Barnes et al. (ed</w:t>
      </w:r>
      <w:r>
        <w:t>s</w:t>
      </w:r>
      <w:r w:rsidRPr="006322A8">
        <w:t>.) Forage legumes for energy-efficient animal production. Proc. Trilateral Workshop, Palmerston North, New Zealand. 30 Apr.-4 May 1984. USDA, Springfield, VA.</w:t>
      </w:r>
    </w:p>
    <w:p w14:paraId="362823FC" w14:textId="77777777" w:rsidR="00B36B67" w:rsidRPr="001055EB" w:rsidRDefault="00B36B67" w:rsidP="006322A8">
      <w:pPr>
        <w:pStyle w:val="ListParagraph"/>
      </w:pPr>
    </w:p>
    <w:p w14:paraId="1413EFE2" w14:textId="77777777" w:rsidR="009B0085" w:rsidRPr="006322A8" w:rsidRDefault="009B0085" w:rsidP="009B0085">
      <w:pPr>
        <w:pStyle w:val="ListParagraph"/>
      </w:pPr>
      <w:r w:rsidRPr="006322A8">
        <w:t xml:space="preserve">Marten, G.C. 1989. Summary of the trilateral workshop on persistence of forage legumes. p. 569-572. </w:t>
      </w:r>
      <w:r w:rsidRPr="0015217F">
        <w:rPr>
          <w:i/>
          <w:iCs/>
        </w:rPr>
        <w:t>In</w:t>
      </w:r>
      <w:r w:rsidRPr="006322A8">
        <w:t xml:space="preserve"> G.C. Marten et al. (ed.) Persistence of forage legumes. Proc. Trilateral Workshop, Honolulu, HI. 18-22 Jul 1988. ASA, CSSA, and SSSA, Madison, WI.</w:t>
      </w:r>
    </w:p>
    <w:p w14:paraId="025673F0" w14:textId="77777777" w:rsidR="006322A8" w:rsidRPr="001055EB" w:rsidRDefault="006322A8" w:rsidP="006322A8">
      <w:pPr>
        <w:pStyle w:val="ListParagraph"/>
      </w:pPr>
    </w:p>
    <w:p w14:paraId="49AA6DB1" w14:textId="77777777" w:rsidR="006322A8" w:rsidRPr="001055EB" w:rsidRDefault="006322A8" w:rsidP="006322A8">
      <w:pPr>
        <w:pStyle w:val="ListParagraph"/>
      </w:pPr>
      <w:r w:rsidRPr="001055EB">
        <w:t>McIntosh, D.W., G.E. Bates, P.D. Keyser, F.L. Allen, C.A. Harper, J.C. Waller, J.L. Birckhead, and W.M. Backus. 2015. The impact of harvest timing on biomass yield from native warm-season grass mixtures. Agron. J. 107:2321-2326.</w:t>
      </w:r>
    </w:p>
    <w:p w14:paraId="2A3EFF4A" w14:textId="77777777" w:rsidR="006322A8" w:rsidRPr="001055EB" w:rsidRDefault="006322A8" w:rsidP="006322A8">
      <w:pPr>
        <w:pStyle w:val="ListParagraph"/>
      </w:pPr>
    </w:p>
    <w:p w14:paraId="4DD47826" w14:textId="77777777" w:rsidR="006322A8" w:rsidRPr="001055EB" w:rsidRDefault="006322A8" w:rsidP="006322A8">
      <w:pPr>
        <w:pStyle w:val="ListParagraph"/>
      </w:pPr>
      <w:r w:rsidRPr="001055EB">
        <w:t>McLaughlin, S.B., and M.E. Walsh. 1998. Evaluating environmental consequences of producing herbaceous crops for bioenergy. Biomass and Bioenergy 14:317-324.</w:t>
      </w:r>
    </w:p>
    <w:p w14:paraId="6B122178" w14:textId="77777777" w:rsidR="006322A8" w:rsidRPr="001055EB" w:rsidRDefault="006322A8" w:rsidP="006322A8">
      <w:pPr>
        <w:pStyle w:val="ListParagraph"/>
      </w:pPr>
    </w:p>
    <w:p w14:paraId="319AE65D" w14:textId="77777777" w:rsidR="006322A8" w:rsidRPr="001055EB" w:rsidRDefault="006322A8" w:rsidP="006322A8">
      <w:pPr>
        <w:pStyle w:val="ListParagraph"/>
      </w:pPr>
      <w:r w:rsidRPr="001055EB">
        <w:t>Mitchell, R., J. Fritz, K. Moore, L. Moser, K. Vogel, D. Redfearn, and D. Wester. 2001. Predicting forage quality in switchgrass and big bluestem. Agron. J. 93:118-124.</w:t>
      </w:r>
    </w:p>
    <w:p w14:paraId="1E845BAC" w14:textId="77777777" w:rsidR="006322A8" w:rsidRPr="001055EB" w:rsidRDefault="006322A8" w:rsidP="006322A8">
      <w:pPr>
        <w:pStyle w:val="ListParagraph"/>
      </w:pPr>
    </w:p>
    <w:p w14:paraId="56BD9FD0" w14:textId="77777777" w:rsidR="006322A8" w:rsidRPr="001055EB" w:rsidRDefault="006322A8" w:rsidP="006322A8">
      <w:pPr>
        <w:pStyle w:val="ListParagraph"/>
      </w:pPr>
      <w:r w:rsidRPr="001055EB">
        <w:t>Mooney, D.F., R.K. Roberts, B.C. English, D.D. Tyler, and J.A. Larson. 2009. Yield and breakeven price of 'Alamo' switchgrass for biofuels in Tennessee. Agron. J. 101:1234-42.</w:t>
      </w:r>
    </w:p>
    <w:p w14:paraId="43A8CF98" w14:textId="77777777" w:rsidR="006322A8" w:rsidRPr="001055EB" w:rsidRDefault="006322A8" w:rsidP="006322A8">
      <w:pPr>
        <w:pStyle w:val="ListParagraph"/>
      </w:pPr>
    </w:p>
    <w:p w14:paraId="3E30DCAD" w14:textId="77777777" w:rsidR="006322A8" w:rsidRPr="001055EB" w:rsidRDefault="006322A8" w:rsidP="006322A8">
      <w:pPr>
        <w:pStyle w:val="ListParagraph"/>
      </w:pPr>
      <w:r w:rsidRPr="001055EB">
        <w:t>Moore, K.J., T.A. White, R.L. Hintz, P.K. Patrick, and E.C. Brummer. 2004. Sequential grazing of cool- and warm-season pastures. Agron. J. 96:1103-1111.</w:t>
      </w:r>
    </w:p>
    <w:p w14:paraId="738EA63F" w14:textId="77777777" w:rsidR="006322A8" w:rsidRPr="001055EB" w:rsidRDefault="006322A8" w:rsidP="006322A8">
      <w:pPr>
        <w:pStyle w:val="ListParagraph"/>
      </w:pPr>
    </w:p>
    <w:p w14:paraId="428CB114" w14:textId="77777777" w:rsidR="006322A8" w:rsidRPr="001055EB" w:rsidRDefault="006322A8" w:rsidP="006322A8">
      <w:pPr>
        <w:pStyle w:val="ListParagraph"/>
      </w:pPr>
      <w:r w:rsidRPr="001055EB">
        <w:lastRenderedPageBreak/>
        <w:t>Moser, L.E., B.L. Burson, and L.E. Sollenberger. 2004. Warm-season (C</w:t>
      </w:r>
      <w:r w:rsidRPr="001055EB">
        <w:rPr>
          <w:vertAlign w:val="subscript"/>
        </w:rPr>
        <w:t>4</w:t>
      </w:r>
      <w:r w:rsidRPr="001055EB">
        <w:t xml:space="preserve">) grass overview. p. 1-14. </w:t>
      </w:r>
      <w:r w:rsidRPr="008F6C76">
        <w:rPr>
          <w:i/>
          <w:iCs/>
        </w:rPr>
        <w:t>In</w:t>
      </w:r>
      <w:r w:rsidRPr="001055EB">
        <w:t xml:space="preserve"> L.E. Moser et al. (ed.) Warm-season (C</w:t>
      </w:r>
      <w:r w:rsidRPr="001055EB">
        <w:rPr>
          <w:vertAlign w:val="subscript"/>
        </w:rPr>
        <w:t>4</w:t>
      </w:r>
      <w:r w:rsidRPr="001055EB">
        <w:t>) grasses. Agron. Monogr. 45. ASA, CSSA, and SSSA, Madison, WI.</w:t>
      </w:r>
    </w:p>
    <w:p w14:paraId="2A721F36" w14:textId="77777777" w:rsidR="006322A8" w:rsidRPr="001055EB" w:rsidRDefault="006322A8" w:rsidP="006322A8">
      <w:pPr>
        <w:pStyle w:val="ListParagraph"/>
      </w:pPr>
    </w:p>
    <w:p w14:paraId="77243760" w14:textId="77777777" w:rsidR="006322A8" w:rsidRPr="001055EB" w:rsidRDefault="006322A8" w:rsidP="006322A8">
      <w:pPr>
        <w:pStyle w:val="ListParagraph"/>
      </w:pPr>
      <w:r w:rsidRPr="001055EB">
        <w:t>Muir, J.P., M.A. Sanderson, W.R. Ocumpaugh, R.M. Jones, and R.L. Reed. 2001. Biomass production of ‘Alamo’ switchgrass in response to nitrogen, phosphorus, and row spacing. Agron. J. 93:896-901.</w:t>
      </w:r>
    </w:p>
    <w:p w14:paraId="436D5922" w14:textId="77777777" w:rsidR="006322A8" w:rsidRPr="001055EB" w:rsidRDefault="006322A8" w:rsidP="006322A8">
      <w:pPr>
        <w:pStyle w:val="ListParagraph"/>
      </w:pPr>
    </w:p>
    <w:p w14:paraId="55013F8C" w14:textId="4A343C0E" w:rsidR="006322A8" w:rsidRDefault="006322A8" w:rsidP="006322A8">
      <w:pPr>
        <w:pStyle w:val="ListParagraph"/>
      </w:pPr>
      <w:r w:rsidRPr="001055EB">
        <w:t>Pendulum, L.C., J.A. Boling, L.P. Bush, and R.C. Buckner. 1980. Digestibility and metabolism of Kenhy tall fescue harvested at three stages of physiological maturity. J. Anim. Sci. 51:704-711.</w:t>
      </w:r>
    </w:p>
    <w:p w14:paraId="50F0C67E" w14:textId="3B39A38F" w:rsidR="002B2848" w:rsidRDefault="002B2848" w:rsidP="006322A8">
      <w:pPr>
        <w:pStyle w:val="ListParagraph"/>
      </w:pPr>
    </w:p>
    <w:p w14:paraId="17FE0793" w14:textId="5930FD7B" w:rsidR="002B2848" w:rsidRDefault="002B2848" w:rsidP="002B2848">
      <w:pPr>
        <w:pStyle w:val="ListParagraph"/>
      </w:pPr>
      <w:r w:rsidRPr="006322A8">
        <w:t xml:space="preserve">Peoples, M.B., M.J. Unkovich, and D.F. Herridge. 2009. Measuring symbiotic nitrogen fixation by legumes. p. 125-170. </w:t>
      </w:r>
      <w:r w:rsidRPr="005B4E99">
        <w:rPr>
          <w:i/>
          <w:iCs/>
        </w:rPr>
        <w:t>In</w:t>
      </w:r>
      <w:r w:rsidRPr="006322A8">
        <w:t xml:space="preserve"> D.W. Emerich and H.B. Krishnan (ed</w:t>
      </w:r>
      <w:r>
        <w:t>s</w:t>
      </w:r>
      <w:r w:rsidRPr="006322A8">
        <w:t>.) Nitrogen fixation in crop production. Agron. Monogr. 52. ASA, CSSA, and SSSA, Madison, WI.</w:t>
      </w:r>
    </w:p>
    <w:p w14:paraId="47794501" w14:textId="77777777" w:rsidR="008F6C76" w:rsidRDefault="008F6C76" w:rsidP="002B2848">
      <w:pPr>
        <w:pStyle w:val="ListParagraph"/>
      </w:pPr>
    </w:p>
    <w:p w14:paraId="59F2F86B" w14:textId="5D2F57EF" w:rsidR="008F6C76" w:rsidRDefault="008F6C76" w:rsidP="008F6C76">
      <w:pPr>
        <w:pStyle w:val="ListParagraph"/>
      </w:pPr>
      <w:r w:rsidRPr="0054275A">
        <w:t xml:space="preserve">Popp, M.P., </w:t>
      </w:r>
      <w:r>
        <w:t xml:space="preserve">A.J. </w:t>
      </w:r>
      <w:r w:rsidRPr="0054275A">
        <w:t xml:space="preserve">Ashworth, </w:t>
      </w:r>
      <w:r>
        <w:t xml:space="preserve">P.A. </w:t>
      </w:r>
      <w:r w:rsidRPr="0054275A">
        <w:t>Moore Jr</w:t>
      </w:r>
      <w:r>
        <w:t>.</w:t>
      </w:r>
      <w:r w:rsidRPr="0054275A">
        <w:t xml:space="preserve">, </w:t>
      </w:r>
      <w:r>
        <w:t xml:space="preserve">P.R. </w:t>
      </w:r>
      <w:r w:rsidRPr="0054275A">
        <w:t xml:space="preserve">Owens, </w:t>
      </w:r>
      <w:r>
        <w:t xml:space="preserve">J.L. </w:t>
      </w:r>
      <w:r w:rsidRPr="0054275A">
        <w:t xml:space="preserve">Douglas, </w:t>
      </w:r>
      <w:r>
        <w:t xml:space="preserve">D.H. </w:t>
      </w:r>
      <w:r w:rsidRPr="0054275A">
        <w:t xml:space="preserve">Pote, ... &amp; </w:t>
      </w:r>
      <w:r>
        <w:t xml:space="preserve">B.L. </w:t>
      </w:r>
      <w:r w:rsidRPr="0054275A">
        <w:t>Dixon. 2018. Fertilizer recommendations for switchgrass: Quantifying economic effects on quality and yield. Agron</w:t>
      </w:r>
      <w:r>
        <w:t>.</w:t>
      </w:r>
      <w:r w:rsidRPr="0054275A">
        <w:t xml:space="preserve"> J</w:t>
      </w:r>
      <w:r>
        <w:t>.</w:t>
      </w:r>
      <w:r w:rsidRPr="0054275A">
        <w:t xml:space="preserve"> 110</w:t>
      </w:r>
      <w:r>
        <w:t>:</w:t>
      </w:r>
      <w:r w:rsidRPr="0054275A">
        <w:t>1854-1861.</w:t>
      </w:r>
    </w:p>
    <w:p w14:paraId="7C4D6308" w14:textId="77777777" w:rsidR="008F6C76" w:rsidRDefault="008F6C76" w:rsidP="008F6C76">
      <w:pPr>
        <w:pStyle w:val="ListParagraph"/>
      </w:pPr>
    </w:p>
    <w:p w14:paraId="3D06C2F6" w14:textId="01DD00FD" w:rsidR="000D286A" w:rsidRDefault="000D286A" w:rsidP="008F6C76">
      <w:pPr>
        <w:pStyle w:val="ListParagraph"/>
      </w:pPr>
      <w:r w:rsidRPr="008F6C76">
        <w:t>Posler, G.L., A.W. Lenssen, and G.L. Fine. 1993. Forage yield, quality, compatibility, and persistence of warm-season grass-legume mixtures. Agron. J. 85:554-560.</w:t>
      </w:r>
    </w:p>
    <w:p w14:paraId="167B95D2" w14:textId="1E2F5DB4" w:rsidR="00724902" w:rsidRDefault="00724902" w:rsidP="008F6C76">
      <w:pPr>
        <w:pStyle w:val="ListParagraph"/>
      </w:pPr>
    </w:p>
    <w:p w14:paraId="1A2A86A7" w14:textId="5417AA5B" w:rsidR="00724902" w:rsidRPr="008F6C76" w:rsidRDefault="00724902" w:rsidP="008F6C76">
      <w:pPr>
        <w:pStyle w:val="ListParagraph"/>
      </w:pPr>
      <w:r w:rsidRPr="00724902">
        <w:t xml:space="preserve">Shetty, K.G., </w:t>
      </w:r>
      <w:r>
        <w:t xml:space="preserve">K. </w:t>
      </w:r>
      <w:r w:rsidRPr="00724902">
        <w:t xml:space="preserve">Jayachandran, </w:t>
      </w:r>
      <w:r>
        <w:t xml:space="preserve">K. </w:t>
      </w:r>
      <w:r w:rsidRPr="00724902">
        <w:t xml:space="preserve">Quinones, </w:t>
      </w:r>
      <w:r>
        <w:t xml:space="preserve">K.E. </w:t>
      </w:r>
      <w:r w:rsidRPr="00724902">
        <w:t xml:space="preserve">O'Shea, </w:t>
      </w:r>
      <w:r>
        <w:t xml:space="preserve">T.A. </w:t>
      </w:r>
      <w:r w:rsidRPr="00724902">
        <w:t xml:space="preserve">Bollar, and </w:t>
      </w:r>
      <w:r w:rsidR="0054401A">
        <w:t xml:space="preserve">M.R. </w:t>
      </w:r>
      <w:r w:rsidRPr="00724902">
        <w:t>Norland. 2007. Allelopathic effects of ragweed compound thiarubrine-A on Brazilian pepper. Allelopathy J</w:t>
      </w:r>
      <w:r w:rsidR="0054401A">
        <w:t xml:space="preserve">. </w:t>
      </w:r>
      <w:r w:rsidRPr="00724902">
        <w:t>20</w:t>
      </w:r>
      <w:r w:rsidR="0054401A">
        <w:t>:</w:t>
      </w:r>
      <w:r w:rsidRPr="00724902">
        <w:t>371-378.</w:t>
      </w:r>
    </w:p>
    <w:p w14:paraId="0920DA0B" w14:textId="77777777" w:rsidR="0015217F" w:rsidRPr="006322A8" w:rsidRDefault="0015217F" w:rsidP="000D286A">
      <w:pPr>
        <w:pStyle w:val="ListParagraph"/>
      </w:pPr>
    </w:p>
    <w:p w14:paraId="00FB3C48" w14:textId="77777777" w:rsidR="006322A8" w:rsidRPr="001055EB" w:rsidRDefault="006322A8" w:rsidP="006322A8">
      <w:pPr>
        <w:pStyle w:val="ListParagraph"/>
      </w:pPr>
      <w:r w:rsidRPr="001055EB">
        <w:t>Sinclair, T.R. 2006. A reminder of limitations in using Beer’s Law to estimate daily radiation intercepting by vegetation. Crop Sci. 46:2343-2347.</w:t>
      </w:r>
    </w:p>
    <w:p w14:paraId="41443D58" w14:textId="77777777" w:rsidR="006322A8" w:rsidRPr="001055EB" w:rsidRDefault="006322A8" w:rsidP="006322A8">
      <w:pPr>
        <w:pStyle w:val="ListParagraph"/>
      </w:pPr>
    </w:p>
    <w:p w14:paraId="71F232BB" w14:textId="74DFF9B2" w:rsidR="006322A8" w:rsidRDefault="006322A8" w:rsidP="006322A8">
      <w:pPr>
        <w:pStyle w:val="ListParagraph"/>
      </w:pPr>
      <w:r w:rsidRPr="001055EB">
        <w:t>Smith, D. 1979. Fertilization of switchgrass in the greenhouse with various levels of N and K. Agron. J. 71:149-150.</w:t>
      </w:r>
    </w:p>
    <w:p w14:paraId="4F7B2251" w14:textId="4D3E246B" w:rsidR="002B2848" w:rsidRDefault="002B2848" w:rsidP="006322A8">
      <w:pPr>
        <w:pStyle w:val="ListParagraph"/>
      </w:pPr>
    </w:p>
    <w:p w14:paraId="10D32CD5" w14:textId="77777777" w:rsidR="002B2848" w:rsidRPr="006322A8" w:rsidRDefault="002B2848" w:rsidP="002B2848">
      <w:pPr>
        <w:pStyle w:val="ListParagraph"/>
      </w:pPr>
      <w:r w:rsidRPr="006322A8">
        <w:t>Springer, T.L. 1997. Effect of bermudagrass height on clover establishment. Crop Sci. 37:1663-1665.</w:t>
      </w:r>
    </w:p>
    <w:p w14:paraId="4105AA87" w14:textId="77777777" w:rsidR="006322A8" w:rsidRPr="001055EB" w:rsidRDefault="006322A8" w:rsidP="006322A8">
      <w:pPr>
        <w:pStyle w:val="ListParagraph"/>
      </w:pPr>
    </w:p>
    <w:p w14:paraId="116BDE01" w14:textId="6ED9A371" w:rsidR="006322A8" w:rsidRDefault="006322A8" w:rsidP="006322A8">
      <w:pPr>
        <w:pStyle w:val="ListParagraph"/>
      </w:pPr>
      <w:r w:rsidRPr="001055EB">
        <w:t>Steen, W.W., N. Gay, J.A. Boling, R.C. Buckner, L.P. Bush, and G. Lacefield. 1979. Evaluation of Kentucky 31, G1-306, G1-307 and Kenhy tall fescue as pasture for yearling steers. II. Growth, physiological response and plasma constituents for yearling steers. J. Anim. Sci. 48:618-623.</w:t>
      </w:r>
    </w:p>
    <w:p w14:paraId="2E601459" w14:textId="77777777" w:rsidR="0015217F" w:rsidRDefault="0015217F" w:rsidP="006322A8">
      <w:pPr>
        <w:pStyle w:val="ListParagraph"/>
      </w:pPr>
    </w:p>
    <w:p w14:paraId="41100CAA" w14:textId="77777777" w:rsidR="00B36B67" w:rsidRPr="006322A8" w:rsidRDefault="00B36B67" w:rsidP="00B36B67">
      <w:pPr>
        <w:pStyle w:val="ListParagraph"/>
      </w:pPr>
      <w:r w:rsidRPr="006322A8">
        <w:t xml:space="preserve">Vallis, I. 1976. Nitrogen relationships in grass/legume mixtures. p. 190-201. </w:t>
      </w:r>
      <w:r w:rsidRPr="005B4E99">
        <w:rPr>
          <w:i/>
          <w:iCs/>
        </w:rPr>
        <w:t>In</w:t>
      </w:r>
      <w:r w:rsidRPr="006322A8">
        <w:t xml:space="preserve"> R. Wilson (ed.) Plant relationships in pastures. Iowa State Univ. Press, Ames, IA.</w:t>
      </w:r>
    </w:p>
    <w:p w14:paraId="1FC2BB10" w14:textId="77777777" w:rsidR="00B36B67" w:rsidRPr="006322A8" w:rsidRDefault="00B36B67" w:rsidP="00B36B67">
      <w:pPr>
        <w:pStyle w:val="ListParagraph"/>
      </w:pPr>
    </w:p>
    <w:p w14:paraId="0C8F1E78" w14:textId="3DFE24EA" w:rsidR="00B36B67" w:rsidRPr="006322A8" w:rsidRDefault="00B36B67" w:rsidP="00B36B67">
      <w:pPr>
        <w:pStyle w:val="ListParagraph"/>
      </w:pPr>
      <w:r w:rsidRPr="006322A8">
        <w:lastRenderedPageBreak/>
        <w:t xml:space="preserve">Van Soest, P.J. 1976. Composition and nutritive value of forages. </w:t>
      </w:r>
      <w:r w:rsidRPr="005B4E99">
        <w:rPr>
          <w:i/>
          <w:iCs/>
        </w:rPr>
        <w:t>In</w:t>
      </w:r>
      <w:r w:rsidRPr="006322A8">
        <w:t xml:space="preserve"> M.E. Heath et al. (ed</w:t>
      </w:r>
      <w:r>
        <w:t>s</w:t>
      </w:r>
      <w:r w:rsidRPr="006322A8">
        <w:t>.) Forages. 3rd ed. Iowa State Univ. Press, Ames, IA.</w:t>
      </w:r>
    </w:p>
    <w:p w14:paraId="0CE9B7A5" w14:textId="77777777" w:rsidR="006322A8" w:rsidRPr="001055EB" w:rsidRDefault="006322A8" w:rsidP="006322A8">
      <w:pPr>
        <w:pStyle w:val="ListParagraph"/>
      </w:pPr>
    </w:p>
    <w:p w14:paraId="7D36DF59" w14:textId="45572FFB" w:rsidR="006322A8" w:rsidRDefault="006322A8" w:rsidP="006322A8">
      <w:pPr>
        <w:pStyle w:val="ListParagraph"/>
      </w:pPr>
      <w:r w:rsidRPr="001055EB">
        <w:t>Vogel, K.P., J.J. Brejda, D.T. Walters, and D.R. Buxton. 2002. Switchgrass biomass production in the Midwest USA: Harvest and nitrogen management. Agron. J. 94:413-420.</w:t>
      </w:r>
    </w:p>
    <w:p w14:paraId="3CD87AD0" w14:textId="137C679A" w:rsidR="00B900AE" w:rsidRDefault="00B900AE" w:rsidP="006322A8">
      <w:pPr>
        <w:pStyle w:val="ListParagraph"/>
      </w:pPr>
    </w:p>
    <w:p w14:paraId="38B89A20" w14:textId="77777777" w:rsidR="00D045A6" w:rsidRPr="001055EB" w:rsidRDefault="00D045A6" w:rsidP="00D045A6">
      <w:pPr>
        <w:pStyle w:val="ListParagraph"/>
      </w:pPr>
      <w:r>
        <w:t xml:space="preserve">Wagner, J.F. 2020. Can beef be bee-friendly? Using native warm-season grasses and wildflowers in pastures to conserve bees. </w:t>
      </w:r>
      <w:r w:rsidRPr="001055EB">
        <w:t xml:space="preserve">M.S. Thesis. </w:t>
      </w:r>
      <w:r>
        <w:t xml:space="preserve">VA Polytech. Inst. and State </w:t>
      </w:r>
      <w:r w:rsidRPr="001055EB">
        <w:t xml:space="preserve">Univ., </w:t>
      </w:r>
      <w:r>
        <w:t>Blacksburg, VA.</w:t>
      </w:r>
      <w:r w:rsidRPr="001055EB">
        <w:t xml:space="preserve"> </w:t>
      </w:r>
    </w:p>
    <w:p w14:paraId="269F2D67" w14:textId="77777777" w:rsidR="00D045A6" w:rsidRDefault="00D045A6" w:rsidP="006322A8">
      <w:pPr>
        <w:pStyle w:val="ListParagraph"/>
      </w:pPr>
    </w:p>
    <w:p w14:paraId="1EA0759F" w14:textId="04CF7DBA" w:rsidR="00993BC2" w:rsidRDefault="00993BC2" w:rsidP="006322A8">
      <w:pPr>
        <w:pStyle w:val="ListParagraph"/>
      </w:pPr>
      <w:r>
        <w:t>Waramit, N., K.J. Moore, and A.H. Heggenstaller. 2011. Composition of native warm-season grasses for bioenergy production in response to nitrogen fertilization and harvest date. Agron. J. 103:655-662.</w:t>
      </w:r>
    </w:p>
    <w:p w14:paraId="47AB42E0" w14:textId="77777777" w:rsidR="00993BC2" w:rsidRDefault="00993BC2" w:rsidP="006322A8">
      <w:pPr>
        <w:pStyle w:val="ListParagraph"/>
      </w:pPr>
    </w:p>
    <w:p w14:paraId="6EF81ADA" w14:textId="482AF0CE" w:rsidR="00B900AE" w:rsidRDefault="00B900AE" w:rsidP="006322A8">
      <w:pPr>
        <w:pStyle w:val="ListParagraph"/>
      </w:pPr>
      <w:r w:rsidRPr="00B900AE">
        <w:t>Weaver, J.E. 19</w:t>
      </w:r>
      <w:r>
        <w:t>54.</w:t>
      </w:r>
      <w:r w:rsidRPr="00B900AE">
        <w:t xml:space="preserve"> North American Prairie. Univ. of Nebraska Press, Lincoln.</w:t>
      </w:r>
    </w:p>
    <w:p w14:paraId="3264E800" w14:textId="77777777" w:rsidR="00E62818" w:rsidRPr="001055EB" w:rsidRDefault="00E62818" w:rsidP="006322A8">
      <w:pPr>
        <w:pStyle w:val="ListParagraph"/>
      </w:pPr>
    </w:p>
    <w:p w14:paraId="0F14FB32" w14:textId="77777777" w:rsidR="006322A8" w:rsidRPr="006322A8" w:rsidRDefault="006322A8" w:rsidP="006322A8">
      <w:pPr>
        <w:pStyle w:val="ListParagraph"/>
      </w:pPr>
      <w:r w:rsidRPr="001055EB">
        <w:t>Wolf, D.D., and D.A. Fiske. 1995. Planting and managing switchgrass for forage, wildlife, and conservation</w:t>
      </w:r>
      <w:r w:rsidRPr="006322A8">
        <w:t>. Virginia Coop., Ext. Pub. 418-013. Blacksburg, VA: Virginia Polytechnic Institute and State University.</w:t>
      </w:r>
    </w:p>
    <w:p w14:paraId="743BAAC3" w14:textId="2443E69D" w:rsidR="003D07F7" w:rsidRPr="004F6C28" w:rsidRDefault="00DD00DE" w:rsidP="005E54E2">
      <w:pPr>
        <w:rPr>
          <w:rFonts w:cs="Times New Roman"/>
        </w:rPr>
      </w:pPr>
      <w:r w:rsidRPr="004F6C28">
        <w:rPr>
          <w:rFonts w:cs="Times New Roman"/>
        </w:rPr>
        <w:br w:type="page"/>
      </w:r>
    </w:p>
    <w:p w14:paraId="3012F80C" w14:textId="7F7FBAD2" w:rsidR="00003F6A" w:rsidRPr="004F6C28" w:rsidRDefault="003C7FC5" w:rsidP="005E54E2">
      <w:pPr>
        <w:pStyle w:val="Heading1"/>
        <w:rPr>
          <w:rFonts w:cs="Times New Roman"/>
        </w:rPr>
      </w:pPr>
      <w:bookmarkStart w:id="20" w:name="_Toc289175825"/>
      <w:bookmarkStart w:id="21" w:name="_Toc72026012"/>
      <w:bookmarkStart w:id="22" w:name="_Toc72305376"/>
      <w:r w:rsidRPr="004F6C28">
        <w:rPr>
          <w:rFonts w:cs="Times New Roman"/>
        </w:rPr>
        <w:lastRenderedPageBreak/>
        <w:t>CHAPTER I</w:t>
      </w:r>
      <w:r w:rsidR="00FF1665" w:rsidRPr="004F6C28">
        <w:rPr>
          <w:rFonts w:cs="Times New Roman"/>
        </w:rPr>
        <w:br/>
      </w:r>
      <w:r w:rsidR="00367172">
        <w:rPr>
          <w:rFonts w:cs="Times New Roman"/>
        </w:rPr>
        <w:t>INTERSEEDING WINTER ANNUALS INTO NATIVE WARM-SEASON GRASS PASTURES</w:t>
      </w:r>
      <w:bookmarkEnd w:id="20"/>
      <w:bookmarkEnd w:id="21"/>
      <w:bookmarkEnd w:id="22"/>
    </w:p>
    <w:p w14:paraId="6BDF591E" w14:textId="77777777" w:rsidR="00003F6A" w:rsidRPr="004F6C28" w:rsidRDefault="00003F6A" w:rsidP="00E5595B">
      <w:pPr>
        <w:pStyle w:val="Heading3"/>
      </w:pPr>
      <w:r w:rsidRPr="004F6C28">
        <w:br w:type="page"/>
      </w:r>
    </w:p>
    <w:p w14:paraId="1202BF27" w14:textId="45DA200F" w:rsidR="00FA75A5" w:rsidRPr="00A41CAD" w:rsidRDefault="00DD3196" w:rsidP="00367172">
      <w:pPr>
        <w:pStyle w:val="AgronomyJournalSectionTitles"/>
      </w:pPr>
      <w:bookmarkStart w:id="23" w:name="_Toc72026013"/>
      <w:bookmarkStart w:id="24" w:name="_Toc72305377"/>
      <w:r w:rsidRPr="00A41CAD">
        <w:lastRenderedPageBreak/>
        <w:t>ABSTRACT</w:t>
      </w:r>
      <w:bookmarkEnd w:id="23"/>
      <w:bookmarkEnd w:id="24"/>
      <w:r w:rsidR="003C7FC5" w:rsidRPr="00A41CAD">
        <w:tab/>
      </w:r>
    </w:p>
    <w:p w14:paraId="02C477EE" w14:textId="33A7472C" w:rsidR="00200B39" w:rsidRPr="00A41CAD" w:rsidRDefault="00C46B82" w:rsidP="002A000A">
      <w:pPr>
        <w:pStyle w:val="Paragraphs"/>
        <w:spacing w:after="100" w:afterAutospacing="1"/>
        <w:ind w:firstLine="0"/>
      </w:pPr>
      <w:bookmarkStart w:id="25" w:name="_Hlk69705952"/>
      <w:r>
        <w:rPr>
          <w:rFonts w:cs="Times New Roman"/>
        </w:rPr>
        <w:t xml:space="preserve">Native warm-season grass </w:t>
      </w:r>
      <w:r w:rsidR="00200B39">
        <w:rPr>
          <w:rFonts w:cs="Times New Roman"/>
        </w:rPr>
        <w:t xml:space="preserve">(NWSG) </w:t>
      </w:r>
      <w:r>
        <w:rPr>
          <w:rFonts w:cs="Times New Roman"/>
        </w:rPr>
        <w:t xml:space="preserve">pastures could benefit from the incorporation of cool-season annual </w:t>
      </w:r>
      <w:r w:rsidR="00200B39">
        <w:rPr>
          <w:rFonts w:cs="Times New Roman"/>
        </w:rPr>
        <w:t xml:space="preserve">(CSA) </w:t>
      </w:r>
      <w:r>
        <w:rPr>
          <w:rFonts w:cs="Times New Roman"/>
        </w:rPr>
        <w:t xml:space="preserve">species by </w:t>
      </w:r>
      <w:r w:rsidR="00200B39">
        <w:rPr>
          <w:rFonts w:cs="Times New Roman"/>
        </w:rPr>
        <w:t xml:space="preserve">potentially </w:t>
      </w:r>
      <w:bookmarkStart w:id="26" w:name="_Hlk69705657"/>
      <w:r w:rsidRPr="00A41CAD">
        <w:t>extend</w:t>
      </w:r>
      <w:r>
        <w:t>ing</w:t>
      </w:r>
      <w:r w:rsidRPr="00A41CAD">
        <w:t xml:space="preserve"> the grazing </w:t>
      </w:r>
      <w:r w:rsidR="00200B39">
        <w:t>season</w:t>
      </w:r>
      <w:r>
        <w:t>,</w:t>
      </w:r>
      <w:r w:rsidRPr="00C46B82">
        <w:t xml:space="preserve"> </w:t>
      </w:r>
      <w:r w:rsidR="00200B39">
        <w:t>reducing</w:t>
      </w:r>
      <w:r w:rsidRPr="00A41CAD">
        <w:t xml:space="preserve"> </w:t>
      </w:r>
      <w:r w:rsidR="00200B39">
        <w:t>supplemental feed</w:t>
      </w:r>
      <w:r w:rsidRPr="00A41CAD">
        <w:t xml:space="preserve"> costs</w:t>
      </w:r>
      <w:r>
        <w:t>, suppressing weed</w:t>
      </w:r>
      <w:r w:rsidR="00565C74">
        <w:t>s</w:t>
      </w:r>
      <w:r>
        <w:t xml:space="preserve">, and </w:t>
      </w:r>
      <w:r>
        <w:rPr>
          <w:rFonts w:cs="Times New Roman"/>
        </w:rPr>
        <w:t>i</w:t>
      </w:r>
      <w:r>
        <w:t xml:space="preserve">ncreasing herbage production and overall forage quality.  </w:t>
      </w:r>
      <w:bookmarkEnd w:id="26"/>
      <w:r w:rsidR="002A000A" w:rsidRPr="00A41CAD">
        <w:t>Therefore,</w:t>
      </w:r>
      <w:r w:rsidR="002A000A">
        <w:t xml:space="preserve"> two NWSG grazing experiments were conducted</w:t>
      </w:r>
      <w:r w:rsidR="00541689">
        <w:t xml:space="preserve"> in </w:t>
      </w:r>
      <w:r w:rsidR="002A000A" w:rsidRPr="00A41CAD">
        <w:rPr>
          <w:rFonts w:cs="Times New Roman"/>
          <w:lang w:val="en"/>
        </w:rPr>
        <w:t>Spring Hill, TN, from 2018-2020</w:t>
      </w:r>
      <w:r w:rsidR="002A000A">
        <w:t xml:space="preserve">, </w:t>
      </w:r>
      <w:r w:rsidR="002A000A" w:rsidRPr="00A41CAD">
        <w:t xml:space="preserve">to assess </w:t>
      </w:r>
      <w:r w:rsidR="00C55724">
        <w:t>three</w:t>
      </w:r>
      <w:r w:rsidR="002A000A" w:rsidRPr="00A41CAD">
        <w:t xml:space="preserve"> </w:t>
      </w:r>
      <w:r w:rsidR="00200B39">
        <w:t>CSA</w:t>
      </w:r>
      <w:r w:rsidR="002A000A" w:rsidRPr="00A41CAD">
        <w:t xml:space="preserve"> seeding </w:t>
      </w:r>
      <w:r w:rsidR="00565C74">
        <w:t>options</w:t>
      </w:r>
      <w:r w:rsidR="002A000A" w:rsidRPr="00A41CAD">
        <w:t xml:space="preserve"> </w:t>
      </w:r>
      <w:r w:rsidR="00200B39">
        <w:t xml:space="preserve">(cereal rye </w:t>
      </w:r>
      <w:r w:rsidR="00200B39" w:rsidRPr="00A41CAD">
        <w:t>[</w:t>
      </w:r>
      <w:r w:rsidR="00200B39" w:rsidRPr="00A41CAD">
        <w:rPr>
          <w:i/>
          <w:iCs/>
        </w:rPr>
        <w:t>Secale cereal</w:t>
      </w:r>
      <w:r w:rsidR="00200B39" w:rsidRPr="00A41CAD">
        <w:t xml:space="preserve"> L.] monoculture</w:t>
      </w:r>
      <w:r w:rsidR="00C55724">
        <w:t>,</w:t>
      </w:r>
      <w:r w:rsidR="00200B39" w:rsidRPr="00A41CAD">
        <w:t xml:space="preserve"> a polyculture of </w:t>
      </w:r>
      <w:r w:rsidR="00200B39" w:rsidRPr="00A41CAD">
        <w:rPr>
          <w:rFonts w:cs="Times New Roman"/>
          <w:lang w:val="en"/>
        </w:rPr>
        <w:t>cereal rye, ‘Purple Top’ turnip [</w:t>
      </w:r>
      <w:r w:rsidR="00200B39" w:rsidRPr="00A41CAD">
        <w:rPr>
          <w:rFonts w:cs="Times New Roman"/>
          <w:i/>
          <w:lang w:val="en"/>
        </w:rPr>
        <w:t>Brassica septiceps</w:t>
      </w:r>
      <w:r w:rsidR="00200B39" w:rsidRPr="00A41CAD">
        <w:rPr>
          <w:rFonts w:cs="Times New Roman"/>
          <w:lang w:val="en"/>
        </w:rPr>
        <w:t xml:space="preserve"> (L.H. Bailey) L.H. Bailey], ‘Trophy’ rape [</w:t>
      </w:r>
      <w:r w:rsidR="00200B39" w:rsidRPr="00A41CAD">
        <w:rPr>
          <w:rFonts w:cs="Times New Roman"/>
          <w:i/>
          <w:lang w:val="en"/>
        </w:rPr>
        <w:t>Brassica napus</w:t>
      </w:r>
      <w:r w:rsidR="00200B39" w:rsidRPr="00A41CAD">
        <w:rPr>
          <w:rFonts w:cs="Times New Roman"/>
          <w:lang w:val="en"/>
        </w:rPr>
        <w:t xml:space="preserve"> L.], ‘Frosty’ berseem clover [</w:t>
      </w:r>
      <w:r w:rsidR="00200B39" w:rsidRPr="00A41CAD">
        <w:rPr>
          <w:rFonts w:cs="Times New Roman"/>
          <w:i/>
          <w:lang w:val="en"/>
        </w:rPr>
        <w:t>Trifolium alexandrinum</w:t>
      </w:r>
      <w:r w:rsidR="00200B39" w:rsidRPr="00A41CAD">
        <w:rPr>
          <w:rFonts w:cs="Times New Roman"/>
          <w:lang w:val="en"/>
        </w:rPr>
        <w:t xml:space="preserve"> L.], and ‘Dixie’ crimson clover</w:t>
      </w:r>
      <w:r w:rsidR="00200B39">
        <w:rPr>
          <w:rFonts w:cs="Times New Roman"/>
          <w:lang w:val="en"/>
        </w:rPr>
        <w:t xml:space="preserve"> </w:t>
      </w:r>
      <w:r w:rsidR="00200B39" w:rsidRPr="00A41CAD">
        <w:t>[</w:t>
      </w:r>
      <w:r w:rsidR="00200B39" w:rsidRPr="00A41CAD">
        <w:rPr>
          <w:i/>
          <w:iCs/>
        </w:rPr>
        <w:t>Trifolium incarnatum</w:t>
      </w:r>
      <w:r w:rsidR="00200B39" w:rsidRPr="00A41CAD">
        <w:t xml:space="preserve"> L.]</w:t>
      </w:r>
      <w:r w:rsidR="00C55724">
        <w:t>, or a fallow control</w:t>
      </w:r>
      <w:r w:rsidR="00200B39">
        <w:rPr>
          <w:rFonts w:cs="Times New Roman"/>
          <w:lang w:val="en"/>
        </w:rPr>
        <w:t>)</w:t>
      </w:r>
      <w:r w:rsidR="00200B39" w:rsidRPr="00A41CAD">
        <w:rPr>
          <w:rFonts w:cs="Times New Roman"/>
          <w:lang w:val="en"/>
        </w:rPr>
        <w:t xml:space="preserve"> </w:t>
      </w:r>
      <w:r w:rsidR="002A000A" w:rsidRPr="00A41CAD">
        <w:t xml:space="preserve">and </w:t>
      </w:r>
      <w:r w:rsidR="00200B39">
        <w:t xml:space="preserve">two </w:t>
      </w:r>
      <w:r w:rsidR="002A000A" w:rsidRPr="00A41CAD">
        <w:t>warm-season N</w:t>
      </w:r>
      <w:r w:rsidR="00200B39">
        <w:t xml:space="preserve"> rates (</w:t>
      </w:r>
      <w:r w:rsidR="00200B39" w:rsidRPr="00A41CAD">
        <w:rPr>
          <w:rFonts w:cs="Times New Roman"/>
          <w:lang w:val="en"/>
        </w:rPr>
        <w:t>0 or 67 kg N ha</w:t>
      </w:r>
      <w:r w:rsidR="00200B39" w:rsidRPr="00A41CAD">
        <w:rPr>
          <w:rFonts w:cs="Times New Roman"/>
          <w:vertAlign w:val="superscript"/>
          <w:lang w:val="en"/>
        </w:rPr>
        <w:t>-1</w:t>
      </w:r>
      <w:r w:rsidR="00200B39">
        <w:t>)</w:t>
      </w:r>
      <w:r w:rsidR="002A000A" w:rsidRPr="00A41CAD">
        <w:t xml:space="preserve"> on established </w:t>
      </w:r>
      <w:r w:rsidR="00200B39">
        <w:t xml:space="preserve">switchgrass [SG; </w:t>
      </w:r>
      <w:r w:rsidR="00200B39" w:rsidRPr="00E573D7">
        <w:rPr>
          <w:i/>
          <w:iCs/>
        </w:rPr>
        <w:t>Panicum virgatum</w:t>
      </w:r>
      <w:r w:rsidR="00200B39">
        <w:t xml:space="preserve"> L.] and big bluestem/indiangrass [BBIG; </w:t>
      </w:r>
      <w:r w:rsidR="00200B39" w:rsidRPr="0019407C">
        <w:rPr>
          <w:i/>
        </w:rPr>
        <w:t>Andropogon gerardii</w:t>
      </w:r>
      <w:r w:rsidR="00200B39" w:rsidRPr="007C08BE">
        <w:t xml:space="preserve"> Vitman</w:t>
      </w:r>
      <w:r w:rsidR="00200B39">
        <w:t xml:space="preserve"> and </w:t>
      </w:r>
      <w:r w:rsidR="00200B39" w:rsidRPr="00E573D7">
        <w:rPr>
          <w:i/>
          <w:iCs/>
        </w:rPr>
        <w:t>Sorghastrum nutans</w:t>
      </w:r>
      <w:r w:rsidR="00200B39" w:rsidRPr="00E573D7">
        <w:t xml:space="preserve"> (L.) Nash</w:t>
      </w:r>
      <w:r w:rsidR="00200B39">
        <w:t>]</w:t>
      </w:r>
      <w:r w:rsidR="00200B39" w:rsidRPr="00A41CAD">
        <w:rPr>
          <w:rFonts w:cs="Times New Roman"/>
          <w:lang w:val="en"/>
        </w:rPr>
        <w:t xml:space="preserve"> </w:t>
      </w:r>
      <w:r w:rsidR="002A000A" w:rsidRPr="00A41CAD">
        <w:t xml:space="preserve">pastures.  </w:t>
      </w:r>
      <w:r w:rsidR="00200B39" w:rsidRPr="00A41CAD">
        <w:rPr>
          <w:rFonts w:cs="Times New Roman"/>
          <w:lang w:val="en"/>
        </w:rPr>
        <w:t>Treatments were randomly assigned in a strip plot arrangement under an unbalanced incomplete block design to eight SG and six BBIG pastures</w:t>
      </w:r>
      <w:r w:rsidR="00200B39">
        <w:rPr>
          <w:rFonts w:cs="Times New Roman"/>
          <w:lang w:val="en"/>
        </w:rPr>
        <w:t xml:space="preserve">.  </w:t>
      </w:r>
      <w:r w:rsidR="00200B39" w:rsidRPr="00A41CAD">
        <w:t>S</w:t>
      </w:r>
      <w:r w:rsidR="00200B39">
        <w:t>witchgrass</w:t>
      </w:r>
      <w:r w:rsidR="00200B39" w:rsidRPr="00A41CAD">
        <w:t xml:space="preserve"> </w:t>
      </w:r>
      <w:r w:rsidR="00200B39">
        <w:t xml:space="preserve">and BBIG </w:t>
      </w:r>
      <w:r w:rsidR="00200B39" w:rsidRPr="00A41CAD">
        <w:t>plant density</w:t>
      </w:r>
      <w:r w:rsidR="00200B39">
        <w:t xml:space="preserve"> were not influenced by CSA seeding but </w:t>
      </w:r>
      <w:r w:rsidR="00565C74">
        <w:t xml:space="preserve">varied </w:t>
      </w:r>
      <w:r w:rsidR="00200B39">
        <w:t>by Year (</w:t>
      </w:r>
      <w:r w:rsidR="00200B39" w:rsidRPr="00972277">
        <w:rPr>
          <w:i/>
          <w:iCs/>
        </w:rPr>
        <w:t>P</w:t>
      </w:r>
      <w:r w:rsidR="00200B39">
        <w:t xml:space="preserve"> &lt; 0.001).  Plant density for BBIG was lower in 2020 than 2018 (23.6 vs. 29.1 plants m</w:t>
      </w:r>
      <w:r w:rsidR="00200B39" w:rsidRPr="00200B39">
        <w:rPr>
          <w:vertAlign w:val="superscript"/>
        </w:rPr>
        <w:t>-2</w:t>
      </w:r>
      <w:r w:rsidR="00200B39">
        <w:t>, respectively), whereas SG plant density was similar for 2018 and 2020 (15.0 and 14.0 plants m</w:t>
      </w:r>
      <w:r w:rsidR="00200B39" w:rsidRPr="00200B39">
        <w:rPr>
          <w:vertAlign w:val="superscript"/>
        </w:rPr>
        <w:t>-2</w:t>
      </w:r>
      <w:r w:rsidR="00200B39">
        <w:t xml:space="preserve">, respectively).  </w:t>
      </w:r>
      <w:r w:rsidR="00200B39" w:rsidRPr="00767803">
        <w:t xml:space="preserve">Hay yield for </w:t>
      </w:r>
      <w:r w:rsidR="00200B39">
        <w:t xml:space="preserve">both </w:t>
      </w:r>
      <w:r w:rsidR="00200B39" w:rsidRPr="00767803">
        <w:t xml:space="preserve">SG </w:t>
      </w:r>
      <w:r w:rsidR="00200B39">
        <w:t xml:space="preserve">and BBIG </w:t>
      </w:r>
      <w:r w:rsidR="00565C74">
        <w:t xml:space="preserve">varied among harvests </w:t>
      </w:r>
      <w:r w:rsidR="00D017A8">
        <w:t xml:space="preserve">(July 2019, July 2020, and September 2020; </w:t>
      </w:r>
      <w:r w:rsidR="00200B39" w:rsidRPr="00793406">
        <w:rPr>
          <w:i/>
          <w:iCs/>
        </w:rPr>
        <w:t>P</w:t>
      </w:r>
      <w:r w:rsidR="00200B39" w:rsidRPr="00767803">
        <w:t xml:space="preserve"> &lt; 0.001</w:t>
      </w:r>
      <w:r w:rsidR="00200B39">
        <w:t xml:space="preserve">) </w:t>
      </w:r>
      <w:r w:rsidR="00565C74">
        <w:t>but not by CSA seeding.  Because</w:t>
      </w:r>
      <w:r w:rsidR="00200B39">
        <w:t xml:space="preserve"> CSA did not affect plant density or hay yield over the course of these experiments, incorporating CSA may be a viable option for enhancing grazing </w:t>
      </w:r>
      <w:r w:rsidR="00565C74">
        <w:t xml:space="preserve">opportunities </w:t>
      </w:r>
      <w:r w:rsidR="00200B39">
        <w:t xml:space="preserve">and forage production during the dormant period of NWSG. </w:t>
      </w:r>
    </w:p>
    <w:p w14:paraId="1F035416" w14:textId="422A9F70" w:rsidR="005D37B4" w:rsidRPr="00A41CAD" w:rsidRDefault="00DD3196" w:rsidP="005D37B4">
      <w:pPr>
        <w:pStyle w:val="AgronomyJournalSectionTitles"/>
      </w:pPr>
      <w:bookmarkStart w:id="27" w:name="_Toc72026014"/>
      <w:bookmarkStart w:id="28" w:name="_Toc72305378"/>
      <w:bookmarkEnd w:id="25"/>
      <w:r w:rsidRPr="00A41CAD">
        <w:lastRenderedPageBreak/>
        <w:t>INTRODUCTION</w:t>
      </w:r>
      <w:bookmarkEnd w:id="27"/>
      <w:bookmarkEnd w:id="28"/>
    </w:p>
    <w:p w14:paraId="6D852C29" w14:textId="6A6B4C42" w:rsidR="00236AEE" w:rsidRDefault="00D3660E" w:rsidP="00D3660E">
      <w:pPr>
        <w:ind w:firstLine="720"/>
      </w:pPr>
      <w:r w:rsidRPr="00A41CAD">
        <w:t>Co</w:t>
      </w:r>
      <w:r w:rsidR="00F466EB">
        <w:t xml:space="preserve">ol-season annuals (CSA) </w:t>
      </w:r>
      <w:r w:rsidRPr="00A41CAD">
        <w:t xml:space="preserve">have been utilized in agricultural production for centuries. </w:t>
      </w:r>
      <w:r w:rsidR="00543D0E">
        <w:t xml:space="preserve"> </w:t>
      </w:r>
      <w:r w:rsidR="00236AEE">
        <w:t>However, l</w:t>
      </w:r>
      <w:r w:rsidR="00543D0E" w:rsidRPr="00A41CAD">
        <w:t xml:space="preserve">iterature evaluating </w:t>
      </w:r>
      <w:r w:rsidR="00A953E1">
        <w:t xml:space="preserve">grazing and </w:t>
      </w:r>
      <w:r w:rsidR="00543D0E" w:rsidRPr="00A41CAD">
        <w:t xml:space="preserve">forage production of </w:t>
      </w:r>
      <w:r w:rsidR="00543D0E">
        <w:t>CSA</w:t>
      </w:r>
      <w:r w:rsidR="00A953E1">
        <w:t xml:space="preserve"> grass</w:t>
      </w:r>
      <w:r w:rsidR="00F466EB">
        <w:t>es, forbs, legumes, and mixtures</w:t>
      </w:r>
      <w:r w:rsidR="00543D0E" w:rsidRPr="00A41CAD">
        <w:t xml:space="preserve"> planted </w:t>
      </w:r>
      <w:r w:rsidR="00A953E1">
        <w:t>in established</w:t>
      </w:r>
      <w:r w:rsidR="00543D0E" w:rsidRPr="00A41CAD">
        <w:t xml:space="preserve"> </w:t>
      </w:r>
      <w:r w:rsidR="00A953E1">
        <w:t>native warm-season grasses</w:t>
      </w:r>
      <w:r w:rsidR="00236AEE">
        <w:t xml:space="preserve"> (NWSG)</w:t>
      </w:r>
      <w:r w:rsidR="00543D0E" w:rsidRPr="00A41CAD">
        <w:t xml:space="preserve"> is lacking.</w:t>
      </w:r>
      <w:r w:rsidR="00543D0E">
        <w:t xml:space="preserve"> </w:t>
      </w:r>
      <w:r w:rsidRPr="00A41CAD">
        <w:t xml:space="preserve"> </w:t>
      </w:r>
      <w:r w:rsidR="00236AEE">
        <w:t>Past research utilizing this approach has been fairly limited to one NWSG, switchgrass [</w:t>
      </w:r>
      <w:r w:rsidR="00191E70">
        <w:t xml:space="preserve">SG; </w:t>
      </w:r>
      <w:r w:rsidR="00236AEE" w:rsidRPr="00236AEE">
        <w:rPr>
          <w:i/>
          <w:iCs/>
        </w:rPr>
        <w:t>Panicum virgatum</w:t>
      </w:r>
      <w:r w:rsidR="00236AEE">
        <w:t xml:space="preserve"> L.] (</w:t>
      </w:r>
      <w:r w:rsidR="00A7020D">
        <w:t>Bow,</w:t>
      </w:r>
      <w:r w:rsidR="00A7020D" w:rsidRPr="004F77F5">
        <w:t xml:space="preserve"> </w:t>
      </w:r>
      <w:r w:rsidR="00A7020D" w:rsidRPr="00A41CAD">
        <w:t xml:space="preserve">Muir, Weindorf, </w:t>
      </w:r>
      <w:r w:rsidR="00A7020D">
        <w:t xml:space="preserve">&amp; </w:t>
      </w:r>
      <w:r w:rsidR="00A7020D" w:rsidRPr="00A41CAD">
        <w:t>Butler</w:t>
      </w:r>
      <w:r w:rsidR="00A7020D">
        <w:t xml:space="preserve">, 2008; </w:t>
      </w:r>
      <w:r w:rsidR="004F77F5">
        <w:t xml:space="preserve">Ashworth et al., 2015; </w:t>
      </w:r>
      <w:r w:rsidR="00236AEE">
        <w:t>Keyser</w:t>
      </w:r>
      <w:r w:rsidR="009444A7">
        <w:t xml:space="preserve"> et al.,</w:t>
      </w:r>
      <w:r w:rsidR="004F77F5">
        <w:t xml:space="preserve"> 2016</w:t>
      </w:r>
      <w:r w:rsidR="00AF7D56">
        <w:t>a</w:t>
      </w:r>
      <w:r w:rsidR="004F77F5">
        <w:t xml:space="preserve">; Watcharaanantapong, Keyser, McIntosh, </w:t>
      </w:r>
      <w:r w:rsidR="00A7020D">
        <w:t>&amp;</w:t>
      </w:r>
      <w:r w:rsidR="004F77F5">
        <w:t xml:space="preserve"> Griffith, 2020)</w:t>
      </w:r>
      <w:r w:rsidR="00236AEE">
        <w:t xml:space="preserve"> while predominantly focusing on a non-native, sod-forming, perennial warm-season grass, bermudagrass [</w:t>
      </w:r>
      <w:r w:rsidR="00236AEE" w:rsidRPr="00236AEE">
        <w:rPr>
          <w:i/>
          <w:iCs/>
        </w:rPr>
        <w:t>Cynodon dactylon</w:t>
      </w:r>
      <w:r w:rsidR="00236AEE">
        <w:t xml:space="preserve"> L. Pers.]</w:t>
      </w:r>
      <w:r w:rsidR="004F77F5">
        <w:t xml:space="preserve"> (</w:t>
      </w:r>
      <w:r w:rsidR="00A7020D">
        <w:t>Hoveland, Anthony, McGuire, &amp; Starling, 1978</w:t>
      </w:r>
      <w:r w:rsidR="003F1736">
        <w:t>, 1997</w:t>
      </w:r>
      <w:r w:rsidR="00A7020D">
        <w:t xml:space="preserve">; </w:t>
      </w:r>
      <w:r w:rsidR="004F77F5">
        <w:t>Beck et al., 2007)</w:t>
      </w:r>
      <w:r w:rsidR="00236AEE">
        <w:t xml:space="preserve">.  </w:t>
      </w:r>
    </w:p>
    <w:p w14:paraId="5A8876E7" w14:textId="400760E9" w:rsidR="00D3660E" w:rsidRPr="00A41CAD" w:rsidRDefault="00D3660E" w:rsidP="00D3660E">
      <w:pPr>
        <w:ind w:firstLine="720"/>
      </w:pPr>
      <w:r w:rsidRPr="00A41CAD">
        <w:t xml:space="preserve">Including </w:t>
      </w:r>
      <w:r w:rsidR="00543D0E">
        <w:t xml:space="preserve">CSA </w:t>
      </w:r>
      <w:r w:rsidRPr="00A41CAD">
        <w:t>grasses (e.</w:t>
      </w:r>
      <w:r w:rsidR="00AA0C3D">
        <w:t>g.</w:t>
      </w:r>
      <w:r w:rsidRPr="00A41CAD">
        <w:t>, cereal rye [</w:t>
      </w:r>
      <w:r w:rsidRPr="00A41CAD">
        <w:rPr>
          <w:i/>
          <w:iCs/>
        </w:rPr>
        <w:t>Secale cereal</w:t>
      </w:r>
      <w:r w:rsidRPr="00A41CAD">
        <w:t xml:space="preserve"> L.] and wheat [</w:t>
      </w:r>
      <w:r w:rsidRPr="00A41CAD">
        <w:rPr>
          <w:i/>
          <w:iCs/>
        </w:rPr>
        <w:t>Triticum aestivum</w:t>
      </w:r>
      <w:r w:rsidRPr="00A41CAD">
        <w:t xml:space="preserve"> L.]) or legumes (e.</w:t>
      </w:r>
      <w:r w:rsidR="00AA0C3D">
        <w:t>g.</w:t>
      </w:r>
      <w:r w:rsidRPr="00A41CAD">
        <w:t>, crimson clover [</w:t>
      </w:r>
      <w:r w:rsidRPr="00A41CAD">
        <w:rPr>
          <w:i/>
          <w:iCs/>
        </w:rPr>
        <w:t>Trifolium incarnatum</w:t>
      </w:r>
      <w:r w:rsidRPr="00A41CAD">
        <w:t xml:space="preserve"> L.] and arrowleaf clover [</w:t>
      </w:r>
      <w:r w:rsidRPr="00A41CAD">
        <w:rPr>
          <w:i/>
          <w:iCs/>
        </w:rPr>
        <w:t>Trifolium vesiculosum</w:t>
      </w:r>
      <w:r w:rsidRPr="00A41CAD">
        <w:t xml:space="preserve"> Savi]) into warm-season pasture can increase the number of grazing days per season (Hoveland et al., 1977) and lower production costs by reducing the need for supplemental feedstuffs.  Hoveland et al., (1978) noted that sowing annual ryegrass [</w:t>
      </w:r>
      <w:r w:rsidRPr="00A41CAD">
        <w:rPr>
          <w:i/>
          <w:iCs/>
        </w:rPr>
        <w:t>Lolium perenne</w:t>
      </w:r>
      <w:r w:rsidRPr="00A41CAD">
        <w:t xml:space="preserve"> L. subsp. </w:t>
      </w:r>
      <w:r w:rsidRPr="00A41CAD">
        <w:rPr>
          <w:i/>
          <w:iCs/>
        </w:rPr>
        <w:t>multiflorum (</w:t>
      </w:r>
      <w:r w:rsidRPr="00A41CAD">
        <w:t>Lam.) Husnot] into bermudagrass sod in Alabama extended the number of grazing days ha</w:t>
      </w:r>
      <w:r w:rsidRPr="00A41CAD">
        <w:rPr>
          <w:vertAlign w:val="superscript"/>
        </w:rPr>
        <w:t>-1</w:t>
      </w:r>
      <w:r w:rsidRPr="00A41CAD">
        <w:t xml:space="preserve"> by 62 (</w:t>
      </w:r>
      <w:r w:rsidR="00C02A9F">
        <w:t xml:space="preserve">from </w:t>
      </w:r>
      <w:r w:rsidRPr="00A41CAD">
        <w:t xml:space="preserve">178 </w:t>
      </w:r>
      <w:r w:rsidR="00C02A9F">
        <w:t xml:space="preserve">without the annual </w:t>
      </w:r>
      <w:r w:rsidRPr="00A41CAD">
        <w:t>to 240 days</w:t>
      </w:r>
      <w:r w:rsidR="00C02A9F">
        <w:t xml:space="preserve"> with interseeded annuals</w:t>
      </w:r>
      <w:r w:rsidRPr="00A41CAD">
        <w:t xml:space="preserve">) thus allowing for grazing more than 65% of the calendar year.  </w:t>
      </w:r>
      <w:r w:rsidR="00B86BCA">
        <w:t xml:space="preserve">Beck </w:t>
      </w:r>
      <w:r w:rsidR="00541689">
        <w:t>et al.</w:t>
      </w:r>
      <w:r w:rsidR="00B86BCA">
        <w:t xml:space="preserve"> (2007), working in Arkansas, also found increased average daily gain (ADG), animal grazing days ha</w:t>
      </w:r>
      <w:r w:rsidR="00B86BCA" w:rsidRPr="00B86BCA">
        <w:rPr>
          <w:vertAlign w:val="superscript"/>
        </w:rPr>
        <w:t>-1</w:t>
      </w:r>
      <w:r w:rsidR="00B86BCA">
        <w:t>, and body weight gain ha</w:t>
      </w:r>
      <w:r w:rsidR="00B86BCA" w:rsidRPr="00B86BCA">
        <w:rPr>
          <w:vertAlign w:val="superscript"/>
        </w:rPr>
        <w:t>-1</w:t>
      </w:r>
      <w:r w:rsidR="00B86BCA">
        <w:t xml:space="preserve"> </w:t>
      </w:r>
      <w:r w:rsidR="00543D0E">
        <w:t xml:space="preserve">of growing calves </w:t>
      </w:r>
      <w:r w:rsidR="00F43AD6">
        <w:t xml:space="preserve">when interseeding annual ryegrass and small grains into bermudagrass </w:t>
      </w:r>
      <w:r w:rsidR="00B86BCA">
        <w:t xml:space="preserve">as opposed to small grains alone.  </w:t>
      </w:r>
      <w:r w:rsidR="000C70D5">
        <w:t xml:space="preserve">In Tennessee, Fribourg and Overton (1973) noted that </w:t>
      </w:r>
      <w:r w:rsidR="000C70D5">
        <w:lastRenderedPageBreak/>
        <w:t>bermudagrass pastures overseeded with cereal rye, oats [</w:t>
      </w:r>
      <w:r w:rsidR="000C70D5" w:rsidRPr="000C70D5">
        <w:rPr>
          <w:i/>
          <w:iCs/>
        </w:rPr>
        <w:t>Avena sativa</w:t>
      </w:r>
      <w:r w:rsidR="000C70D5">
        <w:t xml:space="preserve"> L.], wheat, and ryegrass could have allowed for grazing from mid-February through September.  </w:t>
      </w:r>
    </w:p>
    <w:p w14:paraId="67546E20" w14:textId="300575DE" w:rsidR="00D3660E" w:rsidRPr="00A41CAD" w:rsidRDefault="00D3660E" w:rsidP="00D3660E">
      <w:pPr>
        <w:ind w:firstLine="720"/>
      </w:pPr>
      <w:r w:rsidRPr="00A41CAD">
        <w:t xml:space="preserve">With warm-season pastures, intercropping cool-season legumes </w:t>
      </w:r>
      <w:r w:rsidR="00AC476A" w:rsidRPr="00A41CAD">
        <w:t>has</w:t>
      </w:r>
      <w:r w:rsidRPr="00A41CAD">
        <w:t xml:space="preserve"> multiple benefits.  By planting cool-season legumes </w:t>
      </w:r>
      <w:r w:rsidR="00DC16FF">
        <w:t xml:space="preserve">in </w:t>
      </w:r>
      <w:r w:rsidRPr="00A41CAD">
        <w:t xml:space="preserve">early fall, winter and spring growth can stabilize and protect the soil (Keeling et al., 1996) </w:t>
      </w:r>
      <w:r w:rsidR="00BF74C2">
        <w:t>while WSG are</w:t>
      </w:r>
      <w:r w:rsidRPr="00A41CAD">
        <w:t xml:space="preserve"> dormant.  </w:t>
      </w:r>
      <w:r w:rsidR="00A13957">
        <w:t xml:space="preserve">As is the case with CSA grasses, </w:t>
      </w:r>
      <w:r w:rsidR="00A13957" w:rsidRPr="00A41CAD">
        <w:t xml:space="preserve">incorporating cool-season legumes into WSG </w:t>
      </w:r>
      <w:r w:rsidRPr="00A41CAD">
        <w:t xml:space="preserve">can </w:t>
      </w:r>
      <w:r w:rsidR="00BF74C2">
        <w:t>extend</w:t>
      </w:r>
      <w:r w:rsidRPr="00A41CAD">
        <w:t xml:space="preserve"> </w:t>
      </w:r>
      <w:r w:rsidR="00A13957">
        <w:t>the overall grazing season</w:t>
      </w:r>
      <w:r w:rsidRPr="00A41CAD">
        <w:t xml:space="preserve"> (Springer, 1997)</w:t>
      </w:r>
      <w:r w:rsidR="00A13957">
        <w:t xml:space="preserve"> and increase herbage production (George et al., 1995)</w:t>
      </w:r>
      <w:r w:rsidRPr="00A41CAD">
        <w:t>.  Adding legumes to a forage production system increases CP, forage intake, and overall animal performance (</w:t>
      </w:r>
      <w:r w:rsidR="00A7020D" w:rsidRPr="00A41CAD">
        <w:t>Blaser et al., 1956</w:t>
      </w:r>
      <w:r w:rsidR="00A7020D">
        <w:t xml:space="preserve">; </w:t>
      </w:r>
      <w:r w:rsidR="00A7020D" w:rsidRPr="00A41CAD">
        <w:t xml:space="preserve">Vallis, 1976; Van Soest, 1976; </w:t>
      </w:r>
      <w:r w:rsidRPr="00A41CAD">
        <w:t>Marten, 1985).  Ashworth et al. (2015), working in Tennessee, reported that red clover [</w:t>
      </w:r>
      <w:r w:rsidRPr="00A41CAD">
        <w:rPr>
          <w:i/>
          <w:iCs/>
        </w:rPr>
        <w:t>Trifolium pratense</w:t>
      </w:r>
      <w:r w:rsidRPr="00A41CAD">
        <w:t xml:space="preserve"> L.] and ladino clover [</w:t>
      </w:r>
      <w:r w:rsidRPr="00A41CAD">
        <w:rPr>
          <w:i/>
          <w:iCs/>
        </w:rPr>
        <w:t>Trifolium repens</w:t>
      </w:r>
      <w:r w:rsidRPr="00A41CAD">
        <w:t xml:space="preserve"> L.] as well as a </w:t>
      </w:r>
      <w:r w:rsidR="00DC16FF">
        <w:t xml:space="preserve">native </w:t>
      </w:r>
      <w:r w:rsidRPr="00A41CAD">
        <w:t>warm-season legume, partridge pea [</w:t>
      </w:r>
      <w:r w:rsidRPr="00A41CAD">
        <w:rPr>
          <w:i/>
          <w:iCs/>
        </w:rPr>
        <w:t>Chamaecrista fasciculata</w:t>
      </w:r>
      <w:r w:rsidRPr="00A41CAD">
        <w:t xml:space="preserve"> (Michx.) Greene], can be established in </w:t>
      </w:r>
      <w:r w:rsidR="00531BE2">
        <w:t>SG</w:t>
      </w:r>
      <w:r w:rsidRPr="00A41CAD">
        <w:t xml:space="preserve"> swards without being reseeded for ≥3 years.  Bow et al. (2008) reported that </w:t>
      </w:r>
      <w:r w:rsidR="00531BE2">
        <w:t>SG</w:t>
      </w:r>
      <w:r w:rsidRPr="00A41CAD">
        <w:t xml:space="preserve">-arrowleaf clover and </w:t>
      </w:r>
      <w:r w:rsidR="00531BE2">
        <w:t>SG</w:t>
      </w:r>
      <w:r w:rsidRPr="00A41CAD">
        <w:t>-common vetch [</w:t>
      </w:r>
      <w:r w:rsidRPr="00A41CAD">
        <w:rPr>
          <w:i/>
          <w:iCs/>
        </w:rPr>
        <w:t>Vicia sativa</w:t>
      </w:r>
      <w:r w:rsidRPr="00A41CAD">
        <w:t xml:space="preserve"> L.] plots grown without compost in central Texas produced an average of 60% greater herbage than </w:t>
      </w:r>
      <w:r w:rsidR="00531BE2">
        <w:t xml:space="preserve">SG </w:t>
      </w:r>
      <w:r w:rsidRPr="00A41CAD">
        <w:t xml:space="preserve">monocultures in the second year of the study. </w:t>
      </w:r>
    </w:p>
    <w:p w14:paraId="056DF2D3" w14:textId="52B710AE" w:rsidR="00DB22AC" w:rsidRDefault="00D3660E" w:rsidP="00D3660E">
      <w:pPr>
        <w:ind w:firstLine="720"/>
      </w:pPr>
      <w:r w:rsidRPr="00A41CAD">
        <w:t xml:space="preserve">Not all well-adapted legume species are suitable </w:t>
      </w:r>
      <w:r w:rsidR="005E73FA">
        <w:t>for</w:t>
      </w:r>
      <w:r w:rsidRPr="00A41CAD">
        <w:t xml:space="preserve"> use in binary mixtures or polycultures with grasses; high yielding legume species, for instance, can compete directly with grasses and thus reduce yield (Blanchet et al., 1995).  Differences in growth habits, such as plant stature (erect versus prostrate</w:t>
      </w:r>
      <w:r w:rsidR="00BF74C2">
        <w:t xml:space="preserve">; </w:t>
      </w:r>
      <w:r w:rsidRPr="00A41CAD">
        <w:t xml:space="preserve">Ashworth et al., 2015) and days to maturity, influence the compatibility of binary mixtures.  One species, either the grass or the legume, tends to outcompete the other for water, sunlight, and essential nutrients causing a shift in the composition of the mixture (George et al., 1995). </w:t>
      </w:r>
      <w:r w:rsidR="003E14DA" w:rsidRPr="00A41CAD">
        <w:t xml:space="preserve"> </w:t>
      </w:r>
      <w:r w:rsidR="00DB22AC" w:rsidRPr="00A41CAD">
        <w:t xml:space="preserve">Jung et al. (1985) </w:t>
      </w:r>
      <w:r w:rsidR="00DB22AC" w:rsidRPr="00A41CAD">
        <w:lastRenderedPageBreak/>
        <w:t xml:space="preserve">failed to establish legumes when broadcasting seed in thick stands (&gt;75%) of </w:t>
      </w:r>
      <w:r w:rsidR="00531BE2">
        <w:t>SG</w:t>
      </w:r>
      <w:r w:rsidR="00DB22AC" w:rsidRPr="00A41CAD">
        <w:t xml:space="preserve"> and </w:t>
      </w:r>
      <w:r w:rsidR="00531BE2">
        <w:t>BB</w:t>
      </w:r>
      <w:r w:rsidR="00DB22AC" w:rsidRPr="00A41CAD">
        <w:t xml:space="preserve"> in March in Pennsylvania.</w:t>
      </w:r>
      <w:r w:rsidR="00DB22AC">
        <w:t xml:space="preserve">  </w:t>
      </w:r>
    </w:p>
    <w:p w14:paraId="1C823C7C" w14:textId="33B18D84" w:rsidR="00D3660E" w:rsidRPr="00A41CAD" w:rsidRDefault="005E73FA" w:rsidP="00D3660E">
      <w:pPr>
        <w:ind w:firstLine="720"/>
      </w:pPr>
      <w:r>
        <w:t>On the contrary, w</w:t>
      </w:r>
      <w:r w:rsidR="00D3660E" w:rsidRPr="00A41CAD">
        <w:t>hen intercropping legumes, legume growth habits can</w:t>
      </w:r>
      <w:r>
        <w:t xml:space="preserve"> potentially</w:t>
      </w:r>
      <w:r w:rsidR="00D3660E" w:rsidRPr="00A41CAD">
        <w:t xml:space="preserve"> adversely affect the growth of </w:t>
      </w:r>
      <w:r w:rsidR="00531BE2">
        <w:t>SG</w:t>
      </w:r>
      <w:r w:rsidR="00D3660E" w:rsidRPr="00A41CAD">
        <w:t xml:space="preserve"> (</w:t>
      </w:r>
      <w:r w:rsidR="00A7020D" w:rsidRPr="00A41CAD">
        <w:t>Marten, 1989</w:t>
      </w:r>
      <w:r w:rsidR="00A7020D">
        <w:t xml:space="preserve">; </w:t>
      </w:r>
      <w:r w:rsidR="00D3660E" w:rsidRPr="00A41CAD">
        <w:t xml:space="preserve">George et al., 1995; </w:t>
      </w:r>
      <w:r w:rsidR="00BF74C2">
        <w:t>Keyser et al., 2016</w:t>
      </w:r>
      <w:r w:rsidR="00AF7D56">
        <w:t>b</w:t>
      </w:r>
      <w:r w:rsidR="00D3660E" w:rsidRPr="00A41CAD">
        <w:t xml:space="preserve">).  Cool-season legume growth that extends into the early portion of </w:t>
      </w:r>
      <w:r w:rsidR="00531BE2">
        <w:t>SG</w:t>
      </w:r>
      <w:r w:rsidR="00D3660E" w:rsidRPr="00A41CAD">
        <w:t xml:space="preserve"> growth could cause yield and stand reductions.  Taylor and Jones (1983) found that following the second year of their study in Kentucky, red clover intercropped with </w:t>
      </w:r>
      <w:r w:rsidR="00531BE2">
        <w:t>SG</w:t>
      </w:r>
      <w:r w:rsidR="00D3660E" w:rsidRPr="00A41CAD">
        <w:t xml:space="preserve"> began to dominate the polyculture.  </w:t>
      </w:r>
      <w:r w:rsidR="00DB22AC">
        <w:t>However, N fertilization may help offset these negative effects</w:t>
      </w:r>
      <w:r w:rsidR="00D56FE4">
        <w:t xml:space="preserve"> </w:t>
      </w:r>
      <w:r w:rsidR="00D56FE4" w:rsidRPr="008B00A0">
        <w:t>by increasing grass growth</w:t>
      </w:r>
      <w:r w:rsidR="00DB22AC" w:rsidRPr="008B00A0">
        <w:t>.</w:t>
      </w:r>
      <w:r w:rsidR="00D3390F" w:rsidRPr="008B00A0">
        <w:t xml:space="preserve">  Researchers </w:t>
      </w:r>
      <w:r w:rsidR="004A5FB6" w:rsidRPr="008B00A0">
        <w:t>f</w:t>
      </w:r>
      <w:r w:rsidR="00075623" w:rsidRPr="008B00A0">
        <w:t>er</w:t>
      </w:r>
      <w:r w:rsidR="00D3390F" w:rsidRPr="008B00A0">
        <w:t>tiliz</w:t>
      </w:r>
      <w:r w:rsidR="004A5FB6" w:rsidRPr="008B00A0">
        <w:t>ed SG</w:t>
      </w:r>
      <w:r w:rsidR="00075623" w:rsidRPr="008B00A0">
        <w:t xml:space="preserve"> </w:t>
      </w:r>
      <w:r w:rsidR="00D3390F" w:rsidRPr="008B00A0">
        <w:t>with 151 (Obour, Harmoney, &amp; Holman, 2017) and 168 kg N ha</w:t>
      </w:r>
      <w:r w:rsidR="00D3390F" w:rsidRPr="008B00A0">
        <w:rPr>
          <w:vertAlign w:val="superscript"/>
        </w:rPr>
        <w:t>-1</w:t>
      </w:r>
      <w:r w:rsidR="00D3390F" w:rsidRPr="008B00A0">
        <w:t xml:space="preserve"> (Muir</w:t>
      </w:r>
      <w:r w:rsidR="00075623" w:rsidRPr="008B00A0">
        <w:t xml:space="preserve">, Sanderson, Ocumpaugh, Jones, &amp; Reed, 2001) </w:t>
      </w:r>
      <w:r w:rsidR="00D3390F" w:rsidRPr="008B00A0">
        <w:t>in Texas</w:t>
      </w:r>
      <w:r w:rsidR="00075623" w:rsidRPr="008B00A0">
        <w:t xml:space="preserve"> and 120 kg N ha</w:t>
      </w:r>
      <w:r w:rsidR="00075623" w:rsidRPr="008B00A0">
        <w:rPr>
          <w:vertAlign w:val="superscript"/>
        </w:rPr>
        <w:t>-1</w:t>
      </w:r>
      <w:r w:rsidR="00075623" w:rsidRPr="008B00A0">
        <w:t xml:space="preserve"> in Iowa and Nebraska (Vogel, Brejda, Walters, &amp; Buxton, 2002) </w:t>
      </w:r>
      <w:r w:rsidR="00D3390F" w:rsidRPr="008B00A0">
        <w:t>in order to maximize</w:t>
      </w:r>
      <w:r w:rsidR="00DB22AC" w:rsidRPr="008B00A0">
        <w:t xml:space="preserve"> </w:t>
      </w:r>
      <w:r w:rsidR="00075623" w:rsidRPr="008B00A0">
        <w:t>yield.  However, fertilizing SG with 65 (Haque, Epplin, &amp; Taliaferro, 2009) and 69 kg N ha</w:t>
      </w:r>
      <w:r w:rsidR="00075623" w:rsidRPr="008B00A0">
        <w:rPr>
          <w:vertAlign w:val="superscript"/>
        </w:rPr>
        <w:t>-1</w:t>
      </w:r>
      <w:r w:rsidR="00075623" w:rsidRPr="008B00A0">
        <w:t xml:space="preserve"> (Aravindhakshan, Epplin, &amp; Taliaferro, 2011) maximized both yield and profit in Oklahoma.  Current</w:t>
      </w:r>
      <w:r w:rsidR="004A5FB6" w:rsidRPr="008B00A0">
        <w:t>ly</w:t>
      </w:r>
      <w:r w:rsidR="00075623" w:rsidRPr="008B00A0">
        <w:t xml:space="preserve">, </w:t>
      </w:r>
      <w:r w:rsidR="0054275A" w:rsidRPr="008B00A0">
        <w:t>67 kg N ha</w:t>
      </w:r>
      <w:r w:rsidR="0054275A" w:rsidRPr="008B00A0">
        <w:rPr>
          <w:vertAlign w:val="superscript"/>
        </w:rPr>
        <w:t>-1</w:t>
      </w:r>
      <w:r w:rsidR="0054275A" w:rsidRPr="008B00A0">
        <w:t xml:space="preserve"> is </w:t>
      </w:r>
      <w:r w:rsidR="00541689">
        <w:t xml:space="preserve">the </w:t>
      </w:r>
      <w:r w:rsidR="0054275A" w:rsidRPr="008B00A0">
        <w:t xml:space="preserve">recommended </w:t>
      </w:r>
      <w:r w:rsidR="00541689">
        <w:t xml:space="preserve">rate </w:t>
      </w:r>
      <w:r w:rsidR="0054275A" w:rsidRPr="008B00A0">
        <w:t>f</w:t>
      </w:r>
      <w:r w:rsidR="004A5FB6" w:rsidRPr="008B00A0">
        <w:t xml:space="preserve">or SG forage production (Keyser et al., </w:t>
      </w:r>
      <w:r w:rsidR="004A5FB6" w:rsidRPr="008B00A0">
        <w:rPr>
          <w:rFonts w:cs="Times New Roman"/>
          <w:lang w:val="en"/>
        </w:rPr>
        <w:t>2011</w:t>
      </w:r>
      <w:r w:rsidR="003959F1">
        <w:rPr>
          <w:rFonts w:cs="Times New Roman"/>
          <w:lang w:val="en"/>
        </w:rPr>
        <w:t>a</w:t>
      </w:r>
      <w:r w:rsidR="004A5FB6" w:rsidRPr="008B00A0">
        <w:t>; Popp et al., 2018).</w:t>
      </w:r>
    </w:p>
    <w:p w14:paraId="7912FDC4" w14:textId="68D8D501" w:rsidR="001E0941" w:rsidRPr="00A41CAD" w:rsidRDefault="00A953E1" w:rsidP="006F5A97">
      <w:pPr>
        <w:pStyle w:val="Paragraphs"/>
        <w:spacing w:after="100" w:afterAutospacing="1"/>
      </w:pPr>
      <w:r>
        <w:t>Interseed</w:t>
      </w:r>
      <w:r w:rsidR="00DC16FF">
        <w:t>ed</w:t>
      </w:r>
      <w:r>
        <w:t xml:space="preserve"> CSA</w:t>
      </w:r>
      <w:r w:rsidR="00543D0E">
        <w:t xml:space="preserve"> have the potential to enhance NWSG pastures.  Furthermore, because </w:t>
      </w:r>
      <w:r w:rsidR="00DC16FF">
        <w:t>CSA</w:t>
      </w:r>
      <w:r w:rsidR="00543D0E" w:rsidRPr="00A41CAD">
        <w:t xml:space="preserve"> small grains exhibit allelopathic properties (Liu </w:t>
      </w:r>
      <w:r w:rsidR="00A7020D">
        <w:t>&amp;</w:t>
      </w:r>
      <w:r w:rsidR="00543D0E" w:rsidRPr="00A41CAD">
        <w:t xml:space="preserve"> Lovett, 1993; Kato-Noguchi et al., 1994; Fomsgaard, 2006), </w:t>
      </w:r>
      <w:r w:rsidR="00543D0E">
        <w:t xml:space="preserve">interseeding them </w:t>
      </w:r>
      <w:r w:rsidR="00543D0E" w:rsidRPr="00A41CAD">
        <w:t>into established NWSG could organically aid in weed control as opposed to using herbicides for the same result (Keyser et al., 2016</w:t>
      </w:r>
      <w:r w:rsidR="00AF7D56">
        <w:t>b</w:t>
      </w:r>
      <w:r w:rsidR="00543D0E" w:rsidRPr="00A41CAD">
        <w:t xml:space="preserve">).  </w:t>
      </w:r>
      <w:r w:rsidR="001E0941" w:rsidRPr="00A41CAD">
        <w:t xml:space="preserve">Therefore, we </w:t>
      </w:r>
      <w:r w:rsidR="005F5B48">
        <w:t>conducted</w:t>
      </w:r>
      <w:r w:rsidR="005F5B48" w:rsidRPr="00A41CAD">
        <w:t xml:space="preserve"> </w:t>
      </w:r>
      <w:r w:rsidR="001E0941" w:rsidRPr="00A41CAD">
        <w:t xml:space="preserve">two NWSG </w:t>
      </w:r>
      <w:r w:rsidR="001D644F">
        <w:t>field experiments</w:t>
      </w:r>
      <w:r w:rsidR="001E0941" w:rsidRPr="00A41CAD">
        <w:t xml:space="preserve"> </w:t>
      </w:r>
      <w:bookmarkStart w:id="29" w:name="_Hlk72099881"/>
      <w:r w:rsidR="001E0941" w:rsidRPr="00A41CAD">
        <w:t>to assess the impact of t</w:t>
      </w:r>
      <w:r w:rsidR="00C55724">
        <w:t>hree</w:t>
      </w:r>
      <w:r w:rsidR="001E0941" w:rsidRPr="00A41CAD">
        <w:t xml:space="preserve"> cool-season annual </w:t>
      </w:r>
      <w:r w:rsidR="00D661D4" w:rsidRPr="00A41CAD">
        <w:t>seeding</w:t>
      </w:r>
      <w:r w:rsidR="001E0941" w:rsidRPr="00A41CAD">
        <w:t xml:space="preserve"> strategies </w:t>
      </w:r>
      <w:r w:rsidR="00D661D4" w:rsidRPr="00A41CAD">
        <w:t xml:space="preserve">and </w:t>
      </w:r>
      <w:r w:rsidR="00AD398F">
        <w:t xml:space="preserve">two </w:t>
      </w:r>
      <w:r w:rsidR="00D661D4" w:rsidRPr="00A41CAD">
        <w:t xml:space="preserve">warm-season N </w:t>
      </w:r>
      <w:r w:rsidR="00AD398F">
        <w:t>fertilization rates</w:t>
      </w:r>
      <w:r w:rsidR="00B63E3B" w:rsidRPr="00B63E3B">
        <w:t xml:space="preserve"> </w:t>
      </w:r>
      <w:r w:rsidR="00B63E3B">
        <w:t>over three years</w:t>
      </w:r>
      <w:r w:rsidR="00B63E3B" w:rsidRPr="00A41CAD">
        <w:t xml:space="preserve"> </w:t>
      </w:r>
      <w:r w:rsidR="001E0941" w:rsidRPr="00A41CAD">
        <w:t xml:space="preserve">on established </w:t>
      </w:r>
      <w:r w:rsidR="00531BE2">
        <w:t>SG</w:t>
      </w:r>
      <w:r w:rsidR="001E0941" w:rsidRPr="00A41CAD">
        <w:t xml:space="preserve"> </w:t>
      </w:r>
      <w:r w:rsidR="00AD398F">
        <w:t xml:space="preserve">(experiment 1) </w:t>
      </w:r>
      <w:r w:rsidR="001E0941" w:rsidRPr="00A41CAD">
        <w:t xml:space="preserve">and big bluestem/indiangrass </w:t>
      </w:r>
      <w:r w:rsidR="00AD398F">
        <w:t>(</w:t>
      </w:r>
      <w:r w:rsidR="00531BE2">
        <w:t xml:space="preserve">BBIG; </w:t>
      </w:r>
      <w:r w:rsidR="00AD398F">
        <w:t xml:space="preserve">experiment 2) </w:t>
      </w:r>
      <w:r w:rsidR="001E0941" w:rsidRPr="00A41CAD">
        <w:t>pastures.  Specifically, we evaluated</w:t>
      </w:r>
      <w:r w:rsidR="00D661D4" w:rsidRPr="00A41CAD">
        <w:t xml:space="preserve"> </w:t>
      </w:r>
      <w:r w:rsidR="001E0941" w:rsidRPr="00A41CAD">
        <w:t xml:space="preserve">NWSG </w:t>
      </w:r>
      <w:r w:rsidR="00D661D4" w:rsidRPr="00A41CAD">
        <w:lastRenderedPageBreak/>
        <w:t>plant</w:t>
      </w:r>
      <w:r w:rsidR="001E0941" w:rsidRPr="00A41CAD">
        <w:t xml:space="preserve"> density, </w:t>
      </w:r>
      <w:r w:rsidR="00D661D4" w:rsidRPr="00A41CAD">
        <w:t>SG tiller density, and NWSG hay yield as affected by interseeding a cool-season annual monoculture of cereal rye</w:t>
      </w:r>
      <w:r w:rsidR="00AD398F">
        <w:t xml:space="preserve">, </w:t>
      </w:r>
      <w:r w:rsidR="00D661D4" w:rsidRPr="00A41CAD">
        <w:t xml:space="preserve">a polyculture of </w:t>
      </w:r>
      <w:r w:rsidR="00D661D4" w:rsidRPr="00A41CAD">
        <w:rPr>
          <w:rFonts w:cs="Times New Roman"/>
          <w:lang w:val="en"/>
        </w:rPr>
        <w:t>cereal rye, ‘Purple Top’ turnip [</w:t>
      </w:r>
      <w:r w:rsidR="00D661D4" w:rsidRPr="00A41CAD">
        <w:rPr>
          <w:rFonts w:cs="Times New Roman"/>
          <w:i/>
          <w:lang w:val="en"/>
        </w:rPr>
        <w:t>Brassica septiceps</w:t>
      </w:r>
      <w:r w:rsidR="00D661D4" w:rsidRPr="00A41CAD">
        <w:rPr>
          <w:rFonts w:cs="Times New Roman"/>
          <w:lang w:val="en"/>
        </w:rPr>
        <w:t xml:space="preserve"> (L.H. Bailey) L.H. Bailey], ‘Trophy’ rape [</w:t>
      </w:r>
      <w:r w:rsidR="00D661D4" w:rsidRPr="00A41CAD">
        <w:rPr>
          <w:rFonts w:cs="Times New Roman"/>
          <w:i/>
          <w:lang w:val="en"/>
        </w:rPr>
        <w:t>Brassica napus</w:t>
      </w:r>
      <w:r w:rsidR="00D661D4" w:rsidRPr="00A41CAD">
        <w:rPr>
          <w:rFonts w:cs="Times New Roman"/>
          <w:lang w:val="en"/>
        </w:rPr>
        <w:t xml:space="preserve"> L.], ‘Frosty’ berseem clover [</w:t>
      </w:r>
      <w:r w:rsidR="00D661D4" w:rsidRPr="00A41CAD">
        <w:rPr>
          <w:rFonts w:cs="Times New Roman"/>
          <w:i/>
          <w:lang w:val="en"/>
        </w:rPr>
        <w:t>Trifolium alexandrinum</w:t>
      </w:r>
      <w:r w:rsidR="00D661D4" w:rsidRPr="00A41CAD">
        <w:rPr>
          <w:rFonts w:cs="Times New Roman"/>
          <w:lang w:val="en"/>
        </w:rPr>
        <w:t xml:space="preserve"> L.], and ‘Dixie’ crimson clover</w:t>
      </w:r>
      <w:r w:rsidR="00AD398F">
        <w:rPr>
          <w:rFonts w:cs="Times New Roman"/>
          <w:lang w:val="en"/>
        </w:rPr>
        <w:t>, or a non-planted control</w:t>
      </w:r>
      <w:r w:rsidR="00D661D4" w:rsidRPr="00A41CAD">
        <w:rPr>
          <w:rFonts w:cs="Times New Roman"/>
          <w:lang w:val="en"/>
        </w:rPr>
        <w:t xml:space="preserve"> and </w:t>
      </w:r>
      <w:r w:rsidR="00AD398F">
        <w:rPr>
          <w:rFonts w:cs="Times New Roman"/>
          <w:lang w:val="en"/>
        </w:rPr>
        <w:t xml:space="preserve">applying </w:t>
      </w:r>
      <w:r w:rsidR="00D661D4" w:rsidRPr="00A41CAD">
        <w:rPr>
          <w:rFonts w:cs="Times New Roman"/>
          <w:lang w:val="en"/>
        </w:rPr>
        <w:t>0 or 6</w:t>
      </w:r>
      <w:r w:rsidR="006304BB" w:rsidRPr="00A41CAD">
        <w:rPr>
          <w:rFonts w:cs="Times New Roman"/>
          <w:lang w:val="en"/>
        </w:rPr>
        <w:t>7</w:t>
      </w:r>
      <w:r w:rsidR="00D661D4" w:rsidRPr="00A41CAD">
        <w:rPr>
          <w:rFonts w:cs="Times New Roman"/>
          <w:lang w:val="en"/>
        </w:rPr>
        <w:t xml:space="preserve"> kg N ha</w:t>
      </w:r>
      <w:r w:rsidR="00D661D4" w:rsidRPr="00A41CAD">
        <w:rPr>
          <w:rFonts w:cs="Times New Roman"/>
          <w:vertAlign w:val="superscript"/>
          <w:lang w:val="en"/>
        </w:rPr>
        <w:t>-1</w:t>
      </w:r>
      <w:r w:rsidR="00D661D4" w:rsidRPr="00A41CAD">
        <w:rPr>
          <w:rFonts w:cs="Times New Roman"/>
          <w:lang w:val="en"/>
        </w:rPr>
        <w:t>.</w:t>
      </w:r>
      <w:r w:rsidR="001E0941" w:rsidRPr="00A41CAD">
        <w:t xml:space="preserve"> </w:t>
      </w:r>
      <w:r w:rsidR="00A719F2">
        <w:t xml:space="preserve"> We hypothesized that by incorporating a CSA, grazing days ha</w:t>
      </w:r>
      <w:r w:rsidR="00A719F2" w:rsidRPr="00A719F2">
        <w:rPr>
          <w:vertAlign w:val="superscript"/>
        </w:rPr>
        <w:t>-1</w:t>
      </w:r>
      <w:r w:rsidR="00A719F2">
        <w:t xml:space="preserve"> would increase for each year, but NWSG plant density, SG tiller density, and thus hay yield would decrease over time.  </w:t>
      </w:r>
    </w:p>
    <w:p w14:paraId="352CE29F" w14:textId="4DEA55CC" w:rsidR="00FF1665" w:rsidRPr="00A41CAD" w:rsidRDefault="00367172" w:rsidP="00367172">
      <w:pPr>
        <w:pStyle w:val="AgronomyJournalSectionTitles"/>
      </w:pPr>
      <w:bookmarkStart w:id="30" w:name="_Toc289175827"/>
      <w:bookmarkStart w:id="31" w:name="_Toc72026015"/>
      <w:bookmarkStart w:id="32" w:name="_Toc72305379"/>
      <w:bookmarkEnd w:id="29"/>
      <w:r w:rsidRPr="00A41CAD">
        <w:t>MATERIALS AND METHODS</w:t>
      </w:r>
      <w:bookmarkEnd w:id="30"/>
      <w:bookmarkEnd w:id="31"/>
      <w:bookmarkEnd w:id="32"/>
    </w:p>
    <w:p w14:paraId="28872B20" w14:textId="222A3C92" w:rsidR="00506E1C" w:rsidRPr="00A41CAD" w:rsidRDefault="00506E1C" w:rsidP="00BE6C2B">
      <w:pPr>
        <w:pStyle w:val="Heading2"/>
      </w:pPr>
      <w:bookmarkStart w:id="33" w:name="_Toc72026016"/>
      <w:bookmarkStart w:id="34" w:name="_Toc72305380"/>
      <w:r w:rsidRPr="00A41CAD">
        <w:t>Site Description</w:t>
      </w:r>
      <w:bookmarkEnd w:id="33"/>
      <w:bookmarkEnd w:id="34"/>
    </w:p>
    <w:p w14:paraId="7C3C3A1F" w14:textId="29DF1675" w:rsidR="00451D7F" w:rsidRPr="00A41CAD" w:rsidRDefault="00367172" w:rsidP="005A5A55">
      <w:pPr>
        <w:autoSpaceDE w:val="0"/>
        <w:autoSpaceDN w:val="0"/>
        <w:adjustRightInd w:val="0"/>
        <w:spacing w:after="100" w:afterAutospacing="1"/>
        <w:ind w:firstLine="720"/>
      </w:pPr>
      <w:r w:rsidRPr="00A41CAD">
        <w:rPr>
          <w:rFonts w:cs="Times New Roman"/>
          <w:lang w:val="en"/>
        </w:rPr>
        <w:t xml:space="preserve">Two </w:t>
      </w:r>
      <w:r w:rsidR="004C5F9C">
        <w:rPr>
          <w:rFonts w:cs="Times New Roman"/>
          <w:lang w:val="en"/>
        </w:rPr>
        <w:t xml:space="preserve">NWSG </w:t>
      </w:r>
      <w:r w:rsidR="000B3730">
        <w:rPr>
          <w:rFonts w:cs="Times New Roman"/>
          <w:lang w:val="en"/>
        </w:rPr>
        <w:t xml:space="preserve">field experiments </w:t>
      </w:r>
      <w:r w:rsidR="004C5F9C">
        <w:rPr>
          <w:rFonts w:cs="Times New Roman"/>
          <w:lang w:val="en"/>
        </w:rPr>
        <w:t xml:space="preserve">(one </w:t>
      </w:r>
      <w:r w:rsidR="000B3730">
        <w:rPr>
          <w:rFonts w:cs="Times New Roman"/>
          <w:lang w:val="en"/>
        </w:rPr>
        <w:t>evaluating a BBIG blend and</w:t>
      </w:r>
      <w:r w:rsidR="00541689">
        <w:rPr>
          <w:rFonts w:cs="Times New Roman"/>
          <w:lang w:val="en"/>
        </w:rPr>
        <w:t xml:space="preserve"> </w:t>
      </w:r>
      <w:r w:rsidR="004C5F9C">
        <w:rPr>
          <w:rFonts w:cs="Times New Roman"/>
          <w:lang w:val="en"/>
        </w:rPr>
        <w:t xml:space="preserve">one </w:t>
      </w:r>
      <w:r w:rsidR="00541689">
        <w:rPr>
          <w:rFonts w:cs="Times New Roman"/>
          <w:lang w:val="en"/>
        </w:rPr>
        <w:t>SG</w:t>
      </w:r>
      <w:r w:rsidR="004C5F9C">
        <w:rPr>
          <w:rFonts w:cs="Times New Roman"/>
          <w:lang w:val="en"/>
        </w:rPr>
        <w:t>)</w:t>
      </w:r>
      <w:r w:rsidRPr="00A41CAD">
        <w:rPr>
          <w:rFonts w:cs="Times New Roman"/>
          <w:lang w:val="en"/>
        </w:rPr>
        <w:t xml:space="preserve"> w</w:t>
      </w:r>
      <w:r w:rsidR="007F5A78" w:rsidRPr="00A41CAD">
        <w:rPr>
          <w:rFonts w:cs="Times New Roman"/>
          <w:lang w:val="en"/>
        </w:rPr>
        <w:t>ere</w:t>
      </w:r>
      <w:r w:rsidRPr="00A41CAD">
        <w:rPr>
          <w:rFonts w:cs="Times New Roman"/>
          <w:lang w:val="en"/>
        </w:rPr>
        <w:t xml:space="preserve"> conducted at the University of Tennessee</w:t>
      </w:r>
      <w:r w:rsidR="00531BE2">
        <w:rPr>
          <w:rFonts w:cs="Times New Roman"/>
          <w:lang w:val="en"/>
        </w:rPr>
        <w:t xml:space="preserve"> – </w:t>
      </w:r>
      <w:r w:rsidRPr="00A41CAD">
        <w:rPr>
          <w:rFonts w:cs="Times New Roman"/>
          <w:lang w:val="en"/>
        </w:rPr>
        <w:t>Middle Tennessee AgResearch and Education Center (MTREC</w:t>
      </w:r>
      <w:r w:rsidR="00B118B0" w:rsidRPr="00A41CAD">
        <w:rPr>
          <w:rFonts w:cs="Times New Roman"/>
          <w:lang w:val="en"/>
        </w:rPr>
        <w:t>; 35°42’29.99” N, 86°56’38.46” W</w:t>
      </w:r>
      <w:r w:rsidRPr="00A41CAD">
        <w:rPr>
          <w:rFonts w:cs="Times New Roman"/>
          <w:lang w:val="en"/>
        </w:rPr>
        <w:t xml:space="preserve">) </w:t>
      </w:r>
      <w:r w:rsidR="000B3730">
        <w:rPr>
          <w:rFonts w:cs="Times New Roman"/>
          <w:lang w:val="en"/>
        </w:rPr>
        <w:t xml:space="preserve">in </w:t>
      </w:r>
      <w:r w:rsidRPr="00A41CAD">
        <w:rPr>
          <w:rFonts w:cs="Times New Roman"/>
          <w:lang w:val="en"/>
        </w:rPr>
        <w:t>Spring Hill, TN, from 201</w:t>
      </w:r>
      <w:r w:rsidR="00AD16D3" w:rsidRPr="00A41CAD">
        <w:rPr>
          <w:rFonts w:cs="Times New Roman"/>
          <w:lang w:val="en"/>
        </w:rPr>
        <w:t>8</w:t>
      </w:r>
      <w:r w:rsidRPr="00A41CAD">
        <w:rPr>
          <w:rFonts w:cs="Times New Roman"/>
          <w:lang w:val="en"/>
        </w:rPr>
        <w:t xml:space="preserve">-2020.  The </w:t>
      </w:r>
      <w:r w:rsidR="00B118B0" w:rsidRPr="00A41CAD">
        <w:rPr>
          <w:rFonts w:cs="Times New Roman"/>
          <w:lang w:val="en"/>
        </w:rPr>
        <w:t xml:space="preserve">soil </w:t>
      </w:r>
      <w:r w:rsidRPr="00A41CAD">
        <w:rPr>
          <w:rFonts w:cs="Times New Roman"/>
          <w:lang w:val="en"/>
        </w:rPr>
        <w:t>consist</w:t>
      </w:r>
      <w:r w:rsidR="007F5A78" w:rsidRPr="00A41CAD">
        <w:rPr>
          <w:rFonts w:cs="Times New Roman"/>
          <w:lang w:val="en"/>
        </w:rPr>
        <w:t>ed</w:t>
      </w:r>
      <w:r w:rsidRPr="00A41CAD">
        <w:rPr>
          <w:rFonts w:cs="Times New Roman"/>
          <w:lang w:val="en"/>
        </w:rPr>
        <w:t xml:space="preserve"> of a well-drained, Maury silt loam (fine, mixed, active, mesic Typic Paleudalfs) and a well-drained, Armour silt loam (fine-silty, mixed, active, thermic Ultic Hapludalfs) (48 and 15%, respectively) (NRCS Web Soil Survey, 20</w:t>
      </w:r>
      <w:r w:rsidR="00342D7F" w:rsidRPr="00A41CAD">
        <w:rPr>
          <w:rFonts w:cs="Times New Roman"/>
          <w:lang w:val="en"/>
        </w:rPr>
        <w:t>21</w:t>
      </w:r>
      <w:r w:rsidRPr="00A41CAD">
        <w:rPr>
          <w:rFonts w:cs="Times New Roman"/>
          <w:lang w:val="en"/>
        </w:rPr>
        <w:t xml:space="preserve">).  </w:t>
      </w:r>
      <w:r w:rsidR="00CE2E49">
        <w:t>An i</w:t>
      </w:r>
      <w:r w:rsidR="00D35256">
        <w:t>nitial</w:t>
      </w:r>
      <w:r w:rsidR="00D35256" w:rsidRPr="00A41CAD">
        <w:t xml:space="preserve"> </w:t>
      </w:r>
      <w:r w:rsidR="00B631C8" w:rsidRPr="00A41CAD">
        <w:t>soil test w</w:t>
      </w:r>
      <w:r w:rsidR="00FB1A7F">
        <w:t>as</w:t>
      </w:r>
      <w:r w:rsidR="00B631C8" w:rsidRPr="00A41CAD">
        <w:t xml:space="preserve"> conducted from 0-15-cm depth </w:t>
      </w:r>
      <w:r w:rsidR="00FB1A7F">
        <w:t xml:space="preserve">to assess </w:t>
      </w:r>
      <w:r w:rsidR="00B631C8" w:rsidRPr="00A41CAD">
        <w:t>P</w:t>
      </w:r>
      <w:r w:rsidR="00FB1A7F">
        <w:t>,</w:t>
      </w:r>
      <w:r w:rsidR="00B631C8" w:rsidRPr="00A41CAD">
        <w:t xml:space="preserve"> K</w:t>
      </w:r>
      <w:r w:rsidR="00FB1A7F">
        <w:t>, and lime</w:t>
      </w:r>
      <w:r w:rsidR="00B631C8" w:rsidRPr="00A41CAD">
        <w:t xml:space="preserve"> </w:t>
      </w:r>
      <w:r w:rsidR="00FB1A7F">
        <w:t>requirements</w:t>
      </w:r>
      <w:r w:rsidR="00B631C8" w:rsidRPr="00A41CAD">
        <w:t xml:space="preserve"> </w:t>
      </w:r>
      <w:r w:rsidR="00CE2E49">
        <w:t xml:space="preserve">based </w:t>
      </w:r>
      <w:r w:rsidR="00B631C8" w:rsidRPr="00A41CAD">
        <w:t xml:space="preserve">on soil test results </w:t>
      </w:r>
      <w:r w:rsidR="00A94E07" w:rsidRPr="00A41CAD">
        <w:t>(Mehlich 1)</w:t>
      </w:r>
      <w:r w:rsidR="00A94E07">
        <w:t xml:space="preserve"> </w:t>
      </w:r>
      <w:r w:rsidR="00CE2E49">
        <w:t>for</w:t>
      </w:r>
      <w:r w:rsidR="00B631C8" w:rsidRPr="00A41CAD">
        <w:t xml:space="preserve"> “Medium” levels (University of Tennessee Soil, Plant and Pest Center, Nashville, TN) and pH &gt; 5.</w:t>
      </w:r>
      <w:r w:rsidR="00FB1A7F">
        <w:t>0</w:t>
      </w:r>
      <w:r w:rsidR="00B631C8" w:rsidRPr="00A41CAD">
        <w:t xml:space="preserve"> (</w:t>
      </w:r>
      <w:r w:rsidR="00531BE2">
        <w:t xml:space="preserve">Keyser et al., 2011a; </w:t>
      </w:r>
      <w:r w:rsidR="00FA0A8B">
        <w:t xml:space="preserve">Keyser, </w:t>
      </w:r>
      <w:r w:rsidR="002C358F">
        <w:t>Harper, Bates, Waller, &amp; Holcomb, 2011</w:t>
      </w:r>
      <w:r w:rsidR="003959F1">
        <w:t>b</w:t>
      </w:r>
      <w:r w:rsidR="00B631C8" w:rsidRPr="00A41CAD">
        <w:t xml:space="preserve">).  </w:t>
      </w:r>
      <w:r w:rsidR="00FB1A7F">
        <w:t>Mean SG pasture soil pH was 5.7 with 4</w:t>
      </w:r>
      <w:r w:rsidR="000B6E8E">
        <w:t>69</w:t>
      </w:r>
      <w:r w:rsidR="00FB1A7F">
        <w:t xml:space="preserve"> kg ha</w:t>
      </w:r>
      <w:r w:rsidR="00CE2E49" w:rsidRPr="004F5064">
        <w:rPr>
          <w:vertAlign w:val="superscript"/>
        </w:rPr>
        <w:t>-1</w:t>
      </w:r>
      <w:r w:rsidR="00CE2E49">
        <w:t xml:space="preserve"> </w:t>
      </w:r>
      <w:r w:rsidR="00FB1A7F">
        <w:t xml:space="preserve">P </w:t>
      </w:r>
      <w:r w:rsidR="00102570">
        <w:t xml:space="preserve">(Very High) </w:t>
      </w:r>
      <w:r w:rsidR="00FB1A7F">
        <w:t>and 1</w:t>
      </w:r>
      <w:r w:rsidR="000B6E8E">
        <w:t>15</w:t>
      </w:r>
      <w:r w:rsidR="00FB1A7F">
        <w:t xml:space="preserve"> kg ha</w:t>
      </w:r>
      <w:r w:rsidR="00CE2E49" w:rsidRPr="004F5064">
        <w:rPr>
          <w:vertAlign w:val="superscript"/>
        </w:rPr>
        <w:t>-1</w:t>
      </w:r>
      <w:r w:rsidR="00CE2E49">
        <w:t xml:space="preserve"> </w:t>
      </w:r>
      <w:r w:rsidR="00FB1A7F">
        <w:t>K</w:t>
      </w:r>
      <w:r w:rsidR="00102570">
        <w:t xml:space="preserve"> (Medium)</w:t>
      </w:r>
      <w:r w:rsidR="00FB1A7F">
        <w:t xml:space="preserve">.  Mean </w:t>
      </w:r>
      <w:r w:rsidR="00CE2E49">
        <w:t>BBIG pasture soil pH was 5.9 with 2</w:t>
      </w:r>
      <w:r w:rsidR="000B6E8E">
        <w:t>62</w:t>
      </w:r>
      <w:r w:rsidR="00CE2E49">
        <w:t xml:space="preserve"> kg </w:t>
      </w:r>
      <w:r w:rsidR="00531BE2">
        <w:t xml:space="preserve"> </w:t>
      </w:r>
      <w:r w:rsidR="00CE2E49">
        <w:t>ha</w:t>
      </w:r>
      <w:r w:rsidR="00CE2E49" w:rsidRPr="004F5064">
        <w:rPr>
          <w:vertAlign w:val="superscript"/>
        </w:rPr>
        <w:t>-1</w:t>
      </w:r>
      <w:r w:rsidR="00CE2E49">
        <w:t xml:space="preserve"> P</w:t>
      </w:r>
      <w:r w:rsidR="00102570">
        <w:t xml:space="preserve"> (Very High)</w:t>
      </w:r>
      <w:r w:rsidR="00CE2E49">
        <w:t xml:space="preserve"> and 1</w:t>
      </w:r>
      <w:r w:rsidR="000B6E8E">
        <w:t>8</w:t>
      </w:r>
      <w:r w:rsidR="00CE2E49">
        <w:t>7 kg ha</w:t>
      </w:r>
      <w:r w:rsidR="00CE2E49" w:rsidRPr="00CE2E49">
        <w:rPr>
          <w:vertAlign w:val="superscript"/>
        </w:rPr>
        <w:t>-1</w:t>
      </w:r>
      <w:r w:rsidR="00CE2E49">
        <w:t xml:space="preserve"> K</w:t>
      </w:r>
      <w:r w:rsidR="00102570">
        <w:t xml:space="preserve"> (High)</w:t>
      </w:r>
      <w:r w:rsidR="00CE2E49">
        <w:t xml:space="preserve">.  </w:t>
      </w:r>
      <w:r w:rsidR="004D2428" w:rsidRPr="00A41CAD">
        <w:t xml:space="preserve">Mean monthly air temperature and </w:t>
      </w:r>
      <w:r w:rsidR="004D2428" w:rsidRPr="00A41CAD">
        <w:lastRenderedPageBreak/>
        <w:t xml:space="preserve">precipitation were collected at a weather station located on </w:t>
      </w:r>
      <w:r w:rsidR="00AA63EE" w:rsidRPr="00A41CAD">
        <w:t>MTREC</w:t>
      </w:r>
      <w:r w:rsidR="004D2428" w:rsidRPr="00A41CAD">
        <w:t xml:space="preserve"> each year and compared to 30-year means (NOAA, 202</w:t>
      </w:r>
      <w:r w:rsidR="001026FC" w:rsidRPr="00A41CAD">
        <w:t>1</w:t>
      </w:r>
      <w:r w:rsidR="004D2428" w:rsidRPr="00A41CAD">
        <w:t xml:space="preserve">).  </w:t>
      </w:r>
    </w:p>
    <w:p w14:paraId="4E5AAECD" w14:textId="7FF4DA77" w:rsidR="00AA63EE" w:rsidRPr="00A41CAD" w:rsidRDefault="00AA63EE" w:rsidP="00BE6C2B">
      <w:pPr>
        <w:pStyle w:val="Heading2"/>
        <w:rPr>
          <w:lang w:val="en"/>
        </w:rPr>
      </w:pPr>
      <w:bookmarkStart w:id="35" w:name="_Toc72026017"/>
      <w:bookmarkStart w:id="36" w:name="_Toc72305381"/>
      <w:r w:rsidRPr="00A41CAD">
        <w:rPr>
          <w:lang w:val="en"/>
        </w:rPr>
        <w:t>Experimental Design</w:t>
      </w:r>
      <w:bookmarkEnd w:id="35"/>
      <w:bookmarkEnd w:id="36"/>
    </w:p>
    <w:p w14:paraId="23614B61" w14:textId="133E7CF7" w:rsidR="00473538" w:rsidRDefault="00CF64BB" w:rsidP="00473538">
      <w:pPr>
        <w:autoSpaceDE w:val="0"/>
        <w:autoSpaceDN w:val="0"/>
        <w:adjustRightInd w:val="0"/>
        <w:ind w:firstLine="720"/>
        <w:rPr>
          <w:rFonts w:cs="Times New Roman"/>
          <w:lang w:val="en"/>
        </w:rPr>
      </w:pPr>
      <w:bookmarkStart w:id="37" w:name="_Hlk68832822"/>
      <w:r w:rsidRPr="00A41CAD">
        <w:rPr>
          <w:rFonts w:cs="Times New Roman"/>
          <w:lang w:val="en"/>
        </w:rPr>
        <w:t>T</w:t>
      </w:r>
      <w:r w:rsidR="00BF74C2">
        <w:rPr>
          <w:rFonts w:cs="Times New Roman"/>
          <w:lang w:val="en"/>
        </w:rPr>
        <w:t>wo t</w:t>
      </w:r>
      <w:r w:rsidRPr="00A41CAD">
        <w:rPr>
          <w:rFonts w:cs="Times New Roman"/>
          <w:lang w:val="en"/>
        </w:rPr>
        <w:t xml:space="preserve">reatments were randomly assigned </w:t>
      </w:r>
      <w:r w:rsidR="0075502D" w:rsidRPr="00A41CAD">
        <w:rPr>
          <w:rFonts w:cs="Times New Roman"/>
          <w:lang w:val="en"/>
        </w:rPr>
        <w:t xml:space="preserve">in a strip plot arrangement </w:t>
      </w:r>
      <w:r w:rsidRPr="00A41CAD">
        <w:rPr>
          <w:rFonts w:cs="Times New Roman"/>
          <w:lang w:val="en"/>
        </w:rPr>
        <w:t>under a</w:t>
      </w:r>
      <w:r w:rsidR="0075502D" w:rsidRPr="00A41CAD">
        <w:rPr>
          <w:rFonts w:cs="Times New Roman"/>
          <w:lang w:val="en"/>
        </w:rPr>
        <w:t>n unbalanced</w:t>
      </w:r>
      <w:r w:rsidRPr="00A41CAD">
        <w:rPr>
          <w:rFonts w:cs="Times New Roman"/>
          <w:lang w:val="en"/>
        </w:rPr>
        <w:t xml:space="preserve"> incomplete block</w:t>
      </w:r>
      <w:r w:rsidR="0075502D" w:rsidRPr="00A41CAD">
        <w:rPr>
          <w:rFonts w:cs="Times New Roman"/>
          <w:lang w:val="en"/>
        </w:rPr>
        <w:t xml:space="preserve"> </w:t>
      </w:r>
      <w:r w:rsidRPr="00A41CAD">
        <w:rPr>
          <w:rFonts w:cs="Times New Roman"/>
          <w:lang w:val="en"/>
        </w:rPr>
        <w:t>design to e</w:t>
      </w:r>
      <w:r w:rsidR="00367172" w:rsidRPr="00A41CAD">
        <w:rPr>
          <w:rFonts w:cs="Times New Roman"/>
          <w:lang w:val="en"/>
        </w:rPr>
        <w:t xml:space="preserve">ight </w:t>
      </w:r>
      <w:r w:rsidR="00B118B0" w:rsidRPr="00A41CAD">
        <w:rPr>
          <w:rFonts w:cs="Times New Roman"/>
          <w:lang w:val="en"/>
        </w:rPr>
        <w:t>SG</w:t>
      </w:r>
      <w:r w:rsidR="00367172" w:rsidRPr="00A41CAD">
        <w:rPr>
          <w:rFonts w:cs="Times New Roman"/>
          <w:lang w:val="en"/>
        </w:rPr>
        <w:t xml:space="preserve"> [cv, ‘Alamo’</w:t>
      </w:r>
      <w:r w:rsidR="00B118B0" w:rsidRPr="00A41CAD">
        <w:rPr>
          <w:rFonts w:cs="Times New Roman"/>
          <w:lang w:val="en"/>
        </w:rPr>
        <w:t>]</w:t>
      </w:r>
      <w:r w:rsidR="00367172" w:rsidRPr="00A41CAD">
        <w:rPr>
          <w:rFonts w:cs="Times New Roman"/>
          <w:lang w:val="en"/>
        </w:rPr>
        <w:t xml:space="preserve"> and six </w:t>
      </w:r>
      <w:r w:rsidR="00B118B0" w:rsidRPr="00A41CAD">
        <w:rPr>
          <w:rFonts w:cs="Times New Roman"/>
          <w:lang w:val="en"/>
        </w:rPr>
        <w:t xml:space="preserve">BBIG </w:t>
      </w:r>
      <w:r w:rsidR="00367172" w:rsidRPr="00A41CAD">
        <w:rPr>
          <w:rFonts w:cs="Times New Roman"/>
          <w:lang w:val="en"/>
        </w:rPr>
        <w:t xml:space="preserve">[a </w:t>
      </w:r>
      <w:r w:rsidR="00BF74C2">
        <w:rPr>
          <w:rFonts w:cs="Times New Roman"/>
          <w:lang w:val="en"/>
        </w:rPr>
        <w:t>2</w:t>
      </w:r>
      <w:r w:rsidR="00367172" w:rsidRPr="00A41CAD">
        <w:rPr>
          <w:rFonts w:cs="Times New Roman"/>
          <w:lang w:val="en"/>
        </w:rPr>
        <w:t xml:space="preserve">:1 blend (based on seed mass) of BB and IG ecotypes collected in Kentucky that are commercially available (Roundstone Native Seed, Upton, KY)] </w:t>
      </w:r>
      <w:r w:rsidR="00B118B0" w:rsidRPr="00A41CAD">
        <w:rPr>
          <w:rFonts w:cs="Times New Roman"/>
          <w:lang w:val="en"/>
        </w:rPr>
        <w:t>1.2</w:t>
      </w:r>
      <w:r w:rsidR="00451D7F" w:rsidRPr="00A41CAD">
        <w:rPr>
          <w:rFonts w:cs="Times New Roman"/>
          <w:lang w:val="en"/>
        </w:rPr>
        <w:t>-</w:t>
      </w:r>
      <w:r w:rsidR="00B118B0" w:rsidRPr="00A41CAD">
        <w:rPr>
          <w:rFonts w:cs="Times New Roman"/>
          <w:lang w:val="en"/>
        </w:rPr>
        <w:t xml:space="preserve">ha </w:t>
      </w:r>
      <w:r w:rsidR="00367172" w:rsidRPr="00A41CAD">
        <w:rPr>
          <w:rFonts w:cs="Times New Roman"/>
          <w:lang w:val="en"/>
        </w:rPr>
        <w:t>pasture</w:t>
      </w:r>
      <w:r w:rsidRPr="00A41CAD">
        <w:rPr>
          <w:rFonts w:cs="Times New Roman"/>
          <w:lang w:val="en"/>
        </w:rPr>
        <w:t>s</w:t>
      </w:r>
      <w:r w:rsidR="00B631C8" w:rsidRPr="00A41CAD">
        <w:rPr>
          <w:rFonts w:cs="Times New Roman"/>
          <w:lang w:val="en"/>
        </w:rPr>
        <w:t xml:space="preserve"> </w:t>
      </w:r>
      <w:bookmarkEnd w:id="37"/>
      <w:r w:rsidR="00B631C8" w:rsidRPr="00A41CAD">
        <w:rPr>
          <w:rFonts w:cs="Times New Roman"/>
          <w:lang w:val="en"/>
        </w:rPr>
        <w:t>(blocks)</w:t>
      </w:r>
      <w:r w:rsidR="00112D85">
        <w:rPr>
          <w:rFonts w:cs="Times New Roman"/>
          <w:lang w:val="en"/>
        </w:rPr>
        <w:t xml:space="preserve"> (Figure 1.1)</w:t>
      </w:r>
      <w:r w:rsidR="00B631C8" w:rsidRPr="00A41CAD">
        <w:rPr>
          <w:rFonts w:cs="Times New Roman"/>
          <w:lang w:val="en"/>
        </w:rPr>
        <w:t>.  Pastures were</w:t>
      </w:r>
      <w:r w:rsidRPr="00A41CAD">
        <w:rPr>
          <w:rFonts w:cs="Times New Roman"/>
          <w:lang w:val="en"/>
        </w:rPr>
        <w:t xml:space="preserve"> originally </w:t>
      </w:r>
      <w:r w:rsidR="00367172" w:rsidRPr="00A41CAD">
        <w:rPr>
          <w:rFonts w:cs="Times New Roman"/>
          <w:lang w:val="en"/>
        </w:rPr>
        <w:t>established in 2008</w:t>
      </w:r>
      <w:r w:rsidR="00BF74C2">
        <w:rPr>
          <w:rFonts w:cs="Times New Roman"/>
          <w:lang w:val="en"/>
        </w:rPr>
        <w:t xml:space="preserve"> </w:t>
      </w:r>
      <w:r w:rsidR="00AC5D9B">
        <w:rPr>
          <w:rFonts w:cs="Times New Roman"/>
          <w:lang w:val="en"/>
        </w:rPr>
        <w:t xml:space="preserve">with native grass species randomly assigned to each pasture </w:t>
      </w:r>
      <w:r w:rsidR="00BF74C2">
        <w:rPr>
          <w:rFonts w:cs="Times New Roman"/>
          <w:lang w:val="en"/>
        </w:rPr>
        <w:t>as part of a previous experiment</w:t>
      </w:r>
      <w:r w:rsidR="00AA63EE" w:rsidRPr="00A41CAD">
        <w:rPr>
          <w:rFonts w:cs="Times New Roman"/>
          <w:lang w:val="en"/>
        </w:rPr>
        <w:t xml:space="preserve">.  </w:t>
      </w:r>
      <w:r w:rsidR="00BF74C2">
        <w:rPr>
          <w:rFonts w:cs="Times New Roman"/>
          <w:lang w:val="en"/>
        </w:rPr>
        <w:t>The first treatment</w:t>
      </w:r>
      <w:r w:rsidR="00367172" w:rsidRPr="00A41CAD">
        <w:rPr>
          <w:rFonts w:cs="Times New Roman"/>
          <w:lang w:val="en"/>
        </w:rPr>
        <w:t xml:space="preserve"> </w:t>
      </w:r>
      <w:r w:rsidR="007F5A78" w:rsidRPr="00A41CAD">
        <w:rPr>
          <w:rFonts w:cs="Times New Roman"/>
          <w:lang w:val="en"/>
        </w:rPr>
        <w:t>w</w:t>
      </w:r>
      <w:r w:rsidR="008B01A6" w:rsidRPr="00A41CAD">
        <w:rPr>
          <w:rFonts w:cs="Times New Roman"/>
          <w:lang w:val="en"/>
        </w:rPr>
        <w:t>as</w:t>
      </w:r>
      <w:r w:rsidR="00367172" w:rsidRPr="00A41CAD">
        <w:rPr>
          <w:rFonts w:cs="Times New Roman"/>
          <w:lang w:val="en"/>
        </w:rPr>
        <w:t xml:space="preserve"> two</w:t>
      </w:r>
      <w:r w:rsidR="00554AA1">
        <w:rPr>
          <w:rFonts w:cs="Times New Roman"/>
          <w:lang w:val="en"/>
        </w:rPr>
        <w:t xml:space="preserve"> planted</w:t>
      </w:r>
      <w:r w:rsidR="00367172" w:rsidRPr="00A41CAD">
        <w:rPr>
          <w:rFonts w:cs="Times New Roman"/>
          <w:lang w:val="en"/>
        </w:rPr>
        <w:t xml:space="preserve"> </w:t>
      </w:r>
      <w:r w:rsidR="005220F0">
        <w:rPr>
          <w:rFonts w:cs="Times New Roman"/>
          <w:lang w:val="en"/>
        </w:rPr>
        <w:t>CSA</w:t>
      </w:r>
      <w:r w:rsidR="00554AA1">
        <w:rPr>
          <w:rFonts w:cs="Times New Roman"/>
          <w:lang w:val="en"/>
        </w:rPr>
        <w:t xml:space="preserve"> and a</w:t>
      </w:r>
      <w:r w:rsidR="00BF74C2">
        <w:rPr>
          <w:rFonts w:cs="Times New Roman"/>
          <w:lang w:val="en"/>
        </w:rPr>
        <w:t xml:space="preserve"> </w:t>
      </w:r>
      <w:r w:rsidR="00554AA1">
        <w:rPr>
          <w:rFonts w:cs="Times New Roman"/>
          <w:lang w:val="en"/>
        </w:rPr>
        <w:t>non-</w:t>
      </w:r>
      <w:r w:rsidR="00BF74C2">
        <w:rPr>
          <w:rFonts w:cs="Times New Roman"/>
          <w:lang w:val="en"/>
        </w:rPr>
        <w:t>planted</w:t>
      </w:r>
      <w:r w:rsidR="00367172" w:rsidRPr="00A41CAD">
        <w:rPr>
          <w:rFonts w:cs="Times New Roman"/>
          <w:lang w:val="en"/>
        </w:rPr>
        <w:t xml:space="preserve"> control</w:t>
      </w:r>
      <w:r w:rsidR="00AA63EE" w:rsidRPr="00A41CAD">
        <w:rPr>
          <w:rFonts w:cs="Times New Roman"/>
          <w:lang w:val="en"/>
        </w:rPr>
        <w:t xml:space="preserve">.  </w:t>
      </w:r>
      <w:r w:rsidR="00B148EC" w:rsidRPr="00A41CAD">
        <w:rPr>
          <w:rFonts w:cs="Times New Roman"/>
          <w:lang w:val="en"/>
        </w:rPr>
        <w:t>Cool-season annual treatments were a cereal rye monoculture</w:t>
      </w:r>
      <w:r w:rsidR="00B715FB">
        <w:rPr>
          <w:rFonts w:cs="Times New Roman"/>
          <w:lang w:val="en"/>
        </w:rPr>
        <w:t>,</w:t>
      </w:r>
      <w:r w:rsidR="00B148EC" w:rsidRPr="00A41CAD">
        <w:rPr>
          <w:rFonts w:cs="Times New Roman"/>
          <w:lang w:val="en"/>
        </w:rPr>
        <w:t xml:space="preserve"> CSA polyculture (cereal rye, ‘Purple Top’ turnip, ‘Trophy’ rape, ‘Frosty’ berseem clover, and ‘Dixie’ crimson clover), and a fallow control.  Each </w:t>
      </w:r>
      <w:r w:rsidR="00B148EC">
        <w:rPr>
          <w:rFonts w:cs="Times New Roman"/>
          <w:lang w:val="en"/>
        </w:rPr>
        <w:t>pasture</w:t>
      </w:r>
      <w:r w:rsidR="00B148EC" w:rsidRPr="00A41CAD">
        <w:rPr>
          <w:rFonts w:cs="Times New Roman"/>
          <w:lang w:val="en"/>
        </w:rPr>
        <w:t xml:space="preserve"> received only one CSA treatment </w:t>
      </w:r>
      <w:r w:rsidR="00554AA1">
        <w:rPr>
          <w:rFonts w:cs="Times New Roman"/>
          <w:lang w:val="en"/>
        </w:rPr>
        <w:t>paired with</w:t>
      </w:r>
      <w:r w:rsidR="00B148EC" w:rsidRPr="00A41CAD">
        <w:rPr>
          <w:rFonts w:cs="Times New Roman"/>
          <w:lang w:val="en"/>
        </w:rPr>
        <w:t xml:space="preserve"> the control.</w:t>
      </w:r>
      <w:r w:rsidR="00B148EC">
        <w:rPr>
          <w:rFonts w:cs="Times New Roman"/>
          <w:lang w:val="en"/>
        </w:rPr>
        <w:t xml:space="preserve">  </w:t>
      </w:r>
      <w:r w:rsidR="00BF74C2">
        <w:rPr>
          <w:rFonts w:cs="Times New Roman"/>
          <w:lang w:val="en"/>
        </w:rPr>
        <w:t>The second treatment</w:t>
      </w:r>
      <w:r w:rsidR="00367172" w:rsidRPr="00A41CAD">
        <w:rPr>
          <w:rFonts w:cs="Times New Roman"/>
          <w:lang w:val="en"/>
        </w:rPr>
        <w:t>, warm-season N fertilization</w:t>
      </w:r>
      <w:r w:rsidR="00AA63EE" w:rsidRPr="00A41CAD">
        <w:rPr>
          <w:rFonts w:cs="Times New Roman"/>
          <w:lang w:val="en"/>
        </w:rPr>
        <w:t xml:space="preserve">, was </w:t>
      </w:r>
      <w:r w:rsidR="00367172" w:rsidRPr="00A41CAD">
        <w:rPr>
          <w:rFonts w:cs="Times New Roman"/>
          <w:lang w:val="en"/>
        </w:rPr>
        <w:t xml:space="preserve">superimposed </w:t>
      </w:r>
      <w:r w:rsidR="00AA63EE" w:rsidRPr="00A41CAD">
        <w:rPr>
          <w:rFonts w:cs="Times New Roman"/>
          <w:lang w:val="en"/>
        </w:rPr>
        <w:t xml:space="preserve">across </w:t>
      </w:r>
      <w:r w:rsidR="00367172" w:rsidRPr="00A41CAD">
        <w:rPr>
          <w:rFonts w:cs="Times New Roman"/>
          <w:lang w:val="en"/>
        </w:rPr>
        <w:t>half of each pasture</w:t>
      </w:r>
      <w:r w:rsidR="00BF74C2">
        <w:rPr>
          <w:rFonts w:cs="Times New Roman"/>
          <w:lang w:val="en"/>
        </w:rPr>
        <w:t xml:space="preserve"> such that each 1.2-ha pasture included a factorial combination of the two treatments</w:t>
      </w:r>
      <w:r w:rsidR="00367172" w:rsidRPr="00A41CAD">
        <w:rPr>
          <w:rFonts w:cs="Times New Roman"/>
          <w:lang w:val="en"/>
        </w:rPr>
        <w:t>.</w:t>
      </w:r>
      <w:bookmarkStart w:id="38" w:name="_Hlk71753873"/>
      <w:bookmarkStart w:id="39" w:name="_Hlk65103810"/>
      <w:r w:rsidR="005220F0">
        <w:rPr>
          <w:rFonts w:cs="Times New Roman"/>
          <w:lang w:val="en"/>
        </w:rPr>
        <w:t xml:space="preserve">  </w:t>
      </w:r>
      <w:r w:rsidR="00473538" w:rsidRPr="00A41CAD">
        <w:t xml:space="preserve">Warm-season </w:t>
      </w:r>
      <w:r w:rsidR="00473538" w:rsidRPr="00A41CAD">
        <w:rPr>
          <w:rFonts w:cs="Times New Roman"/>
          <w:lang w:val="en"/>
        </w:rPr>
        <w:t>N fertilization rates were 0 kg N ha</w:t>
      </w:r>
      <w:r w:rsidR="00473538" w:rsidRPr="00A41CAD">
        <w:rPr>
          <w:rFonts w:cs="Times New Roman"/>
          <w:vertAlign w:val="superscript"/>
          <w:lang w:val="en"/>
        </w:rPr>
        <w:t>-1</w:t>
      </w:r>
      <w:r w:rsidR="00473538" w:rsidRPr="00A41CAD">
        <w:rPr>
          <w:rFonts w:cs="Times New Roman"/>
          <w:lang w:val="en"/>
        </w:rPr>
        <w:t xml:space="preserve"> (control) and 67 kg N</w:t>
      </w:r>
      <w:r w:rsidR="005220F0">
        <w:rPr>
          <w:rFonts w:cs="Times New Roman"/>
          <w:lang w:val="en"/>
        </w:rPr>
        <w:t xml:space="preserve">  </w:t>
      </w:r>
      <w:r w:rsidR="00473538" w:rsidRPr="00A41CAD">
        <w:rPr>
          <w:rFonts w:cs="Times New Roman"/>
          <w:lang w:val="en"/>
        </w:rPr>
        <w:t xml:space="preserve"> ha</w:t>
      </w:r>
      <w:r w:rsidR="00473538" w:rsidRPr="00A41CAD">
        <w:rPr>
          <w:rFonts w:cs="Times New Roman"/>
          <w:vertAlign w:val="superscript"/>
          <w:lang w:val="en"/>
        </w:rPr>
        <w:t>-1</w:t>
      </w:r>
      <w:r w:rsidR="00473538" w:rsidRPr="00A41CAD">
        <w:rPr>
          <w:rFonts w:cs="Times New Roman"/>
          <w:lang w:val="en"/>
        </w:rPr>
        <w:t xml:space="preserve"> </w:t>
      </w:r>
      <w:bookmarkStart w:id="40" w:name="_Hlk66923364"/>
      <w:bookmarkEnd w:id="38"/>
      <w:r w:rsidR="00A15B01">
        <w:rPr>
          <w:rFonts w:cs="Times New Roman"/>
          <w:lang w:val="en"/>
        </w:rPr>
        <w:t xml:space="preserve">(Keyser et al., </w:t>
      </w:r>
      <w:bookmarkStart w:id="41" w:name="_Hlk69684591"/>
      <w:r w:rsidR="00A15B01">
        <w:rPr>
          <w:rFonts w:cs="Times New Roman"/>
          <w:lang w:val="en"/>
        </w:rPr>
        <w:t>2011</w:t>
      </w:r>
      <w:bookmarkEnd w:id="41"/>
      <w:r w:rsidR="003959F1">
        <w:rPr>
          <w:rFonts w:cs="Times New Roman"/>
          <w:lang w:val="en"/>
        </w:rPr>
        <w:t>a</w:t>
      </w:r>
      <w:r w:rsidR="004A5FB6">
        <w:rPr>
          <w:rFonts w:cs="Times New Roman"/>
          <w:lang w:val="en"/>
        </w:rPr>
        <w:t xml:space="preserve">; </w:t>
      </w:r>
      <w:r w:rsidR="004A5FB6">
        <w:t>Popp et al., 2018</w:t>
      </w:r>
      <w:r w:rsidR="00A15B01">
        <w:rPr>
          <w:rFonts w:cs="Times New Roman"/>
          <w:lang w:val="en"/>
        </w:rPr>
        <w:t xml:space="preserve">) </w:t>
      </w:r>
      <w:r w:rsidR="00473538" w:rsidRPr="00A41CAD">
        <w:rPr>
          <w:rFonts w:cs="Times New Roman"/>
          <w:lang w:val="en"/>
        </w:rPr>
        <w:t>in the form of urea [CO(NH</w:t>
      </w:r>
      <w:r w:rsidR="00473538" w:rsidRPr="00A41CAD">
        <w:rPr>
          <w:rFonts w:cs="Times New Roman"/>
          <w:vertAlign w:val="subscript"/>
          <w:lang w:val="en"/>
        </w:rPr>
        <w:t>2</w:t>
      </w:r>
      <w:r w:rsidR="00473538" w:rsidRPr="00A41CAD">
        <w:rPr>
          <w:rFonts w:cs="Times New Roman"/>
          <w:lang w:val="en"/>
        </w:rPr>
        <w:t>)</w:t>
      </w:r>
      <w:r w:rsidR="00473538" w:rsidRPr="00A41CAD">
        <w:rPr>
          <w:rFonts w:cs="Times New Roman"/>
          <w:vertAlign w:val="subscript"/>
          <w:lang w:val="en"/>
        </w:rPr>
        <w:t>2</w:t>
      </w:r>
      <w:r w:rsidR="00473538" w:rsidRPr="00A41CAD">
        <w:rPr>
          <w:rFonts w:cs="Times New Roman"/>
          <w:lang w:val="en"/>
        </w:rPr>
        <w:t>] with a urease inhibitor</w:t>
      </w:r>
      <w:bookmarkEnd w:id="40"/>
      <w:r w:rsidR="00473538" w:rsidRPr="00A41CAD">
        <w:rPr>
          <w:rFonts w:cs="Times New Roman"/>
          <w:lang w:val="en"/>
        </w:rPr>
        <w:t xml:space="preserve">.  </w:t>
      </w:r>
      <w:bookmarkEnd w:id="39"/>
      <w:r w:rsidR="00473538" w:rsidRPr="00A41CAD">
        <w:rPr>
          <w:rFonts w:cs="Times New Roman"/>
          <w:lang w:val="en"/>
        </w:rPr>
        <w:t xml:space="preserve">Nitrogen treatments were applied </w:t>
      </w:r>
      <w:r w:rsidR="000B3730">
        <w:rPr>
          <w:rFonts w:cs="Times New Roman"/>
          <w:lang w:val="en"/>
        </w:rPr>
        <w:t>on</w:t>
      </w:r>
      <w:r w:rsidR="00473538" w:rsidRPr="00A41CAD">
        <w:rPr>
          <w:rFonts w:cs="Times New Roman"/>
          <w:lang w:val="en"/>
        </w:rPr>
        <w:t xml:space="preserve"> </w:t>
      </w:r>
      <w:r w:rsidR="00917A2B">
        <w:rPr>
          <w:rFonts w:cs="Times New Roman"/>
          <w:lang w:val="en"/>
        </w:rPr>
        <w:t xml:space="preserve">23 </w:t>
      </w:r>
      <w:r w:rsidR="00473538" w:rsidRPr="00A41CAD">
        <w:rPr>
          <w:rFonts w:cs="Times New Roman"/>
          <w:lang w:val="en"/>
        </w:rPr>
        <w:t>May</w:t>
      </w:r>
      <w:r w:rsidR="00917A2B">
        <w:rPr>
          <w:rFonts w:cs="Times New Roman"/>
          <w:lang w:val="en"/>
        </w:rPr>
        <w:t xml:space="preserve"> 2019 and 14 May 2020</w:t>
      </w:r>
      <w:r w:rsidR="00473538" w:rsidRPr="00A41CAD">
        <w:rPr>
          <w:rFonts w:cs="Times New Roman"/>
          <w:lang w:val="en"/>
        </w:rPr>
        <w:t>.</w:t>
      </w:r>
      <w:r w:rsidR="00B148EC">
        <w:rPr>
          <w:rFonts w:cs="Times New Roman"/>
          <w:lang w:val="en"/>
        </w:rPr>
        <w:t xml:space="preserve">  </w:t>
      </w:r>
      <w:r w:rsidR="00B148EC" w:rsidRPr="00A41CAD">
        <w:rPr>
          <w:rFonts w:cs="Times New Roman"/>
          <w:lang w:val="en"/>
        </w:rPr>
        <w:t>Each block was replicated four times for SG and three times for BBIG.</w:t>
      </w:r>
      <w:r w:rsidR="00B148EC">
        <w:rPr>
          <w:rFonts w:cs="Times New Roman"/>
          <w:lang w:val="en"/>
        </w:rPr>
        <w:t xml:space="preserve">  </w:t>
      </w:r>
    </w:p>
    <w:p w14:paraId="2E40C2E8" w14:textId="2FA64F94" w:rsidR="003A36A3" w:rsidRDefault="00473538" w:rsidP="00473538">
      <w:pPr>
        <w:autoSpaceDE w:val="0"/>
        <w:autoSpaceDN w:val="0"/>
        <w:adjustRightInd w:val="0"/>
        <w:ind w:firstLine="720"/>
      </w:pPr>
      <w:r w:rsidRPr="00A41CAD">
        <w:t xml:space="preserve">Weed control needs for pastures were assessed prior to study commencement.  </w:t>
      </w:r>
      <w:r w:rsidR="005220F0">
        <w:t>A</w:t>
      </w:r>
      <w:r w:rsidRPr="00A41CAD">
        <w:t xml:space="preserve">n application of glyphosate </w:t>
      </w:r>
      <w:r w:rsidRPr="00A41CAD">
        <w:rPr>
          <w:rFonts w:eastAsia="Calibri"/>
        </w:rPr>
        <w:t>{N-[phosphonomethyl] glycine, isopropyl-amine salt; 41%}</w:t>
      </w:r>
      <w:r w:rsidRPr="00A41CAD">
        <w:t xml:space="preserve"> at 1.89 L product ha</w:t>
      </w:r>
      <w:r w:rsidRPr="00A41CAD">
        <w:rPr>
          <w:vertAlign w:val="superscript"/>
        </w:rPr>
        <w:t>-1</w:t>
      </w:r>
      <w:r w:rsidRPr="00A41CAD">
        <w:t xml:space="preserve"> was applied </w:t>
      </w:r>
      <w:r w:rsidR="005220F0">
        <w:t xml:space="preserve">to all SG pastures </w:t>
      </w:r>
      <w:r w:rsidRPr="00A41CAD">
        <w:t>in April 2017</w:t>
      </w:r>
      <w:r w:rsidR="005220F0">
        <w:t xml:space="preserve"> due to </w:t>
      </w:r>
      <w:r w:rsidR="005220F0" w:rsidRPr="00A41CAD">
        <w:t xml:space="preserve">excessive </w:t>
      </w:r>
      <w:r w:rsidR="005220F0" w:rsidRPr="00A41CAD">
        <w:lastRenderedPageBreak/>
        <w:t>broomsedge [</w:t>
      </w:r>
      <w:r w:rsidR="005220F0" w:rsidRPr="00A41CAD">
        <w:rPr>
          <w:i/>
        </w:rPr>
        <w:t>Andropogon virginicus</w:t>
      </w:r>
      <w:r w:rsidR="005220F0" w:rsidRPr="00A41CAD">
        <w:t xml:space="preserve"> L.] infestations</w:t>
      </w:r>
      <w:r w:rsidRPr="00A41CAD">
        <w:t xml:space="preserve">.  </w:t>
      </w:r>
      <w:r w:rsidR="003A36A3">
        <w:t>No other herbicides were applied during the remainder of the experiments.</w:t>
      </w:r>
    </w:p>
    <w:p w14:paraId="13F733B5" w14:textId="215F743A" w:rsidR="00473538" w:rsidRPr="00A41CAD" w:rsidRDefault="00473538" w:rsidP="006812E1">
      <w:pPr>
        <w:autoSpaceDE w:val="0"/>
        <w:autoSpaceDN w:val="0"/>
        <w:adjustRightInd w:val="0"/>
        <w:spacing w:after="100" w:afterAutospacing="1"/>
        <w:ind w:firstLine="720"/>
      </w:pPr>
      <w:r w:rsidRPr="00A41CAD">
        <w:t xml:space="preserve">Prior to planting CSA, </w:t>
      </w:r>
      <w:r w:rsidR="00D975FD">
        <w:t xml:space="preserve">SG </w:t>
      </w:r>
      <w:r w:rsidR="0090643E">
        <w:t xml:space="preserve">and BBIG </w:t>
      </w:r>
      <w:r w:rsidRPr="00A41CAD">
        <w:rPr>
          <w:rFonts w:cs="Times New Roman"/>
        </w:rPr>
        <w:t xml:space="preserve">pastures were </w:t>
      </w:r>
      <w:r>
        <w:rPr>
          <w:rFonts w:cs="Times New Roman"/>
        </w:rPr>
        <w:t xml:space="preserve">clipped </w:t>
      </w:r>
      <w:r w:rsidRPr="00A41CAD">
        <w:rPr>
          <w:rFonts w:cs="Times New Roman"/>
        </w:rPr>
        <w:t>with a</w:t>
      </w:r>
      <w:r w:rsidR="00530AB4">
        <w:rPr>
          <w:rFonts w:cs="Times New Roman"/>
        </w:rPr>
        <w:t xml:space="preserve"> </w:t>
      </w:r>
      <w:r w:rsidR="00530AB4">
        <w:t>John Deere HX15</w:t>
      </w:r>
      <w:r w:rsidR="003F1CE2">
        <w:t xml:space="preserve"> flew-</w:t>
      </w:r>
      <w:r w:rsidR="00530AB4">
        <w:t xml:space="preserve">wing </w:t>
      </w:r>
      <w:r w:rsidR="003F1CE2">
        <w:t>rotary cutter</w:t>
      </w:r>
      <w:r w:rsidR="00530AB4">
        <w:t xml:space="preserve"> (Deere &amp; Company, Moline, IL)</w:t>
      </w:r>
      <w:r w:rsidRPr="00A41CAD">
        <w:rPr>
          <w:rFonts w:cs="Times New Roman"/>
        </w:rPr>
        <w:t xml:space="preserve"> to a 20-cm stubble height.  Cool-season annual treatments were no-till drilled in</w:t>
      </w:r>
      <w:r w:rsidR="00D975FD">
        <w:rPr>
          <w:rFonts w:cs="Times New Roman"/>
        </w:rPr>
        <w:t>to SG</w:t>
      </w:r>
      <w:r w:rsidR="0090643E">
        <w:rPr>
          <w:rFonts w:cs="Times New Roman"/>
        </w:rPr>
        <w:t xml:space="preserve"> and BBIG </w:t>
      </w:r>
      <w:r w:rsidR="00D975FD">
        <w:rPr>
          <w:rFonts w:cs="Times New Roman"/>
        </w:rPr>
        <w:t>pastures in</w:t>
      </w:r>
      <w:r w:rsidR="00917A2B">
        <w:rPr>
          <w:rFonts w:cs="Times New Roman"/>
        </w:rPr>
        <w:t xml:space="preserve"> </w:t>
      </w:r>
      <w:r w:rsidRPr="00A41CAD">
        <w:rPr>
          <w:rFonts w:cs="Times New Roman"/>
        </w:rPr>
        <w:t>September 2018 and 2019 using a 15</w:t>
      </w:r>
      <w:r w:rsidRPr="00A41CAD">
        <w:t>-row Great Plains</w:t>
      </w:r>
      <w:r w:rsidRPr="00A41CAD">
        <w:rPr>
          <w:vertAlign w:val="superscript"/>
        </w:rPr>
        <w:t>®</w:t>
      </w:r>
      <w:r w:rsidRPr="00A41CAD">
        <w:t xml:space="preserve"> </w:t>
      </w:r>
      <w:r w:rsidR="00530AB4">
        <w:t xml:space="preserve">Model 1006NT </w:t>
      </w:r>
      <w:r w:rsidR="00D975FD" w:rsidRPr="00A41CAD">
        <w:t xml:space="preserve">(Great Plains Manufacturing, Inc., Salina, KS) </w:t>
      </w:r>
      <w:r w:rsidRPr="00A41CAD">
        <w:t xml:space="preserve">no-till drill with 19.1-cm row spacing.  </w:t>
      </w:r>
      <w:r w:rsidRPr="00A41CAD">
        <w:rPr>
          <w:rFonts w:cs="Times New Roman"/>
          <w:lang w:val="en"/>
        </w:rPr>
        <w:t>Pure live seeding (PLS) rates ha</w:t>
      </w:r>
      <w:r w:rsidRPr="00A41CAD">
        <w:rPr>
          <w:rFonts w:cs="Times New Roman"/>
          <w:vertAlign w:val="superscript"/>
          <w:lang w:val="en"/>
        </w:rPr>
        <w:t>-1</w:t>
      </w:r>
      <w:r w:rsidRPr="00A41CAD">
        <w:rPr>
          <w:rFonts w:cs="Times New Roman"/>
          <w:lang w:val="en"/>
        </w:rPr>
        <w:t xml:space="preserve"> were: 125.4 kg cereal rye (monoculture) and 94.1 kg cereal rye, 1.1 kg turnip, 0.6 kg rape, 4.5 kg ‘Frosty’ berseem clover, and 5.6 kg ‘Dixie’ crimson clover (polyculture).  Cool-season annuals </w:t>
      </w:r>
      <w:r>
        <w:rPr>
          <w:rFonts w:cs="Times New Roman"/>
          <w:lang w:val="en"/>
        </w:rPr>
        <w:t xml:space="preserve">received </w:t>
      </w:r>
      <w:r w:rsidR="006F208A">
        <w:rPr>
          <w:rFonts w:cs="Times New Roman"/>
          <w:lang w:val="en"/>
        </w:rPr>
        <w:t xml:space="preserve">two applications (November and February) of </w:t>
      </w:r>
      <w:r w:rsidRPr="00A41CAD">
        <w:t>33.6 kg N ha</w:t>
      </w:r>
      <w:r w:rsidRPr="00A41CAD">
        <w:rPr>
          <w:vertAlign w:val="superscript"/>
        </w:rPr>
        <w:t>-1</w:t>
      </w:r>
      <w:r w:rsidRPr="00A41CAD">
        <w:t xml:space="preserve"> in the </w:t>
      </w:r>
      <w:r w:rsidRPr="00A41CAD">
        <w:rPr>
          <w:rFonts w:cs="Times New Roman"/>
          <w:lang w:val="en"/>
        </w:rPr>
        <w:t>form of urea [CO(NH</w:t>
      </w:r>
      <w:r w:rsidRPr="00A41CAD">
        <w:rPr>
          <w:rFonts w:cs="Times New Roman"/>
          <w:vertAlign w:val="subscript"/>
          <w:lang w:val="en"/>
        </w:rPr>
        <w:t>2</w:t>
      </w:r>
      <w:r w:rsidRPr="00A41CAD">
        <w:rPr>
          <w:rFonts w:cs="Times New Roman"/>
          <w:lang w:val="en"/>
        </w:rPr>
        <w:t>)</w:t>
      </w:r>
      <w:r w:rsidRPr="00A41CAD">
        <w:rPr>
          <w:rFonts w:cs="Times New Roman"/>
          <w:vertAlign w:val="subscript"/>
          <w:lang w:val="en"/>
        </w:rPr>
        <w:t>2</w:t>
      </w:r>
      <w:r w:rsidRPr="00A41CAD">
        <w:rPr>
          <w:rFonts w:cs="Times New Roman"/>
          <w:lang w:val="en"/>
        </w:rPr>
        <w:t>] with a urease inhibitor</w:t>
      </w:r>
      <w:r w:rsidR="006F208A">
        <w:rPr>
          <w:rFonts w:cs="Times New Roman"/>
          <w:lang w:val="en"/>
        </w:rPr>
        <w:t xml:space="preserve"> </w:t>
      </w:r>
      <w:r w:rsidR="004D6DE1">
        <w:rPr>
          <w:rFonts w:cs="Times New Roman"/>
          <w:lang w:val="en"/>
        </w:rPr>
        <w:t>and 39.2 kg K</w:t>
      </w:r>
      <w:r w:rsidR="004D6DE1" w:rsidRPr="004D6DE1">
        <w:rPr>
          <w:rFonts w:cs="Times New Roman"/>
          <w:vertAlign w:val="subscript"/>
          <w:lang w:val="en"/>
        </w:rPr>
        <w:t>2</w:t>
      </w:r>
      <w:r w:rsidR="004D6DE1">
        <w:rPr>
          <w:rFonts w:cs="Times New Roman"/>
          <w:lang w:val="en"/>
        </w:rPr>
        <w:t>O ha</w:t>
      </w:r>
      <w:r w:rsidR="004D6DE1" w:rsidRPr="004D6DE1">
        <w:rPr>
          <w:rFonts w:cs="Times New Roman"/>
          <w:vertAlign w:val="superscript"/>
          <w:lang w:val="en"/>
        </w:rPr>
        <w:t>-1</w:t>
      </w:r>
      <w:r w:rsidR="004D6DE1">
        <w:rPr>
          <w:rFonts w:cs="Times New Roman"/>
          <w:lang w:val="en"/>
        </w:rPr>
        <w:t xml:space="preserve"> </w:t>
      </w:r>
      <w:r w:rsidRPr="00A41CAD">
        <w:rPr>
          <w:rFonts w:cs="Times New Roman"/>
          <w:lang w:val="en"/>
        </w:rPr>
        <w:t>prior to each CSA grazing season.</w:t>
      </w:r>
    </w:p>
    <w:p w14:paraId="0B236E5E" w14:textId="4B07A9CF" w:rsidR="00FD6EC7" w:rsidRPr="00BE6C2B" w:rsidRDefault="00FD6EC7" w:rsidP="00BE6C2B">
      <w:pPr>
        <w:pStyle w:val="Heading3"/>
      </w:pPr>
      <w:bookmarkStart w:id="42" w:name="_Toc72026018"/>
      <w:bookmarkStart w:id="43" w:name="_Toc72305382"/>
      <w:r w:rsidRPr="00BE6C2B">
        <w:rPr>
          <w:rStyle w:val="BookTitle"/>
          <w:b/>
          <w:bCs/>
          <w:i w:val="0"/>
          <w:iCs/>
          <w:spacing w:val="0"/>
        </w:rPr>
        <w:t>Animal Management and Measurement</w:t>
      </w:r>
      <w:bookmarkEnd w:id="42"/>
      <w:r w:rsidR="0019206D" w:rsidRPr="00BE6C2B">
        <w:rPr>
          <w:rStyle w:val="BookTitle"/>
          <w:b/>
          <w:bCs/>
          <w:i w:val="0"/>
          <w:iCs/>
          <w:spacing w:val="0"/>
        </w:rPr>
        <w:t>s</w:t>
      </w:r>
      <w:bookmarkEnd w:id="43"/>
    </w:p>
    <w:p w14:paraId="556B6083" w14:textId="143B72C6" w:rsidR="00367172" w:rsidRPr="00A41CAD" w:rsidRDefault="00AC066A" w:rsidP="006F5A97">
      <w:pPr>
        <w:autoSpaceDE w:val="0"/>
        <w:autoSpaceDN w:val="0"/>
        <w:adjustRightInd w:val="0"/>
        <w:spacing w:after="100" w:afterAutospacing="1"/>
        <w:ind w:firstLine="720"/>
        <w:rPr>
          <w:rFonts w:cs="Times New Roman"/>
        </w:rPr>
      </w:pPr>
      <w:r>
        <w:t>Grazing only occurred during the cool-season because management objectives w</w:t>
      </w:r>
      <w:r w:rsidR="00B559F6">
        <w:t>ere focused on</w:t>
      </w:r>
      <w:r>
        <w:t xml:space="preserve"> warm-season grass hay</w:t>
      </w:r>
      <w:r w:rsidR="000774B3">
        <w:t xml:space="preserve"> production</w:t>
      </w:r>
      <w:r>
        <w:t xml:space="preserve">.  </w:t>
      </w:r>
      <w:r w:rsidR="00821CB4" w:rsidRPr="00A41CAD">
        <w:t>Black Angus</w:t>
      </w:r>
      <w:r w:rsidR="003F4331">
        <w:t>/Angus-cross</w:t>
      </w:r>
      <w:r w:rsidR="00821CB4" w:rsidRPr="00A41CAD">
        <w:t xml:space="preserve"> cow-calf pairs were used for c</w:t>
      </w:r>
      <w:r w:rsidR="00367172" w:rsidRPr="00A41CAD">
        <w:t>ool-season grazing</w:t>
      </w:r>
      <w:r w:rsidR="00821CB4" w:rsidRPr="00A41CAD">
        <w:t>.  Grazing</w:t>
      </w:r>
      <w:r w:rsidR="00367172" w:rsidRPr="00A41CAD">
        <w:t xml:space="preserve"> </w:t>
      </w:r>
      <w:r w:rsidR="00FD6EC7" w:rsidRPr="00A41CAD">
        <w:t xml:space="preserve">commenced </w:t>
      </w:r>
      <w:r w:rsidR="00120512" w:rsidRPr="00A41CAD">
        <w:t xml:space="preserve">on 2 April 2019 and 9 March 2020 </w:t>
      </w:r>
      <w:r w:rsidR="00367172" w:rsidRPr="00A41CAD">
        <w:t>based on CSA forage availability</w:t>
      </w:r>
      <w:r w:rsidR="00120512" w:rsidRPr="00A41CAD">
        <w:t>.</w:t>
      </w:r>
      <w:r w:rsidR="00367172" w:rsidRPr="00A41CAD">
        <w:t xml:space="preserve">  </w:t>
      </w:r>
      <w:r w:rsidR="00120512" w:rsidRPr="00A41CAD">
        <w:t xml:space="preserve">Grazing ended on 2 May 2019 and 15 April 2020.  </w:t>
      </w:r>
      <w:r w:rsidR="00916B6C" w:rsidRPr="00A41CAD">
        <w:t>Grazing days ha</w:t>
      </w:r>
      <w:r w:rsidR="00916B6C" w:rsidRPr="00A41CAD">
        <w:rPr>
          <w:vertAlign w:val="superscript"/>
        </w:rPr>
        <w:t>-1</w:t>
      </w:r>
      <w:r w:rsidR="00916B6C" w:rsidRPr="00A41CAD">
        <w:t xml:space="preserve"> were recorded for both studies based on CSA treatments (Table 1.1).  </w:t>
      </w:r>
      <w:r w:rsidR="000052D7">
        <w:t>In 2019, f</w:t>
      </w:r>
      <w:r w:rsidR="00784EF7" w:rsidRPr="00A41CAD">
        <w:t>ive cow-calf pairs</w:t>
      </w:r>
      <w:r w:rsidR="00120512" w:rsidRPr="00A41CAD">
        <w:t xml:space="preserve"> </w:t>
      </w:r>
      <w:r w:rsidR="00FB3991">
        <w:t>per</w:t>
      </w:r>
      <w:r w:rsidR="00FB3991" w:rsidRPr="00A41CAD">
        <w:t xml:space="preserve"> CSA treatment </w:t>
      </w:r>
      <w:r w:rsidR="00120512" w:rsidRPr="00A41CAD">
        <w:t>rotationally grazed</w:t>
      </w:r>
      <w:r w:rsidR="00D90893" w:rsidRPr="00A41CAD">
        <w:t xml:space="preserve"> </w:t>
      </w:r>
      <w:r w:rsidR="00784EF7" w:rsidRPr="00A41CAD">
        <w:t xml:space="preserve">pastures </w:t>
      </w:r>
      <w:r w:rsidR="00821CB4" w:rsidRPr="00A41CAD">
        <w:t xml:space="preserve">for </w:t>
      </w:r>
      <w:r w:rsidR="003F4331">
        <w:t>both experiments</w:t>
      </w:r>
      <w:r w:rsidR="00821CB4" w:rsidRPr="00A41CAD">
        <w:t xml:space="preserve">. </w:t>
      </w:r>
      <w:r w:rsidR="00367172" w:rsidRPr="00A41CAD">
        <w:t xml:space="preserve"> </w:t>
      </w:r>
      <w:r w:rsidR="00916B6C" w:rsidRPr="00A41CAD">
        <w:t xml:space="preserve">In 2020, </w:t>
      </w:r>
      <w:r w:rsidR="00784EF7" w:rsidRPr="00A41CAD">
        <w:t xml:space="preserve">two cow-calf pairs </w:t>
      </w:r>
      <w:r w:rsidR="00FB3991">
        <w:t xml:space="preserve">(n = 16 for SG and n = 12 for BBIG) </w:t>
      </w:r>
      <w:r w:rsidR="00784EF7" w:rsidRPr="00A41CAD">
        <w:t xml:space="preserve">grazed each pasture for the duration of the CSA grazing period.  </w:t>
      </w:r>
      <w:r w:rsidR="00FB3991">
        <w:t>T</w:t>
      </w:r>
      <w:r w:rsidR="00784EF7" w:rsidRPr="00A41CAD">
        <w:t xml:space="preserve">wo </w:t>
      </w:r>
      <w:r w:rsidR="00FB3991">
        <w:t>a</w:t>
      </w:r>
      <w:r w:rsidR="00FB3991" w:rsidRPr="00A41CAD">
        <w:t xml:space="preserve">dditional </w:t>
      </w:r>
      <w:r w:rsidR="00784EF7" w:rsidRPr="00A41CAD">
        <w:t xml:space="preserve">pairs were added to one cereal rye treatment pasture due to forage availability.  </w:t>
      </w:r>
      <w:r w:rsidR="00120512" w:rsidRPr="00A41CAD">
        <w:rPr>
          <w:rFonts w:cs="Times New Roman"/>
        </w:rPr>
        <w:t xml:space="preserve">Animals had </w:t>
      </w:r>
      <w:r w:rsidR="00821CB4" w:rsidRPr="00A41CAD">
        <w:rPr>
          <w:rFonts w:cs="Times New Roman"/>
        </w:rPr>
        <w:lastRenderedPageBreak/>
        <w:t xml:space="preserve">access to the entire pasture for grazing and </w:t>
      </w:r>
      <w:r w:rsidR="00120512" w:rsidRPr="00A41CAD">
        <w:rPr>
          <w:rFonts w:cs="Times New Roman"/>
          <w:i/>
          <w:iCs/>
        </w:rPr>
        <w:t>ad libitum</w:t>
      </w:r>
      <w:r w:rsidR="00120512" w:rsidRPr="00A41CAD">
        <w:rPr>
          <w:rFonts w:cs="Times New Roman"/>
        </w:rPr>
        <w:t xml:space="preserve"> </w:t>
      </w:r>
      <w:r w:rsidR="00821CB4" w:rsidRPr="00A41CAD">
        <w:rPr>
          <w:rFonts w:cs="Times New Roman"/>
        </w:rPr>
        <w:t>availability</w:t>
      </w:r>
      <w:r w:rsidR="00120512" w:rsidRPr="00A41CAD">
        <w:rPr>
          <w:rFonts w:cs="Times New Roman"/>
        </w:rPr>
        <w:t xml:space="preserve"> to mineral, water, and shade.</w:t>
      </w:r>
      <w:r w:rsidR="0010438A" w:rsidRPr="00A41CAD">
        <w:rPr>
          <w:rFonts w:cs="Times New Roman"/>
        </w:rPr>
        <w:t xml:space="preserve">  </w:t>
      </w:r>
      <w:r w:rsidR="00D90893" w:rsidRPr="00A41CAD">
        <w:t>Mean initial body weight (IBW)</w:t>
      </w:r>
      <w:r w:rsidR="00821CB4" w:rsidRPr="00A41CAD">
        <w:t xml:space="preserve"> (</w:t>
      </w:r>
      <w:r w:rsidR="00821CB4" w:rsidRPr="00A41CAD">
        <w:rPr>
          <w:rFonts w:cs="Times New Roman"/>
        </w:rPr>
        <w:t>±SE)</w:t>
      </w:r>
      <w:r w:rsidR="00D90893" w:rsidRPr="00A41CAD">
        <w:t xml:space="preserve"> of cow</w:t>
      </w:r>
      <w:r w:rsidR="00821CB4" w:rsidRPr="00A41CAD">
        <w:t>-</w:t>
      </w:r>
      <w:r w:rsidR="00D90893" w:rsidRPr="00A41CAD">
        <w:t>calf pairs was 547.6</w:t>
      </w:r>
      <w:r w:rsidR="00821CB4" w:rsidRPr="00A41CAD">
        <w:t xml:space="preserve"> </w:t>
      </w:r>
      <w:r w:rsidR="00821CB4" w:rsidRPr="00A41CAD">
        <w:rPr>
          <w:rFonts w:cs="Times New Roman"/>
        </w:rPr>
        <w:t>± 11.5</w:t>
      </w:r>
      <w:r w:rsidR="00D90893" w:rsidRPr="00A41CAD">
        <w:t xml:space="preserve"> and 549.1</w:t>
      </w:r>
      <w:r w:rsidR="00821CB4" w:rsidRPr="00A41CAD">
        <w:t xml:space="preserve"> </w:t>
      </w:r>
      <w:r w:rsidR="00821CB4" w:rsidRPr="00A41CAD">
        <w:rPr>
          <w:rFonts w:cs="Times New Roman"/>
        </w:rPr>
        <w:t>± 8.6</w:t>
      </w:r>
      <w:r w:rsidR="00D90893" w:rsidRPr="00A41CAD">
        <w:t xml:space="preserve"> kg </w:t>
      </w:r>
      <w:r w:rsidR="003F4331">
        <w:t xml:space="preserve">for cows </w:t>
      </w:r>
      <w:r w:rsidR="00D90893" w:rsidRPr="00A41CAD">
        <w:t xml:space="preserve">in </w:t>
      </w:r>
      <w:r w:rsidR="00821CB4" w:rsidRPr="00A41CAD">
        <w:t xml:space="preserve">2019 and </w:t>
      </w:r>
      <w:r w:rsidR="00D90893" w:rsidRPr="00A41CAD">
        <w:t>2020</w:t>
      </w:r>
      <w:r w:rsidR="00821CB4" w:rsidRPr="00A41CAD">
        <w:t xml:space="preserve">, respectively, and 33.2 </w:t>
      </w:r>
      <w:r w:rsidR="00821CB4" w:rsidRPr="00A41CAD">
        <w:rPr>
          <w:rFonts w:cs="Times New Roman"/>
        </w:rPr>
        <w:t xml:space="preserve">± 1.4 and 72.2 ± 4.5 kg </w:t>
      </w:r>
      <w:r w:rsidR="003F4331">
        <w:rPr>
          <w:rFonts w:cs="Times New Roman"/>
        </w:rPr>
        <w:t xml:space="preserve">for calves </w:t>
      </w:r>
      <w:r w:rsidR="00821CB4" w:rsidRPr="00A41CAD">
        <w:rPr>
          <w:rFonts w:cs="Times New Roman"/>
        </w:rPr>
        <w:t>in 2019 and 2020, respectively</w:t>
      </w:r>
      <w:r w:rsidR="00C01DBE" w:rsidRPr="00A41CAD">
        <w:t xml:space="preserve">.  </w:t>
      </w:r>
      <w:r w:rsidR="00A61978" w:rsidRPr="00A41CAD">
        <w:rPr>
          <w:rFonts w:cs="Times New Roman"/>
        </w:rPr>
        <w:t>Animal care adhered to UT-Institutional Animal Care and Use protocols No. 2258-0417 and No. 2258-0320.</w:t>
      </w:r>
    </w:p>
    <w:p w14:paraId="6407301B" w14:textId="000A41DF" w:rsidR="00120512" w:rsidRPr="00BE6C2B" w:rsidRDefault="00120512" w:rsidP="00BE6C2B">
      <w:pPr>
        <w:pStyle w:val="Heading3"/>
        <w:rPr>
          <w:rStyle w:val="BookTitle"/>
          <w:b/>
          <w:bCs/>
          <w:i w:val="0"/>
          <w:iCs/>
          <w:spacing w:val="0"/>
        </w:rPr>
      </w:pPr>
      <w:bookmarkStart w:id="44" w:name="_Toc72026019"/>
      <w:bookmarkStart w:id="45" w:name="_Toc72305383"/>
      <w:r w:rsidRPr="00BE6C2B">
        <w:rPr>
          <w:rStyle w:val="BookTitle"/>
          <w:b/>
          <w:bCs/>
          <w:i w:val="0"/>
          <w:iCs/>
          <w:spacing w:val="0"/>
        </w:rPr>
        <w:t>Pasture Management</w:t>
      </w:r>
      <w:r w:rsidR="00FB0E47" w:rsidRPr="00BE6C2B">
        <w:rPr>
          <w:rStyle w:val="BookTitle"/>
          <w:b/>
          <w:bCs/>
          <w:i w:val="0"/>
          <w:iCs/>
          <w:spacing w:val="0"/>
        </w:rPr>
        <w:t xml:space="preserve"> and Measurement</w:t>
      </w:r>
      <w:bookmarkEnd w:id="44"/>
      <w:r w:rsidR="0019206D" w:rsidRPr="00BE6C2B">
        <w:rPr>
          <w:rStyle w:val="BookTitle"/>
          <w:b/>
          <w:bCs/>
          <w:i w:val="0"/>
          <w:iCs/>
          <w:spacing w:val="0"/>
        </w:rPr>
        <w:t>s</w:t>
      </w:r>
      <w:bookmarkEnd w:id="45"/>
    </w:p>
    <w:p w14:paraId="4259DA1A" w14:textId="3351E684" w:rsidR="00367172" w:rsidRPr="00A41CAD" w:rsidRDefault="00015EB3" w:rsidP="00367172">
      <w:pPr>
        <w:autoSpaceDE w:val="0"/>
        <w:autoSpaceDN w:val="0"/>
        <w:adjustRightInd w:val="0"/>
        <w:ind w:firstLine="720"/>
      </w:pPr>
      <w:r>
        <w:t xml:space="preserve">Prior to CSA grazing, </w:t>
      </w:r>
      <w:r w:rsidR="00367172" w:rsidRPr="00A41CAD">
        <w:t>C</w:t>
      </w:r>
      <w:r>
        <w:t>SA</w:t>
      </w:r>
      <w:r w:rsidR="00367172" w:rsidRPr="00A41CAD">
        <w:t xml:space="preserve"> stands w</w:t>
      </w:r>
      <w:r w:rsidR="00D005CD" w:rsidRPr="00A41CAD">
        <w:t>ere</w:t>
      </w:r>
      <w:r w:rsidR="00367172" w:rsidRPr="00A41CAD">
        <w:t xml:space="preserve"> characterized by </w:t>
      </w:r>
      <w:r w:rsidR="001C5B03" w:rsidRPr="00A41CAD">
        <w:t xml:space="preserve">CSA plant cover </w:t>
      </w:r>
      <w:r w:rsidR="004F3B47" w:rsidRPr="00A41CAD">
        <w:t>(Table 1.2)</w:t>
      </w:r>
      <w:r w:rsidR="00367172" w:rsidRPr="00A41CAD">
        <w:t xml:space="preserve">, </w:t>
      </w:r>
      <w:r w:rsidR="001C5B03" w:rsidRPr="00A41CAD">
        <w:t xml:space="preserve">CSA plant density </w:t>
      </w:r>
      <w:r w:rsidR="004F3B47" w:rsidRPr="00A41CAD">
        <w:t>(Table 1.</w:t>
      </w:r>
      <w:r w:rsidR="001C5B03">
        <w:t>3</w:t>
      </w:r>
      <w:r w:rsidR="004F3B47" w:rsidRPr="00A41CAD">
        <w:t>)</w:t>
      </w:r>
      <w:r w:rsidR="00864EDD" w:rsidRPr="00A41CAD">
        <w:t xml:space="preserve">, </w:t>
      </w:r>
      <w:r w:rsidR="00367172" w:rsidRPr="00A41CAD">
        <w:t>and nutritive value</w:t>
      </w:r>
      <w:r w:rsidR="009B0A4E" w:rsidRPr="00A41CAD">
        <w:t xml:space="preserve"> (Table 1.</w:t>
      </w:r>
      <w:r w:rsidR="00864EDD" w:rsidRPr="00A41CAD">
        <w:t>4</w:t>
      </w:r>
      <w:r w:rsidR="009B0A4E" w:rsidRPr="00A41CAD">
        <w:t>)</w:t>
      </w:r>
      <w:r w:rsidR="00367172" w:rsidRPr="00A41CAD">
        <w:t xml:space="preserve">.  </w:t>
      </w:r>
      <w:r w:rsidR="00FE2F93">
        <w:t>P</w:t>
      </w:r>
      <w:r w:rsidR="00FE2F93" w:rsidRPr="00A41CAD">
        <w:t>lant cover was measured using a 0.20-m</w:t>
      </w:r>
      <w:r w:rsidR="00FE2F93" w:rsidRPr="00A41CAD">
        <w:rPr>
          <w:vertAlign w:val="superscript"/>
        </w:rPr>
        <w:t>2</w:t>
      </w:r>
      <w:r w:rsidR="00FE2F93" w:rsidRPr="00A41CAD">
        <w:t xml:space="preserve"> frequency grid (Vogel</w:t>
      </w:r>
      <w:r w:rsidR="00AF4771">
        <w:t xml:space="preserve"> &amp;</w:t>
      </w:r>
      <w:r w:rsidR="00FE2F93" w:rsidRPr="00A41CAD">
        <w:t xml:space="preserve"> Master, 2001) at </w:t>
      </w:r>
      <w:r w:rsidR="00A45959">
        <w:t>2</w:t>
      </w:r>
      <w:r w:rsidR="00FE2F93" w:rsidRPr="00A41CAD">
        <w:t xml:space="preserve">0 random locations within each CSA treatment in each pasture.  </w:t>
      </w:r>
      <w:r w:rsidR="002223BF" w:rsidRPr="00A41CAD">
        <w:t>Plant density was</w:t>
      </w:r>
      <w:r w:rsidR="00367172" w:rsidRPr="00A41CAD">
        <w:t xml:space="preserve"> assessed </w:t>
      </w:r>
      <w:r w:rsidR="00DD7A9B" w:rsidRPr="00A41CAD">
        <w:t xml:space="preserve">annually </w:t>
      </w:r>
      <w:r w:rsidR="00367172" w:rsidRPr="00A41CAD">
        <w:t xml:space="preserve">prior to initiation of grazing by counting plants </w:t>
      </w:r>
      <w:r w:rsidR="001C5B03">
        <w:t xml:space="preserve">within the same </w:t>
      </w:r>
      <w:r w:rsidR="00A45959">
        <w:t>2</w:t>
      </w:r>
      <w:r w:rsidR="001C5B03">
        <w:t xml:space="preserve">0 random </w:t>
      </w:r>
      <w:r w:rsidR="00367172" w:rsidRPr="00A41CAD">
        <w:t>0.20 m</w:t>
      </w:r>
      <w:r w:rsidR="00367172" w:rsidRPr="00A41CAD">
        <w:rPr>
          <w:vertAlign w:val="superscript"/>
        </w:rPr>
        <w:t>2</w:t>
      </w:r>
      <w:r w:rsidR="00367172" w:rsidRPr="00A41CAD">
        <w:t xml:space="preserve"> </w:t>
      </w:r>
      <w:r w:rsidR="001C5B03">
        <w:t>locations</w:t>
      </w:r>
      <w:r w:rsidR="00367172" w:rsidRPr="00A41CAD">
        <w:t>.  Counts w</w:t>
      </w:r>
      <w:r w:rsidR="00D005CD" w:rsidRPr="00A41CAD">
        <w:t>ere</w:t>
      </w:r>
      <w:r w:rsidR="00367172" w:rsidRPr="00A41CAD">
        <w:t xml:space="preserve"> taken </w:t>
      </w:r>
      <w:r w:rsidR="001B559F" w:rsidRPr="00A41CAD">
        <w:rPr>
          <w:rFonts w:cs="Times New Roman"/>
        </w:rPr>
        <w:t>≥</w:t>
      </w:r>
      <w:r w:rsidR="00367172" w:rsidRPr="00A41CAD">
        <w:t xml:space="preserve">4 m from the boundary of another treatment, fence, shade, or other heavily traveled area. </w:t>
      </w:r>
      <w:r w:rsidR="002223BF" w:rsidRPr="00A41CAD">
        <w:t xml:space="preserve"> </w:t>
      </w:r>
      <w:r w:rsidR="00367172" w:rsidRPr="00A41CAD">
        <w:t xml:space="preserve">Concurrent with plant counts, </w:t>
      </w:r>
      <w:r w:rsidR="005B7A7C">
        <w:t xml:space="preserve">CSA </w:t>
      </w:r>
      <w:r w:rsidR="00367172" w:rsidRPr="00A41CAD">
        <w:t>forage samples w</w:t>
      </w:r>
      <w:r w:rsidR="00D005CD" w:rsidRPr="00A41CAD">
        <w:t>ere</w:t>
      </w:r>
      <w:r w:rsidR="00367172" w:rsidRPr="00A41CAD">
        <w:t xml:space="preserve"> </w:t>
      </w:r>
      <w:r w:rsidR="00C07845" w:rsidRPr="00A41CAD">
        <w:t xml:space="preserve">collected at a 5-cm stubble height </w:t>
      </w:r>
      <w:r w:rsidR="00367172" w:rsidRPr="00A41CAD">
        <w:t xml:space="preserve">for </w:t>
      </w:r>
      <w:r w:rsidR="00C07845" w:rsidRPr="00A41CAD">
        <w:t xml:space="preserve">forage nutritive value </w:t>
      </w:r>
      <w:r w:rsidR="00367172" w:rsidRPr="00A41CAD">
        <w:t>analysis using near-infrared reflectance spectroscopy</w:t>
      </w:r>
      <w:r w:rsidR="00B559F6">
        <w:t xml:space="preserve"> (NIRS)</w:t>
      </w:r>
      <w:r w:rsidR="00367172" w:rsidRPr="00A41CAD">
        <w:t>.</w:t>
      </w:r>
    </w:p>
    <w:p w14:paraId="2EB6B046" w14:textId="14C4CD43" w:rsidR="0078071A" w:rsidRPr="00A41CAD" w:rsidRDefault="00C07845" w:rsidP="00367172">
      <w:pPr>
        <w:autoSpaceDE w:val="0"/>
        <w:autoSpaceDN w:val="0"/>
        <w:adjustRightInd w:val="0"/>
        <w:ind w:firstLine="720"/>
      </w:pPr>
      <w:r w:rsidRPr="00A41CAD">
        <w:t>Annually</w:t>
      </w:r>
      <w:r w:rsidR="005B7A7C">
        <w:t>,</w:t>
      </w:r>
      <w:r w:rsidRPr="00A41CAD">
        <w:t xml:space="preserve"> </w:t>
      </w:r>
      <w:r w:rsidR="00AE4155">
        <w:t>standing</w:t>
      </w:r>
      <w:r w:rsidR="003A75FE" w:rsidRPr="00A41CAD">
        <w:t xml:space="preserve"> </w:t>
      </w:r>
      <w:r w:rsidR="00AE4155">
        <w:t xml:space="preserve">NWSG </w:t>
      </w:r>
      <w:r w:rsidR="003A75FE" w:rsidRPr="00A41CAD">
        <w:t xml:space="preserve">biomass </w:t>
      </w:r>
      <w:r w:rsidR="00AE4155">
        <w:t xml:space="preserve">was harvested for </w:t>
      </w:r>
      <w:r w:rsidR="00C65F04" w:rsidRPr="00A41CAD">
        <w:t xml:space="preserve">hay yield </w:t>
      </w:r>
      <w:r w:rsidR="003A75FE" w:rsidRPr="00A41CAD">
        <w:t xml:space="preserve">to a 20-cm stubble height.  </w:t>
      </w:r>
      <w:r w:rsidR="00AE4155">
        <w:t>Hay</w:t>
      </w:r>
      <w:r w:rsidR="00E04E54">
        <w:t xml:space="preserve"> harvesting</w:t>
      </w:r>
      <w:r w:rsidR="00AE4155">
        <w:t xml:space="preserve"> equipment included: John Deere</w:t>
      </w:r>
      <w:r w:rsidR="00007300">
        <w:t xml:space="preserve"> 4-basket fold-up hay tedder, and 557 1.5 m x 1.5 m mega wide baler</w:t>
      </w:r>
      <w:r w:rsidR="00AE4155">
        <w:t xml:space="preserve"> (Deere &amp; Company, Moline, IL)</w:t>
      </w:r>
      <w:r w:rsidR="00007300">
        <w:t xml:space="preserve">, Kuhn FC 313 RTG disc mower conditioner (Kuhn North America, Inc., Brodhead, WI), </w:t>
      </w:r>
      <w:r w:rsidR="00E04E54">
        <w:t xml:space="preserve">and </w:t>
      </w:r>
      <w:r w:rsidR="00007300">
        <w:t xml:space="preserve">Durabilt </w:t>
      </w:r>
      <w:r w:rsidR="00E04E54">
        <w:t>HC-3110 10-wheel hay rake (Durabilt Industries, LLC</w:t>
      </w:r>
      <w:r w:rsidR="0019413E">
        <w:t>.</w:t>
      </w:r>
      <w:r w:rsidR="00E04E54">
        <w:t xml:space="preserve">, Pocahontas, AR).  </w:t>
      </w:r>
      <w:r w:rsidR="00AE4155">
        <w:t xml:space="preserve">Harvests were </w:t>
      </w:r>
      <w:r w:rsidR="00035B22">
        <w:t>conducted consistently</w:t>
      </w:r>
      <w:r w:rsidR="00AE4155">
        <w:t xml:space="preserve"> </w:t>
      </w:r>
      <w:r w:rsidR="00035B22">
        <w:t>on</w:t>
      </w:r>
      <w:r w:rsidR="00AE4155">
        <w:t xml:space="preserve"> all experimental units to avoid bias</w:t>
      </w:r>
      <w:r w:rsidR="0077480D">
        <w:t xml:space="preserve">ing </w:t>
      </w:r>
      <w:r w:rsidR="00AE4155">
        <w:t xml:space="preserve">N and CSA treatment effects on stand vigor. </w:t>
      </w:r>
      <w:r w:rsidR="00AE4155" w:rsidRPr="00A41CAD">
        <w:t xml:space="preserve"> </w:t>
      </w:r>
      <w:r w:rsidR="003A75FE" w:rsidRPr="00A41CAD">
        <w:t xml:space="preserve">In 2019, </w:t>
      </w:r>
      <w:r w:rsidR="00972277">
        <w:t xml:space="preserve">a </w:t>
      </w:r>
      <w:r w:rsidR="003A75FE" w:rsidRPr="00A41CAD">
        <w:t xml:space="preserve">warm-season </w:t>
      </w:r>
      <w:r w:rsidR="005B7A7C">
        <w:t xml:space="preserve">harvest </w:t>
      </w:r>
      <w:r w:rsidR="003A75FE" w:rsidRPr="00A41CAD">
        <w:t xml:space="preserve">occurred on 22 </w:t>
      </w:r>
      <w:r w:rsidR="003A75FE" w:rsidRPr="00A41CAD">
        <w:lastRenderedPageBreak/>
        <w:t xml:space="preserve">July for both SG and BBIG.  </w:t>
      </w:r>
      <w:r w:rsidR="0019413E">
        <w:t xml:space="preserve">Regrowth of NWSG following initial harvest in 2019 </w:t>
      </w:r>
      <w:r w:rsidR="00083158">
        <w:t xml:space="preserve">was minimal enough that it </w:t>
      </w:r>
      <w:r w:rsidR="0019413E">
        <w:t xml:space="preserve">did not warrant hay </w:t>
      </w:r>
      <w:r w:rsidR="00083158">
        <w:t xml:space="preserve">harvest </w:t>
      </w:r>
      <w:r w:rsidR="0019413E">
        <w:t xml:space="preserve">in September prior to CSA planting.  </w:t>
      </w:r>
      <w:r w:rsidR="003A75FE" w:rsidRPr="00A41CAD">
        <w:t xml:space="preserve">In 2020, harvests occurred on 13 July and 6 July for SG and BBIG, respectively, and again on 4 September for both.  </w:t>
      </w:r>
      <w:r w:rsidR="005601DE" w:rsidRPr="00A41CAD">
        <w:t>N</w:t>
      </w:r>
      <w:r w:rsidR="003A75FE" w:rsidRPr="00A41CAD">
        <w:t xml:space="preserve">umber </w:t>
      </w:r>
      <w:r w:rsidR="005601DE" w:rsidRPr="00A41CAD">
        <w:t xml:space="preserve">and </w:t>
      </w:r>
      <w:r w:rsidR="005B7A7C">
        <w:t xml:space="preserve">mass </w:t>
      </w:r>
      <w:r w:rsidR="0019413E">
        <w:t>(</w:t>
      </w:r>
      <w:r w:rsidR="0019413E" w:rsidRPr="0019413E">
        <w:t>Tru</w:t>
      </w:r>
      <w:r w:rsidR="0019413E">
        <w:t>-</w:t>
      </w:r>
      <w:r w:rsidR="0019413E" w:rsidRPr="0019413E">
        <w:t>Test</w:t>
      </w:r>
      <w:r w:rsidR="0019413E" w:rsidRPr="0019413E">
        <w:rPr>
          <w:rFonts w:cs="Times New Roman"/>
          <w:vertAlign w:val="superscript"/>
        </w:rPr>
        <w:t>™</w:t>
      </w:r>
      <w:r w:rsidR="0019413E">
        <w:t xml:space="preserve"> Scale EziWeigh7, Mineral Wells, TX) </w:t>
      </w:r>
      <w:r w:rsidR="005B7A7C">
        <w:t xml:space="preserve">of a subset (n = 10 per NWSG) harvested bales </w:t>
      </w:r>
      <w:r w:rsidR="003A75FE" w:rsidRPr="00A41CAD">
        <w:t>were rec</w:t>
      </w:r>
      <w:r w:rsidR="003A75FE" w:rsidRPr="006D0BF3">
        <w:t>orded</w:t>
      </w:r>
      <w:r w:rsidRPr="006D0BF3">
        <w:t>.</w:t>
      </w:r>
      <w:r w:rsidR="005C28C5" w:rsidRPr="006D0BF3">
        <w:t xml:space="preserve">  Following the July 2019 and 2020 </w:t>
      </w:r>
      <w:r w:rsidR="00360DD0" w:rsidRPr="006D0BF3">
        <w:t>hay harvests</w:t>
      </w:r>
      <w:r w:rsidR="005C28C5" w:rsidRPr="006D0BF3">
        <w:t>, hay core samples (n = 8) were collected from eight bales within each pasture</w:t>
      </w:r>
      <w:r w:rsidR="00360DD0" w:rsidRPr="006D0BF3">
        <w:t xml:space="preserve"> using a</w:t>
      </w:r>
      <w:r w:rsidR="006D0BF3" w:rsidRPr="006D0BF3">
        <w:t xml:space="preserve"> 45.7-cm (1.9-cm diameter) Model 2002 Colorado Hay Probe (UDY Corporation, Fort Collins, CO)</w:t>
      </w:r>
      <w:r w:rsidR="005C28C5" w:rsidRPr="006D0BF3">
        <w:t>.</w:t>
      </w:r>
      <w:r w:rsidR="005C28C5">
        <w:t xml:space="preserve"> </w:t>
      </w:r>
    </w:p>
    <w:p w14:paraId="0C10FD0D" w14:textId="10C9FE08" w:rsidR="00367172" w:rsidRPr="00A41CAD" w:rsidRDefault="00367172" w:rsidP="005A5A55">
      <w:pPr>
        <w:autoSpaceDE w:val="0"/>
        <w:autoSpaceDN w:val="0"/>
        <w:adjustRightInd w:val="0"/>
        <w:spacing w:after="100" w:afterAutospacing="1"/>
        <w:ind w:firstLine="720"/>
      </w:pPr>
      <w:r w:rsidRPr="00A41CAD">
        <w:t>Native WSG stands w</w:t>
      </w:r>
      <w:r w:rsidR="00D005CD" w:rsidRPr="00A41CAD">
        <w:t>ere</w:t>
      </w:r>
      <w:r w:rsidRPr="00A41CAD">
        <w:t xml:space="preserve"> assessed </w:t>
      </w:r>
      <w:r w:rsidR="00ED41CB" w:rsidRPr="00A41CAD">
        <w:t>annually (September-October)</w:t>
      </w:r>
      <w:r w:rsidRPr="00A41CAD">
        <w:t xml:space="preserve"> by counting plants on a 0.25 m</w:t>
      </w:r>
      <w:r w:rsidRPr="00A41CAD">
        <w:rPr>
          <w:vertAlign w:val="superscript"/>
        </w:rPr>
        <w:t>2</w:t>
      </w:r>
      <w:r w:rsidRPr="00A41CAD">
        <w:t xml:space="preserve"> basis at 10 random locations within each experimental unit (SG n = 32; BBIG n = 24).  </w:t>
      </w:r>
      <w:r w:rsidR="00467CCD" w:rsidRPr="00A41CAD">
        <w:t xml:space="preserve">Adjacent </w:t>
      </w:r>
      <w:r w:rsidR="00035B22">
        <w:t xml:space="preserve">grass </w:t>
      </w:r>
      <w:r w:rsidR="00467CCD" w:rsidRPr="00A41CAD">
        <w:t xml:space="preserve">bunches separated by </w:t>
      </w:r>
      <w:r w:rsidR="001B559F" w:rsidRPr="00A41CAD">
        <w:rPr>
          <w:rFonts w:cs="Times New Roman"/>
        </w:rPr>
        <w:t>≥</w:t>
      </w:r>
      <w:bookmarkStart w:id="46" w:name="_Hlk71150981"/>
      <w:r w:rsidR="00467CCD" w:rsidRPr="00A41CAD">
        <w:t xml:space="preserve">7.6 cm </w:t>
      </w:r>
      <w:bookmarkEnd w:id="46"/>
      <w:r w:rsidR="00467CCD" w:rsidRPr="00A41CAD">
        <w:t xml:space="preserve">at ground level were considered individual plants.  Plants were </w:t>
      </w:r>
      <w:r w:rsidR="005B7A7C">
        <w:t>tallied</w:t>
      </w:r>
      <w:r w:rsidR="00467CCD" w:rsidRPr="00A41CAD">
        <w:t xml:space="preserve"> if </w:t>
      </w:r>
      <w:r w:rsidR="00467CCD" w:rsidRPr="00A41CAD">
        <w:rPr>
          <w:rFonts w:cs="Times New Roman"/>
        </w:rPr>
        <w:t>≥</w:t>
      </w:r>
      <w:r w:rsidR="00467CCD" w:rsidRPr="00A41CAD">
        <w:t>50% of the crown was within the 0.25 m</w:t>
      </w:r>
      <w:r w:rsidR="00467CCD" w:rsidRPr="00A41CAD">
        <w:rPr>
          <w:vertAlign w:val="superscript"/>
        </w:rPr>
        <w:t>2</w:t>
      </w:r>
      <w:r w:rsidR="00467CCD" w:rsidRPr="00A41CAD">
        <w:t xml:space="preserve"> </w:t>
      </w:r>
      <w:r w:rsidR="00ED41CB" w:rsidRPr="00A41CAD">
        <w:t>quadrat</w:t>
      </w:r>
      <w:r w:rsidR="00467CCD" w:rsidRPr="00A41CAD">
        <w:t xml:space="preserve"> or if </w:t>
      </w:r>
      <w:r w:rsidR="00467CCD" w:rsidRPr="00A41CAD">
        <w:rPr>
          <w:rFonts w:cs="Times New Roman"/>
        </w:rPr>
        <w:t>≥</w:t>
      </w:r>
      <w:r w:rsidR="00467CCD" w:rsidRPr="00A41CAD">
        <w:t>50% of the 0.25 m</w:t>
      </w:r>
      <w:r w:rsidR="00467CCD" w:rsidRPr="00A41CAD">
        <w:rPr>
          <w:vertAlign w:val="superscript"/>
        </w:rPr>
        <w:t>2</w:t>
      </w:r>
      <w:r w:rsidR="00467CCD" w:rsidRPr="00A41CAD">
        <w:t xml:space="preserve"> </w:t>
      </w:r>
      <w:r w:rsidR="00ED41CB" w:rsidRPr="00A41CAD">
        <w:t>quadrat</w:t>
      </w:r>
      <w:r w:rsidR="00467CCD" w:rsidRPr="00A41CAD">
        <w:t xml:space="preserve"> was covered by the plant.  </w:t>
      </w:r>
      <w:r w:rsidR="00ED41CB" w:rsidRPr="00A41CAD">
        <w:t>For SG, t</w:t>
      </w:r>
      <w:r w:rsidRPr="00A41CAD">
        <w:t xml:space="preserve">illers </w:t>
      </w:r>
      <w:r w:rsidR="00F07289" w:rsidRPr="00A41CAD">
        <w:t>plant</w:t>
      </w:r>
      <w:r w:rsidR="00F07289" w:rsidRPr="00A41CAD">
        <w:rPr>
          <w:vertAlign w:val="superscript"/>
        </w:rPr>
        <w:t>-1</w:t>
      </w:r>
      <w:r w:rsidR="00F07289" w:rsidRPr="00A41CAD">
        <w:t xml:space="preserve"> </w:t>
      </w:r>
      <w:r w:rsidRPr="00A41CAD">
        <w:t>w</w:t>
      </w:r>
      <w:r w:rsidR="00D005CD" w:rsidRPr="00A41CAD">
        <w:t>ere</w:t>
      </w:r>
      <w:r w:rsidRPr="00A41CAD">
        <w:t xml:space="preserve"> counted</w:t>
      </w:r>
      <w:r w:rsidR="00ED41CB" w:rsidRPr="00A41CAD">
        <w:t xml:space="preserve"> </w:t>
      </w:r>
      <w:r w:rsidRPr="00A41CAD">
        <w:t xml:space="preserve">for </w:t>
      </w:r>
      <w:r w:rsidR="00ED41CB" w:rsidRPr="00A41CAD">
        <w:t xml:space="preserve">the SG plant </w:t>
      </w:r>
      <w:r w:rsidRPr="00A41CAD">
        <w:t xml:space="preserve">closest to the upper right corner of the </w:t>
      </w:r>
      <w:r w:rsidR="00ED41CB" w:rsidRPr="00A41CAD">
        <w:t xml:space="preserve">0.25 </w:t>
      </w:r>
      <w:r w:rsidRPr="00A41CAD">
        <w:t>m</w:t>
      </w:r>
      <w:r w:rsidRPr="00A41CAD">
        <w:rPr>
          <w:vertAlign w:val="superscript"/>
        </w:rPr>
        <w:t>2</w:t>
      </w:r>
      <w:r w:rsidR="00ED41CB" w:rsidRPr="00A41CAD">
        <w:t xml:space="preserve"> quadrat</w:t>
      </w:r>
      <w:r w:rsidR="005B7A7C">
        <w:t xml:space="preserve"> and categorized</w:t>
      </w:r>
      <w:r w:rsidRPr="00A41CAD">
        <w:t xml:space="preserve"> as follows: 1 (0-25</w:t>
      </w:r>
      <w:r w:rsidR="00ED41CB" w:rsidRPr="00A41CAD">
        <w:t xml:space="preserve"> tillers</w:t>
      </w:r>
      <w:r w:rsidRPr="00A41CAD">
        <w:t>), 2 (26-50</w:t>
      </w:r>
      <w:r w:rsidR="00ED41CB" w:rsidRPr="00A41CAD">
        <w:t xml:space="preserve"> tillers</w:t>
      </w:r>
      <w:r w:rsidRPr="00A41CAD">
        <w:t>), 3 (51-75</w:t>
      </w:r>
      <w:r w:rsidR="00ED41CB" w:rsidRPr="00A41CAD">
        <w:t xml:space="preserve"> tillers</w:t>
      </w:r>
      <w:r w:rsidRPr="00A41CAD">
        <w:t>), 4 (76-100</w:t>
      </w:r>
      <w:r w:rsidR="00ED41CB" w:rsidRPr="00A41CAD">
        <w:t xml:space="preserve"> tillers</w:t>
      </w:r>
      <w:r w:rsidRPr="00A41CAD">
        <w:t>), 5 (101-125</w:t>
      </w:r>
      <w:r w:rsidR="00ED41CB" w:rsidRPr="00A41CAD">
        <w:t xml:space="preserve"> tillers</w:t>
      </w:r>
      <w:r w:rsidRPr="00A41CAD">
        <w:t>), and 6 (&gt;126</w:t>
      </w:r>
      <w:r w:rsidR="00ED41CB" w:rsidRPr="00A41CAD">
        <w:t xml:space="preserve"> tillers</w:t>
      </w:r>
      <w:r w:rsidRPr="00A41CAD">
        <w:t xml:space="preserve">).  </w:t>
      </w:r>
    </w:p>
    <w:p w14:paraId="158645C7" w14:textId="5F48D936" w:rsidR="003426E0" w:rsidRPr="00A41CAD" w:rsidRDefault="00112735" w:rsidP="00BE6C2B">
      <w:pPr>
        <w:pStyle w:val="Heading2"/>
      </w:pPr>
      <w:bookmarkStart w:id="47" w:name="_Toc72026020"/>
      <w:bookmarkStart w:id="48" w:name="_Toc72305384"/>
      <w:r>
        <w:t>Nutritive Value</w:t>
      </w:r>
      <w:r w:rsidR="003426E0" w:rsidRPr="00A41CAD">
        <w:t xml:space="preserve"> Analysis</w:t>
      </w:r>
      <w:bookmarkEnd w:id="47"/>
      <w:bookmarkEnd w:id="48"/>
    </w:p>
    <w:p w14:paraId="2DD91624" w14:textId="4A933D32" w:rsidR="003426E0" w:rsidRPr="00A41CAD" w:rsidRDefault="003426E0" w:rsidP="005A5A55">
      <w:pPr>
        <w:autoSpaceDE w:val="0"/>
        <w:autoSpaceDN w:val="0"/>
        <w:adjustRightInd w:val="0"/>
        <w:spacing w:after="100" w:afterAutospacing="1"/>
        <w:ind w:firstLine="720"/>
      </w:pPr>
      <w:r w:rsidRPr="00A41CAD">
        <w:t xml:space="preserve">Following CSA sample </w:t>
      </w:r>
      <w:r w:rsidR="005C28C5">
        <w:t xml:space="preserve">and </w:t>
      </w:r>
      <w:r w:rsidR="00360DD0">
        <w:t xml:space="preserve">NWSG </w:t>
      </w:r>
      <w:r w:rsidR="005C28C5">
        <w:t xml:space="preserve">hay core sample </w:t>
      </w:r>
      <w:r w:rsidRPr="00A41CAD">
        <w:t xml:space="preserve">collections, </w:t>
      </w:r>
      <w:r w:rsidR="00112735">
        <w:t xml:space="preserve">collected samples were </w:t>
      </w:r>
      <w:r w:rsidRPr="00A41CAD">
        <w:t xml:space="preserve">dried at 55°C in a forced-air oven (Wisconsin Oven Corporation, East Troy, WI) for at least 72 hours.  Samples were then ground to pass a 1-mm screen in a Wiley mill (Thomas Scientific, Swedesboro, NJ) for forage nutritive value analysis.  Nutritive value estimates of CP, acid detergent fiber (ADF), amylase neutral detergent </w:t>
      </w:r>
      <w:r w:rsidRPr="00A41CAD">
        <w:lastRenderedPageBreak/>
        <w:t>fiber (aNDF), and</w:t>
      </w:r>
      <w:r w:rsidRPr="00A41CAD">
        <w:rPr>
          <w:i/>
          <w:iCs/>
        </w:rPr>
        <w:t xml:space="preserve"> in vitro</w:t>
      </w:r>
      <w:r w:rsidRPr="00A41CAD">
        <w:t xml:space="preserve"> true dry matter digestibility following a 48-hour incubation (</w:t>
      </w:r>
      <w:bookmarkStart w:id="49" w:name="_Hlk69672044"/>
      <w:r w:rsidRPr="00A41CAD">
        <w:t>IVTDMD48h</w:t>
      </w:r>
      <w:bookmarkEnd w:id="49"/>
      <w:r w:rsidRPr="00A41CAD">
        <w:t xml:space="preserve">) were predicted via NIRS using a SpectraStar 2600 XT-R using UScan software (Unity Scientific, Milford, MA).  The </w:t>
      </w:r>
      <w:r w:rsidRPr="007C631D">
        <w:t>2018 Grass Hay and Mixed Hay calibrations</w:t>
      </w:r>
      <w:r w:rsidRPr="00A41CAD">
        <w:t xml:space="preserve"> provided by the NIRS Forage and Feed Consortium (NIRSC, Hillsboro, WI) were standardized and checked for accuracy by the Global H statistical test comparing the scanned samples against the calibration (</w:t>
      </w:r>
      <w:r w:rsidRPr="00A41CAD">
        <w:rPr>
          <w:i/>
          <w:iCs/>
        </w:rPr>
        <w:t>H</w:t>
      </w:r>
      <w:r w:rsidRPr="00A41CAD">
        <w:t xml:space="preserve"> &lt; 3.0) and are reported accordingly (Murray and Cowe, 2004).</w:t>
      </w:r>
    </w:p>
    <w:p w14:paraId="5F7DE52B" w14:textId="77777777" w:rsidR="003426E0" w:rsidRPr="00A41CAD" w:rsidRDefault="003426E0" w:rsidP="00BE6C2B">
      <w:pPr>
        <w:pStyle w:val="Heading2"/>
      </w:pPr>
      <w:bookmarkStart w:id="50" w:name="_Toc72026021"/>
      <w:bookmarkStart w:id="51" w:name="_Toc72305385"/>
      <w:r w:rsidRPr="00A41CAD">
        <w:t>Statistical Analysis</w:t>
      </w:r>
      <w:bookmarkEnd w:id="50"/>
      <w:bookmarkEnd w:id="51"/>
    </w:p>
    <w:p w14:paraId="7107D7CE" w14:textId="0B386989" w:rsidR="00A35114" w:rsidRDefault="003426E0" w:rsidP="00A35114">
      <w:pPr>
        <w:pStyle w:val="Paragraphs"/>
        <w:rPr>
          <w:rFonts w:cs="Times New Roman"/>
        </w:rPr>
      </w:pPr>
      <w:r w:rsidRPr="00A41CAD">
        <w:t>Native WSG plant density</w:t>
      </w:r>
      <w:r w:rsidR="00E52AB2" w:rsidRPr="00A41CAD">
        <w:t>,</w:t>
      </w:r>
      <w:r w:rsidRPr="00A41CAD">
        <w:t xml:space="preserve"> tiller</w:t>
      </w:r>
      <w:r w:rsidR="00E056AF">
        <w:t>s per plant</w:t>
      </w:r>
      <w:r w:rsidRPr="00A41CAD">
        <w:t xml:space="preserve"> </w:t>
      </w:r>
      <w:r w:rsidR="005B7A7C">
        <w:t>(SG only)</w:t>
      </w:r>
      <w:r w:rsidR="00E52AB2" w:rsidRPr="00A41CAD">
        <w:t>,</w:t>
      </w:r>
      <w:r w:rsidR="00D854DA" w:rsidRPr="00A41CAD">
        <w:t xml:space="preserve"> and NWSG hay yield</w:t>
      </w:r>
      <w:r w:rsidR="00E52AB2" w:rsidRPr="00A41CAD">
        <w:t xml:space="preserve"> </w:t>
      </w:r>
      <w:r w:rsidR="009D6B49">
        <w:t xml:space="preserve">and nutritive value </w:t>
      </w:r>
      <w:r w:rsidRPr="00A41CAD">
        <w:t>were analyzed under an analysis of variance (ANOVA) model usin</w:t>
      </w:r>
      <w:r w:rsidRPr="00A41CAD">
        <w:rPr>
          <w:rFonts w:cs="Times New Roman"/>
        </w:rPr>
        <w:t>g PROC MIXED in SAS</w:t>
      </w:r>
      <w:r w:rsidRPr="00A41CAD">
        <w:rPr>
          <w:rFonts w:cs="Times New Roman"/>
          <w:vertAlign w:val="superscript"/>
        </w:rPr>
        <w:t>®</w:t>
      </w:r>
      <w:r w:rsidRPr="00A41CAD">
        <w:rPr>
          <w:rFonts w:cs="Times New Roman"/>
        </w:rPr>
        <w:t xml:space="preserve"> software, Version 9.4 (SAS Institute, Cary, NC, 2013) for significant differences at α = 0.05 among fixed effects and their interactions. </w:t>
      </w:r>
      <w:r w:rsidR="00D854DA" w:rsidRPr="00A41CAD">
        <w:rPr>
          <w:rFonts w:cs="Times New Roman"/>
        </w:rPr>
        <w:t xml:space="preserve"> For plant density and tiller</w:t>
      </w:r>
      <w:r w:rsidR="00E056AF">
        <w:rPr>
          <w:rFonts w:cs="Times New Roman"/>
        </w:rPr>
        <w:t>s per plant</w:t>
      </w:r>
      <w:r w:rsidR="00D854DA" w:rsidRPr="00A41CAD">
        <w:rPr>
          <w:rFonts w:cs="Times New Roman"/>
        </w:rPr>
        <w:t xml:space="preserve">, </w:t>
      </w:r>
      <w:bookmarkStart w:id="52" w:name="_Hlk71932993"/>
      <w:r w:rsidR="00D854DA" w:rsidRPr="00A41CAD">
        <w:rPr>
          <w:rFonts w:cs="Times New Roman"/>
        </w:rPr>
        <w:t>f</w:t>
      </w:r>
      <w:r w:rsidRPr="00A41CAD">
        <w:rPr>
          <w:rFonts w:cs="Times New Roman"/>
        </w:rPr>
        <w:t>ixed effects were CSA (</w:t>
      </w:r>
      <w:bookmarkStart w:id="53" w:name="_Hlk67266328"/>
      <w:r w:rsidRPr="00A41CAD">
        <w:rPr>
          <w:rFonts w:cs="Times New Roman"/>
        </w:rPr>
        <w:t>cereal rye monoculture</w:t>
      </w:r>
      <w:r w:rsidR="00554AA1">
        <w:rPr>
          <w:rFonts w:cs="Times New Roman"/>
        </w:rPr>
        <w:t>,</w:t>
      </w:r>
      <w:r w:rsidRPr="00A41CAD">
        <w:rPr>
          <w:rFonts w:cs="Times New Roman"/>
        </w:rPr>
        <w:t xml:space="preserve"> </w:t>
      </w:r>
      <w:r w:rsidR="00554AA1">
        <w:rPr>
          <w:rFonts w:cs="Times New Roman"/>
        </w:rPr>
        <w:t xml:space="preserve">CSA </w:t>
      </w:r>
      <w:r w:rsidRPr="00A41CAD">
        <w:rPr>
          <w:rFonts w:cs="Times New Roman"/>
        </w:rPr>
        <w:t>polyculture</w:t>
      </w:r>
      <w:bookmarkEnd w:id="53"/>
      <w:r w:rsidR="00554AA1">
        <w:rPr>
          <w:rFonts w:cs="Times New Roman"/>
        </w:rPr>
        <w:t>, or fallow control</w:t>
      </w:r>
      <w:r w:rsidRPr="00A41CAD">
        <w:rPr>
          <w:rFonts w:cs="Times New Roman"/>
        </w:rPr>
        <w:t xml:space="preserve">), warm-season N rates (0 or </w:t>
      </w:r>
      <w:r w:rsidRPr="00A41CAD">
        <w:rPr>
          <w:rFonts w:cs="Times New Roman"/>
          <w:lang w:val="en"/>
        </w:rPr>
        <w:t>67.2 kg N ha</w:t>
      </w:r>
      <w:r w:rsidRPr="00A41CAD">
        <w:rPr>
          <w:rFonts w:cs="Times New Roman"/>
          <w:vertAlign w:val="superscript"/>
          <w:lang w:val="en"/>
        </w:rPr>
        <w:t>-1</w:t>
      </w:r>
      <w:r w:rsidRPr="00A41CAD">
        <w:rPr>
          <w:rFonts w:cs="Times New Roman"/>
          <w:lang w:val="en"/>
        </w:rPr>
        <w:t>), and year (2018, 2019, or 2020)</w:t>
      </w:r>
      <w:r w:rsidRPr="00A41CAD">
        <w:rPr>
          <w:rFonts w:cs="Times New Roman"/>
        </w:rPr>
        <w:t>.  Year was treated as a repeated factor</w:t>
      </w:r>
      <w:r w:rsidR="00D854DA" w:rsidRPr="00A41CAD">
        <w:rPr>
          <w:rFonts w:cs="Times New Roman"/>
        </w:rPr>
        <w:t>.</w:t>
      </w:r>
      <w:r w:rsidRPr="00A41CAD">
        <w:rPr>
          <w:rFonts w:cs="Times New Roman"/>
        </w:rPr>
        <w:t xml:space="preserve">  </w:t>
      </w:r>
      <w:bookmarkEnd w:id="52"/>
      <w:r w:rsidR="00D854DA" w:rsidRPr="00A41CAD">
        <w:rPr>
          <w:rFonts w:cs="Times New Roman"/>
        </w:rPr>
        <w:t xml:space="preserve">For NWSG hay yield, CSA and </w:t>
      </w:r>
      <w:r w:rsidR="003426FA">
        <w:rPr>
          <w:rFonts w:cs="Times New Roman"/>
        </w:rPr>
        <w:t>h</w:t>
      </w:r>
      <w:r w:rsidR="00D854DA" w:rsidRPr="00A41CAD">
        <w:rPr>
          <w:rFonts w:cs="Times New Roman"/>
        </w:rPr>
        <w:t xml:space="preserve">arvest (July 2019, July 2020, or September 2020) were fixed effects.  Harvest was treated as a repeated measure.  </w:t>
      </w:r>
      <w:r w:rsidR="00DD22DC">
        <w:rPr>
          <w:rFonts w:cs="Times New Roman"/>
        </w:rPr>
        <w:t xml:space="preserve">For NWSG hay nutritive value (CP, ADF, aNDF, and </w:t>
      </w:r>
      <w:r w:rsidR="00DD22DC" w:rsidRPr="00A41CAD">
        <w:t>IVTDMD48h</w:t>
      </w:r>
      <w:r w:rsidR="00DD22DC">
        <w:rPr>
          <w:rFonts w:cs="Times New Roman"/>
        </w:rPr>
        <w:t xml:space="preserve">), CSA and </w:t>
      </w:r>
      <w:r w:rsidR="003426FA">
        <w:rPr>
          <w:rFonts w:cs="Times New Roman"/>
        </w:rPr>
        <w:t>y</w:t>
      </w:r>
      <w:r w:rsidR="00DD22DC">
        <w:rPr>
          <w:rFonts w:cs="Times New Roman"/>
        </w:rPr>
        <w:t xml:space="preserve">ear (July 2019 or July 2020) were fixed effects with year treated as a repeated measure.  </w:t>
      </w:r>
      <w:r w:rsidR="00D854DA" w:rsidRPr="00A41CAD">
        <w:rPr>
          <w:rFonts w:cs="Times New Roman"/>
        </w:rPr>
        <w:t xml:space="preserve">Pasture was entered as a random effect </w:t>
      </w:r>
      <w:r w:rsidR="00DB23E2" w:rsidRPr="00A41CAD">
        <w:rPr>
          <w:rFonts w:cs="Times New Roman"/>
        </w:rPr>
        <w:t>in</w:t>
      </w:r>
      <w:r w:rsidR="00D854DA" w:rsidRPr="00A41CAD">
        <w:rPr>
          <w:rFonts w:cs="Times New Roman"/>
        </w:rPr>
        <w:t xml:space="preserve"> all </w:t>
      </w:r>
      <w:r w:rsidR="00DB23E2" w:rsidRPr="00A41CAD">
        <w:rPr>
          <w:rFonts w:cs="Times New Roman"/>
        </w:rPr>
        <w:t>models</w:t>
      </w:r>
      <w:r w:rsidR="00D854DA" w:rsidRPr="00A41CAD">
        <w:rPr>
          <w:rFonts w:cs="Times New Roman"/>
        </w:rPr>
        <w:t xml:space="preserve">.  </w:t>
      </w:r>
      <w:r w:rsidRPr="00A41CAD">
        <w:rPr>
          <w:rFonts w:cs="Times New Roman"/>
        </w:rPr>
        <w:t>Mean separation</w:t>
      </w:r>
      <w:r w:rsidR="00E04CA5">
        <w:rPr>
          <w:rFonts w:cs="Times New Roman"/>
        </w:rPr>
        <w:t>s</w:t>
      </w:r>
      <w:r w:rsidRPr="00A41CAD">
        <w:rPr>
          <w:rFonts w:cs="Times New Roman"/>
        </w:rPr>
        <w:t xml:space="preserve"> w</w:t>
      </w:r>
      <w:r w:rsidR="00E04CA5">
        <w:rPr>
          <w:rFonts w:cs="Times New Roman"/>
        </w:rPr>
        <w:t>ere</w:t>
      </w:r>
      <w:r w:rsidRPr="00A41CAD">
        <w:rPr>
          <w:rFonts w:cs="Times New Roman"/>
        </w:rPr>
        <w:t xml:space="preserve"> conducted using </w:t>
      </w:r>
      <w:r w:rsidR="00BB6CC2">
        <w:rPr>
          <w:rFonts w:cs="Times New Roman"/>
        </w:rPr>
        <w:t>Tukey’s honestly</w:t>
      </w:r>
      <w:r w:rsidRPr="00A41CAD">
        <w:rPr>
          <w:rFonts w:cs="Times New Roman"/>
        </w:rPr>
        <w:t xml:space="preserve"> significant difference</w:t>
      </w:r>
      <w:r w:rsidR="00DB23E2" w:rsidRPr="00A41CAD">
        <w:rPr>
          <w:rFonts w:cs="Times New Roman"/>
        </w:rPr>
        <w:t xml:space="preserve"> for all significant response variables.</w:t>
      </w:r>
      <w:r w:rsidR="00A35114" w:rsidRPr="00A35114">
        <w:rPr>
          <w:rFonts w:cs="Times New Roman"/>
        </w:rPr>
        <w:t xml:space="preserve"> </w:t>
      </w:r>
    </w:p>
    <w:p w14:paraId="61E98E76" w14:textId="2B6E8133" w:rsidR="00A35114" w:rsidRPr="005A302D" w:rsidRDefault="00A35114" w:rsidP="00A35114">
      <w:pPr>
        <w:pStyle w:val="Paragraphs"/>
        <w:spacing w:after="100" w:afterAutospacing="1"/>
        <w:rPr>
          <w:rFonts w:cs="Times New Roman"/>
        </w:rPr>
      </w:pPr>
      <w:r>
        <w:rPr>
          <w:rFonts w:cs="Times New Roman"/>
        </w:rPr>
        <w:lastRenderedPageBreak/>
        <w:t xml:space="preserve">Switchgrass </w:t>
      </w:r>
      <w:r w:rsidR="002B6523">
        <w:rPr>
          <w:rFonts w:cs="Times New Roman"/>
        </w:rPr>
        <w:t>tiller</w:t>
      </w:r>
      <w:r w:rsidR="00787C81">
        <w:rPr>
          <w:rFonts w:cs="Times New Roman"/>
        </w:rPr>
        <w:t xml:space="preserve"> categories</w:t>
      </w:r>
      <w:r>
        <w:rPr>
          <w:rFonts w:cs="Times New Roman"/>
        </w:rPr>
        <w:t xml:space="preserve"> </w:t>
      </w:r>
      <w:r w:rsidRPr="005A302D">
        <w:rPr>
          <w:rFonts w:cs="Times New Roman"/>
        </w:rPr>
        <w:t>w</w:t>
      </w:r>
      <w:r>
        <w:rPr>
          <w:rFonts w:cs="Times New Roman"/>
        </w:rPr>
        <w:t>ere</w:t>
      </w:r>
      <w:r w:rsidRPr="005A302D">
        <w:rPr>
          <w:rFonts w:cs="Times New Roman"/>
        </w:rPr>
        <w:t xml:space="preserve"> analyzed under a Chi-Square test using PROC FREQ in SAS</w:t>
      </w:r>
      <w:r w:rsidRPr="005A302D">
        <w:rPr>
          <w:rFonts w:cs="Times New Roman"/>
          <w:vertAlign w:val="superscript"/>
        </w:rPr>
        <w:t>®</w:t>
      </w:r>
      <w:r w:rsidRPr="005A302D">
        <w:rPr>
          <w:rFonts w:cs="Times New Roman"/>
        </w:rPr>
        <w:t xml:space="preserve"> software, Version 9.4 (SAS Institute, Cary, NC, 2013) for significant differences (α = 0.05) among </w:t>
      </w:r>
      <w:r>
        <w:rPr>
          <w:rFonts w:cs="Times New Roman"/>
        </w:rPr>
        <w:t>CSA</w:t>
      </w:r>
      <w:r w:rsidRPr="005A302D">
        <w:rPr>
          <w:rFonts w:cs="Times New Roman"/>
        </w:rPr>
        <w:t xml:space="preserve"> treatments </w:t>
      </w:r>
      <w:r>
        <w:rPr>
          <w:rFonts w:cs="Times New Roman"/>
        </w:rPr>
        <w:t xml:space="preserve">and warm-season N </w:t>
      </w:r>
      <w:r w:rsidR="00783238">
        <w:rPr>
          <w:rFonts w:cs="Times New Roman"/>
        </w:rPr>
        <w:t>rates</w:t>
      </w:r>
      <w:r>
        <w:rPr>
          <w:rFonts w:cs="Times New Roman"/>
        </w:rPr>
        <w:t xml:space="preserve"> </w:t>
      </w:r>
      <w:r w:rsidRPr="005A302D">
        <w:rPr>
          <w:rFonts w:cs="Times New Roman"/>
        </w:rPr>
        <w:t>pooled across years (201</w:t>
      </w:r>
      <w:r>
        <w:rPr>
          <w:rFonts w:cs="Times New Roman"/>
        </w:rPr>
        <w:t>8, 2019,</w:t>
      </w:r>
      <w:r w:rsidRPr="005A302D">
        <w:rPr>
          <w:rFonts w:cs="Times New Roman"/>
        </w:rPr>
        <w:t xml:space="preserve"> and 2020).  </w:t>
      </w:r>
      <w:r w:rsidR="00763155">
        <w:rPr>
          <w:rFonts w:cs="Times New Roman"/>
        </w:rPr>
        <w:t>Number of SG</w:t>
      </w:r>
      <w:r>
        <w:rPr>
          <w:rFonts w:cs="Times New Roman"/>
        </w:rPr>
        <w:t xml:space="preserve"> </w:t>
      </w:r>
      <w:r w:rsidR="00787C81">
        <w:rPr>
          <w:rFonts w:cs="Times New Roman"/>
        </w:rPr>
        <w:t>plants</w:t>
      </w:r>
      <w:r w:rsidRPr="005A302D">
        <w:rPr>
          <w:rFonts w:cs="Times New Roman"/>
        </w:rPr>
        <w:t xml:space="preserve"> </w:t>
      </w:r>
      <w:r w:rsidR="006C1E1F">
        <w:rPr>
          <w:rFonts w:cs="Times New Roman"/>
        </w:rPr>
        <w:t xml:space="preserve">with ≤25 tillers </w:t>
      </w:r>
      <w:r w:rsidR="00787C81">
        <w:rPr>
          <w:rFonts w:cs="Times New Roman"/>
        </w:rPr>
        <w:t xml:space="preserve">were compared </w:t>
      </w:r>
      <w:r w:rsidR="002B6523">
        <w:rPr>
          <w:rFonts w:cs="Times New Roman"/>
        </w:rPr>
        <w:t xml:space="preserve">to </w:t>
      </w:r>
      <w:r w:rsidR="00763155">
        <w:rPr>
          <w:rFonts w:cs="Times New Roman"/>
        </w:rPr>
        <w:t>SG plants</w:t>
      </w:r>
      <w:r w:rsidR="006C1E1F">
        <w:rPr>
          <w:rFonts w:cs="Times New Roman"/>
        </w:rPr>
        <w:t xml:space="preserve"> </w:t>
      </w:r>
      <w:r w:rsidRPr="005A302D">
        <w:rPr>
          <w:rFonts w:cs="Times New Roman"/>
        </w:rPr>
        <w:t>with</w:t>
      </w:r>
      <w:r w:rsidR="006C1E1F">
        <w:rPr>
          <w:rFonts w:cs="Times New Roman"/>
        </w:rPr>
        <w:t xml:space="preserve"> ≥26 tillers</w:t>
      </w:r>
      <w:r w:rsidRPr="005A302D">
        <w:rPr>
          <w:rFonts w:cs="Times New Roman"/>
        </w:rPr>
        <w:t xml:space="preserve">.  </w:t>
      </w:r>
    </w:p>
    <w:p w14:paraId="26C8B9A5" w14:textId="0D1EFAE1" w:rsidR="00681533" w:rsidRPr="00A41CAD" w:rsidRDefault="00DD3196" w:rsidP="00681533">
      <w:pPr>
        <w:pStyle w:val="AgronomyJournalSectionTitles"/>
      </w:pPr>
      <w:bookmarkStart w:id="54" w:name="_Toc72026022"/>
      <w:bookmarkStart w:id="55" w:name="_Toc72305386"/>
      <w:r w:rsidRPr="00A41CAD">
        <w:t>RESULTS</w:t>
      </w:r>
      <w:r w:rsidR="00D87187">
        <w:t xml:space="preserve"> AND DISCUSSION</w:t>
      </w:r>
      <w:bookmarkEnd w:id="54"/>
      <w:bookmarkEnd w:id="55"/>
    </w:p>
    <w:p w14:paraId="3A20806C" w14:textId="7206ED4F" w:rsidR="00EF5CFF" w:rsidRPr="00232F51" w:rsidRDefault="00EF5CFF" w:rsidP="00BE6C2B">
      <w:pPr>
        <w:pStyle w:val="Heading2"/>
      </w:pPr>
      <w:bookmarkStart w:id="56" w:name="_Toc72026023"/>
      <w:bookmarkStart w:id="57" w:name="_Toc72305387"/>
      <w:r w:rsidRPr="00232F51">
        <w:t>Environmental Conditions</w:t>
      </w:r>
      <w:bookmarkEnd w:id="56"/>
      <w:bookmarkEnd w:id="57"/>
    </w:p>
    <w:p w14:paraId="477C86C9" w14:textId="39279DC8" w:rsidR="00AF2C2A" w:rsidRPr="00A41CAD" w:rsidRDefault="00775808" w:rsidP="00C10F93">
      <w:pPr>
        <w:spacing w:after="100" w:afterAutospacing="1"/>
        <w:ind w:firstLine="720"/>
      </w:pPr>
      <w:r w:rsidRPr="00A41CAD">
        <w:t>From September 2018-Sept</w:t>
      </w:r>
      <w:r w:rsidR="00AC39E8">
        <w:t>e</w:t>
      </w:r>
      <w:r w:rsidRPr="00A41CAD">
        <w:t>mber 2020, m</w:t>
      </w:r>
      <w:r w:rsidR="00AF2C2A" w:rsidRPr="00A41CAD">
        <w:t xml:space="preserve">ean monthly air temperatures were similar </w:t>
      </w:r>
      <w:r w:rsidRPr="00A41CAD">
        <w:t xml:space="preserve">to </w:t>
      </w:r>
      <w:r w:rsidR="00AF2C2A" w:rsidRPr="00A41CAD">
        <w:t xml:space="preserve">or </w:t>
      </w:r>
      <w:r w:rsidR="003B23E6" w:rsidRPr="00A41CAD">
        <w:t>above</w:t>
      </w:r>
      <w:r w:rsidR="00AF2C2A" w:rsidRPr="00A41CAD">
        <w:t xml:space="preserve"> (</w:t>
      </w:r>
      <w:r w:rsidRPr="00A41CAD">
        <w:t>15</w:t>
      </w:r>
      <w:r w:rsidR="00AF2C2A" w:rsidRPr="00A41CAD">
        <w:t xml:space="preserve"> of </w:t>
      </w:r>
      <w:r w:rsidRPr="00A41CAD">
        <w:t>25</w:t>
      </w:r>
      <w:r w:rsidR="00AF2C2A" w:rsidRPr="00A41CAD">
        <w:t xml:space="preserve"> months) 30-year means with </w:t>
      </w:r>
      <w:r w:rsidRPr="00A41CAD">
        <w:t xml:space="preserve">NWSG </w:t>
      </w:r>
      <w:r w:rsidR="00AF2C2A" w:rsidRPr="00A41CAD">
        <w:t>growing season (April through September) mean monthly air temperatures following suit (</w:t>
      </w:r>
      <w:r w:rsidRPr="00A41CAD">
        <w:t>7</w:t>
      </w:r>
      <w:r w:rsidR="00AF2C2A" w:rsidRPr="00A41CAD">
        <w:t xml:space="preserve"> of </w:t>
      </w:r>
      <w:r w:rsidRPr="00A41CAD">
        <w:t>13</w:t>
      </w:r>
      <w:r w:rsidR="00AF2C2A" w:rsidRPr="00A41CAD">
        <w:t xml:space="preserve"> months) (Figure </w:t>
      </w:r>
      <w:r w:rsidR="00014023" w:rsidRPr="00A41CAD">
        <w:t>1</w:t>
      </w:r>
      <w:r w:rsidR="00AF2C2A" w:rsidRPr="00A41CAD">
        <w:t>.</w:t>
      </w:r>
      <w:r w:rsidR="00112D85">
        <w:t>2</w:t>
      </w:r>
      <w:r w:rsidR="00AF2C2A" w:rsidRPr="00A41CAD">
        <w:t xml:space="preserve">a).  </w:t>
      </w:r>
      <w:r w:rsidR="00292483" w:rsidRPr="00A41CAD">
        <w:t>Monthly precipitation followed the same pattern with 14 out of 25 months greater than 30-year means (Figure 1.</w:t>
      </w:r>
      <w:r w:rsidR="00112D85">
        <w:t>2</w:t>
      </w:r>
      <w:r w:rsidR="00292483" w:rsidRPr="00A41CAD">
        <w:t xml:space="preserve">b).  Also, just under half (6 of 13) of the months during the NWSG growing season had greater monthly precipitation.  September 2018 and 2019 </w:t>
      </w:r>
      <w:r w:rsidR="00541487" w:rsidRPr="00A41CAD">
        <w:t xml:space="preserve">had greater mean monthly temperature than 30-year mean, while 2018 had </w:t>
      </w:r>
      <w:r w:rsidR="00292483" w:rsidRPr="00A41CAD">
        <w:t>abnormally</w:t>
      </w:r>
      <w:r w:rsidR="00D17785" w:rsidRPr="00A41CAD">
        <w:t xml:space="preserve"> greater (108%) precipitation than 30-year mean.  In contrast, September 2019 </w:t>
      </w:r>
      <w:r w:rsidR="00C35455" w:rsidRPr="00A41CAD">
        <w:t xml:space="preserve">was </w:t>
      </w:r>
      <w:r w:rsidR="00D17785" w:rsidRPr="00A41CAD">
        <w:t xml:space="preserve">uncharacteristically </w:t>
      </w:r>
      <w:r w:rsidR="00C35455" w:rsidRPr="00A41CAD">
        <w:t>dry</w:t>
      </w:r>
      <w:r w:rsidR="00D17785" w:rsidRPr="00A41CAD">
        <w:t xml:space="preserve"> </w:t>
      </w:r>
      <w:r w:rsidR="00C35455" w:rsidRPr="00A41CAD">
        <w:t xml:space="preserve">compared to 30-year mean </w:t>
      </w:r>
      <w:r w:rsidR="00D17785" w:rsidRPr="00A41CAD">
        <w:t>(98%</w:t>
      </w:r>
      <w:r w:rsidR="00C35455" w:rsidRPr="00A41CAD">
        <w:t xml:space="preserve"> lower</w:t>
      </w:r>
      <w:r w:rsidR="00D17785" w:rsidRPr="00A41CAD">
        <w:t xml:space="preserve">) with October having </w:t>
      </w:r>
      <w:r w:rsidR="00C35455" w:rsidRPr="00A41CAD">
        <w:t xml:space="preserve">greater </w:t>
      </w:r>
      <w:r w:rsidR="00D17785" w:rsidRPr="00A41CAD">
        <w:t xml:space="preserve">(88%) than </w:t>
      </w:r>
      <w:r w:rsidR="00C35455" w:rsidRPr="00A41CAD">
        <w:t>average rainfall</w:t>
      </w:r>
      <w:r w:rsidR="00D17785" w:rsidRPr="00A41CAD">
        <w:t xml:space="preserve">.  </w:t>
      </w:r>
      <w:r w:rsidR="00C35455" w:rsidRPr="00A41CAD">
        <w:t xml:space="preserve">February 2019 and 2020 </w:t>
      </w:r>
      <w:r w:rsidR="00483554" w:rsidRPr="00A41CAD">
        <w:t>were wetter than average (</w:t>
      </w:r>
      <w:r w:rsidR="00462299" w:rsidRPr="00A41CAD">
        <w:t xml:space="preserve">107 and 82%, respectively) followed by greater than 30-year mean precipitation in March 2020 (35%), too.  </w:t>
      </w:r>
      <w:r w:rsidR="00C35455" w:rsidRPr="00A41CAD">
        <w:t xml:space="preserve">However, the first three months (April-June) of the NWSG growing season in 2020 </w:t>
      </w:r>
      <w:r w:rsidR="00531473">
        <w:t>had</w:t>
      </w:r>
      <w:r w:rsidR="00C35455" w:rsidRPr="00A41CAD">
        <w:t xml:space="preserve"> abnormally low precipitation in May and June </w:t>
      </w:r>
      <w:r w:rsidR="00531473">
        <w:t xml:space="preserve">while June 2019 met </w:t>
      </w:r>
      <w:r w:rsidR="00511CD2">
        <w:t xml:space="preserve">the </w:t>
      </w:r>
      <w:r w:rsidR="00531473">
        <w:t xml:space="preserve">30-year mean </w:t>
      </w:r>
      <w:r w:rsidR="00AF2C2A" w:rsidRPr="00A41CAD">
        <w:t>(NOAA, 202</w:t>
      </w:r>
      <w:r w:rsidR="008A56C6" w:rsidRPr="00A41CAD">
        <w:t>1</w:t>
      </w:r>
      <w:r w:rsidR="00AF2C2A" w:rsidRPr="00A41CAD">
        <w:t>).</w:t>
      </w:r>
    </w:p>
    <w:p w14:paraId="63BA9DAD" w14:textId="5A5FED4D" w:rsidR="005B500A" w:rsidRPr="00232F51" w:rsidRDefault="005B500A" w:rsidP="00BE6C2B">
      <w:pPr>
        <w:pStyle w:val="Heading2"/>
      </w:pPr>
      <w:bookmarkStart w:id="58" w:name="_Toc72026024"/>
      <w:bookmarkStart w:id="59" w:name="_Toc72305388"/>
      <w:r w:rsidRPr="00232F51">
        <w:lastRenderedPageBreak/>
        <w:t>Density</w:t>
      </w:r>
      <w:bookmarkEnd w:id="58"/>
      <w:bookmarkEnd w:id="59"/>
    </w:p>
    <w:p w14:paraId="3BADA8D1" w14:textId="38E30259" w:rsidR="00EF028E" w:rsidRDefault="00583BB7" w:rsidP="00B715FB">
      <w:pPr>
        <w:pStyle w:val="Paragraphs"/>
      </w:pPr>
      <w:r>
        <w:t xml:space="preserve">In both studies, </w:t>
      </w:r>
      <w:r w:rsidR="00B715FB">
        <w:t xml:space="preserve">plant density was not influenced by </w:t>
      </w:r>
      <w:r w:rsidR="00015EB3">
        <w:t xml:space="preserve">CSA or </w:t>
      </w:r>
      <w:r w:rsidR="00B715FB">
        <w:t xml:space="preserve">any </w:t>
      </w:r>
      <w:r w:rsidR="00EF028E">
        <w:t xml:space="preserve">CSA </w:t>
      </w:r>
      <w:r w:rsidR="00B715FB">
        <w:t xml:space="preserve">interaction (Table 1.5).  </w:t>
      </w:r>
      <w:r w:rsidR="00005633">
        <w:t>Cool-season annual plant density averaged 483.3 plants m</w:t>
      </w:r>
      <w:r w:rsidR="00005633" w:rsidRPr="00005633">
        <w:rPr>
          <w:vertAlign w:val="superscript"/>
        </w:rPr>
        <w:t>-2</w:t>
      </w:r>
      <w:r w:rsidR="00005633">
        <w:t xml:space="preserve"> across both NWSG, </w:t>
      </w:r>
      <w:r w:rsidR="00AC39E8">
        <w:t xml:space="preserve">CSA </w:t>
      </w:r>
      <w:r w:rsidR="00005633">
        <w:t>treatments, and years</w:t>
      </w:r>
      <w:r w:rsidR="00D011C5">
        <w:t xml:space="preserve"> (Table 1.3)</w:t>
      </w:r>
      <w:r w:rsidR="00005633">
        <w:t xml:space="preserve">.  </w:t>
      </w:r>
      <w:r w:rsidR="00B559F6">
        <w:t>C</w:t>
      </w:r>
      <w:r w:rsidR="00AC7B3D">
        <w:t xml:space="preserve">omplete graze-out of CSA in both years could have aided in </w:t>
      </w:r>
      <w:r w:rsidR="00B559F6">
        <w:t>the</w:t>
      </w:r>
      <w:r w:rsidR="00AC7B3D">
        <w:t xml:space="preserve"> lack of</w:t>
      </w:r>
      <w:r w:rsidR="00B559F6">
        <w:t xml:space="preserve"> any </w:t>
      </w:r>
      <w:r w:rsidR="00AC7B3D">
        <w:t>difference</w:t>
      </w:r>
      <w:r w:rsidR="00B559F6">
        <w:t>s among</w:t>
      </w:r>
      <w:r w:rsidR="00005633">
        <w:t xml:space="preserve"> CSA</w:t>
      </w:r>
      <w:r w:rsidR="00AC39E8">
        <w:t xml:space="preserve"> treatments</w:t>
      </w:r>
      <w:r w:rsidR="00AC7B3D">
        <w:t xml:space="preserve">.  </w:t>
      </w:r>
      <w:r w:rsidR="00005633">
        <w:t xml:space="preserve">Other researchers have also observed </w:t>
      </w:r>
      <w:r w:rsidR="00B559F6">
        <w:t>similar results</w:t>
      </w:r>
      <w:r w:rsidR="00005633">
        <w:t xml:space="preserve"> when interseeding CSA into NWSG.  </w:t>
      </w:r>
      <w:r w:rsidR="00EF028E">
        <w:t>In Tennessee, Watcharaanantapong and others (2020) overseeded SG with cereal rye, wheat, and annual ryegrass and found no difference in SG stand vigor after two consecutive years</w:t>
      </w:r>
      <w:r w:rsidR="00005633">
        <w:t xml:space="preserve"> of planting and harvesting CSA</w:t>
      </w:r>
      <w:r w:rsidR="00EF028E">
        <w:t xml:space="preserve">.  In Alabama, Mason et al. (2019), working with eastern gamagrass [EG; </w:t>
      </w:r>
      <w:r w:rsidR="00EF028E" w:rsidRPr="00744D32">
        <w:rPr>
          <w:i/>
          <w:iCs/>
        </w:rPr>
        <w:t>Tripsacum dactyloides</w:t>
      </w:r>
      <w:r w:rsidR="00EF028E" w:rsidRPr="00744D32">
        <w:t xml:space="preserve"> (L.) L.]</w:t>
      </w:r>
      <w:r w:rsidR="00EF028E">
        <w:t>, another native warm-season bunchgrass, found comparable results.  They reported that overseeding EG with cereal rye or cereal rye-red clover mixtures did not affect EG persistence after two years.</w:t>
      </w:r>
      <w:r w:rsidR="00AC7B3D">
        <w:t xml:space="preserve">  </w:t>
      </w:r>
    </w:p>
    <w:p w14:paraId="4418A376" w14:textId="346C64AE" w:rsidR="00B715FB" w:rsidRPr="00B715FB" w:rsidRDefault="00B715FB" w:rsidP="00B715FB">
      <w:pPr>
        <w:pStyle w:val="Paragraphs"/>
      </w:pPr>
      <w:r>
        <w:t>Y</w:t>
      </w:r>
      <w:r w:rsidR="00583BB7">
        <w:t xml:space="preserve">ear was the overarching effect </w:t>
      </w:r>
      <w:r w:rsidR="00D011C5">
        <w:t xml:space="preserve">on </w:t>
      </w:r>
      <w:r w:rsidR="00583BB7">
        <w:t>SG (</w:t>
      </w:r>
      <w:r w:rsidR="00583BB7" w:rsidRPr="0010472E">
        <w:rPr>
          <w:i/>
          <w:iCs/>
        </w:rPr>
        <w:t>P</w:t>
      </w:r>
      <w:r w:rsidR="00583BB7" w:rsidRPr="0010472E">
        <w:t xml:space="preserve"> &lt; 0.001</w:t>
      </w:r>
      <w:r w:rsidR="00583BB7">
        <w:t>) and BBIG (</w:t>
      </w:r>
      <w:r w:rsidR="00583BB7" w:rsidRPr="00972277">
        <w:rPr>
          <w:i/>
          <w:iCs/>
        </w:rPr>
        <w:t>P</w:t>
      </w:r>
      <w:r w:rsidR="00583BB7">
        <w:t xml:space="preserve"> &lt; 0.001)</w:t>
      </w:r>
      <w:r w:rsidR="00583BB7" w:rsidRPr="00A41CAD">
        <w:t xml:space="preserve"> </w:t>
      </w:r>
      <w:r w:rsidR="00583BB7">
        <w:t>plant density</w:t>
      </w:r>
      <w:r w:rsidR="00583BB7" w:rsidRPr="00A41CAD">
        <w:t>.</w:t>
      </w:r>
      <w:r w:rsidR="00583BB7">
        <w:t xml:space="preserve">  For SG, p</w:t>
      </w:r>
      <w:r w:rsidR="00583BB7" w:rsidRPr="00A41CAD">
        <w:t>lant density increased from 2018 (15.0 plants m</w:t>
      </w:r>
      <w:r w:rsidR="00583BB7" w:rsidRPr="00A41CAD">
        <w:rPr>
          <w:vertAlign w:val="superscript"/>
        </w:rPr>
        <w:t>-2</w:t>
      </w:r>
      <w:r w:rsidR="00583BB7" w:rsidRPr="00A41CAD">
        <w:t>) to 2019 (18.2 plants m</w:t>
      </w:r>
      <w:r w:rsidR="00583BB7" w:rsidRPr="00A41CAD">
        <w:rPr>
          <w:vertAlign w:val="superscript"/>
        </w:rPr>
        <w:t>-2</w:t>
      </w:r>
      <w:r w:rsidR="00583BB7" w:rsidRPr="00A41CAD">
        <w:t>) and then decreased in 2020 (14.0 plants m</w:t>
      </w:r>
      <w:r w:rsidR="00583BB7" w:rsidRPr="00A41CAD">
        <w:rPr>
          <w:vertAlign w:val="superscript"/>
        </w:rPr>
        <w:t>-2</w:t>
      </w:r>
      <w:r w:rsidR="00583BB7" w:rsidRPr="00A41CAD">
        <w:t>)</w:t>
      </w:r>
      <w:r w:rsidR="00583BB7">
        <w:t xml:space="preserve"> to a density similar to 2018</w:t>
      </w:r>
      <w:r w:rsidR="00583BB7" w:rsidRPr="00A41CAD">
        <w:t>.</w:t>
      </w:r>
      <w:r w:rsidR="00583BB7">
        <w:t xml:space="preserve">  For BBIG, p</w:t>
      </w:r>
      <w:r w:rsidR="00583BB7" w:rsidRPr="00A41CAD">
        <w:t xml:space="preserve">lant </w:t>
      </w:r>
      <w:r w:rsidR="00583BB7" w:rsidRPr="0010472E">
        <w:t>density increased</w:t>
      </w:r>
      <w:r w:rsidR="00583BB7" w:rsidRPr="00A41CAD">
        <w:t xml:space="preserve"> from the initial count in 2018 (29.1 plants m</w:t>
      </w:r>
      <w:r w:rsidR="00583BB7" w:rsidRPr="00A41CAD">
        <w:rPr>
          <w:vertAlign w:val="superscript"/>
        </w:rPr>
        <w:t>-2</w:t>
      </w:r>
      <w:r w:rsidR="00583BB7" w:rsidRPr="00A41CAD">
        <w:t>) to 2019 (43.9 plants m</w:t>
      </w:r>
      <w:r w:rsidR="00583BB7" w:rsidRPr="00A41CAD">
        <w:rPr>
          <w:vertAlign w:val="superscript"/>
        </w:rPr>
        <w:t>-2</w:t>
      </w:r>
      <w:r w:rsidR="00583BB7" w:rsidRPr="00A41CAD">
        <w:t>) and then decreased in 2020 (23.6 plants m</w:t>
      </w:r>
      <w:r w:rsidR="00583BB7" w:rsidRPr="00A41CAD">
        <w:rPr>
          <w:vertAlign w:val="superscript"/>
        </w:rPr>
        <w:t>-2</w:t>
      </w:r>
      <w:r w:rsidR="00583BB7" w:rsidRPr="00A41CAD">
        <w:t xml:space="preserve">).  </w:t>
      </w:r>
      <w:r w:rsidR="008D68D8">
        <w:t xml:space="preserve">Weather conditions may have played a role in this decrease in plant density since temperatures during green-up were lower in 2020 than 2019.  </w:t>
      </w:r>
      <w:r w:rsidR="00555013">
        <w:t xml:space="preserve">However, total monthly precipitation during the NWSG growing season was greater for all months, except June, in 2020 than in 2019.  </w:t>
      </w:r>
      <w:r w:rsidR="00E279F1">
        <w:t xml:space="preserve">Even though NWSG </w:t>
      </w:r>
      <w:r w:rsidR="00583BB7">
        <w:t>plant densit</w:t>
      </w:r>
      <w:r w:rsidR="00E279F1">
        <w:t>ies were</w:t>
      </w:r>
      <w:r w:rsidR="00583BB7">
        <w:t xml:space="preserve"> greatest in 2019 and </w:t>
      </w:r>
      <w:r w:rsidR="00E279F1">
        <w:t xml:space="preserve">returned to similar or below 2018 densities </w:t>
      </w:r>
      <w:r w:rsidR="00583BB7">
        <w:t>in 2020</w:t>
      </w:r>
      <w:r w:rsidR="00E279F1">
        <w:t xml:space="preserve">, stands were well above fully stocked </w:t>
      </w:r>
      <w:r w:rsidR="00851218">
        <w:t>densitie</w:t>
      </w:r>
      <w:r w:rsidR="00E279F1">
        <w:t>s (</w:t>
      </w:r>
      <w:r w:rsidR="00E279F1">
        <w:rPr>
          <w:rFonts w:cs="Times New Roman"/>
        </w:rPr>
        <w:t>≥</w:t>
      </w:r>
      <w:r w:rsidR="00E279F1">
        <w:t>11 plants m</w:t>
      </w:r>
      <w:r w:rsidR="00E279F1" w:rsidRPr="00E279F1">
        <w:rPr>
          <w:vertAlign w:val="superscript"/>
        </w:rPr>
        <w:t>-2</w:t>
      </w:r>
      <w:r w:rsidR="00E279F1">
        <w:t xml:space="preserve">; </w:t>
      </w:r>
      <w:r w:rsidR="003959F1" w:rsidRPr="002218D3">
        <w:lastRenderedPageBreak/>
        <w:t xml:space="preserve">Keyser, Harper, Bates, Waller, </w:t>
      </w:r>
      <w:r w:rsidR="003959F1">
        <w:t>&amp; Holcomb,</w:t>
      </w:r>
      <w:r w:rsidR="003959F1" w:rsidDel="003959F1">
        <w:t xml:space="preserve"> </w:t>
      </w:r>
      <w:r w:rsidR="00E279F1">
        <w:t>2011</w:t>
      </w:r>
      <w:r w:rsidR="003959F1">
        <w:t>c</w:t>
      </w:r>
      <w:r w:rsidR="00E279F1">
        <w:t>)</w:t>
      </w:r>
      <w:r w:rsidR="00AC39E8">
        <w:t xml:space="preserve"> in all years</w:t>
      </w:r>
      <w:r w:rsidR="0085483D">
        <w:t>.</w:t>
      </w:r>
      <w:r w:rsidR="00E279F1">
        <w:t xml:space="preserve"> </w:t>
      </w:r>
      <w:r w:rsidR="00583BB7">
        <w:t xml:space="preserve"> </w:t>
      </w:r>
      <w:r w:rsidR="00851218">
        <w:t>The elevated densities in 2019 may</w:t>
      </w:r>
      <w:r w:rsidR="008D68D8">
        <w:t xml:space="preserve"> also be attributed to </w:t>
      </w:r>
      <w:r w:rsidR="00851218">
        <w:t xml:space="preserve">sampling error in counting individual plants.  Conducting plant counts within </w:t>
      </w:r>
      <w:r w:rsidR="00B559F6">
        <w:t>dense (i.e., 14-43 plants m</w:t>
      </w:r>
      <w:r w:rsidR="00B559F6" w:rsidRPr="00B559F6">
        <w:rPr>
          <w:vertAlign w:val="superscript"/>
        </w:rPr>
        <w:t>-2</w:t>
      </w:r>
      <w:r w:rsidR="00B559F6">
        <w:t xml:space="preserve">) </w:t>
      </w:r>
      <w:r w:rsidR="00851218">
        <w:t>10-year-old NWSG stand</w:t>
      </w:r>
      <w:r w:rsidR="00B559F6">
        <w:t>s</w:t>
      </w:r>
      <w:r w:rsidR="00851218">
        <w:t xml:space="preserve"> underscore</w:t>
      </w:r>
      <w:r w:rsidR="00754BBB">
        <w:t>s</w:t>
      </w:r>
      <w:r w:rsidR="00851218">
        <w:t xml:space="preserve"> the difficulty of counting individual plants within </w:t>
      </w:r>
      <w:r w:rsidR="005222E6">
        <w:t xml:space="preserve">such </w:t>
      </w:r>
      <w:r w:rsidR="00851218">
        <w:t>robust stands.</w:t>
      </w:r>
    </w:p>
    <w:p w14:paraId="290EC6B8" w14:textId="6B32F56F" w:rsidR="00583BB7" w:rsidRDefault="00B715FB" w:rsidP="00F167F5">
      <w:pPr>
        <w:pStyle w:val="Paragraphs"/>
      </w:pPr>
      <w:r w:rsidRPr="00A41CAD">
        <w:t>Although</w:t>
      </w:r>
      <w:r>
        <w:t xml:space="preserve"> </w:t>
      </w:r>
      <w:r w:rsidRPr="00A41CAD">
        <w:t>both SG and BBIG had the greatest plant density following the first year of CSA grazing</w:t>
      </w:r>
      <w:r>
        <w:t>, t</w:t>
      </w:r>
      <w:r w:rsidRPr="00A41CAD">
        <w:t>he difference in NWSG plant density following the first and second year of grazing could</w:t>
      </w:r>
      <w:r w:rsidR="00851218">
        <w:t xml:space="preserve"> </w:t>
      </w:r>
      <w:r w:rsidR="00AC39E8">
        <w:t xml:space="preserve">have resulted from the </w:t>
      </w:r>
      <w:r w:rsidRPr="00A41CAD">
        <w:t xml:space="preserve">timing of grazing instead of the </w:t>
      </w:r>
      <w:r w:rsidR="00D011C5">
        <w:t>CSA treatment</w:t>
      </w:r>
      <w:r w:rsidRPr="00A41CAD">
        <w:t xml:space="preserve">.  </w:t>
      </w:r>
      <w:r w:rsidRPr="00B715FB">
        <w:t>Grazing occurred a month earlier in 2020 (March-April) than 2019 (April-May)</w:t>
      </w:r>
      <w:r w:rsidR="00851218">
        <w:t xml:space="preserve"> due to a</w:t>
      </w:r>
      <w:r w:rsidR="000F20CA" w:rsidRPr="00554AA1">
        <w:t xml:space="preserve"> period of drought that </w:t>
      </w:r>
      <w:r w:rsidR="000F20CA">
        <w:t xml:space="preserve">slowed CSA growth </w:t>
      </w:r>
      <w:r w:rsidR="00851218">
        <w:t xml:space="preserve">in 2019 </w:t>
      </w:r>
      <w:r w:rsidR="000F20CA">
        <w:t>whereas</w:t>
      </w:r>
      <w:r w:rsidR="000F20CA" w:rsidRPr="00554AA1">
        <w:t xml:space="preserve"> no drought was recorded</w:t>
      </w:r>
      <w:r w:rsidR="000F20CA">
        <w:t xml:space="preserve"> in 2020.  Grazing earlier</w:t>
      </w:r>
      <w:r w:rsidR="00094546">
        <w:t xml:space="preserve"> </w:t>
      </w:r>
      <w:r w:rsidRPr="00B715FB">
        <w:t xml:space="preserve">would potentially allow for greater regrowth of grazed CSA prior to NWSG growth.  </w:t>
      </w:r>
      <w:r w:rsidR="006F30E1">
        <w:t xml:space="preserve">Also, CSA plant density was numerically greater for CSA treatments in 2020 than in 2019 (except for the SG CSA polyculture) (Table 1.3).  </w:t>
      </w:r>
      <w:r w:rsidRPr="00B715FB">
        <w:t>Increasing competition for resources with larger established CSA plants could inhibit NWSG green-up.  Fribourg and Overton (1973) reported reduced bermudagrass yields when interseeding annual ryegrass</w:t>
      </w:r>
      <w:r w:rsidR="004D0D8D">
        <w:t xml:space="preserve"> and</w:t>
      </w:r>
      <w:r w:rsidR="00554AA1">
        <w:t xml:space="preserve"> attributed this reduction to </w:t>
      </w:r>
      <w:r w:rsidR="004D0D8D">
        <w:t>o</w:t>
      </w:r>
      <w:r w:rsidR="00554AA1">
        <w:t xml:space="preserve">verlapping growth where the CSA impeded the warm-season perennial’s initial growth following dormancy.  </w:t>
      </w:r>
      <w:r>
        <w:t xml:space="preserve">However, in the current studies, </w:t>
      </w:r>
      <w:r w:rsidR="00CB0AD1">
        <w:t>NWSG</w:t>
      </w:r>
      <w:r>
        <w:t xml:space="preserve"> plant density was no different </w:t>
      </w:r>
      <w:r w:rsidR="007B6C00">
        <w:t>among</w:t>
      </w:r>
      <w:r>
        <w:t xml:space="preserve"> the CSA plantings and the non-planted control.  </w:t>
      </w:r>
      <w:r w:rsidR="00851218">
        <w:t>Thus, t</w:t>
      </w:r>
      <w:r w:rsidRPr="00B715FB">
        <w:t xml:space="preserve">he change </w:t>
      </w:r>
      <w:r w:rsidR="00483353">
        <w:t xml:space="preserve">in </w:t>
      </w:r>
      <w:r w:rsidRPr="00B715FB">
        <w:t xml:space="preserve">grazing management from year-to-year may have influenced mean plant </w:t>
      </w:r>
      <w:r w:rsidR="00554AA1" w:rsidRPr="00A41CAD">
        <w:t>density</w:t>
      </w:r>
      <w:r w:rsidRPr="00B715FB">
        <w:t>.</w:t>
      </w:r>
      <w:r w:rsidR="00554AA1">
        <w:t xml:space="preserve">  </w:t>
      </w:r>
      <w:r w:rsidR="00CB0AD1">
        <w:t>Continually stocking each pasture for the duration of the 2020 CSA grazing period, as opposed to rotational stocking all pastures in 2019, may have allowed cattle access to NWSG at green-up</w:t>
      </w:r>
      <w:r w:rsidR="00483353">
        <w:t xml:space="preserve"> in all pastures in 2020 as opposed to a single pasture per species in 2019</w:t>
      </w:r>
      <w:r w:rsidR="00CB0AD1">
        <w:t xml:space="preserve">.  </w:t>
      </w:r>
      <w:r w:rsidR="007B6C00">
        <w:t>Furthermore, g</w:t>
      </w:r>
      <w:r w:rsidR="00CB0AD1">
        <w:t xml:space="preserve">razing </w:t>
      </w:r>
      <w:r w:rsidR="00CB0AD1">
        <w:lastRenderedPageBreak/>
        <w:t xml:space="preserve">prior to </w:t>
      </w:r>
      <w:r w:rsidR="00FE45D3">
        <w:t xml:space="preserve">NWSG reaching 38-cm tall could </w:t>
      </w:r>
      <w:r w:rsidR="007B6C00">
        <w:t xml:space="preserve">potentially </w:t>
      </w:r>
      <w:r w:rsidR="00FE45D3">
        <w:t>weaken stands (</w:t>
      </w:r>
      <w:r w:rsidR="00DF74A1" w:rsidRPr="006322A8">
        <w:t xml:space="preserve">Keyser, Bates, Waller, Harper, </w:t>
      </w:r>
      <w:r w:rsidR="00DF74A1">
        <w:t xml:space="preserve">&amp; Holcomb, </w:t>
      </w:r>
      <w:r w:rsidR="00FE45D3">
        <w:t>2011d)</w:t>
      </w:r>
      <w:r w:rsidR="00554AA1" w:rsidRPr="00554AA1">
        <w:t>.</w:t>
      </w:r>
    </w:p>
    <w:p w14:paraId="5451D393" w14:textId="5CB1FB2B" w:rsidR="00C36E7C" w:rsidRPr="00A41CAD" w:rsidRDefault="00C36E7C" w:rsidP="00F167F5">
      <w:pPr>
        <w:pStyle w:val="Paragraphs"/>
      </w:pPr>
      <w:r>
        <w:t>Timing and frequency of hay harvest could have influenced NWSG plant density.  Both NWSG were harvested on 22 July which is after SG, BB, and IG have begun to reach reproductive stage.  Branson (1953) found that declines in SG stand density and plant vigor were attributed to a high ratio of reproductive to vegetative stems at harvest.  Another possibility for the decline in plant density in 2020 could be attributed to the two harvests in 2020.  Beaty and Powell (1976) noted that SG plant and crown survival declined when harvested two or more times per year.</w:t>
      </w:r>
    </w:p>
    <w:p w14:paraId="77CA4003" w14:textId="77777777" w:rsidR="004254D1" w:rsidRDefault="00F07289" w:rsidP="004254D1">
      <w:pPr>
        <w:pStyle w:val="Paragraphs"/>
      </w:pPr>
      <w:r w:rsidRPr="00A41CAD">
        <w:t xml:space="preserve"> </w:t>
      </w:r>
      <w:r w:rsidRPr="00C10F93">
        <w:t>For SG tiller</w:t>
      </w:r>
      <w:r w:rsidR="00511CD2" w:rsidRPr="00C10F93">
        <w:t xml:space="preserve">s </w:t>
      </w:r>
      <w:r w:rsidRPr="00C10F93">
        <w:t>plant</w:t>
      </w:r>
      <w:r w:rsidRPr="00851218">
        <w:rPr>
          <w:vertAlign w:val="superscript"/>
        </w:rPr>
        <w:t>-1</w:t>
      </w:r>
      <w:r w:rsidRPr="00C10F93">
        <w:t xml:space="preserve">, only </w:t>
      </w:r>
      <w:r w:rsidR="003D4C1A" w:rsidRPr="00C10F93">
        <w:t xml:space="preserve">warm-season </w:t>
      </w:r>
      <w:r w:rsidRPr="00C10F93">
        <w:t>N treatment was significant (</w:t>
      </w:r>
      <w:r w:rsidRPr="007B6C00">
        <w:rPr>
          <w:i/>
          <w:iCs/>
        </w:rPr>
        <w:t>P</w:t>
      </w:r>
      <w:r w:rsidRPr="00C10F93">
        <w:t xml:space="preserve"> = 0.048).  Experimental units fertilized with 67 kg N ha</w:t>
      </w:r>
      <w:r w:rsidR="003D4C1A" w:rsidRPr="00851218">
        <w:rPr>
          <w:vertAlign w:val="superscript"/>
        </w:rPr>
        <w:t>-1</w:t>
      </w:r>
      <w:r w:rsidR="003D4C1A" w:rsidRPr="00C10F93">
        <w:t xml:space="preserve"> had greater mean number of tillers plant</w:t>
      </w:r>
      <w:r w:rsidR="003D4C1A" w:rsidRPr="00851218">
        <w:rPr>
          <w:vertAlign w:val="superscript"/>
        </w:rPr>
        <w:t>-1</w:t>
      </w:r>
      <w:r w:rsidR="003D4C1A" w:rsidRPr="00C10F93">
        <w:t xml:space="preserve"> than 0 kg N ha</w:t>
      </w:r>
      <w:r w:rsidR="003D4C1A" w:rsidRPr="00851218">
        <w:rPr>
          <w:vertAlign w:val="superscript"/>
        </w:rPr>
        <w:t>-1</w:t>
      </w:r>
      <w:r w:rsidR="003D4C1A" w:rsidRPr="00C10F93">
        <w:t xml:space="preserve"> (1.83 v. 1.63, respectively).</w:t>
      </w:r>
      <w:r w:rsidR="00D2712B" w:rsidRPr="00C10F93">
        <w:t xml:space="preserve">  </w:t>
      </w:r>
      <w:r w:rsidR="0056068A" w:rsidRPr="00C10F93">
        <w:t xml:space="preserve">Switchgrass tiller categories were </w:t>
      </w:r>
      <w:r w:rsidR="0056068A">
        <w:t xml:space="preserve">also </w:t>
      </w:r>
      <w:r w:rsidR="0056068A" w:rsidRPr="00C10F93">
        <w:t>not influenced by CSA (</w:t>
      </w:r>
      <w:r w:rsidR="0056068A" w:rsidRPr="0056068A">
        <w:rPr>
          <w:i/>
          <w:iCs/>
        </w:rPr>
        <w:t>P</w:t>
      </w:r>
      <w:r w:rsidR="0056068A" w:rsidRPr="00C10F93">
        <w:t xml:space="preserve"> = 0.241, </w:t>
      </w:r>
      <w:r w:rsidR="0056068A" w:rsidRPr="0056068A">
        <w:rPr>
          <w:i/>
          <w:iCs/>
        </w:rPr>
        <w:t>x</w:t>
      </w:r>
      <w:r w:rsidR="0056068A" w:rsidRPr="0056068A">
        <w:rPr>
          <w:i/>
          <w:iCs/>
          <w:vertAlign w:val="superscript"/>
        </w:rPr>
        <w:t>2</w:t>
      </w:r>
      <w:r w:rsidR="0056068A" w:rsidRPr="00C10F93">
        <w:t xml:space="preserve"> = 2.84) but by warm-season N treatment (</w:t>
      </w:r>
      <w:r w:rsidR="0056068A" w:rsidRPr="0056068A">
        <w:rPr>
          <w:i/>
          <w:iCs/>
        </w:rPr>
        <w:t>P</w:t>
      </w:r>
      <w:r w:rsidR="0056068A" w:rsidRPr="00C10F93">
        <w:t xml:space="preserve"> = 0.034, </w:t>
      </w:r>
      <w:r w:rsidR="0056068A" w:rsidRPr="0056068A">
        <w:rPr>
          <w:i/>
          <w:iCs/>
        </w:rPr>
        <w:t>x</w:t>
      </w:r>
      <w:r w:rsidR="0056068A" w:rsidRPr="0056068A">
        <w:rPr>
          <w:i/>
          <w:iCs/>
          <w:vertAlign w:val="superscript"/>
        </w:rPr>
        <w:t>2</w:t>
      </w:r>
      <w:r w:rsidR="0056068A" w:rsidRPr="00C10F93">
        <w:t xml:space="preserve"> = 4.52).  </w:t>
      </w:r>
      <w:r w:rsidR="00D87187" w:rsidRPr="00C10F93">
        <w:t xml:space="preserve">Furthermore, there was a greater percentage of fertilized SG plants (43.4%) having ≥26 tillers as compared to non-fertilized plants (36.6%).  Because this was not the case for SG plant density, </w:t>
      </w:r>
      <w:r w:rsidR="00D011C5">
        <w:t xml:space="preserve">it seems apparent </w:t>
      </w:r>
      <w:r w:rsidR="00D87187" w:rsidRPr="00C10F93">
        <w:t xml:space="preserve">N fertilization increased individual SG plant vigor without increasing the total number of plants.  </w:t>
      </w:r>
    </w:p>
    <w:p w14:paraId="5DD7EC79" w14:textId="51B4F266" w:rsidR="00F167F5" w:rsidRPr="00C10F93" w:rsidRDefault="00FD5014" w:rsidP="00C10F93">
      <w:pPr>
        <w:pStyle w:val="Paragraphs"/>
        <w:spacing w:after="100" w:afterAutospacing="1"/>
      </w:pPr>
      <w:r>
        <w:t xml:space="preserve">Within the BBIG experiment, BB </w:t>
      </w:r>
      <w:r w:rsidR="00D87187" w:rsidRPr="00C10F93">
        <w:t xml:space="preserve">and IG accounted for 52.3 and 47.7%, respectively, of the </w:t>
      </w:r>
      <w:r w:rsidR="00D011C5">
        <w:t xml:space="preserve">BBIG </w:t>
      </w:r>
      <w:r w:rsidR="00D87187" w:rsidRPr="00C10F93">
        <w:t>stand</w:t>
      </w:r>
      <w:r w:rsidR="00D011C5">
        <w:t>s</w:t>
      </w:r>
      <w:r w:rsidR="00D87187" w:rsidRPr="00C10F93">
        <w:t xml:space="preserve"> pooled across all years, pastures, and treatments.  </w:t>
      </w:r>
      <w:r w:rsidR="00981570" w:rsidRPr="00C10F93">
        <w:t>Plant density for</w:t>
      </w:r>
      <w:r w:rsidR="004611E6" w:rsidRPr="00C10F93">
        <w:t xml:space="preserve"> BBIG</w:t>
      </w:r>
      <w:r w:rsidR="00981570" w:rsidRPr="00C10F93">
        <w:t xml:space="preserve"> was influenced by warm-season N treatment (</w:t>
      </w:r>
      <w:r w:rsidR="00981570" w:rsidRPr="007B6C00">
        <w:rPr>
          <w:i/>
          <w:iCs/>
        </w:rPr>
        <w:t>P</w:t>
      </w:r>
      <w:r w:rsidR="00981570" w:rsidRPr="00C10F93">
        <w:t xml:space="preserve"> &lt; 0.001) but not by any</w:t>
      </w:r>
      <w:r w:rsidR="004611E6" w:rsidRPr="00C10F93">
        <w:t xml:space="preserve"> interactions between fixed effects (Table 1.</w:t>
      </w:r>
      <w:r w:rsidR="004F3B47" w:rsidRPr="00C10F93">
        <w:t>5</w:t>
      </w:r>
      <w:r w:rsidR="004611E6" w:rsidRPr="00C10F93">
        <w:t xml:space="preserve">).  </w:t>
      </w:r>
      <w:r w:rsidR="00E47B04" w:rsidRPr="00C10F93">
        <w:t>For warm-season N treatment, 0 kg N ha</w:t>
      </w:r>
      <w:r w:rsidR="00E47B04" w:rsidRPr="00FD5014">
        <w:rPr>
          <w:vertAlign w:val="superscript"/>
        </w:rPr>
        <w:t>-1</w:t>
      </w:r>
      <w:r w:rsidR="00E47B04" w:rsidRPr="00C10F93">
        <w:t xml:space="preserve"> had greater mean plant density tha</w:t>
      </w:r>
      <w:r w:rsidR="00981570" w:rsidRPr="00C10F93">
        <w:t>n</w:t>
      </w:r>
      <w:r w:rsidR="00E47B04" w:rsidRPr="00C10F93">
        <w:t xml:space="preserve"> 67 kg N ha</w:t>
      </w:r>
      <w:r w:rsidR="00E47B04" w:rsidRPr="00FD5014">
        <w:rPr>
          <w:vertAlign w:val="superscript"/>
        </w:rPr>
        <w:t>-1</w:t>
      </w:r>
      <w:r w:rsidR="00E47B04" w:rsidRPr="00C10F93">
        <w:t xml:space="preserve"> (34.9 and 29.6 plants m</w:t>
      </w:r>
      <w:r w:rsidR="00E47B04" w:rsidRPr="00FD5014">
        <w:rPr>
          <w:vertAlign w:val="superscript"/>
        </w:rPr>
        <w:t>-2</w:t>
      </w:r>
      <w:r w:rsidR="00E47B04" w:rsidRPr="00C10F93">
        <w:t>, respectively)</w:t>
      </w:r>
      <w:r w:rsidR="00D87187" w:rsidRPr="00C10F93">
        <w:t xml:space="preserve">, which is contrary to </w:t>
      </w:r>
      <w:r w:rsidR="00D011C5">
        <w:t xml:space="preserve">the results for </w:t>
      </w:r>
      <w:r w:rsidR="00D87187" w:rsidRPr="00C10F93">
        <w:t>SG tiller plant</w:t>
      </w:r>
      <w:r w:rsidR="00D87187" w:rsidRPr="00FD5014">
        <w:rPr>
          <w:vertAlign w:val="superscript"/>
        </w:rPr>
        <w:t>-1</w:t>
      </w:r>
      <w:r w:rsidR="00D87187" w:rsidRPr="00C10F93">
        <w:t xml:space="preserve">.  </w:t>
      </w:r>
      <w:r w:rsidR="00D011C5">
        <w:t>Because</w:t>
      </w:r>
      <w:r w:rsidR="00D87187" w:rsidRPr="00C10F93">
        <w:t xml:space="preserve"> BB and IG do not mature as </w:t>
      </w:r>
      <w:r w:rsidR="00D87187" w:rsidRPr="00C10F93">
        <w:lastRenderedPageBreak/>
        <w:t xml:space="preserve">early as SG, the May N fertilizer application may have added to </w:t>
      </w:r>
      <w:r w:rsidR="00501624">
        <w:t xml:space="preserve">increased </w:t>
      </w:r>
      <w:r w:rsidR="00D87187" w:rsidRPr="00C10F93">
        <w:t xml:space="preserve">weed density thus outcompeting BB and IG.  However, increased weed pressure was not </w:t>
      </w:r>
      <w:r w:rsidR="00EF028E" w:rsidRPr="00C10F93">
        <w:t xml:space="preserve">visually </w:t>
      </w:r>
      <w:r w:rsidR="00D87187" w:rsidRPr="00C10F93">
        <w:t xml:space="preserve">apparent during NWSG counts.  Alternatively, the decrease in plant density could have been due to growth and/or expansion </w:t>
      </w:r>
      <w:r w:rsidR="00D011C5">
        <w:t xml:space="preserve">of individual plants resulting </w:t>
      </w:r>
      <w:r w:rsidR="00D87187" w:rsidRPr="00C10F93">
        <w:t xml:space="preserve">from N fertilization.  McKendrick, Owensby, and Hyde (1975) reported that each vegetatively reproductive tiller of BB produced approximately two tillers the following year.  Based on the current sampling protocol, the larger expanding plants could have encompassed the area </w:t>
      </w:r>
      <w:r w:rsidR="00D011C5">
        <w:t xml:space="preserve">(7.6 cm) </w:t>
      </w:r>
      <w:r w:rsidR="00D87187" w:rsidRPr="00C10F93">
        <w:t xml:space="preserve">between individual plants </w:t>
      </w:r>
      <w:r w:rsidR="00DC1381">
        <w:t xml:space="preserve">thus </w:t>
      </w:r>
      <w:r w:rsidR="00D87187" w:rsidRPr="00C10F93">
        <w:t xml:space="preserve">causing difficulty in differentiating between one or multiple plants in </w:t>
      </w:r>
      <w:r w:rsidR="00D011C5">
        <w:t>close proximity</w:t>
      </w:r>
      <w:r w:rsidR="00DC1381">
        <w:t xml:space="preserve"> within a 10-year-old NWSG stand. </w:t>
      </w:r>
      <w:r w:rsidR="00CC4FAB">
        <w:t xml:space="preserve"> </w:t>
      </w:r>
    </w:p>
    <w:p w14:paraId="0AF15F95" w14:textId="60B43A72" w:rsidR="00864EDD" w:rsidRPr="00A41CAD" w:rsidRDefault="00864EDD" w:rsidP="00124C0D">
      <w:pPr>
        <w:pStyle w:val="Heading2"/>
      </w:pPr>
      <w:bookmarkStart w:id="60" w:name="_Toc72026025"/>
      <w:bookmarkStart w:id="61" w:name="_Toc72305389"/>
      <w:r w:rsidRPr="00A41CAD">
        <w:t>Hay Yield</w:t>
      </w:r>
      <w:r w:rsidR="00B238BD">
        <w:t>,</w:t>
      </w:r>
      <w:r w:rsidR="00B641DB">
        <w:t xml:space="preserve"> Nutritive Value</w:t>
      </w:r>
      <w:bookmarkEnd w:id="60"/>
      <w:r w:rsidR="00B238BD">
        <w:t>, and Grazing Days</w:t>
      </w:r>
      <w:bookmarkEnd w:id="61"/>
    </w:p>
    <w:p w14:paraId="3B9D0DF8" w14:textId="38BF88E8" w:rsidR="00C36E7C" w:rsidRDefault="00F167F5" w:rsidP="00015EB3">
      <w:pPr>
        <w:pStyle w:val="Paragraphs"/>
      </w:pPr>
      <w:r>
        <w:t>Hay yield followed the same trajectory</w:t>
      </w:r>
      <w:r w:rsidR="00D63889">
        <w:t xml:space="preserve"> as plant density</w:t>
      </w:r>
      <w:r>
        <w:t xml:space="preserve">.  </w:t>
      </w:r>
      <w:r w:rsidR="00981570" w:rsidRPr="00767803">
        <w:t xml:space="preserve">Hay yield for </w:t>
      </w:r>
      <w:r w:rsidR="00767803">
        <w:t xml:space="preserve">both </w:t>
      </w:r>
      <w:r w:rsidR="00981570" w:rsidRPr="00767803">
        <w:t xml:space="preserve">SG </w:t>
      </w:r>
      <w:r w:rsidR="00767803">
        <w:t>and BBIG</w:t>
      </w:r>
      <w:r w:rsidR="00793406">
        <w:t xml:space="preserve"> </w:t>
      </w:r>
      <w:r w:rsidR="006109F9" w:rsidRPr="00767803">
        <w:t>w</w:t>
      </w:r>
      <w:r w:rsidR="00981570" w:rsidRPr="00767803">
        <w:t>as</w:t>
      </w:r>
      <w:r w:rsidR="006109F9" w:rsidRPr="00767803">
        <w:t xml:space="preserve"> only influenced by Harvest (</w:t>
      </w:r>
      <w:r w:rsidR="006109F9" w:rsidRPr="00793406">
        <w:rPr>
          <w:i/>
          <w:iCs/>
        </w:rPr>
        <w:t>P</w:t>
      </w:r>
      <w:r w:rsidR="006109F9" w:rsidRPr="00767803">
        <w:t xml:space="preserve"> &lt; 0.001; Table 1.</w:t>
      </w:r>
      <w:r w:rsidR="009579FB">
        <w:t>6</w:t>
      </w:r>
      <w:r w:rsidR="006109F9" w:rsidRPr="00767803">
        <w:t xml:space="preserve">).  </w:t>
      </w:r>
      <w:r w:rsidR="00767803">
        <w:t>For SG, t</w:t>
      </w:r>
      <w:r w:rsidR="006109F9" w:rsidRPr="00767803">
        <w:t xml:space="preserve">he July 2019 </w:t>
      </w:r>
      <w:r w:rsidR="00767803" w:rsidRPr="00767803">
        <w:t>(</w:t>
      </w:r>
      <w:r w:rsidR="002A0DE2">
        <w:t>6.5</w:t>
      </w:r>
      <w:r w:rsidR="00767803">
        <w:t xml:space="preserve"> Mg</w:t>
      </w:r>
      <w:r w:rsidR="00767803" w:rsidRPr="00767803">
        <w:t xml:space="preserve"> ha</w:t>
      </w:r>
      <w:r w:rsidR="00767803" w:rsidRPr="004F5064">
        <w:rPr>
          <w:vertAlign w:val="superscript"/>
        </w:rPr>
        <w:t>-1</w:t>
      </w:r>
      <w:r w:rsidR="00767803" w:rsidRPr="00767803">
        <w:t>)</w:t>
      </w:r>
      <w:r w:rsidR="00793406">
        <w:t xml:space="preserve"> </w:t>
      </w:r>
      <w:r w:rsidR="006109F9" w:rsidRPr="00767803">
        <w:t xml:space="preserve">harvest </w:t>
      </w:r>
      <w:r w:rsidR="00EF028E">
        <w:t xml:space="preserve">had </w:t>
      </w:r>
      <w:r w:rsidR="00D63889">
        <w:t xml:space="preserve">the </w:t>
      </w:r>
      <w:r w:rsidR="006109F9" w:rsidRPr="00767803">
        <w:t>greate</w:t>
      </w:r>
      <w:r w:rsidR="00EF028E">
        <w:t>st hay yield</w:t>
      </w:r>
      <w:r w:rsidR="00D63889">
        <w:t>,</w:t>
      </w:r>
      <w:r w:rsidR="00EF028E">
        <w:t xml:space="preserve"> which was representative of the greatest plant density</w:t>
      </w:r>
      <w:r w:rsidR="00B238BD">
        <w:t xml:space="preserve">, while </w:t>
      </w:r>
      <w:r w:rsidR="006109F9" w:rsidRPr="00767803">
        <w:t xml:space="preserve">July 2020 </w:t>
      </w:r>
      <w:r w:rsidR="00767803" w:rsidRPr="00767803">
        <w:t>(</w:t>
      </w:r>
      <w:r w:rsidR="002A0DE2">
        <w:t>4.3</w:t>
      </w:r>
      <w:r w:rsidR="00767803">
        <w:t xml:space="preserve"> Mg</w:t>
      </w:r>
      <w:r w:rsidR="00767803" w:rsidRPr="00767803">
        <w:t xml:space="preserve"> ha</w:t>
      </w:r>
      <w:r w:rsidR="00767803" w:rsidRPr="004F5064">
        <w:rPr>
          <w:vertAlign w:val="superscript"/>
        </w:rPr>
        <w:t>-1</w:t>
      </w:r>
      <w:r w:rsidR="00767803" w:rsidRPr="00767803">
        <w:t>)</w:t>
      </w:r>
      <w:r w:rsidR="00767803">
        <w:t xml:space="preserve"> </w:t>
      </w:r>
      <w:r w:rsidR="006109F9" w:rsidRPr="00767803">
        <w:t xml:space="preserve">and September 2020 </w:t>
      </w:r>
      <w:r w:rsidR="00767803" w:rsidRPr="00767803">
        <w:t>(</w:t>
      </w:r>
      <w:r w:rsidR="00767803">
        <w:t>4.</w:t>
      </w:r>
      <w:r w:rsidR="002A0DE2">
        <w:t>8</w:t>
      </w:r>
      <w:r w:rsidR="00767803">
        <w:t xml:space="preserve"> Mg</w:t>
      </w:r>
      <w:r w:rsidR="00767803" w:rsidRPr="00767803">
        <w:t xml:space="preserve"> ha</w:t>
      </w:r>
      <w:r w:rsidR="00767803" w:rsidRPr="004F5064">
        <w:rPr>
          <w:vertAlign w:val="superscript"/>
        </w:rPr>
        <w:t>-1</w:t>
      </w:r>
      <w:r w:rsidR="00767803" w:rsidRPr="00767803">
        <w:t>)</w:t>
      </w:r>
      <w:r w:rsidR="00EF028E">
        <w:t xml:space="preserve"> were similar to one another</w:t>
      </w:r>
      <w:r w:rsidR="006109F9" w:rsidRPr="00767803">
        <w:t>.</w:t>
      </w:r>
      <w:r w:rsidR="00981570" w:rsidRPr="00767803">
        <w:t xml:space="preserve">  </w:t>
      </w:r>
      <w:r w:rsidR="00767803">
        <w:t>For BBIG,</w:t>
      </w:r>
      <w:r w:rsidR="00BC7962" w:rsidRPr="00767803">
        <w:t xml:space="preserve"> </w:t>
      </w:r>
      <w:r w:rsidR="00B6323B" w:rsidRPr="00767803">
        <w:t>July 2020 (</w:t>
      </w:r>
      <w:r w:rsidR="002A0DE2">
        <w:t>5.2</w:t>
      </w:r>
      <w:r w:rsidR="00767803">
        <w:t xml:space="preserve"> Mg</w:t>
      </w:r>
      <w:r w:rsidR="00767803" w:rsidRPr="00767803">
        <w:t xml:space="preserve"> ha</w:t>
      </w:r>
      <w:r w:rsidR="00767803" w:rsidRPr="004F5064">
        <w:rPr>
          <w:vertAlign w:val="superscript"/>
        </w:rPr>
        <w:t>-1</w:t>
      </w:r>
      <w:r w:rsidR="00767803" w:rsidRPr="00767803">
        <w:t>)</w:t>
      </w:r>
      <w:r w:rsidR="00B6323B" w:rsidRPr="00767803">
        <w:t xml:space="preserve"> produced the l</w:t>
      </w:r>
      <w:r w:rsidR="00767803">
        <w:t xml:space="preserve">owest hay yield while </w:t>
      </w:r>
      <w:r w:rsidR="00767803" w:rsidRPr="00767803">
        <w:t>July 2019 (</w:t>
      </w:r>
      <w:r w:rsidR="002A0DE2">
        <w:t>7.1</w:t>
      </w:r>
      <w:r w:rsidR="00767803" w:rsidRPr="00767803">
        <w:t xml:space="preserve"> Mg ha</w:t>
      </w:r>
      <w:r w:rsidR="00767803" w:rsidRPr="004F5064">
        <w:rPr>
          <w:vertAlign w:val="superscript"/>
        </w:rPr>
        <w:t>-1</w:t>
      </w:r>
      <w:r w:rsidR="00767803" w:rsidRPr="00767803">
        <w:t>)</w:t>
      </w:r>
      <w:r w:rsidR="00767803">
        <w:t xml:space="preserve"> was similar to </w:t>
      </w:r>
      <w:r w:rsidR="00501C05" w:rsidRPr="00767803">
        <w:t>September 2020 (</w:t>
      </w:r>
      <w:r w:rsidR="002A0DE2">
        <w:t>7.0</w:t>
      </w:r>
      <w:r w:rsidR="00501C05" w:rsidRPr="00767803">
        <w:t xml:space="preserve"> Mg ha</w:t>
      </w:r>
      <w:r w:rsidR="00501C05" w:rsidRPr="00793406">
        <w:rPr>
          <w:vertAlign w:val="superscript"/>
        </w:rPr>
        <w:t>-1</w:t>
      </w:r>
      <w:r w:rsidR="00501C05" w:rsidRPr="00767803">
        <w:t>)</w:t>
      </w:r>
      <w:r w:rsidR="00767803">
        <w:t>.</w:t>
      </w:r>
      <w:r w:rsidR="00EF028E">
        <w:t xml:space="preserve">  </w:t>
      </w:r>
      <w:r w:rsidR="008D68D8">
        <w:t xml:space="preserve">The decline in hay yield could </w:t>
      </w:r>
      <w:r w:rsidR="00E73F33">
        <w:t>have been</w:t>
      </w:r>
      <w:r w:rsidR="008D68D8">
        <w:t xml:space="preserve"> due to mean monthly temperature during the green-up period.  Temperatures in April, May, and June </w:t>
      </w:r>
      <w:r w:rsidR="00CC4FAB">
        <w:t xml:space="preserve">of 2019 </w:t>
      </w:r>
      <w:r w:rsidR="008D68D8">
        <w:t>were greater than those in 2020, allowing for dormancy break of NWSG to occur earlier in the year.  Furthermore, t</w:t>
      </w:r>
      <w:r w:rsidR="00EF028E">
        <w:t>he decline in hay yield</w:t>
      </w:r>
      <w:r w:rsidR="008D68D8">
        <w:t>,</w:t>
      </w:r>
      <w:r w:rsidR="00EF028E">
        <w:t xml:space="preserve"> and </w:t>
      </w:r>
      <w:r w:rsidR="008D68D8">
        <w:t xml:space="preserve">potentially </w:t>
      </w:r>
      <w:r w:rsidR="00EF028E">
        <w:t>plant density</w:t>
      </w:r>
      <w:r w:rsidR="008D68D8">
        <w:t>,</w:t>
      </w:r>
      <w:r w:rsidR="00EF028E">
        <w:t xml:space="preserve"> from </w:t>
      </w:r>
      <w:r w:rsidR="00094546">
        <w:t xml:space="preserve">July </w:t>
      </w:r>
      <w:r w:rsidR="00EF028E">
        <w:t xml:space="preserve">2019 to </w:t>
      </w:r>
      <w:r w:rsidR="00094546">
        <w:t xml:space="preserve">July </w:t>
      </w:r>
      <w:r w:rsidR="00EF028E">
        <w:t xml:space="preserve">2020 could have been influenced by the July 2019 harvest.  Dwyer et al. (1963) and Newell and Keim (1947) reported a decline in SG yield the year following the first harvesting year.  </w:t>
      </w:r>
    </w:p>
    <w:p w14:paraId="5C158C34" w14:textId="4BE9DC64" w:rsidR="00015EB3" w:rsidRDefault="007920DF" w:rsidP="00015EB3">
      <w:pPr>
        <w:pStyle w:val="Paragraphs"/>
      </w:pPr>
      <w:r>
        <w:lastRenderedPageBreak/>
        <w:t>When analyzing hay nutritive values, the CSA x Year interaction only influenced aNDF for SG</w:t>
      </w:r>
      <w:r w:rsidR="006F0582" w:rsidRPr="00C609B8">
        <w:t xml:space="preserve"> (</w:t>
      </w:r>
      <w:r w:rsidR="006F0582" w:rsidRPr="00C609B8">
        <w:rPr>
          <w:i/>
          <w:iCs/>
        </w:rPr>
        <w:t>P</w:t>
      </w:r>
      <w:r w:rsidR="006F0582" w:rsidRPr="00C609B8">
        <w:t xml:space="preserve"> = 0.046; Table 1.7).  </w:t>
      </w:r>
      <w:r>
        <w:t>The</w:t>
      </w:r>
      <w:r w:rsidR="006F0582" w:rsidRPr="00C609B8">
        <w:t xml:space="preserve"> CSA polyculture </w:t>
      </w:r>
      <w:r>
        <w:t>was</w:t>
      </w:r>
      <w:r w:rsidR="006F0582" w:rsidRPr="00C609B8">
        <w:t xml:space="preserve"> greatest </w:t>
      </w:r>
      <w:r>
        <w:t xml:space="preserve">for </w:t>
      </w:r>
      <w:r w:rsidR="006F0582" w:rsidRPr="00C609B8">
        <w:t>aNDF (748. 2 g kg</w:t>
      </w:r>
      <w:r w:rsidR="006F0582" w:rsidRPr="00C609B8">
        <w:rPr>
          <w:vertAlign w:val="superscript"/>
        </w:rPr>
        <w:t>-1</w:t>
      </w:r>
      <w:r w:rsidR="006F0582" w:rsidRPr="00C609B8">
        <w:t xml:space="preserve">) </w:t>
      </w:r>
      <w:r>
        <w:t xml:space="preserve">in 2020 </w:t>
      </w:r>
      <w:r w:rsidR="006F0582" w:rsidRPr="00C609B8">
        <w:t>while all other interactions did not differ.</w:t>
      </w:r>
      <w:r>
        <w:t xml:space="preserve">  Crude protein </w:t>
      </w:r>
      <w:r w:rsidR="00421057" w:rsidRPr="00C609B8">
        <w:t>differ</w:t>
      </w:r>
      <w:r w:rsidR="006F0582" w:rsidRPr="00C609B8">
        <w:t xml:space="preserve">ed by Year </w:t>
      </w:r>
      <w:r>
        <w:t xml:space="preserve">for SG and BBIG </w:t>
      </w:r>
      <w:r w:rsidR="00A260AD" w:rsidRPr="00C609B8">
        <w:t>(</w:t>
      </w:r>
      <w:r w:rsidR="00A260AD" w:rsidRPr="00C609B8">
        <w:rPr>
          <w:i/>
          <w:iCs/>
        </w:rPr>
        <w:t>P</w:t>
      </w:r>
      <w:r w:rsidR="00A260AD" w:rsidRPr="00C609B8">
        <w:t xml:space="preserve"> = 0.007 and </w:t>
      </w:r>
      <w:r w:rsidR="00A260AD" w:rsidRPr="00C609B8">
        <w:rPr>
          <w:i/>
          <w:iCs/>
        </w:rPr>
        <w:t>P</w:t>
      </w:r>
      <w:r w:rsidR="00A260AD" w:rsidRPr="00C609B8">
        <w:t xml:space="preserve"> = 0.016, respectively).  Both SG and BBIG had greater CP in 2020 (82.5 and 79.2 g kg</w:t>
      </w:r>
      <w:r w:rsidR="00A260AD" w:rsidRPr="00C609B8">
        <w:rPr>
          <w:vertAlign w:val="superscript"/>
        </w:rPr>
        <w:t>-1</w:t>
      </w:r>
      <w:r w:rsidR="00A260AD" w:rsidRPr="00C609B8">
        <w:t>, respectively) than 2019 (74.4 and 70.0 g kg</w:t>
      </w:r>
      <w:r w:rsidR="00A260AD" w:rsidRPr="00C609B8">
        <w:rPr>
          <w:vertAlign w:val="superscript"/>
        </w:rPr>
        <w:t>-1</w:t>
      </w:r>
      <w:r w:rsidR="00A260AD" w:rsidRPr="00C609B8">
        <w:t xml:space="preserve">, respectively).  </w:t>
      </w:r>
      <w:r>
        <w:t xml:space="preserve">However, this year effect could be attributed to plant maturity since both NWSG were harvested earlier in 2020 than in 2019.  </w:t>
      </w:r>
      <w:r w:rsidR="00A260AD" w:rsidRPr="00C609B8">
        <w:t>For SG</w:t>
      </w:r>
      <w:r w:rsidR="00421057" w:rsidRPr="00C609B8">
        <w:t>,</w:t>
      </w:r>
      <w:r w:rsidR="00A260AD" w:rsidRPr="00C609B8">
        <w:t xml:space="preserve"> </w:t>
      </w:r>
      <w:r w:rsidR="00421057" w:rsidRPr="00C609B8">
        <w:t>the cereal rye monoculture pastures had lower ADF (414.7 g kg</w:t>
      </w:r>
      <w:r w:rsidR="00421057" w:rsidRPr="00C609B8">
        <w:rPr>
          <w:vertAlign w:val="superscript"/>
        </w:rPr>
        <w:t>-1</w:t>
      </w:r>
      <w:r w:rsidR="00421057" w:rsidRPr="00C609B8">
        <w:t>) than</w:t>
      </w:r>
      <w:r w:rsidR="000C6797" w:rsidRPr="00C609B8">
        <w:t xml:space="preserve"> CSA</w:t>
      </w:r>
      <w:r w:rsidR="00421057" w:rsidRPr="00C609B8">
        <w:t xml:space="preserve"> polyculture (431.8 g kg</w:t>
      </w:r>
      <w:r w:rsidR="00421057" w:rsidRPr="00C609B8">
        <w:rPr>
          <w:vertAlign w:val="superscript"/>
        </w:rPr>
        <w:t>-1</w:t>
      </w:r>
      <w:r w:rsidR="00421057" w:rsidRPr="00C609B8">
        <w:t>)</w:t>
      </w:r>
      <w:r w:rsidR="00A260AD" w:rsidRPr="00C609B8">
        <w:t xml:space="preserve"> </w:t>
      </w:r>
      <w:r w:rsidR="00421057" w:rsidRPr="00C609B8">
        <w:t>pastures (</w:t>
      </w:r>
      <w:r w:rsidR="00421057" w:rsidRPr="00C609B8">
        <w:rPr>
          <w:i/>
          <w:iCs/>
        </w:rPr>
        <w:t>P</w:t>
      </w:r>
      <w:r w:rsidR="00421057" w:rsidRPr="00C609B8">
        <w:t xml:space="preserve"> = 0.049).  For BBIG, Year affected ADF content with lower fiber in 2020 (426.7 g kg</w:t>
      </w:r>
      <w:r w:rsidR="00421057" w:rsidRPr="00C609B8">
        <w:rPr>
          <w:vertAlign w:val="superscript"/>
        </w:rPr>
        <w:t>-1</w:t>
      </w:r>
      <w:r w:rsidR="00421057" w:rsidRPr="00C609B8">
        <w:t>) than 2019 (442.5 g kg</w:t>
      </w:r>
      <w:r w:rsidR="00421057" w:rsidRPr="00C609B8">
        <w:rPr>
          <w:vertAlign w:val="superscript"/>
        </w:rPr>
        <w:t>-1</w:t>
      </w:r>
      <w:r w:rsidR="00421057" w:rsidRPr="00C609B8">
        <w:t>)</w:t>
      </w:r>
      <w:r>
        <w:t>, which again could be associated with reduced plant maturity in 2020 than 2019.</w:t>
      </w:r>
      <w:r w:rsidR="00414E3D">
        <w:t xml:space="preserve"> </w:t>
      </w:r>
    </w:p>
    <w:p w14:paraId="3BDAC2A8" w14:textId="65324382" w:rsidR="00B641DB" w:rsidRDefault="00015EB3" w:rsidP="00C10F93">
      <w:pPr>
        <w:pStyle w:val="Paragraphs"/>
        <w:spacing w:after="100" w:afterAutospacing="1"/>
      </w:pPr>
      <w:r>
        <w:t>Although, SG and BBIG plant density, SG tiller density</w:t>
      </w:r>
      <w:r w:rsidR="00B238BD">
        <w:t>, and hay yield</w:t>
      </w:r>
      <w:r>
        <w:t xml:space="preserve"> did not differ among CSA treatments, </w:t>
      </w:r>
      <w:r w:rsidRPr="00A41CAD">
        <w:t xml:space="preserve">planting CSA added forage production during the </w:t>
      </w:r>
      <w:r>
        <w:t>dormant season</w:t>
      </w:r>
      <w:r w:rsidRPr="00A41CAD">
        <w:t xml:space="preserve"> prior to NWSG growth.  Across CSA treatments and grazing years, </w:t>
      </w:r>
      <w:r>
        <w:t>SG</w:t>
      </w:r>
      <w:r w:rsidRPr="00A41CAD">
        <w:t xml:space="preserve"> averaged 48.5 grazing days ha</w:t>
      </w:r>
      <w:r w:rsidRPr="00A41CAD">
        <w:rPr>
          <w:vertAlign w:val="superscript"/>
        </w:rPr>
        <w:t>-1</w:t>
      </w:r>
      <w:r w:rsidRPr="00A41CAD">
        <w:t xml:space="preserve"> while BBIG averaged 51.7 grazing days ha</w:t>
      </w:r>
      <w:r w:rsidRPr="00A41CAD">
        <w:rPr>
          <w:vertAlign w:val="superscript"/>
        </w:rPr>
        <w:t>-1</w:t>
      </w:r>
      <w:r w:rsidRPr="00A41CAD">
        <w:rPr>
          <w:rStyle w:val="Strong"/>
          <w:b w:val="0"/>
          <w:bCs w:val="0"/>
        </w:rPr>
        <w:t xml:space="preserve"> for cow-calf pairs.  This high-quality forage had average CP, ADF, aNDF, and IVTDMD48H values of 198.2, 198.7, 417.6, and 908.6 g kg</w:t>
      </w:r>
      <w:r w:rsidRPr="00A41CAD">
        <w:rPr>
          <w:rStyle w:val="Strong"/>
          <w:b w:val="0"/>
          <w:bCs w:val="0"/>
          <w:vertAlign w:val="superscript"/>
        </w:rPr>
        <w:t>-1</w:t>
      </w:r>
      <w:r w:rsidRPr="00A41CAD">
        <w:rPr>
          <w:rStyle w:val="Strong"/>
          <w:b w:val="0"/>
          <w:bCs w:val="0"/>
        </w:rPr>
        <w:t xml:space="preserve">, respectively, across both NWSG </w:t>
      </w:r>
      <w:r>
        <w:rPr>
          <w:rStyle w:val="Strong"/>
          <w:b w:val="0"/>
          <w:bCs w:val="0"/>
        </w:rPr>
        <w:t>forages</w:t>
      </w:r>
      <w:r w:rsidRPr="00A41CAD">
        <w:rPr>
          <w:rStyle w:val="Strong"/>
          <w:b w:val="0"/>
          <w:bCs w:val="0"/>
        </w:rPr>
        <w:t xml:space="preserve">, CSA treatments, and years.  </w:t>
      </w:r>
      <w:r>
        <w:rPr>
          <w:rStyle w:val="Strong"/>
          <w:b w:val="0"/>
          <w:bCs w:val="0"/>
        </w:rPr>
        <w:t>Mason et al. (2019) reported mean CP values for CSA in February slightly above (206 g kg</w:t>
      </w:r>
      <w:r w:rsidRPr="00470891">
        <w:rPr>
          <w:rStyle w:val="Strong"/>
          <w:b w:val="0"/>
          <w:bCs w:val="0"/>
          <w:vertAlign w:val="superscript"/>
        </w:rPr>
        <w:t>-1</w:t>
      </w:r>
      <w:r>
        <w:rPr>
          <w:rStyle w:val="Strong"/>
          <w:b w:val="0"/>
          <w:bCs w:val="0"/>
        </w:rPr>
        <w:t>) those in the current studies while March/April (110 g kg</w:t>
      </w:r>
      <w:r w:rsidRPr="00470891">
        <w:rPr>
          <w:rStyle w:val="Strong"/>
          <w:b w:val="0"/>
          <w:bCs w:val="0"/>
          <w:vertAlign w:val="superscript"/>
        </w:rPr>
        <w:t>-1</w:t>
      </w:r>
      <w:r>
        <w:rPr>
          <w:rStyle w:val="Strong"/>
          <w:b w:val="0"/>
          <w:bCs w:val="0"/>
        </w:rPr>
        <w:t xml:space="preserve">) were well below.  Their values were averaged across cereal rye monoculture and a cereal rye-red clover mixture.  </w:t>
      </w:r>
      <w:r w:rsidR="00421057">
        <w:t xml:space="preserve"> </w:t>
      </w:r>
    </w:p>
    <w:p w14:paraId="58BD7AEA" w14:textId="33A7D558" w:rsidR="00923500" w:rsidRDefault="0082228A" w:rsidP="0082228A">
      <w:pPr>
        <w:pStyle w:val="AgronomyJournalSectionTitles"/>
      </w:pPr>
      <w:bookmarkStart w:id="62" w:name="_Toc72026029"/>
      <w:bookmarkStart w:id="63" w:name="_Toc72305390"/>
      <w:r>
        <w:lastRenderedPageBreak/>
        <w:t>CONCLUSION</w:t>
      </w:r>
      <w:bookmarkEnd w:id="62"/>
      <w:r w:rsidR="00943A28">
        <w:t>S</w:t>
      </w:r>
      <w:bookmarkEnd w:id="63"/>
    </w:p>
    <w:p w14:paraId="46E70F8F" w14:textId="00385CB9" w:rsidR="00BC6981" w:rsidRDefault="00770BAF" w:rsidP="00BC29FD">
      <w:pPr>
        <w:pStyle w:val="Paragraphs"/>
      </w:pPr>
      <w:r>
        <w:t xml:space="preserve">Based on these results, it appears </w:t>
      </w:r>
      <w:r w:rsidR="00112735">
        <w:t>CSA</w:t>
      </w:r>
      <w:r w:rsidR="00BC6981">
        <w:t xml:space="preserve"> can be interseeded into SG and BBIG pastures without </w:t>
      </w:r>
      <w:r>
        <w:t>any negative impact on NWSG</w:t>
      </w:r>
      <w:r w:rsidR="00BC6981">
        <w:t xml:space="preserve">.  </w:t>
      </w:r>
      <w:r w:rsidR="00B43535">
        <w:t>The decline in p</w:t>
      </w:r>
      <w:r w:rsidR="00177F75">
        <w:t xml:space="preserve">lant density </w:t>
      </w:r>
      <w:r w:rsidR="00B43535">
        <w:t>in the third year of the study may</w:t>
      </w:r>
      <w:r w:rsidR="004D0D8D">
        <w:t xml:space="preserve"> have been impacted by</w:t>
      </w:r>
      <w:r w:rsidR="00E91680">
        <w:t xml:space="preserve"> multiple factors, such as differing weather conditions from year-to-year, CSA plant density, and management practices (timing of CSA grazing, NWSG hay harvest timing</w:t>
      </w:r>
      <w:r w:rsidR="00414E3D">
        <w:t xml:space="preserve"> and frequency</w:t>
      </w:r>
      <w:r w:rsidR="00E91680">
        <w:t xml:space="preserve">, etc.).  </w:t>
      </w:r>
      <w:r w:rsidR="00B43535">
        <w:t>However, t</w:t>
      </w:r>
      <w:r w:rsidR="00A94F48">
        <w:t xml:space="preserve">he most plausible explanation may be the difficulty of </w:t>
      </w:r>
      <w:r w:rsidR="00B43535">
        <w:t xml:space="preserve">separating </w:t>
      </w:r>
      <w:r w:rsidR="00A94F48">
        <w:t xml:space="preserve">individual plants from one another </w:t>
      </w:r>
      <w:r w:rsidR="00A94F48" w:rsidRPr="00A94F48">
        <w:t xml:space="preserve">within </w:t>
      </w:r>
      <w:r w:rsidR="00B43535">
        <w:t>the m</w:t>
      </w:r>
      <w:r w:rsidR="00A94F48" w:rsidRPr="00A94F48">
        <w:t>a</w:t>
      </w:r>
      <w:r w:rsidR="00B43535">
        <w:t>ture,</w:t>
      </w:r>
      <w:r w:rsidR="00A94F48">
        <w:t xml:space="preserve"> robust NWSG stand</w:t>
      </w:r>
      <w:r w:rsidR="00B43535">
        <w:t>s in this study.</w:t>
      </w:r>
      <w:r w:rsidR="00A94F48">
        <w:t xml:space="preserve">  </w:t>
      </w:r>
      <w:r w:rsidR="00837CC5">
        <w:t>In regard to</w:t>
      </w:r>
      <w:r w:rsidR="00A94F48">
        <w:t xml:space="preserve"> a</w:t>
      </w:r>
      <w:r w:rsidR="00B64FEA">
        <w:t xml:space="preserve">pplying N fertilizer during the </w:t>
      </w:r>
      <w:r w:rsidR="00832581">
        <w:t>warm season</w:t>
      </w:r>
      <w:r w:rsidR="00A94F48">
        <w:t xml:space="preserve">, no </w:t>
      </w:r>
      <w:r w:rsidR="00B64FEA">
        <w:t>consistent res</w:t>
      </w:r>
      <w:r>
        <w:t xml:space="preserve">ponse </w:t>
      </w:r>
      <w:r w:rsidR="00A94F48">
        <w:t>was observed</w:t>
      </w:r>
      <w:r w:rsidR="00B64FEA">
        <w:t>.</w:t>
      </w:r>
      <w:r w:rsidR="00832581">
        <w:t xml:space="preserve">  Planting CSA with </w:t>
      </w:r>
      <w:r w:rsidR="00903294">
        <w:t>N</w:t>
      </w:r>
      <w:r w:rsidR="00832581">
        <w:t>WSG increase</w:t>
      </w:r>
      <w:r>
        <w:t>d</w:t>
      </w:r>
      <w:r w:rsidR="00832581">
        <w:t xml:space="preserve"> grazing days ha</w:t>
      </w:r>
      <w:r w:rsidR="00832581" w:rsidRPr="00832581">
        <w:rPr>
          <w:vertAlign w:val="superscript"/>
        </w:rPr>
        <w:t>-1</w:t>
      </w:r>
      <w:r w:rsidR="00832581">
        <w:rPr>
          <w:vertAlign w:val="superscript"/>
        </w:rPr>
        <w:t xml:space="preserve"> </w:t>
      </w:r>
      <w:r w:rsidR="00832581">
        <w:t xml:space="preserve">and </w:t>
      </w:r>
      <w:r>
        <w:t>provided high quality</w:t>
      </w:r>
      <w:r w:rsidR="00832581">
        <w:t xml:space="preserve"> forage</w:t>
      </w:r>
      <w:r w:rsidR="00903294">
        <w:t xml:space="preserve"> during NWSG dormancy</w:t>
      </w:r>
      <w:r w:rsidR="00832581">
        <w:t>.</w:t>
      </w:r>
      <w:r w:rsidR="00BC29FD">
        <w:t xml:space="preserve">  Based on nutritive value</w:t>
      </w:r>
      <w:r>
        <w:t>s</w:t>
      </w:r>
      <w:r w:rsidR="00BC29FD">
        <w:t xml:space="preserve">, planting a CSA polyculture that includes legumes would have greater potential to increase animal performance than a cereal rye monoculture.  </w:t>
      </w:r>
    </w:p>
    <w:p w14:paraId="4BFC3ADE" w14:textId="77777777" w:rsidR="00BC6981" w:rsidRDefault="00BC6981" w:rsidP="00BD7382">
      <w:pPr>
        <w:pStyle w:val="Paragraphs"/>
      </w:pPr>
    </w:p>
    <w:p w14:paraId="129BF9ED" w14:textId="67E62BFF" w:rsidR="00BC6981" w:rsidRPr="00BD7382" w:rsidRDefault="00BC6981" w:rsidP="00BD7382">
      <w:pPr>
        <w:pStyle w:val="Paragraphs"/>
        <w:sectPr w:rsidR="00BC6981" w:rsidRPr="00BD7382" w:rsidSect="00C92DB5">
          <w:pgSz w:w="12240" w:h="15840" w:code="1"/>
          <w:pgMar w:top="1440" w:right="1800" w:bottom="1872" w:left="1800" w:header="720" w:footer="1440" w:gutter="0"/>
          <w:cols w:space="720"/>
          <w:noEndnote/>
          <w:docGrid w:linePitch="360"/>
        </w:sectPr>
      </w:pPr>
    </w:p>
    <w:p w14:paraId="06860004" w14:textId="40241B49" w:rsidR="00C77105" w:rsidRPr="00A41CAD" w:rsidRDefault="00C77105" w:rsidP="00C77105">
      <w:pPr>
        <w:pStyle w:val="AgronomyJournalSectionTitles"/>
      </w:pPr>
      <w:bookmarkStart w:id="64" w:name="_Toc72026030"/>
      <w:bookmarkStart w:id="65" w:name="_Toc72305391"/>
      <w:r w:rsidRPr="00A41CAD">
        <w:lastRenderedPageBreak/>
        <w:t>REFERENCES</w:t>
      </w:r>
      <w:bookmarkEnd w:id="64"/>
      <w:bookmarkEnd w:id="65"/>
    </w:p>
    <w:p w14:paraId="45EBF618" w14:textId="1419B5C4" w:rsidR="0054275A" w:rsidRDefault="0054275A" w:rsidP="0054275A">
      <w:pPr>
        <w:pStyle w:val="ListParagraph"/>
      </w:pPr>
      <w:bookmarkStart w:id="66" w:name="_Hlk66142152"/>
      <w:r>
        <w:t xml:space="preserve">Aravindhakshan, S.C., F.M. Epplin, and C.M. Taliaferro. 2011. Switchgrass, bermudagrass, flaccidgrass, and lovegrass biomass yield response to nitrogen for single and double harvest. Biomass Bioenergy 35:308-319. </w:t>
      </w:r>
      <w:hyperlink r:id="rId9" w:history="1">
        <w:r w:rsidRPr="0054275A">
          <w:rPr>
            <w:rStyle w:val="Hyperlink"/>
          </w:rPr>
          <w:t>https://doi:10.1016/j.biombioe.2010.08.042</w:t>
        </w:r>
      </w:hyperlink>
      <w:r>
        <w:t>.</w:t>
      </w:r>
    </w:p>
    <w:p w14:paraId="0898D0B7" w14:textId="77777777" w:rsidR="0054275A" w:rsidRDefault="0054275A" w:rsidP="00E56AD2">
      <w:pPr>
        <w:pStyle w:val="ListParagraph"/>
      </w:pPr>
    </w:p>
    <w:p w14:paraId="178A7D48" w14:textId="084CE278" w:rsidR="00E56AD2" w:rsidRDefault="00E56AD2" w:rsidP="00E56AD2">
      <w:pPr>
        <w:pStyle w:val="ListParagraph"/>
      </w:pPr>
      <w:r w:rsidRPr="00A41CAD">
        <w:t>Ashworth, A.J., F.L. Allen, P.D. Keyser, D.D. Tyler, A.M. Saxton, and A.M. Taylor. 2015. Switchgrass yield and stand dynamics from legume intercropping based on seeding rate and harvest management. J. Soil Water Conserv. 70:374-384.</w:t>
      </w:r>
    </w:p>
    <w:p w14:paraId="2E612B76" w14:textId="5A2108F2" w:rsidR="00D04029" w:rsidRDefault="00D04029" w:rsidP="00E56AD2">
      <w:pPr>
        <w:pStyle w:val="ListParagraph"/>
      </w:pPr>
    </w:p>
    <w:p w14:paraId="406123E0" w14:textId="4D840388" w:rsidR="00D04029" w:rsidRDefault="00D04029" w:rsidP="00E56AD2">
      <w:pPr>
        <w:pStyle w:val="ListParagraph"/>
      </w:pPr>
      <w:r>
        <w:t>Beaty, E.R., and J.D. Powell. 1976. Response of switchgrass (</w:t>
      </w:r>
      <w:r w:rsidRPr="00D04029">
        <w:rPr>
          <w:i/>
          <w:iCs/>
        </w:rPr>
        <w:t>Panicum virgatum</w:t>
      </w:r>
      <w:r>
        <w:t xml:space="preserve"> L.) to clipping frequency. J. Range Manage. 29:132-135.</w:t>
      </w:r>
    </w:p>
    <w:p w14:paraId="685F4A8A" w14:textId="5C6DE983" w:rsidR="00B86BCA" w:rsidRDefault="00B86BCA" w:rsidP="00E56AD2">
      <w:pPr>
        <w:pStyle w:val="ListParagraph"/>
      </w:pPr>
    </w:p>
    <w:p w14:paraId="7FA41D0E" w14:textId="724A95B7" w:rsidR="00B86BCA" w:rsidRPr="00A41CAD" w:rsidRDefault="00B86BCA" w:rsidP="00E56AD2">
      <w:pPr>
        <w:pStyle w:val="ListParagraph"/>
      </w:pPr>
      <w:r w:rsidRPr="00B86BCA">
        <w:t>Beck,</w:t>
      </w:r>
      <w:r>
        <w:t xml:space="preserve"> P.A.,</w:t>
      </w:r>
      <w:r w:rsidRPr="00B86BCA">
        <w:t xml:space="preserve"> C.B. Stewart, J.M. Phillips, K.B. Watkins, </w:t>
      </w:r>
      <w:r>
        <w:t xml:space="preserve">and </w:t>
      </w:r>
      <w:r w:rsidRPr="00B86BCA">
        <w:t>S.A. Gunter</w:t>
      </w:r>
      <w:r>
        <w:t>.</w:t>
      </w:r>
      <w:r w:rsidRPr="00B86BCA">
        <w:t xml:space="preserve"> </w:t>
      </w:r>
      <w:r>
        <w:t xml:space="preserve">2007. </w:t>
      </w:r>
      <w:r w:rsidRPr="00B86BCA">
        <w:t xml:space="preserve">Effect of species of cool-season annual grass interseeded into </w:t>
      </w:r>
      <w:r>
        <w:t>b</w:t>
      </w:r>
      <w:r w:rsidRPr="00B86BCA">
        <w:t>ermudagrass sod on the performance of growing calves</w:t>
      </w:r>
      <w:r>
        <w:t xml:space="preserve">. </w:t>
      </w:r>
      <w:r w:rsidRPr="00B86BCA">
        <w:t>J</w:t>
      </w:r>
      <w:r>
        <w:t>.</w:t>
      </w:r>
      <w:r w:rsidRPr="00B86BCA">
        <w:t xml:space="preserve"> Anim</w:t>
      </w:r>
      <w:r>
        <w:t>.</w:t>
      </w:r>
      <w:r w:rsidRPr="00B86BCA">
        <w:t xml:space="preserve"> Sci</w:t>
      </w:r>
      <w:r>
        <w:t xml:space="preserve">. </w:t>
      </w:r>
      <w:r w:rsidRPr="00B86BCA">
        <w:t>85</w:t>
      </w:r>
      <w:r>
        <w:t>:</w:t>
      </w:r>
      <w:r w:rsidRPr="00B86BCA">
        <w:t>536–544</w:t>
      </w:r>
      <w:r>
        <w:t xml:space="preserve">. </w:t>
      </w:r>
      <w:hyperlink r:id="rId10" w:history="1">
        <w:r w:rsidRPr="00B86BCA">
          <w:rPr>
            <w:rStyle w:val="Hyperlink"/>
          </w:rPr>
          <w:t>https://doi.org/10.2527/jas.2006-489</w:t>
        </w:r>
      </w:hyperlink>
    </w:p>
    <w:bookmarkEnd w:id="66"/>
    <w:p w14:paraId="1DDA6353" w14:textId="26A865F3" w:rsidR="00E56AD2" w:rsidRPr="00A41CAD" w:rsidRDefault="00E56AD2" w:rsidP="003426E0">
      <w:pPr>
        <w:pStyle w:val="ListParagraph"/>
      </w:pPr>
    </w:p>
    <w:p w14:paraId="7822762D" w14:textId="77777777" w:rsidR="00E56AD2" w:rsidRPr="00A41CAD" w:rsidRDefault="00E56AD2" w:rsidP="00E56AD2">
      <w:pPr>
        <w:pStyle w:val="ListParagraph"/>
      </w:pPr>
      <w:r w:rsidRPr="00A41CAD">
        <w:t>Blanchet, K.M., J.R. George, R.M. Gettle, D.R. Buxton, and K.J. Moore. 1995. Establishment and persistence of legume interseeded into switchgrass. Agron. J. 87:935-941.</w:t>
      </w:r>
    </w:p>
    <w:p w14:paraId="5D1C8DCA" w14:textId="77777777" w:rsidR="00E56AD2" w:rsidRPr="00A41CAD" w:rsidRDefault="00E56AD2" w:rsidP="00E56AD2">
      <w:pPr>
        <w:pStyle w:val="ListParagraph"/>
      </w:pPr>
    </w:p>
    <w:p w14:paraId="2B785886" w14:textId="77777777" w:rsidR="00E56AD2" w:rsidRPr="00A41CAD" w:rsidRDefault="00E56AD2" w:rsidP="00E56AD2">
      <w:pPr>
        <w:pStyle w:val="ListParagraph"/>
      </w:pPr>
      <w:r w:rsidRPr="00A41CAD">
        <w:t>Blaser, R.E., R.C. Hammes, H.T. Bryant, C.M. Kincaid, W.H. Skrdla, T.H. Taylor, and W.L. Griffeth. 1956. The value of forage species and mixtures for fattening steers. Agron. J. 48:508-513.</w:t>
      </w:r>
    </w:p>
    <w:p w14:paraId="42E8D3DD" w14:textId="77777777" w:rsidR="00E56AD2" w:rsidRPr="00A41CAD" w:rsidRDefault="00E56AD2" w:rsidP="00E56AD2">
      <w:pPr>
        <w:pStyle w:val="ListParagraph"/>
      </w:pPr>
    </w:p>
    <w:p w14:paraId="79148E30" w14:textId="362D98AF" w:rsidR="00E56AD2" w:rsidRDefault="00E56AD2" w:rsidP="00E56AD2">
      <w:pPr>
        <w:pStyle w:val="ListParagraph"/>
      </w:pPr>
      <w:r w:rsidRPr="00A41CAD">
        <w:t>Bow, J.R., J.P. Muir, D.C. Weindorf, R.E. Rosiere, and T.J. Butler. 2008. Integration of cool-season annual legumes and dairy manure compost with switchgrass. Crop Sci. 48:1621-1628.</w:t>
      </w:r>
    </w:p>
    <w:p w14:paraId="0E474366" w14:textId="3EFCC334" w:rsidR="00A94542" w:rsidRDefault="00A94542" w:rsidP="00E56AD2">
      <w:pPr>
        <w:pStyle w:val="ListParagraph"/>
      </w:pPr>
    </w:p>
    <w:p w14:paraId="01D97B49" w14:textId="6ED39CD0" w:rsidR="00A94542" w:rsidRPr="00A41CAD" w:rsidRDefault="00A94542" w:rsidP="00A94542">
      <w:pPr>
        <w:pStyle w:val="ListParagraph"/>
      </w:pPr>
      <w:r>
        <w:t xml:space="preserve">Ding, J., F. Li, D. Xu, P. Wu, M. Zhu, C. Li….W. Guo. 2021. Tillage and nitrogen managements increased wheat yield through promoting vigor growth and production of tillers. Agron. J. </w:t>
      </w:r>
      <w:hyperlink r:id="rId11" w:history="1">
        <w:r w:rsidRPr="00EB282E">
          <w:rPr>
            <w:rStyle w:val="Hyperlink"/>
          </w:rPr>
          <w:t>https://doi.org/10.1002/agj2.20562</w:t>
        </w:r>
      </w:hyperlink>
    </w:p>
    <w:p w14:paraId="2C3AA37F" w14:textId="609F056B" w:rsidR="00342D7F" w:rsidRPr="00A41CAD" w:rsidRDefault="00342D7F" w:rsidP="00E56AD2">
      <w:pPr>
        <w:pStyle w:val="ListParagraph"/>
      </w:pPr>
    </w:p>
    <w:p w14:paraId="2A65D91D" w14:textId="5FA7A12A" w:rsidR="00E56AD2" w:rsidRDefault="00E56AD2" w:rsidP="00E56AD2">
      <w:pPr>
        <w:pStyle w:val="ListParagraph"/>
      </w:pPr>
      <w:r w:rsidRPr="00A41CAD">
        <w:t>Fomsgaard, I.S. 2006. Chemical ecology in wheat plant-pest interactions. How the use of modern techniques and a multidisciplinary approach can throw new light on a well-known phenomenon: Allelopathy. J. Agric. Food Chem. 54:987-990.</w:t>
      </w:r>
    </w:p>
    <w:p w14:paraId="3CDEB8A4" w14:textId="475E47D1" w:rsidR="000C70D5" w:rsidRDefault="000C70D5" w:rsidP="00E56AD2">
      <w:pPr>
        <w:pStyle w:val="ListParagraph"/>
      </w:pPr>
    </w:p>
    <w:p w14:paraId="06F5E769" w14:textId="0B717113" w:rsidR="000C70D5" w:rsidRPr="00A41CAD" w:rsidRDefault="000C70D5" w:rsidP="00E56AD2">
      <w:pPr>
        <w:pStyle w:val="ListParagraph"/>
      </w:pPr>
      <w:r>
        <w:t>Fribourg, H.A, and J.R. Overton. 1973. Forage production on bermudagrass sods overseeded with tall fescue and winter annual grasses. Agron. J. 65:295-298.</w:t>
      </w:r>
    </w:p>
    <w:p w14:paraId="2046EDC0" w14:textId="77777777" w:rsidR="00E56AD2" w:rsidRPr="00A41CAD" w:rsidRDefault="00E56AD2" w:rsidP="00E56AD2">
      <w:pPr>
        <w:pStyle w:val="ListParagraph"/>
      </w:pPr>
    </w:p>
    <w:p w14:paraId="5C1BABC6" w14:textId="73C8C074" w:rsidR="00E56AD2" w:rsidRDefault="00E56AD2" w:rsidP="00E56AD2">
      <w:pPr>
        <w:pStyle w:val="ListParagraph"/>
      </w:pPr>
      <w:r w:rsidRPr="00A41CAD">
        <w:lastRenderedPageBreak/>
        <w:t>George, J.R., K.M. Blanchet, R.M. Gettle, D.R. Buxton, and K.J. Moore. 1995. Yield and botanical composition of legume-interseeded vs. nitrogen-fertilized switchgrass. Agron. J. 87:1147-1153.</w:t>
      </w:r>
    </w:p>
    <w:p w14:paraId="778C2569" w14:textId="56843656" w:rsidR="0054275A" w:rsidRDefault="0054275A" w:rsidP="00E56AD2">
      <w:pPr>
        <w:pStyle w:val="ListParagraph"/>
      </w:pPr>
    </w:p>
    <w:p w14:paraId="29257190" w14:textId="50F81371" w:rsidR="0054275A" w:rsidRPr="00A41CAD" w:rsidRDefault="0054275A" w:rsidP="0054275A">
      <w:pPr>
        <w:pStyle w:val="ListParagraph"/>
      </w:pPr>
      <w:r>
        <w:t xml:space="preserve">Haque, M., F.M. Epplin, and C.M. Taliaferro. 2009. Nitrogen and harvest frequency effect of yield and cost for four perennial grasses. Agron. J. 101:1463-1469. </w:t>
      </w:r>
      <w:hyperlink r:id="rId12" w:history="1">
        <w:r w:rsidRPr="0054275A">
          <w:rPr>
            <w:rStyle w:val="Hyperlink"/>
          </w:rPr>
          <w:t>https://doi:10.2134/agronj2009.0193</w:t>
        </w:r>
      </w:hyperlink>
      <w:r>
        <w:t>.</w:t>
      </w:r>
    </w:p>
    <w:p w14:paraId="6031F66E" w14:textId="34196495" w:rsidR="00E56AD2" w:rsidRPr="00A41CAD" w:rsidRDefault="00E56AD2" w:rsidP="003426E0">
      <w:pPr>
        <w:pStyle w:val="ListParagraph"/>
      </w:pPr>
    </w:p>
    <w:p w14:paraId="6EB083B3" w14:textId="77777777" w:rsidR="00E56AD2" w:rsidRPr="00A41CAD" w:rsidRDefault="00E56AD2" w:rsidP="00E56AD2">
      <w:pPr>
        <w:pStyle w:val="ListParagraph"/>
      </w:pPr>
      <w:r w:rsidRPr="00A41CAD">
        <w:t>Hoveland, C.S., W.B. Anthony, J.A. McGuire, and J.G. Starling. 1977. Overseeding winter annual forages on Coastal bermudagrass sod for beef cows and calves. Alabama Agri. Exp. Stat. Bull. 496.</w:t>
      </w:r>
    </w:p>
    <w:p w14:paraId="04B95CE5" w14:textId="77777777" w:rsidR="00E56AD2" w:rsidRPr="00A41CAD" w:rsidRDefault="00E56AD2" w:rsidP="00E56AD2">
      <w:pPr>
        <w:pStyle w:val="ListParagraph"/>
      </w:pPr>
    </w:p>
    <w:p w14:paraId="562D8233" w14:textId="77777777" w:rsidR="00E56AD2" w:rsidRPr="00A41CAD" w:rsidRDefault="00E56AD2" w:rsidP="00E56AD2">
      <w:pPr>
        <w:pStyle w:val="ListParagraph"/>
      </w:pPr>
      <w:r w:rsidRPr="00A41CAD">
        <w:t>Hoveland, C.S., W.B. Anthony, J.A. McGuire, and J.G. Starling. 1978. Beef cow-calf performance on Coastal bermudagrass overseeded with winter annual clovers and grasses. Agron. J. 70:418-420.</w:t>
      </w:r>
    </w:p>
    <w:p w14:paraId="4D346917" w14:textId="69C85663" w:rsidR="00E56AD2" w:rsidRPr="00A41CAD" w:rsidRDefault="00E56AD2" w:rsidP="003426E0">
      <w:pPr>
        <w:pStyle w:val="ListParagraph"/>
      </w:pPr>
    </w:p>
    <w:p w14:paraId="1F9B0715" w14:textId="77777777" w:rsidR="00E56AD2" w:rsidRPr="00A41CAD" w:rsidRDefault="00E56AD2" w:rsidP="00E56AD2">
      <w:pPr>
        <w:pStyle w:val="ListParagraph"/>
      </w:pPr>
      <w:r w:rsidRPr="00A41CAD">
        <w:t>Jung, G.A., J.L. Griffin, R.E. Kocher, J.A. Shaffer, and C.F. Gross. 1985. Performance of switchgrass and bluestem cultivars mixed with cool-season species. Agron. J. 77:846-850.</w:t>
      </w:r>
    </w:p>
    <w:p w14:paraId="196B793D" w14:textId="77777777" w:rsidR="00E56AD2" w:rsidRPr="00A41CAD" w:rsidRDefault="00E56AD2" w:rsidP="00E56AD2">
      <w:pPr>
        <w:pStyle w:val="ListParagraph"/>
      </w:pPr>
    </w:p>
    <w:p w14:paraId="4B16CD03" w14:textId="77777777" w:rsidR="00E56AD2" w:rsidRPr="00A41CAD" w:rsidRDefault="00E56AD2" w:rsidP="00E56AD2">
      <w:pPr>
        <w:pStyle w:val="ListParagraph"/>
      </w:pPr>
      <w:r w:rsidRPr="00A41CAD">
        <w:t>Kato-Noguchi, H., J. Mizutani, and K. Hasegawa. 1994. Allelopathy of oats. II. Allelochemical effect of L-tryptophan and its concentration in oat root exudates. J. Chem. Ecol. 20:315-319.</w:t>
      </w:r>
    </w:p>
    <w:p w14:paraId="44C3BA3D" w14:textId="77777777" w:rsidR="00E56AD2" w:rsidRPr="00A41CAD" w:rsidRDefault="00E56AD2" w:rsidP="00E56AD2">
      <w:pPr>
        <w:pStyle w:val="ListParagraph"/>
      </w:pPr>
    </w:p>
    <w:p w14:paraId="23CCA14F" w14:textId="77777777" w:rsidR="00E56AD2" w:rsidRPr="00A41CAD" w:rsidRDefault="00E56AD2" w:rsidP="00E56AD2">
      <w:pPr>
        <w:pStyle w:val="ListParagraph"/>
      </w:pPr>
      <w:r w:rsidRPr="00A41CAD">
        <w:t>Keeling, J.W., A.G. Matches, C.P. Brown, and T.P. Karnezos. 1996. Comparison of interseeded legumes and small grains for cover crop establishment in cotton. Agron. J. 88:219-222.</w:t>
      </w:r>
    </w:p>
    <w:p w14:paraId="7C5523CB" w14:textId="77777777" w:rsidR="00E56AD2" w:rsidRPr="00A41CAD" w:rsidRDefault="00E56AD2" w:rsidP="00E56AD2">
      <w:pPr>
        <w:pStyle w:val="ListParagraph"/>
      </w:pPr>
    </w:p>
    <w:p w14:paraId="694B299D" w14:textId="4A41A1FC" w:rsidR="00E56AD2" w:rsidRDefault="00E56AD2" w:rsidP="00E56AD2">
      <w:pPr>
        <w:pStyle w:val="ListParagraph"/>
      </w:pPr>
      <w:r w:rsidRPr="00A41CAD">
        <w:t>Keyser, P.D., A.J. Ashworth, F.L. Allen, and G.E. Bates. 2016</w:t>
      </w:r>
      <w:r w:rsidR="00AF7D56">
        <w:t>b</w:t>
      </w:r>
      <w:r w:rsidRPr="00A41CAD">
        <w:t>. Evaluation of small grain cover crops to enhance switchgrass establishment. Crop Sci. 56:2062-2071.</w:t>
      </w:r>
    </w:p>
    <w:p w14:paraId="45DA353F" w14:textId="60127116" w:rsidR="002C358F" w:rsidRDefault="002C358F" w:rsidP="00E56AD2">
      <w:pPr>
        <w:pStyle w:val="ListParagraph"/>
      </w:pPr>
    </w:p>
    <w:p w14:paraId="326CB029" w14:textId="2373716B" w:rsidR="00FB1A7F" w:rsidRDefault="00FB1A7F" w:rsidP="00FB1A7F">
      <w:pPr>
        <w:pStyle w:val="ListParagraph"/>
      </w:pPr>
      <w:r w:rsidRPr="006322A8">
        <w:t xml:space="preserve">Keyser, P., C. Harper, </w:t>
      </w:r>
      <w:r>
        <w:t xml:space="preserve">G. Bates, J. Waller, </w:t>
      </w:r>
      <w:r w:rsidRPr="006322A8">
        <w:t>and E.</w:t>
      </w:r>
      <w:r>
        <w:t xml:space="preserve"> Holcomb</w:t>
      </w:r>
      <w:r w:rsidRPr="006322A8">
        <w:t>. 2011</w:t>
      </w:r>
      <w:r w:rsidR="003959F1">
        <w:t>b</w:t>
      </w:r>
      <w:r w:rsidRPr="006322A8">
        <w:t xml:space="preserve">. </w:t>
      </w:r>
      <w:r>
        <w:t>N</w:t>
      </w:r>
      <w:r w:rsidRPr="006322A8">
        <w:t xml:space="preserve">ative warm-season grasses </w:t>
      </w:r>
      <w:r>
        <w:t>for</w:t>
      </w:r>
      <w:r w:rsidRPr="006322A8">
        <w:t xml:space="preserve"> Mid-South</w:t>
      </w:r>
      <w:r>
        <w:t xml:space="preserve"> forage production</w:t>
      </w:r>
      <w:r w:rsidRPr="006322A8">
        <w:t xml:space="preserve">. Univ. of Tenn. Ext. </w:t>
      </w:r>
      <w:r>
        <w:t xml:space="preserve">Pub. </w:t>
      </w:r>
      <w:r w:rsidRPr="006322A8">
        <w:t>SP731-</w:t>
      </w:r>
      <w:r>
        <w:t>A</w:t>
      </w:r>
      <w:r w:rsidRPr="006322A8">
        <w:t xml:space="preserve">, Knoxville, TN. </w:t>
      </w:r>
    </w:p>
    <w:p w14:paraId="34F7949E" w14:textId="190D3A28" w:rsidR="002218D3" w:rsidRDefault="002218D3" w:rsidP="00FB1A7F">
      <w:pPr>
        <w:pStyle w:val="ListParagraph"/>
      </w:pPr>
    </w:p>
    <w:p w14:paraId="17596CA7" w14:textId="0821A317" w:rsidR="00FE45D3" w:rsidRDefault="002218D3" w:rsidP="00FE45D3">
      <w:pPr>
        <w:pStyle w:val="ListParagraph"/>
      </w:pPr>
      <w:r w:rsidRPr="002218D3">
        <w:t xml:space="preserve">Keyser, P., </w:t>
      </w:r>
      <w:r>
        <w:t xml:space="preserve">C. </w:t>
      </w:r>
      <w:r w:rsidRPr="002218D3">
        <w:t xml:space="preserve">Harper, </w:t>
      </w:r>
      <w:r>
        <w:t xml:space="preserve">G. </w:t>
      </w:r>
      <w:r w:rsidRPr="002218D3">
        <w:t xml:space="preserve">Bates, </w:t>
      </w:r>
      <w:r>
        <w:t xml:space="preserve">J. </w:t>
      </w:r>
      <w:r w:rsidRPr="002218D3">
        <w:t xml:space="preserve">Waller, </w:t>
      </w:r>
      <w:r>
        <w:t>and E. Holcomb</w:t>
      </w:r>
      <w:r w:rsidRPr="002218D3">
        <w:t>, 2011</w:t>
      </w:r>
      <w:r>
        <w:t>c</w:t>
      </w:r>
      <w:r w:rsidRPr="002218D3">
        <w:t>. Establishing native warm-season grasses for livestock forage in the Mid-south. Univ. of Tenn. Knox. Ext. Pub. SP731-B.</w:t>
      </w:r>
    </w:p>
    <w:p w14:paraId="0D7A5365" w14:textId="28DDF959" w:rsidR="00FE45D3" w:rsidRDefault="00FE45D3" w:rsidP="00FE45D3">
      <w:pPr>
        <w:pStyle w:val="ListParagraph"/>
      </w:pPr>
    </w:p>
    <w:p w14:paraId="1216FA37" w14:textId="7344BF01" w:rsidR="00FE45D3" w:rsidRDefault="00FE45D3" w:rsidP="00FE45D3">
      <w:pPr>
        <w:pStyle w:val="ListParagraph"/>
      </w:pPr>
      <w:r w:rsidRPr="006322A8">
        <w:t xml:space="preserve">Keyser, P., G. Bates, J. Waller, C. Harper, </w:t>
      </w:r>
      <w:r>
        <w:t xml:space="preserve">and </w:t>
      </w:r>
      <w:r w:rsidRPr="006322A8">
        <w:t>E.</w:t>
      </w:r>
      <w:r>
        <w:t xml:space="preserve"> Holcomb</w:t>
      </w:r>
      <w:r w:rsidRPr="006322A8">
        <w:t>. 2011</w:t>
      </w:r>
      <w:r>
        <w:t>d</w:t>
      </w:r>
      <w:r w:rsidRPr="006322A8">
        <w:t xml:space="preserve">. </w:t>
      </w:r>
      <w:r>
        <w:t>Grazing</w:t>
      </w:r>
      <w:r w:rsidRPr="006322A8">
        <w:t xml:space="preserve"> native warm-season grasses in the Mid-South. Univ. of Tenn. Ext. </w:t>
      </w:r>
      <w:r>
        <w:t xml:space="preserve">Pub. </w:t>
      </w:r>
      <w:r w:rsidRPr="006322A8">
        <w:t>SP731-</w:t>
      </w:r>
      <w:r>
        <w:t>C</w:t>
      </w:r>
      <w:r w:rsidRPr="006322A8">
        <w:t xml:space="preserve">, Knoxville, TN. </w:t>
      </w:r>
    </w:p>
    <w:p w14:paraId="66B392E3" w14:textId="77777777" w:rsidR="00FE45D3" w:rsidRPr="006322A8" w:rsidRDefault="00FE45D3" w:rsidP="00FE45D3">
      <w:pPr>
        <w:pStyle w:val="ListParagraph"/>
      </w:pPr>
    </w:p>
    <w:p w14:paraId="06254D48" w14:textId="77777777" w:rsidR="00FB1A7F" w:rsidRDefault="00FB1A7F" w:rsidP="00E56AD2">
      <w:pPr>
        <w:pStyle w:val="ListParagraph"/>
      </w:pPr>
    </w:p>
    <w:p w14:paraId="5F6CEB43" w14:textId="1ED2DD94" w:rsidR="002C358F" w:rsidRDefault="002C358F" w:rsidP="002C358F">
      <w:pPr>
        <w:pStyle w:val="ListParagraph"/>
      </w:pPr>
      <w:r w:rsidRPr="006322A8">
        <w:lastRenderedPageBreak/>
        <w:t xml:space="preserve">Keyser, P., G. Bates, J. Waller, C. Harper, </w:t>
      </w:r>
      <w:r>
        <w:t xml:space="preserve">F. Allen, </w:t>
      </w:r>
      <w:r w:rsidRPr="006322A8">
        <w:t>E.</w:t>
      </w:r>
      <w:r>
        <w:t xml:space="preserve"> Holcomb, and D. McIntosh</w:t>
      </w:r>
      <w:r w:rsidRPr="006322A8">
        <w:t>. 2011</w:t>
      </w:r>
      <w:r w:rsidR="003959F1">
        <w:t>a</w:t>
      </w:r>
      <w:r w:rsidRPr="006322A8">
        <w:t xml:space="preserve">. </w:t>
      </w:r>
      <w:r>
        <w:t>Producing hay from</w:t>
      </w:r>
      <w:r w:rsidRPr="006322A8">
        <w:t xml:space="preserve"> native warm-season grasses in the Mid-South. Univ. of Tenn. Ext. </w:t>
      </w:r>
      <w:r>
        <w:t xml:space="preserve">Pub. </w:t>
      </w:r>
      <w:r w:rsidRPr="006322A8">
        <w:t>SP731-</w:t>
      </w:r>
      <w:r>
        <w:t>D</w:t>
      </w:r>
      <w:r w:rsidRPr="006322A8">
        <w:t xml:space="preserve">, Knoxville, TN. </w:t>
      </w:r>
    </w:p>
    <w:p w14:paraId="029085F6" w14:textId="7D6FE0DE" w:rsidR="009444A7" w:rsidRDefault="009444A7" w:rsidP="002C358F">
      <w:pPr>
        <w:pStyle w:val="ListParagraph"/>
      </w:pPr>
    </w:p>
    <w:p w14:paraId="48128ED3" w14:textId="5E1A71B1" w:rsidR="009444A7" w:rsidRPr="006322A8" w:rsidRDefault="009444A7" w:rsidP="002C358F">
      <w:pPr>
        <w:pStyle w:val="ListParagraph"/>
      </w:pPr>
      <w:r>
        <w:t>Keyser, P.D., E.D. Holcomb, C.M. Lituma, G.E. Bates, J.C. Waller, C.N. Boyer, and J.T. Mulliniks. 2016</w:t>
      </w:r>
      <w:r w:rsidR="00AF7D56">
        <w:t>a</w:t>
      </w:r>
      <w:r>
        <w:t>. Forage attributes and animal performance from native grass inter-seeded with red clover. Agron. J. 108:373-383.</w:t>
      </w:r>
    </w:p>
    <w:p w14:paraId="53EEB3FF" w14:textId="77777777" w:rsidR="00E56AD2" w:rsidRPr="00A41CAD" w:rsidRDefault="00E56AD2" w:rsidP="00E56AD2">
      <w:pPr>
        <w:pStyle w:val="ListParagraph"/>
      </w:pPr>
    </w:p>
    <w:p w14:paraId="077C23C5" w14:textId="77777777" w:rsidR="00E56AD2" w:rsidRPr="00A41CAD" w:rsidRDefault="00E56AD2" w:rsidP="00E56AD2">
      <w:pPr>
        <w:pStyle w:val="ListParagraph"/>
      </w:pPr>
      <w:r w:rsidRPr="00A41CAD">
        <w:t>Liu, D.L., and J.V. Lovett. 1993. Biologically active secondary metabolites of barley. I. Developing techniques and assessing allelopathy in barley. J. Chem. Ecol. 19:2217-2230.</w:t>
      </w:r>
    </w:p>
    <w:p w14:paraId="1C62623D" w14:textId="77777777" w:rsidR="00E56AD2" w:rsidRPr="00A41CAD" w:rsidRDefault="00E56AD2" w:rsidP="00E56AD2">
      <w:pPr>
        <w:pStyle w:val="ListParagraph"/>
      </w:pPr>
    </w:p>
    <w:p w14:paraId="055F87D2" w14:textId="7AB9A6FF" w:rsidR="00E56AD2" w:rsidRPr="00A41CAD" w:rsidRDefault="00E56AD2" w:rsidP="00E56AD2">
      <w:pPr>
        <w:pStyle w:val="ListParagraph"/>
      </w:pPr>
      <w:r w:rsidRPr="00A41CAD">
        <w:t xml:space="preserve">Marten, G.C. 1985. Nutritional value of legumes in temperate pasture of the U.S. p. 204-212. </w:t>
      </w:r>
      <w:r w:rsidRPr="00A41CAD">
        <w:rPr>
          <w:i/>
          <w:iCs/>
        </w:rPr>
        <w:t>In</w:t>
      </w:r>
      <w:r w:rsidRPr="00A41CAD">
        <w:t xml:space="preserve"> R.F. Barnes et al. (ed</w:t>
      </w:r>
      <w:r w:rsidR="00723E73">
        <w:t>s</w:t>
      </w:r>
      <w:r w:rsidRPr="00A41CAD">
        <w:t>.) Forage legumes for energy-efficient animal production. Proc. Trilateral Workshop, Palmerston North, New Zealand. 30 Apr.-4 May 1984. USDA, Springfield, VA.</w:t>
      </w:r>
    </w:p>
    <w:p w14:paraId="3CEA259B" w14:textId="77777777" w:rsidR="00E56AD2" w:rsidRPr="00A41CAD" w:rsidRDefault="00E56AD2" w:rsidP="00E56AD2">
      <w:pPr>
        <w:pStyle w:val="ListParagraph"/>
      </w:pPr>
    </w:p>
    <w:p w14:paraId="7DB18C7D" w14:textId="024A62B7" w:rsidR="00E56AD2" w:rsidRDefault="00E56AD2" w:rsidP="00E56AD2">
      <w:pPr>
        <w:pStyle w:val="ListParagraph"/>
      </w:pPr>
      <w:r w:rsidRPr="00A41CAD">
        <w:t xml:space="preserve">Marten, G.C. 1989. Summary of the trilateral workshop on persistence of forage legumes. p. 569-572. </w:t>
      </w:r>
      <w:r w:rsidRPr="00A41CAD">
        <w:rPr>
          <w:i/>
          <w:iCs/>
        </w:rPr>
        <w:t>In</w:t>
      </w:r>
      <w:r w:rsidRPr="00A41CAD">
        <w:t xml:space="preserve"> G.C. Marten et al. (ed</w:t>
      </w:r>
      <w:r w:rsidR="00723E73">
        <w:t>s</w:t>
      </w:r>
      <w:r w:rsidRPr="00A41CAD">
        <w:t>.) Persistence of forage legumes. Proc. Trilateral Workshop, Honolulu, HI. 18-22 Jul 1988. ASA, CSSA, and SSSA, Madison, WI.</w:t>
      </w:r>
    </w:p>
    <w:p w14:paraId="1803A1EA" w14:textId="5E6744C7" w:rsidR="00470891" w:rsidRDefault="00470891" w:rsidP="00E56AD2">
      <w:pPr>
        <w:pStyle w:val="ListParagraph"/>
      </w:pPr>
    </w:p>
    <w:p w14:paraId="3AC67E07" w14:textId="2F37FC9C" w:rsidR="00470891" w:rsidRDefault="00470891" w:rsidP="00E56AD2">
      <w:pPr>
        <w:pStyle w:val="ListParagraph"/>
      </w:pPr>
      <w:r w:rsidRPr="00470891">
        <w:t xml:space="preserve">Mason, K.M., </w:t>
      </w:r>
      <w:r>
        <w:t xml:space="preserve">M.K. </w:t>
      </w:r>
      <w:r w:rsidRPr="00470891">
        <w:t xml:space="preserve">Mullenix, </w:t>
      </w:r>
      <w:r>
        <w:t xml:space="preserve">J.J. </w:t>
      </w:r>
      <w:r w:rsidRPr="00470891">
        <w:t xml:space="preserve">Tucker, </w:t>
      </w:r>
      <w:r>
        <w:t xml:space="preserve">R.B. </w:t>
      </w:r>
      <w:r w:rsidRPr="00470891">
        <w:t xml:space="preserve">Muntifering, </w:t>
      </w:r>
      <w:r>
        <w:t xml:space="preserve">J.S. </w:t>
      </w:r>
      <w:r w:rsidRPr="00470891">
        <w:t xml:space="preserve">Angle, and </w:t>
      </w:r>
      <w:r>
        <w:t xml:space="preserve">J. </w:t>
      </w:r>
      <w:r w:rsidRPr="00470891">
        <w:t xml:space="preserve">Yeager. 2019. Overseeding </w:t>
      </w:r>
      <w:r>
        <w:t>e</w:t>
      </w:r>
      <w:r w:rsidRPr="00470891">
        <w:t xml:space="preserve">astern </w:t>
      </w:r>
      <w:r>
        <w:t>g</w:t>
      </w:r>
      <w:r w:rsidRPr="00470891">
        <w:t xml:space="preserve">amagrass with </w:t>
      </w:r>
      <w:r>
        <w:t>c</w:t>
      </w:r>
      <w:r w:rsidRPr="00470891">
        <w:t>ool‐</w:t>
      </w:r>
      <w:r>
        <w:t>s</w:t>
      </w:r>
      <w:r w:rsidRPr="00470891">
        <w:t xml:space="preserve">eason </w:t>
      </w:r>
      <w:r>
        <w:t>a</w:t>
      </w:r>
      <w:r w:rsidRPr="00470891">
        <w:t xml:space="preserve">nnual </w:t>
      </w:r>
      <w:r>
        <w:t>g</w:t>
      </w:r>
      <w:r w:rsidRPr="00470891">
        <w:t xml:space="preserve">rasses or </w:t>
      </w:r>
      <w:r>
        <w:t>g</w:t>
      </w:r>
      <w:r w:rsidRPr="00470891">
        <w:t>rass–</w:t>
      </w:r>
      <w:r>
        <w:t>l</w:t>
      </w:r>
      <w:r w:rsidRPr="00470891">
        <w:t xml:space="preserve">egume </w:t>
      </w:r>
      <w:r>
        <w:t>m</w:t>
      </w:r>
      <w:r w:rsidRPr="00470891">
        <w:t>ixtures. Crop Sci</w:t>
      </w:r>
      <w:r>
        <w:t>.</w:t>
      </w:r>
      <w:r w:rsidRPr="00470891">
        <w:t xml:space="preserve"> 59</w:t>
      </w:r>
      <w:r>
        <w:t>:</w:t>
      </w:r>
      <w:r w:rsidRPr="00470891">
        <w:t>2264-2270.</w:t>
      </w:r>
    </w:p>
    <w:p w14:paraId="11E2C218" w14:textId="433CC8E4" w:rsidR="003C4641" w:rsidRDefault="003C4641" w:rsidP="00E56AD2">
      <w:pPr>
        <w:pStyle w:val="ListParagraph"/>
      </w:pPr>
    </w:p>
    <w:p w14:paraId="0DF3B92F" w14:textId="7C7AA022" w:rsidR="003C4641" w:rsidRPr="00A41CAD" w:rsidRDefault="003C4641" w:rsidP="00E56AD2">
      <w:pPr>
        <w:pStyle w:val="ListParagraph"/>
      </w:pPr>
      <w:r w:rsidRPr="003C4641">
        <w:t xml:space="preserve">McKendrick, J.D., Owensby, C.E., </w:t>
      </w:r>
      <w:r>
        <w:t>and</w:t>
      </w:r>
      <w:r w:rsidRPr="003C4641">
        <w:t xml:space="preserve"> Hyde, R.M. 1975. Big bluestem and indiangrass vegetative reproduction and annual reserve carbohydrate and nitrogen cycles. Agro-</w:t>
      </w:r>
      <w:r>
        <w:t>E</w:t>
      </w:r>
      <w:r w:rsidRPr="003C4641">
        <w:t>cosystems</w:t>
      </w:r>
      <w:r>
        <w:t>.</w:t>
      </w:r>
      <w:r w:rsidRPr="003C4641">
        <w:t xml:space="preserve"> 2</w:t>
      </w:r>
      <w:r>
        <w:t>:</w:t>
      </w:r>
      <w:r w:rsidRPr="003C4641">
        <w:t>75-93.</w:t>
      </w:r>
    </w:p>
    <w:p w14:paraId="2441C1C2" w14:textId="46A96C13" w:rsidR="00E56AD2" w:rsidRDefault="00E56AD2" w:rsidP="003426E0">
      <w:pPr>
        <w:pStyle w:val="ListParagraph"/>
      </w:pPr>
    </w:p>
    <w:p w14:paraId="6CA3F722" w14:textId="1B74B39B" w:rsidR="00D12D08" w:rsidRDefault="00D12D08" w:rsidP="003426E0">
      <w:pPr>
        <w:pStyle w:val="ListParagraph"/>
      </w:pPr>
      <w:r w:rsidRPr="00D12D08">
        <w:t>Muir, J.P., M.A. Sanderson, W.R. Ocumpaugh, R.M. Jones, and R.L. Reed. 2001. Biomass production of ‘Alamo’ switchgrass in response to nitrogen, phosphorus, and row spacing. Agron. J. 93:896</w:t>
      </w:r>
      <w:r>
        <w:t>-</w:t>
      </w:r>
      <w:r w:rsidRPr="00D12D08">
        <w:t xml:space="preserve">901. </w:t>
      </w:r>
      <w:hyperlink r:id="rId13" w:history="1">
        <w:r w:rsidRPr="00D12D08">
          <w:rPr>
            <w:rStyle w:val="Hyperlink"/>
          </w:rPr>
          <w:t>https://doi:10.2134/agronj2001.934896x</w:t>
        </w:r>
      </w:hyperlink>
      <w:r>
        <w:t>.</w:t>
      </w:r>
    </w:p>
    <w:p w14:paraId="76B2DBDC" w14:textId="77777777" w:rsidR="00D12D08" w:rsidRPr="00A41CAD" w:rsidRDefault="00D12D08" w:rsidP="003426E0">
      <w:pPr>
        <w:pStyle w:val="ListParagraph"/>
      </w:pPr>
    </w:p>
    <w:p w14:paraId="6DFB6C45" w14:textId="3AD1CE0C" w:rsidR="003426E0" w:rsidRPr="00A41CAD" w:rsidRDefault="003426E0" w:rsidP="003426E0">
      <w:pPr>
        <w:pStyle w:val="ListParagraph"/>
      </w:pPr>
      <w:r w:rsidRPr="00A41CAD">
        <w:t xml:space="preserve">Murray, I., and I. Cowe. 2004. Sample preparation. </w:t>
      </w:r>
      <w:r w:rsidRPr="00A41CAD">
        <w:rPr>
          <w:i/>
          <w:iCs/>
        </w:rPr>
        <w:t>In</w:t>
      </w:r>
      <w:r w:rsidRPr="00A41CAD">
        <w:t xml:space="preserve"> C.A. Roberts, J.J. Workman, and J.B. Reeves (eds.) Near infrared spectroscopy in agriculture. p. 75-112. ASA, CSSA, and SSSA. Madison, WI. </w:t>
      </w:r>
    </w:p>
    <w:p w14:paraId="721EE3BF" w14:textId="77777777" w:rsidR="003426E0" w:rsidRPr="00A41CAD" w:rsidRDefault="003426E0" w:rsidP="003426E0">
      <w:pPr>
        <w:pStyle w:val="ListParagraph"/>
      </w:pPr>
    </w:p>
    <w:p w14:paraId="7822749A" w14:textId="77777777" w:rsidR="00342D7F" w:rsidRPr="00A41CAD" w:rsidRDefault="00C77105" w:rsidP="00C77105">
      <w:pPr>
        <w:pStyle w:val="ListParagraph"/>
      </w:pPr>
      <w:r w:rsidRPr="00A41CAD">
        <w:t>NOAA. 202</w:t>
      </w:r>
      <w:r w:rsidR="00F278AD" w:rsidRPr="00A41CAD">
        <w:t>1</w:t>
      </w:r>
      <w:r w:rsidRPr="00A41CAD">
        <w:t xml:space="preserve">. NOWData – NOAA Online Weather Data, Neapolis Exp Stn, TN. Retrieved from </w:t>
      </w:r>
      <w:hyperlink r:id="rId14" w:history="1">
        <w:r w:rsidRPr="00A41CAD">
          <w:rPr>
            <w:rStyle w:val="Hyperlink"/>
          </w:rPr>
          <w:t>https://w2.weather.gov/climate/xmacis.php?wfo=ohx</w:t>
        </w:r>
      </w:hyperlink>
      <w:r w:rsidRPr="00A41CAD">
        <w:t xml:space="preserve"> (accessed </w:t>
      </w:r>
      <w:r w:rsidR="00F278AD" w:rsidRPr="00A41CAD">
        <w:t>18</w:t>
      </w:r>
      <w:r w:rsidRPr="00A41CAD">
        <w:t xml:space="preserve"> </w:t>
      </w:r>
      <w:r w:rsidR="00F278AD" w:rsidRPr="00A41CAD">
        <w:t>February</w:t>
      </w:r>
      <w:r w:rsidRPr="00A41CAD">
        <w:t xml:space="preserve"> 202</w:t>
      </w:r>
      <w:r w:rsidR="00F278AD" w:rsidRPr="00A41CAD">
        <w:t>1</w:t>
      </w:r>
      <w:r w:rsidRPr="00A41CAD">
        <w:t>).</w:t>
      </w:r>
    </w:p>
    <w:p w14:paraId="2177D450" w14:textId="77777777" w:rsidR="00342D7F" w:rsidRPr="00A41CAD" w:rsidRDefault="00342D7F" w:rsidP="00C77105">
      <w:pPr>
        <w:pStyle w:val="ListParagraph"/>
      </w:pPr>
    </w:p>
    <w:p w14:paraId="139CE7BC" w14:textId="68AE3F28" w:rsidR="00D12D08" w:rsidRDefault="00342D7F" w:rsidP="00D12D08">
      <w:pPr>
        <w:pStyle w:val="ListParagraph"/>
      </w:pPr>
      <w:r w:rsidRPr="00A41CAD">
        <w:t>NRCS Web Soil Survey. 2021. U</w:t>
      </w:r>
      <w:r w:rsidR="00E1345F" w:rsidRPr="00A41CAD">
        <w:t>.</w:t>
      </w:r>
      <w:r w:rsidRPr="00A41CAD">
        <w:t xml:space="preserve"> S</w:t>
      </w:r>
      <w:r w:rsidR="00E1345F" w:rsidRPr="00A41CAD">
        <w:t>.</w:t>
      </w:r>
      <w:r w:rsidRPr="00A41CAD">
        <w:t xml:space="preserve"> Dept</w:t>
      </w:r>
      <w:r w:rsidR="00E1345F" w:rsidRPr="00A41CAD">
        <w:t>.</w:t>
      </w:r>
      <w:r w:rsidRPr="00A41CAD">
        <w:t xml:space="preserve"> of Agric</w:t>
      </w:r>
      <w:r w:rsidR="00E1345F" w:rsidRPr="00A41CAD">
        <w:t>.</w:t>
      </w:r>
      <w:r w:rsidRPr="00A41CAD">
        <w:t xml:space="preserve"> – Natural Resource </w:t>
      </w:r>
      <w:r w:rsidR="00E1345F" w:rsidRPr="00A41CAD">
        <w:t xml:space="preserve">Conservation Service. </w:t>
      </w:r>
      <w:hyperlink r:id="rId15" w:history="1">
        <w:r w:rsidR="00E1345F" w:rsidRPr="00A41CAD">
          <w:rPr>
            <w:rStyle w:val="Hyperlink"/>
          </w:rPr>
          <w:t>https://websoilsurvey.sc.egov.usda.gov/App/WebSoilSurvey.aspx</w:t>
        </w:r>
      </w:hyperlink>
      <w:r w:rsidRPr="00A41CAD">
        <w:t xml:space="preserve"> (accessed 23 March 2021).</w:t>
      </w:r>
    </w:p>
    <w:p w14:paraId="7FB9CAE0" w14:textId="15A9026B" w:rsidR="00D12D08" w:rsidRDefault="00D12D08" w:rsidP="00D12D08">
      <w:pPr>
        <w:pStyle w:val="ListParagraph"/>
      </w:pPr>
    </w:p>
    <w:p w14:paraId="0FCE6CE9" w14:textId="1FCB34C8" w:rsidR="00D12D08" w:rsidRDefault="00D12D08" w:rsidP="00D12D08">
      <w:pPr>
        <w:pStyle w:val="ListParagraph"/>
      </w:pPr>
      <w:r>
        <w:t>Obour, A.K., K. Harmoney, and J.D. Holman. 2017. Nitrogen fertilizer application effects on switchgrass herbage mass, nutritive value and nutrient removal. Crop Sci. 57:1754-1763.</w:t>
      </w:r>
    </w:p>
    <w:p w14:paraId="51B49E38" w14:textId="1926A1B6" w:rsidR="0054275A" w:rsidRDefault="0054275A" w:rsidP="00D12D08">
      <w:pPr>
        <w:pStyle w:val="ListParagraph"/>
      </w:pPr>
    </w:p>
    <w:p w14:paraId="7A169503" w14:textId="1150E24E" w:rsidR="0054275A" w:rsidRDefault="0054275A" w:rsidP="00D12D08">
      <w:pPr>
        <w:pStyle w:val="ListParagraph"/>
      </w:pPr>
      <w:r w:rsidRPr="0054275A">
        <w:t xml:space="preserve">Popp, M.P., </w:t>
      </w:r>
      <w:r>
        <w:t xml:space="preserve">A.J. </w:t>
      </w:r>
      <w:r w:rsidRPr="0054275A">
        <w:t xml:space="preserve">Ashworth, </w:t>
      </w:r>
      <w:r>
        <w:t xml:space="preserve">P.A. </w:t>
      </w:r>
      <w:r w:rsidRPr="0054275A">
        <w:t>Moore Jr</w:t>
      </w:r>
      <w:r>
        <w:t>.</w:t>
      </w:r>
      <w:r w:rsidRPr="0054275A">
        <w:t xml:space="preserve">, </w:t>
      </w:r>
      <w:r>
        <w:t xml:space="preserve">P.R. </w:t>
      </w:r>
      <w:r w:rsidRPr="0054275A">
        <w:t xml:space="preserve">Owens, </w:t>
      </w:r>
      <w:r>
        <w:t xml:space="preserve">J.L. </w:t>
      </w:r>
      <w:r w:rsidRPr="0054275A">
        <w:t xml:space="preserve">Douglas, </w:t>
      </w:r>
      <w:r>
        <w:t xml:space="preserve">D.H. </w:t>
      </w:r>
      <w:r w:rsidRPr="0054275A">
        <w:t xml:space="preserve">Pote, ... &amp; </w:t>
      </w:r>
      <w:r>
        <w:t xml:space="preserve">B.L. </w:t>
      </w:r>
      <w:r w:rsidRPr="0054275A">
        <w:t>Dixon. 2018. Fertilizer recommendations for switchgrass: Quantifying economic effects on quality and yield. Agron</w:t>
      </w:r>
      <w:r>
        <w:t>.</w:t>
      </w:r>
      <w:r w:rsidRPr="0054275A">
        <w:t xml:space="preserve"> J</w:t>
      </w:r>
      <w:r>
        <w:t>.</w:t>
      </w:r>
      <w:r w:rsidRPr="0054275A">
        <w:t xml:space="preserve"> 110</w:t>
      </w:r>
      <w:r>
        <w:t>:</w:t>
      </w:r>
      <w:r w:rsidRPr="0054275A">
        <w:t>1854-1861.</w:t>
      </w:r>
    </w:p>
    <w:p w14:paraId="0B15BEBD" w14:textId="77777777" w:rsidR="00D12D08" w:rsidRPr="00A41CAD" w:rsidRDefault="00D12D08" w:rsidP="00C77105">
      <w:pPr>
        <w:pStyle w:val="ListParagraph"/>
      </w:pPr>
    </w:p>
    <w:p w14:paraId="05D41B81" w14:textId="77777777" w:rsidR="00342D7F" w:rsidRPr="00A41CAD" w:rsidRDefault="00342D7F" w:rsidP="00342D7F">
      <w:pPr>
        <w:pStyle w:val="ListParagraph"/>
      </w:pPr>
      <w:r w:rsidRPr="00A41CAD">
        <w:t xml:space="preserve">Rushing, J.B., J.G. Maples, J.D. Rivera, and J.C. Lyles. 2020. Early-season grazing of native grasses offers potential profitable benefit. Agron. J. 112:1057-1067. </w:t>
      </w:r>
      <w:hyperlink r:id="rId16" w:history="1">
        <w:r w:rsidRPr="00A41CAD">
          <w:rPr>
            <w:rStyle w:val="Hyperlink"/>
          </w:rPr>
          <w:t>https://doi.org/10.1002/agj2.20130</w:t>
        </w:r>
      </w:hyperlink>
    </w:p>
    <w:p w14:paraId="15DCB5FD" w14:textId="77777777" w:rsidR="00342D7F" w:rsidRPr="00A41CAD" w:rsidRDefault="00342D7F" w:rsidP="00C77105">
      <w:pPr>
        <w:pStyle w:val="ListParagraph"/>
      </w:pPr>
    </w:p>
    <w:p w14:paraId="71982E0E" w14:textId="77777777" w:rsidR="00E56AD2" w:rsidRPr="00A41CAD" w:rsidRDefault="00E56AD2" w:rsidP="00E56AD2">
      <w:pPr>
        <w:pStyle w:val="ListParagraph"/>
      </w:pPr>
      <w:r w:rsidRPr="00A41CAD">
        <w:t>Springer, T.L. 1997. Effect of bermudagrass height on clover establishment. Crop Sci. 37:1663-1665.</w:t>
      </w:r>
    </w:p>
    <w:p w14:paraId="762BCA1D" w14:textId="77777777" w:rsidR="00E56AD2" w:rsidRPr="00A41CAD" w:rsidRDefault="00E56AD2" w:rsidP="00E56AD2">
      <w:pPr>
        <w:pStyle w:val="ListParagraph"/>
      </w:pPr>
    </w:p>
    <w:p w14:paraId="29F62DB5" w14:textId="77777777" w:rsidR="00E56AD2" w:rsidRPr="00A41CAD" w:rsidRDefault="00E56AD2" w:rsidP="00E56AD2">
      <w:pPr>
        <w:pStyle w:val="ListParagraph"/>
      </w:pPr>
      <w:r w:rsidRPr="00A41CAD">
        <w:t xml:space="preserve">Taylor, T.H., and L.T. Jones, Jr. 1983. Compatibility of switchgrass with three sod-seeded legumes. </w:t>
      </w:r>
      <w:r w:rsidRPr="00A41CAD">
        <w:rPr>
          <w:i/>
          <w:iCs/>
        </w:rPr>
        <w:t>In</w:t>
      </w:r>
      <w:r w:rsidRPr="00A41CAD">
        <w:t xml:space="preserve"> Progress Report, Kentucky Agri. Exp. Stat. 15. Lexington, KY: University of Kentucky.</w:t>
      </w:r>
    </w:p>
    <w:p w14:paraId="64444DF2" w14:textId="77777777" w:rsidR="00E56AD2" w:rsidRPr="00A41CAD" w:rsidRDefault="00E56AD2" w:rsidP="00E56AD2">
      <w:pPr>
        <w:pStyle w:val="ListParagraph"/>
      </w:pPr>
    </w:p>
    <w:p w14:paraId="2B6F2AE9" w14:textId="77777777" w:rsidR="00E56AD2" w:rsidRPr="00A41CAD" w:rsidRDefault="00E56AD2" w:rsidP="00E56AD2">
      <w:pPr>
        <w:pStyle w:val="ListParagraph"/>
      </w:pPr>
      <w:r w:rsidRPr="00A41CAD">
        <w:t xml:space="preserve">Vallis, I. 1976. Nitrogen relationships in grass/legume mixtures. p. 190-201. </w:t>
      </w:r>
      <w:r w:rsidRPr="00A41CAD">
        <w:rPr>
          <w:i/>
          <w:iCs/>
        </w:rPr>
        <w:t>In</w:t>
      </w:r>
      <w:r w:rsidRPr="00A41CAD">
        <w:t xml:space="preserve"> R. Wilson (ed.) Plant relationships in pastures. Iowa State Univ. Press, Ames, IA.</w:t>
      </w:r>
    </w:p>
    <w:p w14:paraId="62CDF8FF" w14:textId="77777777" w:rsidR="00E56AD2" w:rsidRPr="00A41CAD" w:rsidRDefault="00E56AD2" w:rsidP="00E56AD2">
      <w:pPr>
        <w:pStyle w:val="ListParagraph"/>
      </w:pPr>
    </w:p>
    <w:p w14:paraId="63487778" w14:textId="0F16B4D6" w:rsidR="00E56AD2" w:rsidRPr="00A41CAD" w:rsidRDefault="00E56AD2" w:rsidP="00E56AD2">
      <w:pPr>
        <w:pStyle w:val="ListParagraph"/>
      </w:pPr>
      <w:r w:rsidRPr="00A41CAD">
        <w:t xml:space="preserve">Van Soest, P.J. 1976. Composition and nutritive value of forages. </w:t>
      </w:r>
      <w:r w:rsidRPr="00A41CAD">
        <w:rPr>
          <w:i/>
          <w:iCs/>
        </w:rPr>
        <w:t>In</w:t>
      </w:r>
      <w:r w:rsidRPr="00A41CAD">
        <w:t xml:space="preserve"> M.E. Heath et al. (ed.) Forages. 3rd ed. Iowa State Univ. Press, Ames, IA.</w:t>
      </w:r>
    </w:p>
    <w:p w14:paraId="752424DF" w14:textId="06A76285" w:rsidR="002223BF" w:rsidRPr="00A41CAD" w:rsidRDefault="002223BF" w:rsidP="00E56AD2">
      <w:pPr>
        <w:pStyle w:val="ListParagraph"/>
      </w:pPr>
    </w:p>
    <w:p w14:paraId="28FE7964" w14:textId="2E709FE7" w:rsidR="004F77F5" w:rsidRDefault="002223BF" w:rsidP="004F77F5">
      <w:pPr>
        <w:pStyle w:val="ListParagraph"/>
      </w:pPr>
      <w:r w:rsidRPr="00A41CAD">
        <w:t>Vogel, K.P., and R.A. Masters. 2001. Frequency grid-a simple tool for measuring grassland establishment</w:t>
      </w:r>
      <w:r>
        <w:t>. J. Range Manage. 54:653-655</w:t>
      </w:r>
      <w:r w:rsidR="004F77F5">
        <w:t>.</w:t>
      </w:r>
    </w:p>
    <w:p w14:paraId="31B33C8E" w14:textId="4426F30B" w:rsidR="00A03952" w:rsidRDefault="00A03952" w:rsidP="004F77F5">
      <w:pPr>
        <w:pStyle w:val="ListParagraph"/>
      </w:pPr>
    </w:p>
    <w:p w14:paraId="2546D692" w14:textId="33232458" w:rsidR="00A03952" w:rsidRDefault="00A03952" w:rsidP="004F77F5">
      <w:pPr>
        <w:pStyle w:val="ListParagraph"/>
      </w:pPr>
      <w:r w:rsidRPr="00A03952">
        <w:t>Vogel, K.P., J.J. Brejda, D.T. Walters, and D.R. Buxton. 2002. Switchgrass biomass production in the Midwest USA: Harvest and nitrogen management. Agron. J. 94:413</w:t>
      </w:r>
      <w:r>
        <w:t>-</w:t>
      </w:r>
      <w:r w:rsidRPr="00A03952">
        <w:t xml:space="preserve">420. </w:t>
      </w:r>
      <w:hyperlink r:id="rId17" w:history="1">
        <w:r w:rsidRPr="00A03952">
          <w:rPr>
            <w:rStyle w:val="Hyperlink"/>
          </w:rPr>
          <w:t>https://doi:10.2134/agronj2002.0413</w:t>
        </w:r>
      </w:hyperlink>
      <w:r>
        <w:t>.</w:t>
      </w:r>
    </w:p>
    <w:p w14:paraId="6A279889" w14:textId="77777777" w:rsidR="004F77F5" w:rsidRDefault="004F77F5" w:rsidP="004F77F5">
      <w:pPr>
        <w:pStyle w:val="ListParagraph"/>
      </w:pPr>
    </w:p>
    <w:p w14:paraId="3D1561B3" w14:textId="1520B158" w:rsidR="004F77F5" w:rsidRDefault="004F77F5" w:rsidP="004F77F5">
      <w:pPr>
        <w:pStyle w:val="ListParagraph"/>
      </w:pPr>
      <w:r>
        <w:t xml:space="preserve">Watcharaanantapong, P., P.D. Keyser, D.W. McIntosh, and A.P. Griffith. 2002. Overseeding cool-season annual grasses into dormant lowland switchgrass stands. Agron. J. 112:3808-3815. </w:t>
      </w:r>
      <w:hyperlink r:id="rId18" w:history="1">
        <w:r w:rsidRPr="004F77F5">
          <w:rPr>
            <w:rStyle w:val="Hyperlink"/>
          </w:rPr>
          <w:t>https://doi.org/10.1002/agj2.20323</w:t>
        </w:r>
      </w:hyperlink>
    </w:p>
    <w:p w14:paraId="349E0C3D" w14:textId="750788BB" w:rsidR="004F77F5" w:rsidRDefault="004F77F5" w:rsidP="00EF5CFF">
      <w:pPr>
        <w:sectPr w:rsidR="004F77F5" w:rsidSect="00C92DB5">
          <w:pgSz w:w="12240" w:h="15840" w:code="1"/>
          <w:pgMar w:top="1440" w:right="1800" w:bottom="1872" w:left="1800" w:header="720" w:footer="1440" w:gutter="0"/>
          <w:cols w:space="720"/>
          <w:noEndnote/>
          <w:docGrid w:linePitch="360"/>
        </w:sectPr>
      </w:pPr>
    </w:p>
    <w:p w14:paraId="1F72013D" w14:textId="51FA992F" w:rsidR="006403CE" w:rsidRDefault="00E76687" w:rsidP="00307D46">
      <w:pPr>
        <w:pStyle w:val="AgronomyJournalSectionTitles"/>
      </w:pPr>
      <w:bookmarkStart w:id="67" w:name="_Toc289175832"/>
      <w:bookmarkStart w:id="68" w:name="_Toc51804472"/>
      <w:bookmarkStart w:id="69" w:name="_Toc72026031"/>
      <w:bookmarkStart w:id="70" w:name="_Toc72305392"/>
      <w:r>
        <w:lastRenderedPageBreak/>
        <w:t>APPENDIX I</w:t>
      </w:r>
      <w:bookmarkEnd w:id="67"/>
      <w:bookmarkEnd w:id="68"/>
      <w:bookmarkEnd w:id="69"/>
      <w:bookmarkEnd w:id="70"/>
    </w:p>
    <w:p w14:paraId="4B5F60EC" w14:textId="253FC8DC" w:rsidR="006403CE" w:rsidRPr="00005219" w:rsidRDefault="006403CE" w:rsidP="006403CE">
      <w:pPr>
        <w:pStyle w:val="Tables"/>
        <w:rPr>
          <w:rStyle w:val="Strong"/>
          <w:b w:val="0"/>
          <w:bCs/>
        </w:rPr>
      </w:pPr>
      <w:bookmarkStart w:id="71" w:name="_Toc72300394"/>
      <w:bookmarkStart w:id="72" w:name="_Hlk67004699"/>
      <w:r w:rsidRPr="00005219">
        <w:rPr>
          <w:rStyle w:val="Strong"/>
          <w:b w:val="0"/>
          <w:bCs/>
        </w:rPr>
        <w:t xml:space="preserve">Table </w:t>
      </w:r>
      <w:r>
        <w:rPr>
          <w:rStyle w:val="Strong"/>
          <w:b w:val="0"/>
          <w:bCs/>
        </w:rPr>
        <w:t>1</w:t>
      </w:r>
      <w:r w:rsidRPr="00005219">
        <w:rPr>
          <w:rStyle w:val="Strong"/>
          <w:b w:val="0"/>
          <w:bCs/>
        </w:rPr>
        <w:t xml:space="preserve">.1.  </w:t>
      </w:r>
      <w:r w:rsidR="00916B6C">
        <w:rPr>
          <w:rStyle w:val="Strong"/>
          <w:b w:val="0"/>
          <w:bCs/>
        </w:rPr>
        <w:t>Grazing days ha</w:t>
      </w:r>
      <w:r w:rsidR="00916B6C" w:rsidRPr="00916B6C">
        <w:rPr>
          <w:rStyle w:val="Strong"/>
          <w:b w:val="0"/>
          <w:bCs/>
          <w:vertAlign w:val="superscript"/>
        </w:rPr>
        <w:t>-1</w:t>
      </w:r>
      <w:r w:rsidR="00916B6C">
        <w:rPr>
          <w:rStyle w:val="Strong"/>
          <w:b w:val="0"/>
          <w:bCs/>
        </w:rPr>
        <w:t xml:space="preserve"> for cow-calf pairs grazing </w:t>
      </w:r>
      <w:r w:rsidR="003E36A2">
        <w:rPr>
          <w:rStyle w:val="Strong"/>
          <w:b w:val="0"/>
          <w:bCs/>
        </w:rPr>
        <w:t xml:space="preserve">interseeded </w:t>
      </w:r>
      <w:r w:rsidR="00916B6C">
        <w:rPr>
          <w:rStyle w:val="Strong"/>
          <w:b w:val="0"/>
          <w:bCs/>
        </w:rPr>
        <w:t>cereal rye monoculture (</w:t>
      </w:r>
      <w:r w:rsidR="003E36A2">
        <w:rPr>
          <w:rStyle w:val="Strong"/>
          <w:b w:val="0"/>
          <w:bCs/>
        </w:rPr>
        <w:t>RYE</w:t>
      </w:r>
      <w:r w:rsidR="00916B6C">
        <w:rPr>
          <w:rStyle w:val="Strong"/>
          <w:b w:val="0"/>
          <w:bCs/>
        </w:rPr>
        <w:t xml:space="preserve">) and cereal rye, crimson clover, berseem clover, turnip, and rape polyculture (Poly) </w:t>
      </w:r>
      <w:r w:rsidR="00916B6C" w:rsidRPr="00BC2376">
        <w:t>within switchgrass and big bluestem/indiangrass pastures, 201</w:t>
      </w:r>
      <w:r w:rsidR="00916B6C">
        <w:t>9</w:t>
      </w:r>
      <w:r w:rsidR="00916B6C" w:rsidRPr="00BC2376">
        <w:t xml:space="preserve">-2020, University of Tennessee – </w:t>
      </w:r>
      <w:r w:rsidR="00916B6C">
        <w:t xml:space="preserve">Middle </w:t>
      </w:r>
      <w:r w:rsidR="00916B6C" w:rsidRPr="00BC2376">
        <w:t xml:space="preserve">Tennessee AgResearch and Education Center, </w:t>
      </w:r>
      <w:r w:rsidR="00916B6C">
        <w:t>Spring Hill,</w:t>
      </w:r>
      <w:r w:rsidR="00916B6C" w:rsidRPr="00BC2376">
        <w:t xml:space="preserve"> TN.</w:t>
      </w:r>
      <w:bookmarkEnd w:id="71"/>
      <w:r w:rsidR="00916B6C">
        <w:rPr>
          <w:rStyle w:val="Strong"/>
          <w:b w:val="0"/>
          <w:bCs/>
        </w:rPr>
        <w:t xml:space="preserve">  </w:t>
      </w:r>
    </w:p>
    <w:tbl>
      <w:tblPr>
        <w:tblW w:w="5220" w:type="dxa"/>
        <w:tblLook w:val="04A0" w:firstRow="1" w:lastRow="0" w:firstColumn="1" w:lastColumn="0" w:noHBand="0" w:noVBand="1"/>
      </w:tblPr>
      <w:tblGrid>
        <w:gridCol w:w="810"/>
        <w:gridCol w:w="1080"/>
        <w:gridCol w:w="1035"/>
        <w:gridCol w:w="1125"/>
        <w:gridCol w:w="1170"/>
      </w:tblGrid>
      <w:tr w:rsidR="006403CE" w:rsidRPr="003A44E9" w14:paraId="1CF6B129" w14:textId="77777777" w:rsidTr="00076F6E">
        <w:trPr>
          <w:trHeight w:val="288"/>
        </w:trPr>
        <w:tc>
          <w:tcPr>
            <w:tcW w:w="810" w:type="dxa"/>
            <w:tcBorders>
              <w:top w:val="single" w:sz="12" w:space="0" w:color="auto"/>
              <w:left w:val="nil"/>
              <w:bottom w:val="nil"/>
              <w:right w:val="single" w:sz="36" w:space="0" w:color="FFFFFF" w:themeColor="background1"/>
            </w:tcBorders>
            <w:shd w:val="clear" w:color="auto" w:fill="auto"/>
            <w:noWrap/>
            <w:vAlign w:val="center"/>
            <w:hideMark/>
          </w:tcPr>
          <w:p w14:paraId="25161481" w14:textId="77777777" w:rsidR="006403CE" w:rsidRPr="003A44E9" w:rsidRDefault="006403CE" w:rsidP="001E0941">
            <w:pPr>
              <w:spacing w:line="240" w:lineRule="auto"/>
              <w:rPr>
                <w:rFonts w:cs="Times New Roman"/>
                <w:sz w:val="20"/>
                <w:szCs w:val="20"/>
              </w:rPr>
            </w:pPr>
          </w:p>
        </w:tc>
        <w:tc>
          <w:tcPr>
            <w:tcW w:w="2115"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5B1D5960" w14:textId="77777777" w:rsidR="006403CE" w:rsidRPr="003A44E9" w:rsidRDefault="006403CE" w:rsidP="001E0941">
            <w:pPr>
              <w:spacing w:line="240" w:lineRule="auto"/>
              <w:jc w:val="center"/>
              <w:rPr>
                <w:rFonts w:cs="Times New Roman"/>
                <w:color w:val="000000"/>
                <w:sz w:val="20"/>
                <w:szCs w:val="20"/>
              </w:rPr>
            </w:pPr>
            <w:r w:rsidRPr="003A44E9">
              <w:rPr>
                <w:rFonts w:cs="Times New Roman"/>
                <w:color w:val="000000"/>
                <w:sz w:val="20"/>
                <w:szCs w:val="20"/>
              </w:rPr>
              <w:t>Switchgrass</w:t>
            </w:r>
          </w:p>
        </w:tc>
        <w:tc>
          <w:tcPr>
            <w:tcW w:w="2295"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tcPr>
          <w:p w14:paraId="0FFAA0C7" w14:textId="77777777" w:rsidR="006403CE" w:rsidRPr="003A44E9" w:rsidRDefault="006403CE" w:rsidP="001E0941">
            <w:pPr>
              <w:spacing w:line="240" w:lineRule="auto"/>
              <w:jc w:val="center"/>
              <w:rPr>
                <w:rFonts w:cs="Times New Roman"/>
                <w:color w:val="000000"/>
                <w:sz w:val="20"/>
                <w:szCs w:val="20"/>
              </w:rPr>
            </w:pPr>
            <w:r w:rsidRPr="003A44E9">
              <w:rPr>
                <w:rFonts w:cs="Times New Roman"/>
                <w:color w:val="000000"/>
                <w:sz w:val="20"/>
                <w:szCs w:val="20"/>
              </w:rPr>
              <w:t>Big bluestem/Indiangrass</w:t>
            </w:r>
          </w:p>
        </w:tc>
      </w:tr>
      <w:tr w:rsidR="00076F6E" w:rsidRPr="003A44E9" w14:paraId="37FEBE89" w14:textId="77777777" w:rsidTr="00076F6E">
        <w:trPr>
          <w:trHeight w:val="288"/>
        </w:trPr>
        <w:tc>
          <w:tcPr>
            <w:tcW w:w="810" w:type="dxa"/>
            <w:tcBorders>
              <w:top w:val="nil"/>
              <w:left w:val="nil"/>
              <w:bottom w:val="single" w:sz="12" w:space="0" w:color="auto"/>
              <w:right w:val="single" w:sz="36" w:space="0" w:color="FFFFFF" w:themeColor="background1"/>
            </w:tcBorders>
            <w:shd w:val="clear" w:color="auto" w:fill="auto"/>
            <w:noWrap/>
            <w:vAlign w:val="center"/>
            <w:hideMark/>
          </w:tcPr>
          <w:p w14:paraId="3EF73495" w14:textId="77777777" w:rsidR="00076F6E" w:rsidRPr="003A44E9" w:rsidRDefault="00076F6E" w:rsidP="001E0941">
            <w:pPr>
              <w:spacing w:line="240" w:lineRule="auto"/>
              <w:rPr>
                <w:rFonts w:cs="Times New Roman"/>
                <w:sz w:val="20"/>
                <w:szCs w:val="20"/>
              </w:rPr>
            </w:pPr>
            <w:r>
              <w:rPr>
                <w:rFonts w:cs="Times New Roman"/>
                <w:sz w:val="20"/>
                <w:szCs w:val="20"/>
              </w:rPr>
              <w:t>Year</w:t>
            </w:r>
          </w:p>
        </w:tc>
        <w:tc>
          <w:tcPr>
            <w:tcW w:w="1080"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76A7D3D7" w14:textId="7E114171" w:rsidR="00076F6E" w:rsidRPr="003A44E9" w:rsidRDefault="00D90FA5" w:rsidP="001E0941">
            <w:pPr>
              <w:spacing w:line="240" w:lineRule="auto"/>
              <w:jc w:val="center"/>
              <w:rPr>
                <w:rFonts w:cs="Times New Roman"/>
                <w:color w:val="000000"/>
                <w:sz w:val="20"/>
                <w:szCs w:val="20"/>
              </w:rPr>
            </w:pPr>
            <w:r>
              <w:rPr>
                <w:rFonts w:cs="Times New Roman"/>
                <w:color w:val="000000"/>
                <w:sz w:val="20"/>
                <w:szCs w:val="20"/>
              </w:rPr>
              <w:t>RYE</w:t>
            </w:r>
          </w:p>
        </w:tc>
        <w:tc>
          <w:tcPr>
            <w:tcW w:w="1035"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tcPr>
          <w:p w14:paraId="0503C79F" w14:textId="73A75D01" w:rsidR="00076F6E" w:rsidRPr="003A44E9" w:rsidRDefault="00076F6E" w:rsidP="00076F6E">
            <w:pPr>
              <w:spacing w:line="240" w:lineRule="auto"/>
              <w:jc w:val="center"/>
              <w:rPr>
                <w:rFonts w:cs="Times New Roman"/>
                <w:color w:val="000000"/>
                <w:sz w:val="20"/>
                <w:szCs w:val="20"/>
              </w:rPr>
            </w:pPr>
            <w:r>
              <w:rPr>
                <w:rFonts w:cs="Times New Roman"/>
                <w:color w:val="000000"/>
                <w:sz w:val="20"/>
                <w:szCs w:val="20"/>
              </w:rPr>
              <w:t>Poly</w:t>
            </w:r>
          </w:p>
        </w:tc>
        <w:tc>
          <w:tcPr>
            <w:tcW w:w="1125"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4B2FB08D" w14:textId="4C7C6B9E" w:rsidR="00076F6E" w:rsidRPr="003A44E9" w:rsidRDefault="00D90FA5" w:rsidP="00076F6E">
            <w:pPr>
              <w:spacing w:line="240" w:lineRule="auto"/>
              <w:jc w:val="center"/>
              <w:rPr>
                <w:rFonts w:cs="Times New Roman"/>
                <w:color w:val="000000"/>
                <w:sz w:val="20"/>
                <w:szCs w:val="20"/>
              </w:rPr>
            </w:pPr>
            <w:r>
              <w:rPr>
                <w:rFonts w:cs="Times New Roman"/>
                <w:color w:val="000000"/>
                <w:sz w:val="20"/>
                <w:szCs w:val="20"/>
              </w:rPr>
              <w:t>RYE</w:t>
            </w:r>
          </w:p>
        </w:tc>
        <w:tc>
          <w:tcPr>
            <w:tcW w:w="1170"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tcPr>
          <w:p w14:paraId="4668A7EB" w14:textId="7D05E4B4" w:rsidR="00076F6E" w:rsidRPr="003A44E9" w:rsidRDefault="00076F6E" w:rsidP="001E0941">
            <w:pPr>
              <w:spacing w:line="240" w:lineRule="auto"/>
              <w:jc w:val="center"/>
              <w:rPr>
                <w:rFonts w:cs="Times New Roman"/>
                <w:color w:val="000000"/>
                <w:sz w:val="20"/>
                <w:szCs w:val="20"/>
              </w:rPr>
            </w:pPr>
            <w:r>
              <w:rPr>
                <w:rFonts w:cs="Times New Roman"/>
                <w:color w:val="000000"/>
                <w:sz w:val="20"/>
                <w:szCs w:val="20"/>
              </w:rPr>
              <w:t>Poly</w:t>
            </w:r>
          </w:p>
        </w:tc>
      </w:tr>
      <w:tr w:rsidR="006403CE" w:rsidRPr="003A44E9" w14:paraId="7FF0CEF0" w14:textId="77777777" w:rsidTr="00076F6E">
        <w:trPr>
          <w:trHeight w:val="288"/>
        </w:trPr>
        <w:tc>
          <w:tcPr>
            <w:tcW w:w="810" w:type="dxa"/>
            <w:tcBorders>
              <w:top w:val="single" w:sz="12" w:space="0" w:color="auto"/>
              <w:left w:val="nil"/>
              <w:right w:val="single" w:sz="36" w:space="0" w:color="FFFFFF" w:themeColor="background1"/>
            </w:tcBorders>
            <w:shd w:val="clear" w:color="auto" w:fill="auto"/>
            <w:noWrap/>
            <w:vAlign w:val="bottom"/>
          </w:tcPr>
          <w:p w14:paraId="42E05148" w14:textId="77777777" w:rsidR="006403CE" w:rsidRPr="003A44E9" w:rsidRDefault="006403CE" w:rsidP="001E0941">
            <w:pPr>
              <w:spacing w:line="240" w:lineRule="auto"/>
              <w:rPr>
                <w:rFonts w:cs="Times New Roman"/>
                <w:color w:val="000000"/>
                <w:sz w:val="20"/>
                <w:szCs w:val="20"/>
              </w:rPr>
            </w:pPr>
          </w:p>
        </w:tc>
        <w:tc>
          <w:tcPr>
            <w:tcW w:w="4410" w:type="dxa"/>
            <w:gridSpan w:val="4"/>
            <w:tcBorders>
              <w:top w:val="single" w:sz="12" w:space="0" w:color="auto"/>
              <w:left w:val="single" w:sz="36" w:space="0" w:color="FFFFFF" w:themeColor="background1"/>
              <w:right w:val="single" w:sz="36" w:space="0" w:color="FFFFFF" w:themeColor="background1"/>
            </w:tcBorders>
            <w:shd w:val="clear" w:color="auto" w:fill="auto"/>
            <w:noWrap/>
            <w:vAlign w:val="center"/>
          </w:tcPr>
          <w:p w14:paraId="329B03E2" w14:textId="65E364D9" w:rsidR="006403CE" w:rsidRPr="003A44E9" w:rsidRDefault="006403CE" w:rsidP="001E0941">
            <w:pPr>
              <w:spacing w:line="240" w:lineRule="auto"/>
              <w:jc w:val="center"/>
              <w:rPr>
                <w:sz w:val="20"/>
                <w:szCs w:val="20"/>
              </w:rPr>
            </w:pPr>
            <w:r w:rsidRPr="003A44E9">
              <w:rPr>
                <w:sz w:val="20"/>
                <w:szCs w:val="20"/>
              </w:rPr>
              <w:t>--</w:t>
            </w:r>
            <w:r w:rsidR="00076F6E">
              <w:rPr>
                <w:sz w:val="20"/>
                <w:szCs w:val="20"/>
              </w:rPr>
              <w:t>---</w:t>
            </w:r>
            <w:r w:rsidRPr="003A44E9">
              <w:rPr>
                <w:sz w:val="20"/>
                <w:szCs w:val="20"/>
              </w:rPr>
              <w:t>--------</w:t>
            </w:r>
            <w:r w:rsidR="00076F6E">
              <w:rPr>
                <w:sz w:val="20"/>
                <w:szCs w:val="20"/>
              </w:rPr>
              <w:t>---</w:t>
            </w:r>
            <w:r w:rsidR="00916B6C">
              <w:rPr>
                <w:sz w:val="20"/>
                <w:szCs w:val="20"/>
              </w:rPr>
              <w:t>-</w:t>
            </w:r>
            <w:r w:rsidRPr="003A44E9">
              <w:rPr>
                <w:sz w:val="20"/>
                <w:szCs w:val="20"/>
              </w:rPr>
              <w:t>----------</w:t>
            </w:r>
            <w:r w:rsidR="00076F6E">
              <w:rPr>
                <w:sz w:val="20"/>
                <w:szCs w:val="20"/>
              </w:rPr>
              <w:t>d</w:t>
            </w:r>
            <w:r>
              <w:rPr>
                <w:sz w:val="20"/>
                <w:szCs w:val="20"/>
              </w:rPr>
              <w:t xml:space="preserve"> ha</w:t>
            </w:r>
            <w:r w:rsidRPr="0053607C">
              <w:rPr>
                <w:sz w:val="20"/>
                <w:szCs w:val="20"/>
                <w:vertAlign w:val="superscript"/>
              </w:rPr>
              <w:t>-</w:t>
            </w:r>
            <w:r w:rsidR="00076F6E">
              <w:rPr>
                <w:sz w:val="20"/>
                <w:szCs w:val="20"/>
                <w:vertAlign w:val="superscript"/>
              </w:rPr>
              <w:t>1</w:t>
            </w:r>
            <w:r w:rsidRPr="003A44E9">
              <w:rPr>
                <w:sz w:val="20"/>
                <w:szCs w:val="20"/>
              </w:rPr>
              <w:t>-------</w:t>
            </w:r>
            <w:r w:rsidR="00076F6E">
              <w:rPr>
                <w:sz w:val="20"/>
                <w:szCs w:val="20"/>
              </w:rPr>
              <w:t>-----</w:t>
            </w:r>
            <w:r w:rsidRPr="003A44E9">
              <w:rPr>
                <w:sz w:val="20"/>
                <w:szCs w:val="20"/>
              </w:rPr>
              <w:t>-----------------</w:t>
            </w:r>
          </w:p>
        </w:tc>
      </w:tr>
      <w:tr w:rsidR="00076F6E" w:rsidRPr="003A44E9" w14:paraId="2A0AC273" w14:textId="77777777" w:rsidTr="00076F6E">
        <w:trPr>
          <w:trHeight w:val="288"/>
        </w:trPr>
        <w:tc>
          <w:tcPr>
            <w:tcW w:w="810" w:type="dxa"/>
            <w:tcBorders>
              <w:left w:val="nil"/>
            </w:tcBorders>
            <w:shd w:val="clear" w:color="auto" w:fill="auto"/>
            <w:noWrap/>
            <w:vAlign w:val="center"/>
            <w:hideMark/>
          </w:tcPr>
          <w:p w14:paraId="543FC539" w14:textId="47BC1DBF" w:rsidR="00076F6E" w:rsidRPr="003A44E9" w:rsidRDefault="00076F6E" w:rsidP="001E0941">
            <w:pPr>
              <w:spacing w:line="240" w:lineRule="auto"/>
              <w:rPr>
                <w:rFonts w:cs="Times New Roman"/>
                <w:color w:val="000000"/>
                <w:sz w:val="20"/>
                <w:szCs w:val="20"/>
              </w:rPr>
            </w:pPr>
            <w:r>
              <w:rPr>
                <w:rFonts w:cs="Times New Roman"/>
                <w:color w:val="000000"/>
                <w:sz w:val="20"/>
                <w:szCs w:val="20"/>
              </w:rPr>
              <w:t>2019</w:t>
            </w:r>
          </w:p>
        </w:tc>
        <w:tc>
          <w:tcPr>
            <w:tcW w:w="1080" w:type="dxa"/>
            <w:shd w:val="clear" w:color="auto" w:fill="auto"/>
            <w:noWrap/>
            <w:vAlign w:val="center"/>
          </w:tcPr>
          <w:p w14:paraId="3171D962" w14:textId="4F9F4DDB" w:rsidR="00076F6E" w:rsidRPr="000D7ABF" w:rsidRDefault="00076F6E" w:rsidP="00076F6E">
            <w:pPr>
              <w:spacing w:line="240" w:lineRule="auto"/>
              <w:jc w:val="center"/>
              <w:rPr>
                <w:rFonts w:cs="Times New Roman"/>
                <w:color w:val="000000"/>
                <w:sz w:val="20"/>
                <w:szCs w:val="20"/>
              </w:rPr>
            </w:pPr>
            <w:r>
              <w:rPr>
                <w:rFonts w:cs="Times New Roman"/>
                <w:color w:val="000000"/>
                <w:sz w:val="20"/>
                <w:szCs w:val="20"/>
              </w:rPr>
              <w:t>31.3</w:t>
            </w:r>
          </w:p>
        </w:tc>
        <w:tc>
          <w:tcPr>
            <w:tcW w:w="1035" w:type="dxa"/>
            <w:shd w:val="clear" w:color="auto" w:fill="auto"/>
            <w:vAlign w:val="center"/>
          </w:tcPr>
          <w:p w14:paraId="425D0C3C" w14:textId="0A25750B" w:rsidR="00076F6E" w:rsidRPr="000D7ABF" w:rsidRDefault="00076F6E" w:rsidP="001E0941">
            <w:pPr>
              <w:spacing w:line="240" w:lineRule="auto"/>
              <w:jc w:val="center"/>
              <w:rPr>
                <w:rFonts w:cs="Times New Roman"/>
                <w:color w:val="000000"/>
                <w:sz w:val="20"/>
                <w:szCs w:val="20"/>
              </w:rPr>
            </w:pPr>
            <w:r>
              <w:rPr>
                <w:rFonts w:cs="Times New Roman"/>
                <w:color w:val="000000"/>
                <w:sz w:val="20"/>
                <w:szCs w:val="20"/>
              </w:rPr>
              <w:t>31.3</w:t>
            </w:r>
          </w:p>
        </w:tc>
        <w:tc>
          <w:tcPr>
            <w:tcW w:w="1125" w:type="dxa"/>
            <w:shd w:val="clear" w:color="auto" w:fill="auto"/>
            <w:noWrap/>
            <w:vAlign w:val="center"/>
          </w:tcPr>
          <w:p w14:paraId="5844F5E9" w14:textId="72C59F9D" w:rsidR="00076F6E" w:rsidRPr="000D7ABF" w:rsidRDefault="00076F6E" w:rsidP="00076F6E">
            <w:pPr>
              <w:spacing w:line="240" w:lineRule="auto"/>
              <w:jc w:val="center"/>
              <w:rPr>
                <w:rFonts w:cs="Times New Roman"/>
                <w:color w:val="000000"/>
                <w:sz w:val="20"/>
                <w:szCs w:val="20"/>
              </w:rPr>
            </w:pPr>
            <w:r>
              <w:rPr>
                <w:rFonts w:cs="Times New Roman"/>
                <w:color w:val="000000"/>
                <w:sz w:val="20"/>
                <w:szCs w:val="20"/>
              </w:rPr>
              <w:t>41.7</w:t>
            </w:r>
          </w:p>
        </w:tc>
        <w:tc>
          <w:tcPr>
            <w:tcW w:w="1170" w:type="dxa"/>
            <w:shd w:val="clear" w:color="auto" w:fill="auto"/>
            <w:vAlign w:val="center"/>
          </w:tcPr>
          <w:p w14:paraId="4ADA0BFD" w14:textId="0992F102" w:rsidR="00076F6E" w:rsidRPr="000D7ABF" w:rsidRDefault="00076F6E" w:rsidP="001E0941">
            <w:pPr>
              <w:spacing w:line="240" w:lineRule="auto"/>
              <w:jc w:val="center"/>
              <w:rPr>
                <w:rFonts w:cs="Times New Roman"/>
                <w:color w:val="000000"/>
                <w:sz w:val="20"/>
                <w:szCs w:val="20"/>
              </w:rPr>
            </w:pPr>
            <w:r>
              <w:rPr>
                <w:rFonts w:cs="Times New Roman"/>
                <w:color w:val="000000"/>
                <w:sz w:val="20"/>
                <w:szCs w:val="20"/>
              </w:rPr>
              <w:t>41.7</w:t>
            </w:r>
          </w:p>
        </w:tc>
      </w:tr>
      <w:tr w:rsidR="00076F6E" w:rsidRPr="003A44E9" w14:paraId="4ED3EAE4" w14:textId="77777777" w:rsidTr="00076F6E">
        <w:trPr>
          <w:trHeight w:val="288"/>
        </w:trPr>
        <w:tc>
          <w:tcPr>
            <w:tcW w:w="810" w:type="dxa"/>
            <w:tcBorders>
              <w:left w:val="nil"/>
              <w:bottom w:val="single" w:sz="12" w:space="0" w:color="auto"/>
              <w:right w:val="nil"/>
            </w:tcBorders>
            <w:shd w:val="clear" w:color="auto" w:fill="D9D9D9" w:themeFill="background1" w:themeFillShade="D9"/>
            <w:noWrap/>
            <w:vAlign w:val="center"/>
            <w:hideMark/>
          </w:tcPr>
          <w:p w14:paraId="79D291F0" w14:textId="7C0BA16A" w:rsidR="00076F6E" w:rsidRPr="003A44E9" w:rsidRDefault="00076F6E" w:rsidP="001E0941">
            <w:pPr>
              <w:spacing w:line="240" w:lineRule="auto"/>
              <w:rPr>
                <w:rFonts w:cs="Times New Roman"/>
                <w:color w:val="000000"/>
                <w:sz w:val="20"/>
                <w:szCs w:val="20"/>
              </w:rPr>
            </w:pPr>
            <w:r>
              <w:rPr>
                <w:rFonts w:cs="Times New Roman"/>
                <w:color w:val="000000"/>
                <w:sz w:val="20"/>
                <w:szCs w:val="20"/>
              </w:rPr>
              <w:t>2020</w:t>
            </w:r>
          </w:p>
        </w:tc>
        <w:tc>
          <w:tcPr>
            <w:tcW w:w="1080" w:type="dxa"/>
            <w:tcBorders>
              <w:left w:val="nil"/>
              <w:bottom w:val="single" w:sz="12" w:space="0" w:color="auto"/>
              <w:right w:val="nil"/>
            </w:tcBorders>
            <w:shd w:val="clear" w:color="auto" w:fill="D9D9D9" w:themeFill="background1" w:themeFillShade="D9"/>
            <w:noWrap/>
            <w:vAlign w:val="center"/>
          </w:tcPr>
          <w:p w14:paraId="1B2B6774" w14:textId="4B381E7B" w:rsidR="00076F6E" w:rsidRPr="000D7ABF" w:rsidRDefault="00076F6E" w:rsidP="00076F6E">
            <w:pPr>
              <w:spacing w:line="240" w:lineRule="auto"/>
              <w:jc w:val="center"/>
              <w:rPr>
                <w:rFonts w:cs="Times New Roman"/>
                <w:color w:val="000000"/>
                <w:sz w:val="20"/>
                <w:szCs w:val="20"/>
              </w:rPr>
            </w:pPr>
            <w:r>
              <w:rPr>
                <w:rFonts w:cs="Times New Roman"/>
                <w:color w:val="000000"/>
                <w:sz w:val="20"/>
                <w:szCs w:val="20"/>
              </w:rPr>
              <w:t>69.6</w:t>
            </w:r>
          </w:p>
        </w:tc>
        <w:tc>
          <w:tcPr>
            <w:tcW w:w="1035" w:type="dxa"/>
            <w:tcBorders>
              <w:left w:val="nil"/>
              <w:bottom w:val="single" w:sz="12" w:space="0" w:color="auto"/>
              <w:right w:val="nil"/>
            </w:tcBorders>
            <w:shd w:val="clear" w:color="auto" w:fill="D9D9D9" w:themeFill="background1" w:themeFillShade="D9"/>
            <w:vAlign w:val="center"/>
          </w:tcPr>
          <w:p w14:paraId="64F80FD7" w14:textId="76949949" w:rsidR="00076F6E" w:rsidRPr="000D7ABF" w:rsidRDefault="00076F6E" w:rsidP="001E0941">
            <w:pPr>
              <w:spacing w:line="240" w:lineRule="auto"/>
              <w:jc w:val="center"/>
              <w:rPr>
                <w:rFonts w:cs="Times New Roman"/>
                <w:color w:val="000000"/>
                <w:sz w:val="20"/>
                <w:szCs w:val="20"/>
              </w:rPr>
            </w:pPr>
            <w:r>
              <w:rPr>
                <w:rFonts w:cs="Times New Roman"/>
                <w:color w:val="000000"/>
                <w:sz w:val="20"/>
                <w:szCs w:val="20"/>
              </w:rPr>
              <w:t>61.7</w:t>
            </w:r>
          </w:p>
        </w:tc>
        <w:tc>
          <w:tcPr>
            <w:tcW w:w="1125" w:type="dxa"/>
            <w:tcBorders>
              <w:left w:val="nil"/>
              <w:bottom w:val="single" w:sz="12" w:space="0" w:color="auto"/>
              <w:right w:val="nil"/>
            </w:tcBorders>
            <w:shd w:val="clear" w:color="auto" w:fill="D9D9D9" w:themeFill="background1" w:themeFillShade="D9"/>
            <w:noWrap/>
            <w:vAlign w:val="center"/>
          </w:tcPr>
          <w:p w14:paraId="1C249072" w14:textId="0F4D0E50" w:rsidR="00076F6E" w:rsidRPr="000D7ABF" w:rsidRDefault="00076F6E" w:rsidP="00076F6E">
            <w:pPr>
              <w:spacing w:line="240" w:lineRule="auto"/>
              <w:jc w:val="center"/>
              <w:rPr>
                <w:rFonts w:cs="Times New Roman"/>
                <w:color w:val="000000"/>
                <w:sz w:val="20"/>
                <w:szCs w:val="20"/>
              </w:rPr>
            </w:pPr>
            <w:r>
              <w:rPr>
                <w:rFonts w:cs="Times New Roman"/>
                <w:color w:val="000000"/>
                <w:sz w:val="20"/>
                <w:szCs w:val="20"/>
              </w:rPr>
              <w:t>61.7</w:t>
            </w:r>
          </w:p>
        </w:tc>
        <w:tc>
          <w:tcPr>
            <w:tcW w:w="1170" w:type="dxa"/>
            <w:tcBorders>
              <w:left w:val="nil"/>
              <w:bottom w:val="single" w:sz="12" w:space="0" w:color="auto"/>
              <w:right w:val="nil"/>
            </w:tcBorders>
            <w:shd w:val="clear" w:color="auto" w:fill="D9D9D9" w:themeFill="background1" w:themeFillShade="D9"/>
            <w:vAlign w:val="center"/>
          </w:tcPr>
          <w:p w14:paraId="194D8AD6" w14:textId="7ECC2DEF" w:rsidR="00076F6E" w:rsidRPr="000D7ABF" w:rsidRDefault="00076F6E" w:rsidP="001E0941">
            <w:pPr>
              <w:spacing w:line="240" w:lineRule="auto"/>
              <w:jc w:val="center"/>
              <w:rPr>
                <w:rFonts w:cs="Times New Roman"/>
                <w:color w:val="000000"/>
                <w:sz w:val="20"/>
                <w:szCs w:val="20"/>
              </w:rPr>
            </w:pPr>
            <w:r>
              <w:rPr>
                <w:rFonts w:cs="Times New Roman"/>
                <w:color w:val="000000"/>
                <w:sz w:val="20"/>
                <w:szCs w:val="20"/>
              </w:rPr>
              <w:t>61.7</w:t>
            </w:r>
          </w:p>
        </w:tc>
      </w:tr>
      <w:bookmarkEnd w:id="72"/>
    </w:tbl>
    <w:p w14:paraId="64A1B266" w14:textId="226EF55A" w:rsidR="00916B6C" w:rsidRDefault="00916B6C" w:rsidP="00A55A5F">
      <w:pPr>
        <w:spacing w:line="240" w:lineRule="auto"/>
      </w:pPr>
    </w:p>
    <w:p w14:paraId="5857AD54" w14:textId="6DE106D4" w:rsidR="00BE3BAD" w:rsidRDefault="00BE3BAD" w:rsidP="00BE3BAD">
      <w:pPr>
        <w:pStyle w:val="Tables"/>
        <w:rPr>
          <w:rStyle w:val="Strong"/>
          <w:b w:val="0"/>
          <w:bCs/>
        </w:rPr>
      </w:pPr>
    </w:p>
    <w:p w14:paraId="6CCFF23E" w14:textId="514AC3C2" w:rsidR="006D04DE" w:rsidRDefault="006D04DE" w:rsidP="00BE3BAD">
      <w:pPr>
        <w:pStyle w:val="Tables"/>
        <w:rPr>
          <w:rStyle w:val="Strong"/>
          <w:b w:val="0"/>
          <w:bCs/>
        </w:rPr>
      </w:pPr>
    </w:p>
    <w:p w14:paraId="3C44C663" w14:textId="77777777" w:rsidR="001C5B03" w:rsidRDefault="001C5B03" w:rsidP="00BE3BAD">
      <w:pPr>
        <w:pStyle w:val="Tables"/>
        <w:rPr>
          <w:rStyle w:val="Strong"/>
          <w:b w:val="0"/>
          <w:bCs/>
        </w:rPr>
      </w:pPr>
    </w:p>
    <w:p w14:paraId="6777427E" w14:textId="77777777" w:rsidR="00A01E34" w:rsidRDefault="00A01E34" w:rsidP="001C5B03">
      <w:pPr>
        <w:pStyle w:val="Tables"/>
        <w:rPr>
          <w:rStyle w:val="Strong"/>
          <w:b w:val="0"/>
          <w:bCs/>
        </w:rPr>
      </w:pPr>
    </w:p>
    <w:p w14:paraId="2BD231BC" w14:textId="73323063" w:rsidR="001C5B03" w:rsidRDefault="001C5B03" w:rsidP="001C5B03">
      <w:pPr>
        <w:pStyle w:val="Tables"/>
        <w:rPr>
          <w:rStyle w:val="Strong"/>
          <w:b w:val="0"/>
          <w:bCs/>
        </w:rPr>
      </w:pPr>
      <w:bookmarkStart w:id="73" w:name="_Toc72300395"/>
      <w:r w:rsidRPr="00320C4D">
        <w:rPr>
          <w:rStyle w:val="Strong"/>
          <w:b w:val="0"/>
          <w:bCs/>
        </w:rPr>
        <w:t>Table 1.</w:t>
      </w:r>
      <w:r>
        <w:rPr>
          <w:rStyle w:val="Strong"/>
          <w:b w:val="0"/>
          <w:bCs/>
        </w:rPr>
        <w:t>2</w:t>
      </w:r>
      <w:r w:rsidRPr="00320C4D">
        <w:rPr>
          <w:rStyle w:val="Strong"/>
          <w:b w:val="0"/>
          <w:bCs/>
        </w:rPr>
        <w:t>.  Plant cover (% m</w:t>
      </w:r>
      <w:r w:rsidRPr="00320C4D">
        <w:rPr>
          <w:rStyle w:val="Strong"/>
          <w:b w:val="0"/>
          <w:bCs/>
          <w:vertAlign w:val="superscript"/>
        </w:rPr>
        <w:t>-2</w:t>
      </w:r>
      <w:r w:rsidRPr="00320C4D">
        <w:rPr>
          <w:rStyle w:val="Strong"/>
          <w:b w:val="0"/>
          <w:bCs/>
        </w:rPr>
        <w:t xml:space="preserve">) of cool-season annual treatments </w:t>
      </w:r>
      <w:r w:rsidRPr="00320C4D">
        <w:t xml:space="preserve">of </w:t>
      </w:r>
      <w:r w:rsidR="00D90FA5">
        <w:t xml:space="preserve">interseeded </w:t>
      </w:r>
      <w:r w:rsidRPr="00320C4D">
        <w:rPr>
          <w:rStyle w:val="Strong"/>
          <w:b w:val="0"/>
          <w:bCs/>
        </w:rPr>
        <w:t xml:space="preserve">cereal rye and </w:t>
      </w:r>
      <w:r w:rsidR="00D90FA5">
        <w:rPr>
          <w:rStyle w:val="Strong"/>
          <w:b w:val="0"/>
          <w:bCs/>
        </w:rPr>
        <w:t>polyculture (</w:t>
      </w:r>
      <w:r w:rsidR="00D90FA5" w:rsidRPr="00320C4D">
        <w:rPr>
          <w:rStyle w:val="Strong"/>
          <w:b w:val="0"/>
          <w:bCs/>
        </w:rPr>
        <w:t xml:space="preserve">cereal rye, </w:t>
      </w:r>
      <w:r w:rsidR="00D90FA5">
        <w:rPr>
          <w:rStyle w:val="Strong"/>
          <w:b w:val="0"/>
          <w:bCs/>
        </w:rPr>
        <w:t xml:space="preserve">turnip, rape, berseem clover, and </w:t>
      </w:r>
      <w:r w:rsidR="00D90FA5" w:rsidRPr="00320C4D">
        <w:rPr>
          <w:rStyle w:val="Strong"/>
          <w:b w:val="0"/>
          <w:bCs/>
        </w:rPr>
        <w:t>crimson clover</w:t>
      </w:r>
      <w:r w:rsidR="00D90FA5">
        <w:rPr>
          <w:rStyle w:val="Strong"/>
          <w:b w:val="0"/>
          <w:bCs/>
        </w:rPr>
        <w:t xml:space="preserve">) </w:t>
      </w:r>
      <w:r w:rsidRPr="00320C4D">
        <w:t>within switchgrass and big bluestem/indiangrass pastures prior to grazing, 2019-2020, University of Tennessee – Middle Tennessee AgResearch and Education Center, Spring Hill, TN.</w:t>
      </w:r>
      <w:bookmarkEnd w:id="73"/>
      <w:r>
        <w:rPr>
          <w:rStyle w:val="Strong"/>
          <w:b w:val="0"/>
          <w:bCs/>
        </w:rPr>
        <w:t xml:space="preserve">  </w:t>
      </w:r>
    </w:p>
    <w:tbl>
      <w:tblPr>
        <w:tblW w:w="7380" w:type="dxa"/>
        <w:tblLayout w:type="fixed"/>
        <w:tblLook w:val="04A0" w:firstRow="1" w:lastRow="0" w:firstColumn="1" w:lastColumn="0" w:noHBand="0" w:noVBand="1"/>
      </w:tblPr>
      <w:tblGrid>
        <w:gridCol w:w="1260"/>
        <w:gridCol w:w="1530"/>
        <w:gridCol w:w="993"/>
        <w:gridCol w:w="1260"/>
        <w:gridCol w:w="1260"/>
        <w:gridCol w:w="1077"/>
      </w:tblGrid>
      <w:tr w:rsidR="001C5B03" w:rsidRPr="003A44E9" w14:paraId="0ED99E63" w14:textId="77777777" w:rsidTr="000C34A6">
        <w:trPr>
          <w:trHeight w:val="288"/>
        </w:trPr>
        <w:tc>
          <w:tcPr>
            <w:tcW w:w="1260" w:type="dxa"/>
            <w:tcBorders>
              <w:top w:val="single" w:sz="12" w:space="0" w:color="auto"/>
              <w:left w:val="nil"/>
              <w:bottom w:val="single" w:sz="12" w:space="0" w:color="FFFFFF" w:themeColor="background1"/>
              <w:right w:val="single" w:sz="36" w:space="0" w:color="FFFFFF" w:themeColor="background1"/>
            </w:tcBorders>
            <w:shd w:val="clear" w:color="auto" w:fill="auto"/>
            <w:noWrap/>
            <w:vAlign w:val="center"/>
            <w:hideMark/>
          </w:tcPr>
          <w:p w14:paraId="39CACD11" w14:textId="77777777" w:rsidR="001C5B03" w:rsidRPr="003A44E9" w:rsidRDefault="001C5B03" w:rsidP="000C34A6">
            <w:pPr>
              <w:spacing w:line="240" w:lineRule="auto"/>
              <w:rPr>
                <w:rFonts w:cs="Times New Roman"/>
                <w:sz w:val="20"/>
                <w:szCs w:val="20"/>
              </w:rPr>
            </w:pPr>
          </w:p>
        </w:tc>
        <w:tc>
          <w:tcPr>
            <w:tcW w:w="1530" w:type="dxa"/>
            <w:tcBorders>
              <w:top w:val="single" w:sz="12" w:space="0" w:color="auto"/>
              <w:left w:val="single" w:sz="36" w:space="0" w:color="FFFFFF" w:themeColor="background1"/>
              <w:bottom w:val="single" w:sz="12" w:space="0" w:color="FFFFFF" w:themeColor="background1"/>
              <w:right w:val="single" w:sz="36" w:space="0" w:color="FFFFFF" w:themeColor="background1"/>
            </w:tcBorders>
          </w:tcPr>
          <w:p w14:paraId="3429E1DD" w14:textId="77777777" w:rsidR="001C5B03" w:rsidRPr="003A44E9" w:rsidRDefault="001C5B03" w:rsidP="000C34A6">
            <w:pPr>
              <w:spacing w:line="240" w:lineRule="auto"/>
              <w:jc w:val="center"/>
              <w:rPr>
                <w:rFonts w:cs="Times New Roman"/>
                <w:color w:val="000000"/>
                <w:sz w:val="20"/>
                <w:szCs w:val="20"/>
              </w:rPr>
            </w:pPr>
          </w:p>
        </w:tc>
        <w:tc>
          <w:tcPr>
            <w:tcW w:w="2253"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45CAA936" w14:textId="77777777" w:rsidR="001C5B03" w:rsidRPr="003A44E9" w:rsidRDefault="001C5B03" w:rsidP="000C34A6">
            <w:pPr>
              <w:spacing w:line="240" w:lineRule="auto"/>
              <w:jc w:val="center"/>
              <w:rPr>
                <w:rFonts w:cs="Times New Roman"/>
                <w:color w:val="000000"/>
                <w:sz w:val="20"/>
                <w:szCs w:val="20"/>
              </w:rPr>
            </w:pPr>
            <w:r w:rsidRPr="003A44E9">
              <w:rPr>
                <w:rFonts w:cs="Times New Roman"/>
                <w:color w:val="000000"/>
                <w:sz w:val="20"/>
                <w:szCs w:val="20"/>
              </w:rPr>
              <w:t>Switchgrass</w:t>
            </w:r>
          </w:p>
        </w:tc>
        <w:tc>
          <w:tcPr>
            <w:tcW w:w="2337" w:type="dxa"/>
            <w:gridSpan w:val="2"/>
            <w:tcBorders>
              <w:top w:val="single" w:sz="12" w:space="0" w:color="auto"/>
              <w:left w:val="single" w:sz="36" w:space="0" w:color="FFFFFF" w:themeColor="background1"/>
              <w:bottom w:val="single" w:sz="12" w:space="0" w:color="auto"/>
              <w:right w:val="single" w:sz="24" w:space="0" w:color="FFFFFF" w:themeColor="background1"/>
            </w:tcBorders>
            <w:shd w:val="clear" w:color="auto" w:fill="auto"/>
            <w:noWrap/>
            <w:vAlign w:val="center"/>
          </w:tcPr>
          <w:p w14:paraId="0ACA52DD" w14:textId="77777777" w:rsidR="001C5B03" w:rsidRPr="003A44E9" w:rsidRDefault="001C5B03" w:rsidP="000C34A6">
            <w:pPr>
              <w:spacing w:line="240" w:lineRule="auto"/>
              <w:jc w:val="center"/>
              <w:rPr>
                <w:rFonts w:cs="Times New Roman"/>
                <w:color w:val="000000"/>
                <w:sz w:val="20"/>
                <w:szCs w:val="20"/>
              </w:rPr>
            </w:pPr>
            <w:r w:rsidRPr="003A44E9">
              <w:rPr>
                <w:rFonts w:cs="Times New Roman"/>
                <w:color w:val="000000"/>
                <w:sz w:val="20"/>
                <w:szCs w:val="20"/>
              </w:rPr>
              <w:t>Big bluestem/Indiangrass</w:t>
            </w:r>
          </w:p>
        </w:tc>
      </w:tr>
      <w:tr w:rsidR="001C5B03" w:rsidRPr="003A44E9" w14:paraId="11C6F3B3" w14:textId="77777777" w:rsidTr="000C34A6">
        <w:trPr>
          <w:trHeight w:val="288"/>
        </w:trPr>
        <w:tc>
          <w:tcPr>
            <w:tcW w:w="2790" w:type="dxa"/>
            <w:gridSpan w:val="2"/>
            <w:tcBorders>
              <w:top w:val="single" w:sz="12" w:space="0" w:color="FFFFFF" w:themeColor="background1"/>
              <w:left w:val="nil"/>
              <w:bottom w:val="single" w:sz="12" w:space="0" w:color="auto"/>
              <w:right w:val="single" w:sz="36" w:space="0" w:color="FFFFFF" w:themeColor="background1"/>
            </w:tcBorders>
            <w:shd w:val="clear" w:color="auto" w:fill="auto"/>
            <w:noWrap/>
            <w:vAlign w:val="center"/>
            <w:hideMark/>
          </w:tcPr>
          <w:p w14:paraId="4D9DF4FC" w14:textId="77777777" w:rsidR="001C5B03" w:rsidRDefault="001C5B03" w:rsidP="000C34A6">
            <w:pPr>
              <w:spacing w:line="240" w:lineRule="auto"/>
              <w:rPr>
                <w:rFonts w:cs="Times New Roman"/>
                <w:color w:val="000000"/>
                <w:sz w:val="20"/>
                <w:szCs w:val="20"/>
              </w:rPr>
            </w:pPr>
            <w:r>
              <w:rPr>
                <w:rFonts w:cs="Times New Roman"/>
                <w:color w:val="000000"/>
                <w:sz w:val="20"/>
                <w:szCs w:val="20"/>
              </w:rPr>
              <w:t>Cool-season Annual</w:t>
            </w:r>
          </w:p>
        </w:tc>
        <w:tc>
          <w:tcPr>
            <w:tcW w:w="993"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3FCC4A27" w14:textId="77777777" w:rsidR="001C5B03" w:rsidRPr="003A44E9" w:rsidRDefault="001C5B03" w:rsidP="000C34A6">
            <w:pPr>
              <w:spacing w:line="240" w:lineRule="auto"/>
              <w:jc w:val="center"/>
              <w:rPr>
                <w:rFonts w:cs="Times New Roman"/>
                <w:color w:val="000000"/>
                <w:sz w:val="20"/>
                <w:szCs w:val="20"/>
              </w:rPr>
            </w:pPr>
            <w:r>
              <w:rPr>
                <w:rFonts w:cs="Times New Roman"/>
                <w:color w:val="000000"/>
                <w:sz w:val="20"/>
                <w:szCs w:val="20"/>
              </w:rPr>
              <w:t>2019</w:t>
            </w:r>
          </w:p>
        </w:tc>
        <w:tc>
          <w:tcPr>
            <w:tcW w:w="1260"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tcPr>
          <w:p w14:paraId="1B459582" w14:textId="77777777" w:rsidR="001C5B03" w:rsidRPr="003A44E9" w:rsidRDefault="001C5B03" w:rsidP="000C34A6">
            <w:pPr>
              <w:spacing w:line="240" w:lineRule="auto"/>
              <w:jc w:val="center"/>
              <w:rPr>
                <w:rFonts w:cs="Times New Roman"/>
                <w:color w:val="000000"/>
                <w:sz w:val="20"/>
                <w:szCs w:val="20"/>
              </w:rPr>
            </w:pPr>
            <w:r>
              <w:rPr>
                <w:rFonts w:cs="Times New Roman"/>
                <w:color w:val="000000"/>
                <w:sz w:val="20"/>
                <w:szCs w:val="20"/>
              </w:rPr>
              <w:t>2020</w:t>
            </w:r>
          </w:p>
        </w:tc>
        <w:tc>
          <w:tcPr>
            <w:tcW w:w="1260"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tcPr>
          <w:p w14:paraId="57855FD0" w14:textId="77777777" w:rsidR="001C5B03" w:rsidRPr="003A44E9" w:rsidRDefault="001C5B03" w:rsidP="000C34A6">
            <w:pPr>
              <w:spacing w:line="240" w:lineRule="auto"/>
              <w:jc w:val="center"/>
              <w:rPr>
                <w:rFonts w:cs="Times New Roman"/>
                <w:color w:val="000000"/>
                <w:sz w:val="20"/>
                <w:szCs w:val="20"/>
              </w:rPr>
            </w:pPr>
            <w:r>
              <w:rPr>
                <w:rFonts w:cs="Times New Roman"/>
                <w:color w:val="000000"/>
                <w:sz w:val="20"/>
                <w:szCs w:val="20"/>
              </w:rPr>
              <w:t>2019</w:t>
            </w:r>
          </w:p>
        </w:tc>
        <w:tc>
          <w:tcPr>
            <w:tcW w:w="1077"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tcPr>
          <w:p w14:paraId="32B98242" w14:textId="77777777" w:rsidR="001C5B03" w:rsidRPr="003A44E9" w:rsidRDefault="001C5B03" w:rsidP="000C34A6">
            <w:pPr>
              <w:spacing w:line="240" w:lineRule="auto"/>
              <w:jc w:val="center"/>
              <w:rPr>
                <w:rFonts w:cs="Times New Roman"/>
                <w:color w:val="000000"/>
                <w:sz w:val="20"/>
                <w:szCs w:val="20"/>
              </w:rPr>
            </w:pPr>
            <w:r>
              <w:rPr>
                <w:rFonts w:cs="Times New Roman"/>
                <w:color w:val="000000"/>
                <w:sz w:val="20"/>
                <w:szCs w:val="20"/>
              </w:rPr>
              <w:t>2020</w:t>
            </w:r>
          </w:p>
        </w:tc>
      </w:tr>
      <w:tr w:rsidR="001C5B03" w:rsidRPr="003A44E9" w14:paraId="3F8B721B" w14:textId="77777777" w:rsidTr="000C34A6">
        <w:trPr>
          <w:trHeight w:val="288"/>
        </w:trPr>
        <w:tc>
          <w:tcPr>
            <w:tcW w:w="1260" w:type="dxa"/>
            <w:tcBorders>
              <w:top w:val="single" w:sz="12" w:space="0" w:color="auto"/>
              <w:left w:val="nil"/>
              <w:right w:val="single" w:sz="36" w:space="0" w:color="FFFFFF" w:themeColor="background1"/>
            </w:tcBorders>
            <w:shd w:val="clear" w:color="auto" w:fill="auto"/>
            <w:noWrap/>
            <w:vAlign w:val="bottom"/>
          </w:tcPr>
          <w:p w14:paraId="187FC5B7" w14:textId="77777777" w:rsidR="001C5B03" w:rsidRPr="003A44E9" w:rsidRDefault="001C5B03" w:rsidP="000C34A6">
            <w:pPr>
              <w:spacing w:line="240" w:lineRule="auto"/>
              <w:rPr>
                <w:rFonts w:cs="Times New Roman"/>
                <w:color w:val="000000"/>
                <w:sz w:val="20"/>
                <w:szCs w:val="20"/>
              </w:rPr>
            </w:pPr>
          </w:p>
        </w:tc>
        <w:tc>
          <w:tcPr>
            <w:tcW w:w="1530" w:type="dxa"/>
            <w:tcBorders>
              <w:top w:val="single" w:sz="12" w:space="0" w:color="auto"/>
              <w:left w:val="single" w:sz="36" w:space="0" w:color="FFFFFF" w:themeColor="background1"/>
              <w:right w:val="single" w:sz="36" w:space="0" w:color="FFFFFF" w:themeColor="background1"/>
            </w:tcBorders>
          </w:tcPr>
          <w:p w14:paraId="78D0ACFB" w14:textId="77777777" w:rsidR="001C5B03" w:rsidRPr="003A44E9" w:rsidRDefault="001C5B03" w:rsidP="000C34A6">
            <w:pPr>
              <w:spacing w:line="240" w:lineRule="auto"/>
              <w:jc w:val="center"/>
              <w:rPr>
                <w:sz w:val="20"/>
                <w:szCs w:val="20"/>
              </w:rPr>
            </w:pPr>
          </w:p>
        </w:tc>
        <w:tc>
          <w:tcPr>
            <w:tcW w:w="4590" w:type="dxa"/>
            <w:gridSpan w:val="4"/>
            <w:tcBorders>
              <w:top w:val="single" w:sz="12" w:space="0" w:color="auto"/>
              <w:left w:val="single" w:sz="36" w:space="0" w:color="FFFFFF" w:themeColor="background1"/>
              <w:right w:val="single" w:sz="24" w:space="0" w:color="FFFFFF" w:themeColor="background1"/>
            </w:tcBorders>
            <w:shd w:val="clear" w:color="auto" w:fill="auto"/>
            <w:noWrap/>
            <w:vAlign w:val="center"/>
          </w:tcPr>
          <w:p w14:paraId="78891F87" w14:textId="77777777" w:rsidR="001C5B03" w:rsidRPr="00853110" w:rsidRDefault="001C5B03" w:rsidP="000C34A6">
            <w:pPr>
              <w:spacing w:line="240" w:lineRule="auto"/>
              <w:jc w:val="center"/>
              <w:rPr>
                <w:sz w:val="20"/>
                <w:szCs w:val="20"/>
              </w:rPr>
            </w:pPr>
            <w:r>
              <w:rPr>
                <w:sz w:val="20"/>
                <w:szCs w:val="20"/>
              </w:rPr>
              <w:t>-------------------------% m</w:t>
            </w:r>
            <w:r w:rsidRPr="0053607C">
              <w:rPr>
                <w:sz w:val="20"/>
                <w:szCs w:val="20"/>
                <w:vertAlign w:val="superscript"/>
              </w:rPr>
              <w:t>-</w:t>
            </w:r>
            <w:r>
              <w:rPr>
                <w:sz w:val="20"/>
                <w:szCs w:val="20"/>
                <w:vertAlign w:val="superscript"/>
              </w:rPr>
              <w:t>2</w:t>
            </w:r>
            <w:r>
              <w:rPr>
                <w:sz w:val="20"/>
                <w:szCs w:val="20"/>
              </w:rPr>
              <w:t>------------------------</w:t>
            </w:r>
          </w:p>
        </w:tc>
      </w:tr>
      <w:tr w:rsidR="001C5B03" w:rsidRPr="003A44E9" w14:paraId="4E004C2F" w14:textId="77777777" w:rsidTr="000C34A6">
        <w:trPr>
          <w:trHeight w:val="288"/>
        </w:trPr>
        <w:tc>
          <w:tcPr>
            <w:tcW w:w="1260" w:type="dxa"/>
            <w:tcBorders>
              <w:left w:val="nil"/>
            </w:tcBorders>
            <w:shd w:val="clear" w:color="auto" w:fill="D9D9D9" w:themeFill="background1" w:themeFillShade="D9"/>
            <w:noWrap/>
            <w:vAlign w:val="center"/>
            <w:hideMark/>
          </w:tcPr>
          <w:p w14:paraId="63A55D95" w14:textId="37417E7C" w:rsidR="001C5B03" w:rsidRPr="003A44E9" w:rsidRDefault="00257CDC" w:rsidP="000C34A6">
            <w:pPr>
              <w:spacing w:line="240" w:lineRule="auto"/>
              <w:rPr>
                <w:rFonts w:cs="Times New Roman"/>
                <w:color w:val="000000"/>
                <w:sz w:val="20"/>
                <w:szCs w:val="20"/>
              </w:rPr>
            </w:pPr>
            <w:r>
              <w:rPr>
                <w:rFonts w:cs="Times New Roman"/>
                <w:color w:val="000000"/>
                <w:sz w:val="20"/>
                <w:szCs w:val="20"/>
              </w:rPr>
              <w:t>Monoculture</w:t>
            </w:r>
          </w:p>
        </w:tc>
        <w:tc>
          <w:tcPr>
            <w:tcW w:w="1530" w:type="dxa"/>
            <w:shd w:val="clear" w:color="auto" w:fill="D9D9D9" w:themeFill="background1" w:themeFillShade="D9"/>
            <w:vAlign w:val="center"/>
          </w:tcPr>
          <w:p w14:paraId="5A040CEC" w14:textId="77777777" w:rsidR="001C5B03" w:rsidRDefault="001C5B03" w:rsidP="000C34A6">
            <w:pPr>
              <w:spacing w:line="240" w:lineRule="auto"/>
              <w:rPr>
                <w:rFonts w:cs="Times New Roman"/>
                <w:color w:val="000000"/>
                <w:sz w:val="20"/>
                <w:szCs w:val="20"/>
              </w:rPr>
            </w:pPr>
            <w:r>
              <w:rPr>
                <w:rFonts w:cs="Times New Roman"/>
                <w:color w:val="000000"/>
                <w:sz w:val="20"/>
                <w:szCs w:val="20"/>
              </w:rPr>
              <w:t xml:space="preserve">   </w:t>
            </w:r>
          </w:p>
        </w:tc>
        <w:tc>
          <w:tcPr>
            <w:tcW w:w="993" w:type="dxa"/>
            <w:shd w:val="clear" w:color="auto" w:fill="D9D9D9" w:themeFill="background1" w:themeFillShade="D9"/>
            <w:noWrap/>
            <w:vAlign w:val="center"/>
          </w:tcPr>
          <w:p w14:paraId="687093DF" w14:textId="77777777" w:rsidR="001C5B03" w:rsidRPr="000D7ABF" w:rsidRDefault="001C5B03" w:rsidP="000C34A6">
            <w:pPr>
              <w:spacing w:line="240" w:lineRule="auto"/>
              <w:jc w:val="center"/>
              <w:rPr>
                <w:rFonts w:cs="Times New Roman"/>
                <w:color w:val="000000"/>
                <w:sz w:val="20"/>
                <w:szCs w:val="20"/>
              </w:rPr>
            </w:pPr>
          </w:p>
        </w:tc>
        <w:tc>
          <w:tcPr>
            <w:tcW w:w="1260" w:type="dxa"/>
            <w:shd w:val="clear" w:color="auto" w:fill="D9D9D9" w:themeFill="background1" w:themeFillShade="D9"/>
            <w:vAlign w:val="center"/>
          </w:tcPr>
          <w:p w14:paraId="41E5BF8F" w14:textId="77777777" w:rsidR="001C5B03" w:rsidRPr="000D7ABF" w:rsidRDefault="001C5B03" w:rsidP="000C34A6">
            <w:pPr>
              <w:spacing w:line="240" w:lineRule="auto"/>
              <w:jc w:val="center"/>
              <w:rPr>
                <w:rFonts w:cs="Times New Roman"/>
                <w:color w:val="000000"/>
                <w:sz w:val="20"/>
                <w:szCs w:val="20"/>
              </w:rPr>
            </w:pPr>
          </w:p>
        </w:tc>
        <w:tc>
          <w:tcPr>
            <w:tcW w:w="1260" w:type="dxa"/>
            <w:shd w:val="clear" w:color="auto" w:fill="D9D9D9" w:themeFill="background1" w:themeFillShade="D9"/>
            <w:vAlign w:val="center"/>
          </w:tcPr>
          <w:p w14:paraId="25F299DB" w14:textId="77777777" w:rsidR="001C5B03" w:rsidRPr="000D7ABF" w:rsidRDefault="001C5B03" w:rsidP="000C34A6">
            <w:pPr>
              <w:spacing w:line="240" w:lineRule="auto"/>
              <w:jc w:val="center"/>
              <w:rPr>
                <w:rFonts w:cs="Times New Roman"/>
                <w:color w:val="000000"/>
                <w:sz w:val="20"/>
                <w:szCs w:val="20"/>
              </w:rPr>
            </w:pPr>
          </w:p>
        </w:tc>
        <w:tc>
          <w:tcPr>
            <w:tcW w:w="1077" w:type="dxa"/>
            <w:shd w:val="clear" w:color="auto" w:fill="D9D9D9" w:themeFill="background1" w:themeFillShade="D9"/>
            <w:vAlign w:val="center"/>
          </w:tcPr>
          <w:p w14:paraId="67053648" w14:textId="77777777" w:rsidR="001C5B03" w:rsidRPr="000D7ABF" w:rsidRDefault="001C5B03" w:rsidP="000C34A6">
            <w:pPr>
              <w:spacing w:line="240" w:lineRule="auto"/>
              <w:jc w:val="center"/>
              <w:rPr>
                <w:rFonts w:cs="Times New Roman"/>
                <w:color w:val="000000"/>
                <w:sz w:val="20"/>
                <w:szCs w:val="20"/>
              </w:rPr>
            </w:pPr>
          </w:p>
        </w:tc>
      </w:tr>
      <w:tr w:rsidR="001C5B03" w:rsidRPr="003A44E9" w14:paraId="11C7FD3D" w14:textId="77777777" w:rsidTr="000C34A6">
        <w:trPr>
          <w:trHeight w:val="288"/>
        </w:trPr>
        <w:tc>
          <w:tcPr>
            <w:tcW w:w="1260" w:type="dxa"/>
            <w:tcBorders>
              <w:left w:val="nil"/>
              <w:right w:val="nil"/>
            </w:tcBorders>
            <w:shd w:val="clear" w:color="auto" w:fill="FFFFFF" w:themeFill="background1"/>
            <w:noWrap/>
            <w:vAlign w:val="center"/>
            <w:hideMark/>
          </w:tcPr>
          <w:p w14:paraId="7C7793B8" w14:textId="77777777" w:rsidR="001C5B03" w:rsidRPr="00BE3BAD" w:rsidRDefault="001C5B03" w:rsidP="000C34A6">
            <w:pPr>
              <w:spacing w:line="240" w:lineRule="auto"/>
              <w:rPr>
                <w:rFonts w:cs="Times New Roman"/>
                <w:color w:val="000000"/>
                <w:sz w:val="20"/>
                <w:szCs w:val="20"/>
              </w:rPr>
            </w:pPr>
          </w:p>
        </w:tc>
        <w:tc>
          <w:tcPr>
            <w:tcW w:w="1530" w:type="dxa"/>
            <w:tcBorders>
              <w:left w:val="nil"/>
              <w:right w:val="nil"/>
            </w:tcBorders>
            <w:shd w:val="clear" w:color="auto" w:fill="FFFFFF" w:themeFill="background1"/>
            <w:vAlign w:val="center"/>
          </w:tcPr>
          <w:p w14:paraId="126AE239" w14:textId="77777777" w:rsidR="001C5B03" w:rsidRDefault="001C5B03" w:rsidP="000C34A6">
            <w:pPr>
              <w:spacing w:line="240" w:lineRule="auto"/>
              <w:rPr>
                <w:rFonts w:cs="Times New Roman"/>
                <w:color w:val="000000"/>
                <w:sz w:val="20"/>
                <w:szCs w:val="20"/>
              </w:rPr>
            </w:pPr>
            <w:r>
              <w:rPr>
                <w:rFonts w:cs="Times New Roman"/>
                <w:color w:val="000000"/>
                <w:sz w:val="20"/>
                <w:szCs w:val="20"/>
              </w:rPr>
              <w:t>Cereal Rye</w:t>
            </w:r>
          </w:p>
        </w:tc>
        <w:tc>
          <w:tcPr>
            <w:tcW w:w="993" w:type="dxa"/>
            <w:tcBorders>
              <w:left w:val="nil"/>
              <w:right w:val="nil"/>
            </w:tcBorders>
            <w:shd w:val="clear" w:color="auto" w:fill="FFFFFF" w:themeFill="background1"/>
            <w:noWrap/>
            <w:vAlign w:val="center"/>
          </w:tcPr>
          <w:p w14:paraId="2975593C" w14:textId="77777777" w:rsidR="001C5B03" w:rsidRPr="000D7ABF" w:rsidRDefault="001C5B03" w:rsidP="000C34A6">
            <w:pPr>
              <w:spacing w:line="240" w:lineRule="auto"/>
              <w:jc w:val="center"/>
              <w:rPr>
                <w:rFonts w:cs="Times New Roman"/>
                <w:color w:val="000000"/>
                <w:sz w:val="20"/>
                <w:szCs w:val="20"/>
              </w:rPr>
            </w:pPr>
            <w:r>
              <w:rPr>
                <w:rFonts w:cs="Times New Roman"/>
                <w:color w:val="000000"/>
                <w:sz w:val="20"/>
                <w:szCs w:val="20"/>
              </w:rPr>
              <w:t>84.6</w:t>
            </w:r>
          </w:p>
        </w:tc>
        <w:tc>
          <w:tcPr>
            <w:tcW w:w="1260" w:type="dxa"/>
            <w:tcBorders>
              <w:left w:val="nil"/>
              <w:right w:val="nil"/>
            </w:tcBorders>
            <w:shd w:val="clear" w:color="auto" w:fill="FFFFFF" w:themeFill="background1"/>
            <w:vAlign w:val="center"/>
          </w:tcPr>
          <w:p w14:paraId="15ED12F0" w14:textId="77777777" w:rsidR="001C5B03" w:rsidRPr="000D7ABF" w:rsidRDefault="001C5B03" w:rsidP="000C34A6">
            <w:pPr>
              <w:spacing w:line="240" w:lineRule="auto"/>
              <w:jc w:val="center"/>
              <w:rPr>
                <w:rFonts w:cs="Times New Roman"/>
                <w:color w:val="000000"/>
                <w:sz w:val="20"/>
                <w:szCs w:val="20"/>
              </w:rPr>
            </w:pPr>
            <w:r>
              <w:rPr>
                <w:rFonts w:cs="Times New Roman"/>
                <w:color w:val="000000"/>
                <w:sz w:val="20"/>
                <w:szCs w:val="20"/>
              </w:rPr>
              <w:t>74.9</w:t>
            </w:r>
          </w:p>
        </w:tc>
        <w:tc>
          <w:tcPr>
            <w:tcW w:w="1260" w:type="dxa"/>
            <w:tcBorders>
              <w:left w:val="nil"/>
              <w:right w:val="nil"/>
            </w:tcBorders>
            <w:shd w:val="clear" w:color="auto" w:fill="FFFFFF" w:themeFill="background1"/>
            <w:vAlign w:val="center"/>
          </w:tcPr>
          <w:p w14:paraId="42FC473F" w14:textId="77777777" w:rsidR="001C5B03" w:rsidRPr="000D7ABF" w:rsidRDefault="001C5B03" w:rsidP="000C34A6">
            <w:pPr>
              <w:spacing w:line="240" w:lineRule="auto"/>
              <w:jc w:val="center"/>
              <w:rPr>
                <w:rFonts w:cs="Times New Roman"/>
                <w:color w:val="000000"/>
                <w:sz w:val="20"/>
                <w:szCs w:val="20"/>
              </w:rPr>
            </w:pPr>
            <w:r>
              <w:rPr>
                <w:rFonts w:cs="Times New Roman"/>
                <w:color w:val="000000"/>
                <w:sz w:val="20"/>
                <w:szCs w:val="20"/>
              </w:rPr>
              <w:t>65.7</w:t>
            </w:r>
          </w:p>
        </w:tc>
        <w:tc>
          <w:tcPr>
            <w:tcW w:w="1077" w:type="dxa"/>
            <w:tcBorders>
              <w:left w:val="nil"/>
              <w:right w:val="nil"/>
            </w:tcBorders>
            <w:shd w:val="clear" w:color="auto" w:fill="FFFFFF" w:themeFill="background1"/>
            <w:vAlign w:val="center"/>
          </w:tcPr>
          <w:p w14:paraId="63460F5B" w14:textId="77777777" w:rsidR="001C5B03" w:rsidRPr="000D7ABF" w:rsidRDefault="001C5B03" w:rsidP="000C34A6">
            <w:pPr>
              <w:spacing w:line="240" w:lineRule="auto"/>
              <w:jc w:val="center"/>
              <w:rPr>
                <w:rFonts w:cs="Times New Roman"/>
                <w:color w:val="000000"/>
                <w:sz w:val="20"/>
                <w:szCs w:val="20"/>
              </w:rPr>
            </w:pPr>
            <w:r>
              <w:rPr>
                <w:rFonts w:cs="Times New Roman"/>
                <w:color w:val="000000"/>
                <w:sz w:val="20"/>
                <w:szCs w:val="20"/>
              </w:rPr>
              <w:t>83.8</w:t>
            </w:r>
          </w:p>
        </w:tc>
      </w:tr>
      <w:tr w:rsidR="001C5B03" w:rsidRPr="003A44E9" w14:paraId="7C4511A8" w14:textId="77777777" w:rsidTr="000C34A6">
        <w:trPr>
          <w:trHeight w:val="288"/>
        </w:trPr>
        <w:tc>
          <w:tcPr>
            <w:tcW w:w="1260" w:type="dxa"/>
            <w:tcBorders>
              <w:left w:val="nil"/>
              <w:right w:val="nil"/>
            </w:tcBorders>
            <w:shd w:val="clear" w:color="auto" w:fill="D9D9D9" w:themeFill="background1" w:themeFillShade="D9"/>
            <w:noWrap/>
            <w:vAlign w:val="center"/>
          </w:tcPr>
          <w:p w14:paraId="404AC535" w14:textId="77777777" w:rsidR="001C5B03" w:rsidRPr="00BE3BAD" w:rsidRDefault="001C5B03" w:rsidP="000C34A6">
            <w:pPr>
              <w:spacing w:line="240" w:lineRule="auto"/>
              <w:rPr>
                <w:rFonts w:cs="Times New Roman"/>
                <w:color w:val="000000"/>
                <w:sz w:val="20"/>
                <w:szCs w:val="20"/>
              </w:rPr>
            </w:pPr>
            <w:r>
              <w:rPr>
                <w:rFonts w:cs="Times New Roman"/>
                <w:color w:val="000000"/>
                <w:sz w:val="20"/>
                <w:szCs w:val="20"/>
              </w:rPr>
              <w:t>Polyculture</w:t>
            </w:r>
          </w:p>
        </w:tc>
        <w:tc>
          <w:tcPr>
            <w:tcW w:w="1530" w:type="dxa"/>
            <w:tcBorders>
              <w:left w:val="nil"/>
              <w:right w:val="nil"/>
            </w:tcBorders>
            <w:shd w:val="clear" w:color="auto" w:fill="D9D9D9" w:themeFill="background1" w:themeFillShade="D9"/>
            <w:vAlign w:val="center"/>
          </w:tcPr>
          <w:p w14:paraId="0F7C5700" w14:textId="77777777" w:rsidR="001C5B03" w:rsidRDefault="001C5B03" w:rsidP="000C34A6">
            <w:pPr>
              <w:spacing w:line="240" w:lineRule="auto"/>
              <w:rPr>
                <w:rFonts w:cs="Times New Roman"/>
                <w:color w:val="000000"/>
                <w:sz w:val="20"/>
                <w:szCs w:val="20"/>
              </w:rPr>
            </w:pPr>
          </w:p>
        </w:tc>
        <w:tc>
          <w:tcPr>
            <w:tcW w:w="993" w:type="dxa"/>
            <w:tcBorders>
              <w:left w:val="nil"/>
              <w:right w:val="nil"/>
            </w:tcBorders>
            <w:shd w:val="clear" w:color="auto" w:fill="D9D9D9" w:themeFill="background1" w:themeFillShade="D9"/>
            <w:noWrap/>
            <w:vAlign w:val="center"/>
          </w:tcPr>
          <w:p w14:paraId="30225F30" w14:textId="77777777" w:rsidR="001C5B03" w:rsidRDefault="001C5B03" w:rsidP="000C34A6">
            <w:pPr>
              <w:spacing w:line="240" w:lineRule="auto"/>
              <w:jc w:val="center"/>
              <w:rPr>
                <w:rFonts w:cs="Times New Roman"/>
                <w:color w:val="000000"/>
                <w:sz w:val="20"/>
                <w:szCs w:val="20"/>
              </w:rPr>
            </w:pPr>
          </w:p>
        </w:tc>
        <w:tc>
          <w:tcPr>
            <w:tcW w:w="1260" w:type="dxa"/>
            <w:tcBorders>
              <w:left w:val="nil"/>
              <w:right w:val="nil"/>
            </w:tcBorders>
            <w:shd w:val="clear" w:color="auto" w:fill="D9D9D9" w:themeFill="background1" w:themeFillShade="D9"/>
            <w:vAlign w:val="center"/>
          </w:tcPr>
          <w:p w14:paraId="31AA7327" w14:textId="77777777" w:rsidR="001C5B03" w:rsidRDefault="001C5B03" w:rsidP="000C34A6">
            <w:pPr>
              <w:spacing w:line="240" w:lineRule="auto"/>
              <w:jc w:val="center"/>
              <w:rPr>
                <w:rFonts w:cs="Times New Roman"/>
                <w:color w:val="000000"/>
                <w:sz w:val="20"/>
                <w:szCs w:val="20"/>
              </w:rPr>
            </w:pPr>
          </w:p>
        </w:tc>
        <w:tc>
          <w:tcPr>
            <w:tcW w:w="1260" w:type="dxa"/>
            <w:tcBorders>
              <w:left w:val="nil"/>
              <w:right w:val="nil"/>
            </w:tcBorders>
            <w:shd w:val="clear" w:color="auto" w:fill="D9D9D9" w:themeFill="background1" w:themeFillShade="D9"/>
            <w:vAlign w:val="center"/>
          </w:tcPr>
          <w:p w14:paraId="73107A47" w14:textId="77777777" w:rsidR="001C5B03" w:rsidRDefault="001C5B03" w:rsidP="000C34A6">
            <w:pPr>
              <w:spacing w:line="240" w:lineRule="auto"/>
              <w:jc w:val="center"/>
              <w:rPr>
                <w:rFonts w:cs="Times New Roman"/>
                <w:color w:val="000000"/>
                <w:sz w:val="20"/>
                <w:szCs w:val="20"/>
              </w:rPr>
            </w:pPr>
          </w:p>
        </w:tc>
        <w:tc>
          <w:tcPr>
            <w:tcW w:w="1077" w:type="dxa"/>
            <w:tcBorders>
              <w:left w:val="nil"/>
              <w:right w:val="nil"/>
            </w:tcBorders>
            <w:shd w:val="clear" w:color="auto" w:fill="D9D9D9" w:themeFill="background1" w:themeFillShade="D9"/>
            <w:vAlign w:val="center"/>
          </w:tcPr>
          <w:p w14:paraId="5A2FF133" w14:textId="77777777" w:rsidR="001C5B03" w:rsidRDefault="001C5B03" w:rsidP="000C34A6">
            <w:pPr>
              <w:spacing w:line="240" w:lineRule="auto"/>
              <w:jc w:val="center"/>
              <w:rPr>
                <w:rFonts w:cs="Times New Roman"/>
                <w:color w:val="000000"/>
                <w:sz w:val="20"/>
                <w:szCs w:val="20"/>
              </w:rPr>
            </w:pPr>
          </w:p>
        </w:tc>
      </w:tr>
      <w:tr w:rsidR="001C5B03" w:rsidRPr="003A44E9" w14:paraId="41A9507E" w14:textId="77777777" w:rsidTr="000C34A6">
        <w:trPr>
          <w:trHeight w:val="288"/>
        </w:trPr>
        <w:tc>
          <w:tcPr>
            <w:tcW w:w="1260" w:type="dxa"/>
            <w:tcBorders>
              <w:left w:val="nil"/>
              <w:right w:val="nil"/>
            </w:tcBorders>
            <w:shd w:val="clear" w:color="auto" w:fill="auto"/>
            <w:noWrap/>
            <w:vAlign w:val="center"/>
          </w:tcPr>
          <w:p w14:paraId="00C35BF6" w14:textId="77777777" w:rsidR="001C5B03" w:rsidRDefault="001C5B03" w:rsidP="000C34A6">
            <w:pPr>
              <w:spacing w:line="240" w:lineRule="auto"/>
              <w:rPr>
                <w:rFonts w:cs="Times New Roman"/>
                <w:color w:val="000000"/>
                <w:sz w:val="20"/>
                <w:szCs w:val="20"/>
              </w:rPr>
            </w:pPr>
          </w:p>
        </w:tc>
        <w:tc>
          <w:tcPr>
            <w:tcW w:w="1530" w:type="dxa"/>
            <w:tcBorders>
              <w:left w:val="nil"/>
              <w:right w:val="nil"/>
            </w:tcBorders>
            <w:shd w:val="clear" w:color="auto" w:fill="auto"/>
            <w:vAlign w:val="center"/>
          </w:tcPr>
          <w:p w14:paraId="61AB9EA4" w14:textId="77777777" w:rsidR="001C5B03" w:rsidRDefault="001C5B03" w:rsidP="000C34A6">
            <w:pPr>
              <w:spacing w:line="240" w:lineRule="auto"/>
              <w:rPr>
                <w:rFonts w:cs="Times New Roman"/>
                <w:color w:val="000000"/>
                <w:sz w:val="20"/>
                <w:szCs w:val="20"/>
              </w:rPr>
            </w:pPr>
            <w:r>
              <w:rPr>
                <w:rFonts w:cs="Times New Roman"/>
                <w:color w:val="000000"/>
                <w:sz w:val="20"/>
                <w:szCs w:val="20"/>
              </w:rPr>
              <w:t>Cereal Rye</w:t>
            </w:r>
          </w:p>
        </w:tc>
        <w:tc>
          <w:tcPr>
            <w:tcW w:w="993" w:type="dxa"/>
            <w:tcBorders>
              <w:left w:val="nil"/>
              <w:right w:val="nil"/>
            </w:tcBorders>
            <w:shd w:val="clear" w:color="auto" w:fill="auto"/>
            <w:noWrap/>
            <w:vAlign w:val="center"/>
          </w:tcPr>
          <w:p w14:paraId="0FF1F537"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78.8</w:t>
            </w:r>
          </w:p>
        </w:tc>
        <w:tc>
          <w:tcPr>
            <w:tcW w:w="1260" w:type="dxa"/>
            <w:tcBorders>
              <w:left w:val="nil"/>
              <w:right w:val="nil"/>
            </w:tcBorders>
            <w:shd w:val="clear" w:color="auto" w:fill="auto"/>
            <w:vAlign w:val="center"/>
          </w:tcPr>
          <w:p w14:paraId="5058F2AE"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66.0</w:t>
            </w:r>
          </w:p>
        </w:tc>
        <w:tc>
          <w:tcPr>
            <w:tcW w:w="1260" w:type="dxa"/>
            <w:tcBorders>
              <w:left w:val="nil"/>
              <w:right w:val="nil"/>
            </w:tcBorders>
            <w:shd w:val="clear" w:color="auto" w:fill="auto"/>
            <w:vAlign w:val="center"/>
          </w:tcPr>
          <w:p w14:paraId="7F62E3C9"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72.9</w:t>
            </w:r>
          </w:p>
        </w:tc>
        <w:tc>
          <w:tcPr>
            <w:tcW w:w="1077" w:type="dxa"/>
            <w:tcBorders>
              <w:left w:val="nil"/>
              <w:right w:val="nil"/>
            </w:tcBorders>
            <w:shd w:val="clear" w:color="auto" w:fill="auto"/>
            <w:vAlign w:val="center"/>
          </w:tcPr>
          <w:p w14:paraId="0FC9896A"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70.7</w:t>
            </w:r>
          </w:p>
        </w:tc>
      </w:tr>
      <w:tr w:rsidR="001C5B03" w:rsidRPr="003A44E9" w14:paraId="3B9C40BC" w14:textId="77777777" w:rsidTr="000C34A6">
        <w:trPr>
          <w:trHeight w:val="288"/>
        </w:trPr>
        <w:tc>
          <w:tcPr>
            <w:tcW w:w="1260" w:type="dxa"/>
            <w:tcBorders>
              <w:left w:val="nil"/>
              <w:right w:val="nil"/>
            </w:tcBorders>
            <w:shd w:val="clear" w:color="auto" w:fill="auto"/>
            <w:noWrap/>
            <w:vAlign w:val="center"/>
          </w:tcPr>
          <w:p w14:paraId="1781D954" w14:textId="77777777" w:rsidR="001C5B03" w:rsidRDefault="001C5B03" w:rsidP="000C34A6">
            <w:pPr>
              <w:spacing w:line="240" w:lineRule="auto"/>
              <w:rPr>
                <w:rFonts w:cs="Times New Roman"/>
                <w:color w:val="000000"/>
                <w:sz w:val="20"/>
                <w:szCs w:val="20"/>
              </w:rPr>
            </w:pPr>
          </w:p>
        </w:tc>
        <w:tc>
          <w:tcPr>
            <w:tcW w:w="1530" w:type="dxa"/>
            <w:tcBorders>
              <w:left w:val="nil"/>
              <w:right w:val="nil"/>
            </w:tcBorders>
            <w:shd w:val="clear" w:color="auto" w:fill="auto"/>
            <w:vAlign w:val="center"/>
          </w:tcPr>
          <w:p w14:paraId="6B7B200A" w14:textId="77777777" w:rsidR="001C5B03" w:rsidRDefault="001C5B03" w:rsidP="000C34A6">
            <w:pPr>
              <w:spacing w:line="240" w:lineRule="auto"/>
              <w:rPr>
                <w:rFonts w:cs="Times New Roman"/>
                <w:color w:val="000000"/>
                <w:sz w:val="20"/>
                <w:szCs w:val="20"/>
              </w:rPr>
            </w:pPr>
            <w:r>
              <w:rPr>
                <w:rFonts w:cs="Times New Roman"/>
                <w:color w:val="000000"/>
                <w:sz w:val="20"/>
                <w:szCs w:val="20"/>
              </w:rPr>
              <w:t>Turnip</w:t>
            </w:r>
          </w:p>
        </w:tc>
        <w:tc>
          <w:tcPr>
            <w:tcW w:w="993" w:type="dxa"/>
            <w:tcBorders>
              <w:left w:val="nil"/>
              <w:right w:val="nil"/>
            </w:tcBorders>
            <w:shd w:val="clear" w:color="auto" w:fill="auto"/>
            <w:noWrap/>
            <w:vAlign w:val="center"/>
          </w:tcPr>
          <w:p w14:paraId="6D890622"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&lt;0.1</w:t>
            </w:r>
          </w:p>
        </w:tc>
        <w:tc>
          <w:tcPr>
            <w:tcW w:w="1260" w:type="dxa"/>
            <w:tcBorders>
              <w:left w:val="nil"/>
              <w:right w:val="nil"/>
            </w:tcBorders>
            <w:shd w:val="clear" w:color="auto" w:fill="auto"/>
            <w:vAlign w:val="center"/>
          </w:tcPr>
          <w:p w14:paraId="3CBD32C6"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0.0</w:t>
            </w:r>
          </w:p>
        </w:tc>
        <w:tc>
          <w:tcPr>
            <w:tcW w:w="1260" w:type="dxa"/>
            <w:tcBorders>
              <w:left w:val="nil"/>
              <w:right w:val="nil"/>
            </w:tcBorders>
            <w:shd w:val="clear" w:color="auto" w:fill="auto"/>
            <w:vAlign w:val="center"/>
          </w:tcPr>
          <w:p w14:paraId="4151A97A"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&lt;0.1</w:t>
            </w:r>
          </w:p>
        </w:tc>
        <w:tc>
          <w:tcPr>
            <w:tcW w:w="1077" w:type="dxa"/>
            <w:tcBorders>
              <w:left w:val="nil"/>
              <w:right w:val="nil"/>
            </w:tcBorders>
            <w:shd w:val="clear" w:color="auto" w:fill="auto"/>
            <w:vAlign w:val="center"/>
          </w:tcPr>
          <w:p w14:paraId="74DF7519"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0.0</w:t>
            </w:r>
          </w:p>
        </w:tc>
      </w:tr>
      <w:tr w:rsidR="001C5B03" w:rsidRPr="003A44E9" w14:paraId="7A1D822D" w14:textId="77777777" w:rsidTr="000C34A6">
        <w:trPr>
          <w:trHeight w:val="288"/>
        </w:trPr>
        <w:tc>
          <w:tcPr>
            <w:tcW w:w="1260" w:type="dxa"/>
            <w:tcBorders>
              <w:left w:val="nil"/>
              <w:right w:val="nil"/>
            </w:tcBorders>
            <w:shd w:val="clear" w:color="auto" w:fill="auto"/>
            <w:noWrap/>
            <w:vAlign w:val="center"/>
          </w:tcPr>
          <w:p w14:paraId="746C417D" w14:textId="77777777" w:rsidR="001C5B03" w:rsidRDefault="001C5B03" w:rsidP="000C34A6">
            <w:pPr>
              <w:spacing w:line="240" w:lineRule="auto"/>
              <w:rPr>
                <w:rFonts w:cs="Times New Roman"/>
                <w:color w:val="000000"/>
                <w:sz w:val="20"/>
                <w:szCs w:val="20"/>
              </w:rPr>
            </w:pPr>
          </w:p>
        </w:tc>
        <w:tc>
          <w:tcPr>
            <w:tcW w:w="1530" w:type="dxa"/>
            <w:tcBorders>
              <w:left w:val="nil"/>
              <w:right w:val="nil"/>
            </w:tcBorders>
            <w:shd w:val="clear" w:color="auto" w:fill="auto"/>
            <w:vAlign w:val="center"/>
          </w:tcPr>
          <w:p w14:paraId="78194667" w14:textId="77777777" w:rsidR="001C5B03" w:rsidRDefault="001C5B03" w:rsidP="000C34A6">
            <w:pPr>
              <w:spacing w:line="240" w:lineRule="auto"/>
              <w:rPr>
                <w:rFonts w:cs="Times New Roman"/>
                <w:color w:val="000000"/>
                <w:sz w:val="20"/>
                <w:szCs w:val="20"/>
              </w:rPr>
            </w:pPr>
            <w:r>
              <w:rPr>
                <w:rFonts w:cs="Times New Roman"/>
                <w:color w:val="000000"/>
                <w:sz w:val="20"/>
                <w:szCs w:val="20"/>
              </w:rPr>
              <w:t>Rape</w:t>
            </w:r>
          </w:p>
        </w:tc>
        <w:tc>
          <w:tcPr>
            <w:tcW w:w="993" w:type="dxa"/>
            <w:tcBorders>
              <w:left w:val="nil"/>
              <w:right w:val="nil"/>
            </w:tcBorders>
            <w:shd w:val="clear" w:color="auto" w:fill="auto"/>
            <w:noWrap/>
            <w:vAlign w:val="center"/>
          </w:tcPr>
          <w:p w14:paraId="7CAED021"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0.0</w:t>
            </w:r>
          </w:p>
        </w:tc>
        <w:tc>
          <w:tcPr>
            <w:tcW w:w="1260" w:type="dxa"/>
            <w:tcBorders>
              <w:left w:val="nil"/>
              <w:right w:val="nil"/>
            </w:tcBorders>
            <w:shd w:val="clear" w:color="auto" w:fill="auto"/>
            <w:vAlign w:val="center"/>
          </w:tcPr>
          <w:p w14:paraId="597385C9"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0.0</w:t>
            </w:r>
          </w:p>
        </w:tc>
        <w:tc>
          <w:tcPr>
            <w:tcW w:w="1260" w:type="dxa"/>
            <w:tcBorders>
              <w:left w:val="nil"/>
              <w:right w:val="nil"/>
            </w:tcBorders>
            <w:shd w:val="clear" w:color="auto" w:fill="auto"/>
            <w:vAlign w:val="center"/>
          </w:tcPr>
          <w:p w14:paraId="3FE05D57"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&lt;0.1</w:t>
            </w:r>
          </w:p>
        </w:tc>
        <w:tc>
          <w:tcPr>
            <w:tcW w:w="1077" w:type="dxa"/>
            <w:tcBorders>
              <w:left w:val="nil"/>
              <w:right w:val="nil"/>
            </w:tcBorders>
            <w:shd w:val="clear" w:color="auto" w:fill="auto"/>
            <w:vAlign w:val="center"/>
          </w:tcPr>
          <w:p w14:paraId="1D69ACF9"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&lt;0.1</w:t>
            </w:r>
          </w:p>
        </w:tc>
      </w:tr>
      <w:tr w:rsidR="001C5B03" w:rsidRPr="003A44E9" w14:paraId="032CB0B5" w14:textId="77777777" w:rsidTr="000C34A6">
        <w:trPr>
          <w:trHeight w:val="288"/>
        </w:trPr>
        <w:tc>
          <w:tcPr>
            <w:tcW w:w="1260" w:type="dxa"/>
            <w:tcBorders>
              <w:left w:val="nil"/>
              <w:right w:val="nil"/>
            </w:tcBorders>
            <w:shd w:val="clear" w:color="auto" w:fill="auto"/>
            <w:noWrap/>
            <w:vAlign w:val="center"/>
          </w:tcPr>
          <w:p w14:paraId="5918019D" w14:textId="77777777" w:rsidR="001C5B03" w:rsidRDefault="001C5B03" w:rsidP="000C34A6">
            <w:pPr>
              <w:spacing w:line="240" w:lineRule="auto"/>
              <w:rPr>
                <w:rFonts w:cs="Times New Roman"/>
                <w:color w:val="000000"/>
                <w:sz w:val="20"/>
                <w:szCs w:val="20"/>
              </w:rPr>
            </w:pPr>
          </w:p>
        </w:tc>
        <w:tc>
          <w:tcPr>
            <w:tcW w:w="1530" w:type="dxa"/>
            <w:tcBorders>
              <w:left w:val="nil"/>
              <w:right w:val="nil"/>
            </w:tcBorders>
            <w:shd w:val="clear" w:color="auto" w:fill="auto"/>
            <w:vAlign w:val="center"/>
          </w:tcPr>
          <w:p w14:paraId="0902DB40" w14:textId="77777777" w:rsidR="001C5B03" w:rsidRDefault="001C5B03" w:rsidP="000C34A6">
            <w:pPr>
              <w:spacing w:line="240" w:lineRule="auto"/>
              <w:rPr>
                <w:rFonts w:cs="Times New Roman"/>
                <w:color w:val="000000"/>
                <w:sz w:val="20"/>
                <w:szCs w:val="20"/>
              </w:rPr>
            </w:pPr>
            <w:r>
              <w:rPr>
                <w:rFonts w:cs="Times New Roman"/>
                <w:color w:val="000000"/>
                <w:sz w:val="20"/>
                <w:szCs w:val="20"/>
              </w:rPr>
              <w:t>Berseem clover</w:t>
            </w:r>
          </w:p>
        </w:tc>
        <w:tc>
          <w:tcPr>
            <w:tcW w:w="993" w:type="dxa"/>
            <w:tcBorders>
              <w:left w:val="nil"/>
              <w:right w:val="nil"/>
            </w:tcBorders>
            <w:shd w:val="clear" w:color="auto" w:fill="auto"/>
            <w:noWrap/>
            <w:vAlign w:val="center"/>
          </w:tcPr>
          <w:p w14:paraId="4DA1D95A"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6.1</w:t>
            </w:r>
          </w:p>
        </w:tc>
        <w:tc>
          <w:tcPr>
            <w:tcW w:w="1260" w:type="dxa"/>
            <w:tcBorders>
              <w:left w:val="nil"/>
              <w:right w:val="nil"/>
            </w:tcBorders>
            <w:shd w:val="clear" w:color="auto" w:fill="auto"/>
            <w:vAlign w:val="center"/>
          </w:tcPr>
          <w:p w14:paraId="551C26E3"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2.7</w:t>
            </w:r>
          </w:p>
        </w:tc>
        <w:tc>
          <w:tcPr>
            <w:tcW w:w="1260" w:type="dxa"/>
            <w:tcBorders>
              <w:left w:val="nil"/>
              <w:right w:val="nil"/>
            </w:tcBorders>
            <w:shd w:val="clear" w:color="auto" w:fill="auto"/>
            <w:vAlign w:val="center"/>
          </w:tcPr>
          <w:p w14:paraId="340CC076"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12.9</w:t>
            </w:r>
          </w:p>
        </w:tc>
        <w:tc>
          <w:tcPr>
            <w:tcW w:w="1077" w:type="dxa"/>
            <w:tcBorders>
              <w:left w:val="nil"/>
              <w:right w:val="nil"/>
            </w:tcBorders>
            <w:shd w:val="clear" w:color="auto" w:fill="auto"/>
            <w:vAlign w:val="center"/>
          </w:tcPr>
          <w:p w14:paraId="68403B38"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5.7</w:t>
            </w:r>
          </w:p>
        </w:tc>
      </w:tr>
      <w:tr w:rsidR="001C5B03" w:rsidRPr="003A44E9" w14:paraId="3F4EE8EE" w14:textId="77777777" w:rsidTr="000C34A6">
        <w:trPr>
          <w:trHeight w:val="288"/>
        </w:trPr>
        <w:tc>
          <w:tcPr>
            <w:tcW w:w="1260" w:type="dxa"/>
            <w:tcBorders>
              <w:left w:val="nil"/>
              <w:bottom w:val="single" w:sz="18" w:space="0" w:color="auto"/>
              <w:right w:val="nil"/>
            </w:tcBorders>
            <w:shd w:val="clear" w:color="auto" w:fill="FFFFFF" w:themeFill="background1"/>
            <w:noWrap/>
            <w:vAlign w:val="center"/>
          </w:tcPr>
          <w:p w14:paraId="6483CFAA" w14:textId="77777777" w:rsidR="001C5B03" w:rsidRPr="00BE3BAD" w:rsidRDefault="001C5B03" w:rsidP="000C34A6">
            <w:pPr>
              <w:spacing w:line="240" w:lineRule="auto"/>
              <w:rPr>
                <w:rFonts w:cs="Times New Roman"/>
                <w:color w:val="000000"/>
                <w:sz w:val="20"/>
                <w:szCs w:val="20"/>
              </w:rPr>
            </w:pPr>
          </w:p>
        </w:tc>
        <w:tc>
          <w:tcPr>
            <w:tcW w:w="1530" w:type="dxa"/>
            <w:tcBorders>
              <w:left w:val="nil"/>
              <w:bottom w:val="single" w:sz="18" w:space="0" w:color="auto"/>
              <w:right w:val="nil"/>
            </w:tcBorders>
            <w:shd w:val="clear" w:color="auto" w:fill="FFFFFF" w:themeFill="background1"/>
            <w:vAlign w:val="center"/>
          </w:tcPr>
          <w:p w14:paraId="2FC2AAA4" w14:textId="77777777" w:rsidR="001C5B03" w:rsidRDefault="001C5B03" w:rsidP="000C34A6">
            <w:pPr>
              <w:spacing w:line="240" w:lineRule="auto"/>
              <w:rPr>
                <w:rFonts w:cs="Times New Roman"/>
                <w:color w:val="000000"/>
                <w:sz w:val="20"/>
                <w:szCs w:val="20"/>
              </w:rPr>
            </w:pPr>
            <w:r>
              <w:rPr>
                <w:rFonts w:cs="Times New Roman"/>
                <w:color w:val="000000"/>
                <w:sz w:val="20"/>
                <w:szCs w:val="20"/>
              </w:rPr>
              <w:t>Crimson clover</w:t>
            </w:r>
          </w:p>
        </w:tc>
        <w:tc>
          <w:tcPr>
            <w:tcW w:w="993" w:type="dxa"/>
            <w:tcBorders>
              <w:left w:val="nil"/>
              <w:bottom w:val="single" w:sz="18" w:space="0" w:color="auto"/>
              <w:right w:val="nil"/>
            </w:tcBorders>
            <w:shd w:val="clear" w:color="auto" w:fill="FFFFFF" w:themeFill="background1"/>
            <w:noWrap/>
            <w:vAlign w:val="center"/>
          </w:tcPr>
          <w:p w14:paraId="5A19260D"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31.2</w:t>
            </w:r>
          </w:p>
        </w:tc>
        <w:tc>
          <w:tcPr>
            <w:tcW w:w="1260" w:type="dxa"/>
            <w:tcBorders>
              <w:left w:val="nil"/>
              <w:bottom w:val="single" w:sz="18" w:space="0" w:color="auto"/>
              <w:right w:val="nil"/>
            </w:tcBorders>
            <w:shd w:val="clear" w:color="auto" w:fill="FFFFFF" w:themeFill="background1"/>
            <w:vAlign w:val="center"/>
          </w:tcPr>
          <w:p w14:paraId="11D59DB6"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20.0</w:t>
            </w:r>
          </w:p>
        </w:tc>
        <w:tc>
          <w:tcPr>
            <w:tcW w:w="1260" w:type="dxa"/>
            <w:tcBorders>
              <w:left w:val="nil"/>
              <w:bottom w:val="single" w:sz="18" w:space="0" w:color="auto"/>
              <w:right w:val="nil"/>
            </w:tcBorders>
            <w:shd w:val="clear" w:color="auto" w:fill="FFFFFF" w:themeFill="background1"/>
            <w:vAlign w:val="center"/>
          </w:tcPr>
          <w:p w14:paraId="4B10128D"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78.3</w:t>
            </w:r>
          </w:p>
        </w:tc>
        <w:tc>
          <w:tcPr>
            <w:tcW w:w="1077" w:type="dxa"/>
            <w:tcBorders>
              <w:left w:val="nil"/>
              <w:bottom w:val="single" w:sz="18" w:space="0" w:color="auto"/>
              <w:right w:val="nil"/>
            </w:tcBorders>
            <w:shd w:val="clear" w:color="auto" w:fill="FFFFFF" w:themeFill="background1"/>
            <w:vAlign w:val="center"/>
          </w:tcPr>
          <w:p w14:paraId="42A49758" w14:textId="77777777" w:rsidR="001C5B03" w:rsidRDefault="001C5B03" w:rsidP="000C34A6">
            <w:pPr>
              <w:spacing w:line="240" w:lineRule="auto"/>
              <w:jc w:val="center"/>
              <w:rPr>
                <w:rFonts w:cs="Times New Roman"/>
                <w:color w:val="000000"/>
                <w:sz w:val="20"/>
                <w:szCs w:val="20"/>
              </w:rPr>
            </w:pPr>
            <w:r>
              <w:rPr>
                <w:rFonts w:cs="Times New Roman"/>
                <w:color w:val="000000"/>
                <w:sz w:val="20"/>
                <w:szCs w:val="20"/>
              </w:rPr>
              <w:t>39.1</w:t>
            </w:r>
          </w:p>
        </w:tc>
      </w:tr>
    </w:tbl>
    <w:p w14:paraId="03968B4A" w14:textId="0B182C80" w:rsidR="00864EDD" w:rsidRDefault="00864EDD" w:rsidP="00BE3BAD">
      <w:pPr>
        <w:pStyle w:val="Tables"/>
        <w:rPr>
          <w:rStyle w:val="Strong"/>
          <w:b w:val="0"/>
          <w:bCs/>
        </w:rPr>
      </w:pPr>
    </w:p>
    <w:p w14:paraId="771FC013" w14:textId="77777777" w:rsidR="001C5B03" w:rsidRDefault="001C5B03" w:rsidP="00BE3BAD">
      <w:pPr>
        <w:pStyle w:val="Tables"/>
        <w:rPr>
          <w:rStyle w:val="Strong"/>
          <w:b w:val="0"/>
          <w:bCs/>
        </w:rPr>
      </w:pPr>
    </w:p>
    <w:p w14:paraId="28A3B17D" w14:textId="2ADCE3E6" w:rsidR="001C5B03" w:rsidRDefault="001C5B03" w:rsidP="00BE3BAD">
      <w:pPr>
        <w:pStyle w:val="Tables"/>
        <w:rPr>
          <w:rStyle w:val="Strong"/>
          <w:b w:val="0"/>
          <w:bCs/>
        </w:rPr>
        <w:sectPr w:rsidR="001C5B03" w:rsidSect="00BB06E9">
          <w:pgSz w:w="12240" w:h="15840" w:code="1"/>
          <w:pgMar w:top="1440" w:right="1800" w:bottom="1872" w:left="1800" w:header="720" w:footer="1440" w:gutter="0"/>
          <w:cols w:space="720"/>
          <w:noEndnote/>
          <w:docGrid w:linePitch="360"/>
        </w:sectPr>
      </w:pPr>
    </w:p>
    <w:p w14:paraId="41C54B22" w14:textId="6414828F" w:rsidR="00864EDD" w:rsidRDefault="00864EDD" w:rsidP="00864EDD">
      <w:pPr>
        <w:pStyle w:val="Tables"/>
        <w:rPr>
          <w:rStyle w:val="Strong"/>
          <w:b w:val="0"/>
          <w:bCs/>
        </w:rPr>
      </w:pPr>
      <w:bookmarkStart w:id="74" w:name="_Toc72300396"/>
      <w:r w:rsidRPr="00005219">
        <w:rPr>
          <w:rStyle w:val="Strong"/>
          <w:b w:val="0"/>
          <w:bCs/>
        </w:rPr>
        <w:lastRenderedPageBreak/>
        <w:t xml:space="preserve">Table </w:t>
      </w:r>
      <w:r>
        <w:rPr>
          <w:rStyle w:val="Strong"/>
          <w:b w:val="0"/>
          <w:bCs/>
        </w:rPr>
        <w:t>1.</w:t>
      </w:r>
      <w:r w:rsidR="001C5B03">
        <w:rPr>
          <w:rStyle w:val="Strong"/>
          <w:b w:val="0"/>
          <w:bCs/>
        </w:rPr>
        <w:t>3</w:t>
      </w:r>
      <w:r w:rsidRPr="00320C4D">
        <w:rPr>
          <w:rStyle w:val="Strong"/>
          <w:b w:val="0"/>
          <w:bCs/>
        </w:rPr>
        <w:t xml:space="preserve">.  </w:t>
      </w:r>
      <w:r w:rsidR="00320C4D" w:rsidRPr="00320C4D">
        <w:rPr>
          <w:rStyle w:val="Strong"/>
          <w:b w:val="0"/>
          <w:bCs/>
        </w:rPr>
        <w:t>Cool-season annual plant density (plants m</w:t>
      </w:r>
      <w:r w:rsidR="00320C4D" w:rsidRPr="00320C4D">
        <w:rPr>
          <w:rStyle w:val="Strong"/>
          <w:b w:val="0"/>
          <w:bCs/>
          <w:vertAlign w:val="superscript"/>
        </w:rPr>
        <w:t>-2</w:t>
      </w:r>
      <w:r w:rsidR="00320C4D" w:rsidRPr="00320C4D">
        <w:t>) o</w:t>
      </w:r>
      <w:r w:rsidRPr="00320C4D">
        <w:t xml:space="preserve">f </w:t>
      </w:r>
      <w:r w:rsidR="00D90FA5">
        <w:t xml:space="preserve">interseeded </w:t>
      </w:r>
      <w:r w:rsidRPr="00320C4D">
        <w:rPr>
          <w:rStyle w:val="Strong"/>
          <w:b w:val="0"/>
          <w:bCs/>
        </w:rPr>
        <w:t>cereal rye and</w:t>
      </w:r>
      <w:r w:rsidR="00D90FA5">
        <w:rPr>
          <w:rStyle w:val="Strong"/>
          <w:b w:val="0"/>
          <w:bCs/>
        </w:rPr>
        <w:t xml:space="preserve"> polyculture</w:t>
      </w:r>
      <w:r w:rsidRPr="00320C4D">
        <w:rPr>
          <w:rStyle w:val="Strong"/>
          <w:b w:val="0"/>
          <w:bCs/>
        </w:rPr>
        <w:t xml:space="preserve"> </w:t>
      </w:r>
      <w:r w:rsidR="00D90FA5">
        <w:rPr>
          <w:rStyle w:val="Strong"/>
          <w:b w:val="0"/>
          <w:bCs/>
        </w:rPr>
        <w:t>(</w:t>
      </w:r>
      <w:r w:rsidRPr="00320C4D">
        <w:rPr>
          <w:rStyle w:val="Strong"/>
          <w:b w:val="0"/>
          <w:bCs/>
        </w:rPr>
        <w:t xml:space="preserve">cereal rye, </w:t>
      </w:r>
      <w:r w:rsidR="00D90FA5">
        <w:rPr>
          <w:rStyle w:val="Strong"/>
          <w:b w:val="0"/>
          <w:bCs/>
        </w:rPr>
        <w:t xml:space="preserve">turnip, rape, berseem clover, and </w:t>
      </w:r>
      <w:r w:rsidRPr="00320C4D">
        <w:rPr>
          <w:rStyle w:val="Strong"/>
          <w:b w:val="0"/>
          <w:bCs/>
        </w:rPr>
        <w:t>crimson clover</w:t>
      </w:r>
      <w:r w:rsidR="00D90FA5">
        <w:rPr>
          <w:rStyle w:val="Strong"/>
          <w:b w:val="0"/>
          <w:bCs/>
        </w:rPr>
        <w:t>)</w:t>
      </w:r>
      <w:r w:rsidRPr="00320C4D">
        <w:rPr>
          <w:rStyle w:val="Strong"/>
          <w:b w:val="0"/>
          <w:bCs/>
        </w:rPr>
        <w:t xml:space="preserve"> </w:t>
      </w:r>
      <w:r w:rsidRPr="00320C4D">
        <w:t>within switchgrass and big bluestem/indiangrass pastures prior to grazing, 2019-2020, University of Tennessee – Middle Tennessee AgResearch and Education Center, Spring Hill, TN.</w:t>
      </w:r>
      <w:bookmarkEnd w:id="74"/>
      <w:r>
        <w:rPr>
          <w:rStyle w:val="Strong"/>
          <w:b w:val="0"/>
          <w:bCs/>
        </w:rPr>
        <w:t xml:space="preserve">  </w:t>
      </w:r>
    </w:p>
    <w:tbl>
      <w:tblPr>
        <w:tblW w:w="7380" w:type="dxa"/>
        <w:tblLayout w:type="fixed"/>
        <w:tblLook w:val="04A0" w:firstRow="1" w:lastRow="0" w:firstColumn="1" w:lastColumn="0" w:noHBand="0" w:noVBand="1"/>
      </w:tblPr>
      <w:tblGrid>
        <w:gridCol w:w="1260"/>
        <w:gridCol w:w="1530"/>
        <w:gridCol w:w="993"/>
        <w:gridCol w:w="1260"/>
        <w:gridCol w:w="1260"/>
        <w:gridCol w:w="1077"/>
      </w:tblGrid>
      <w:tr w:rsidR="00864EDD" w:rsidRPr="003A44E9" w14:paraId="18D64364" w14:textId="77777777" w:rsidTr="00A1003D">
        <w:trPr>
          <w:trHeight w:val="288"/>
        </w:trPr>
        <w:tc>
          <w:tcPr>
            <w:tcW w:w="1260" w:type="dxa"/>
            <w:tcBorders>
              <w:top w:val="single" w:sz="12" w:space="0" w:color="auto"/>
              <w:left w:val="nil"/>
              <w:bottom w:val="single" w:sz="12" w:space="0" w:color="FFFFFF" w:themeColor="background1"/>
              <w:right w:val="single" w:sz="36" w:space="0" w:color="FFFFFF" w:themeColor="background1"/>
            </w:tcBorders>
            <w:shd w:val="clear" w:color="auto" w:fill="auto"/>
            <w:noWrap/>
            <w:vAlign w:val="center"/>
            <w:hideMark/>
          </w:tcPr>
          <w:p w14:paraId="48E0383C" w14:textId="77777777" w:rsidR="00864EDD" w:rsidRPr="003A44E9" w:rsidRDefault="00864EDD" w:rsidP="00A1003D">
            <w:pPr>
              <w:spacing w:line="240" w:lineRule="auto"/>
              <w:rPr>
                <w:rFonts w:cs="Times New Roman"/>
                <w:sz w:val="20"/>
                <w:szCs w:val="20"/>
              </w:rPr>
            </w:pPr>
          </w:p>
        </w:tc>
        <w:tc>
          <w:tcPr>
            <w:tcW w:w="1530" w:type="dxa"/>
            <w:tcBorders>
              <w:top w:val="single" w:sz="12" w:space="0" w:color="auto"/>
              <w:left w:val="single" w:sz="36" w:space="0" w:color="FFFFFF" w:themeColor="background1"/>
              <w:bottom w:val="single" w:sz="12" w:space="0" w:color="FFFFFF" w:themeColor="background1"/>
              <w:right w:val="single" w:sz="36" w:space="0" w:color="FFFFFF" w:themeColor="background1"/>
            </w:tcBorders>
          </w:tcPr>
          <w:p w14:paraId="5CDA2A51" w14:textId="77777777" w:rsidR="00864EDD" w:rsidRPr="003A44E9" w:rsidRDefault="00864EDD" w:rsidP="00A1003D">
            <w:pPr>
              <w:spacing w:line="240" w:lineRule="auto"/>
              <w:jc w:val="center"/>
              <w:rPr>
                <w:rFonts w:cs="Times New Roman"/>
                <w:color w:val="000000"/>
                <w:sz w:val="20"/>
                <w:szCs w:val="20"/>
              </w:rPr>
            </w:pPr>
          </w:p>
        </w:tc>
        <w:tc>
          <w:tcPr>
            <w:tcW w:w="2253"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38963B12" w14:textId="77777777" w:rsidR="00864EDD" w:rsidRPr="003A44E9" w:rsidRDefault="00864EDD" w:rsidP="00A1003D">
            <w:pPr>
              <w:spacing w:line="240" w:lineRule="auto"/>
              <w:jc w:val="center"/>
              <w:rPr>
                <w:rFonts w:cs="Times New Roman"/>
                <w:color w:val="000000"/>
                <w:sz w:val="20"/>
                <w:szCs w:val="20"/>
              </w:rPr>
            </w:pPr>
            <w:r w:rsidRPr="003A44E9">
              <w:rPr>
                <w:rFonts w:cs="Times New Roman"/>
                <w:color w:val="000000"/>
                <w:sz w:val="20"/>
                <w:szCs w:val="20"/>
              </w:rPr>
              <w:t>Switchgrass</w:t>
            </w:r>
          </w:p>
        </w:tc>
        <w:tc>
          <w:tcPr>
            <w:tcW w:w="2337" w:type="dxa"/>
            <w:gridSpan w:val="2"/>
            <w:tcBorders>
              <w:top w:val="single" w:sz="12" w:space="0" w:color="auto"/>
              <w:left w:val="single" w:sz="36" w:space="0" w:color="FFFFFF" w:themeColor="background1"/>
              <w:bottom w:val="single" w:sz="12" w:space="0" w:color="auto"/>
              <w:right w:val="single" w:sz="24" w:space="0" w:color="FFFFFF" w:themeColor="background1"/>
            </w:tcBorders>
            <w:shd w:val="clear" w:color="auto" w:fill="auto"/>
            <w:noWrap/>
            <w:vAlign w:val="center"/>
          </w:tcPr>
          <w:p w14:paraId="7664EC9D" w14:textId="77777777" w:rsidR="00864EDD" w:rsidRPr="003A44E9" w:rsidRDefault="00864EDD" w:rsidP="00A1003D">
            <w:pPr>
              <w:spacing w:line="240" w:lineRule="auto"/>
              <w:jc w:val="center"/>
              <w:rPr>
                <w:rFonts w:cs="Times New Roman"/>
                <w:color w:val="000000"/>
                <w:sz w:val="20"/>
                <w:szCs w:val="20"/>
              </w:rPr>
            </w:pPr>
            <w:r w:rsidRPr="003A44E9">
              <w:rPr>
                <w:rFonts w:cs="Times New Roman"/>
                <w:color w:val="000000"/>
                <w:sz w:val="20"/>
                <w:szCs w:val="20"/>
              </w:rPr>
              <w:t>Big bluestem/Indiangrass</w:t>
            </w:r>
          </w:p>
        </w:tc>
      </w:tr>
      <w:tr w:rsidR="00864EDD" w:rsidRPr="003A44E9" w14:paraId="78A7AC3B" w14:textId="77777777" w:rsidTr="00A1003D">
        <w:trPr>
          <w:trHeight w:val="288"/>
        </w:trPr>
        <w:tc>
          <w:tcPr>
            <w:tcW w:w="2790" w:type="dxa"/>
            <w:gridSpan w:val="2"/>
            <w:tcBorders>
              <w:top w:val="single" w:sz="12" w:space="0" w:color="FFFFFF" w:themeColor="background1"/>
              <w:left w:val="nil"/>
              <w:bottom w:val="single" w:sz="12" w:space="0" w:color="auto"/>
              <w:right w:val="single" w:sz="36" w:space="0" w:color="FFFFFF" w:themeColor="background1"/>
            </w:tcBorders>
            <w:shd w:val="clear" w:color="auto" w:fill="auto"/>
            <w:noWrap/>
            <w:vAlign w:val="center"/>
            <w:hideMark/>
          </w:tcPr>
          <w:p w14:paraId="6EE40CA5" w14:textId="77777777" w:rsidR="00864EDD" w:rsidRDefault="00864EDD" w:rsidP="00A1003D">
            <w:pPr>
              <w:spacing w:line="240" w:lineRule="auto"/>
              <w:rPr>
                <w:rFonts w:cs="Times New Roman"/>
                <w:color w:val="000000"/>
                <w:sz w:val="20"/>
                <w:szCs w:val="20"/>
              </w:rPr>
            </w:pPr>
            <w:r>
              <w:rPr>
                <w:rFonts w:cs="Times New Roman"/>
                <w:color w:val="000000"/>
                <w:sz w:val="20"/>
                <w:szCs w:val="20"/>
              </w:rPr>
              <w:t>Cool-season Annual</w:t>
            </w:r>
          </w:p>
        </w:tc>
        <w:tc>
          <w:tcPr>
            <w:tcW w:w="993"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3DC6146C" w14:textId="77777777" w:rsidR="00864EDD" w:rsidRPr="003A44E9" w:rsidRDefault="00864EDD" w:rsidP="00A1003D">
            <w:pPr>
              <w:spacing w:line="240" w:lineRule="auto"/>
              <w:jc w:val="center"/>
              <w:rPr>
                <w:rFonts w:cs="Times New Roman"/>
                <w:color w:val="000000"/>
                <w:sz w:val="20"/>
                <w:szCs w:val="20"/>
              </w:rPr>
            </w:pPr>
            <w:r>
              <w:rPr>
                <w:rFonts w:cs="Times New Roman"/>
                <w:color w:val="000000"/>
                <w:sz w:val="20"/>
                <w:szCs w:val="20"/>
              </w:rPr>
              <w:t>2019</w:t>
            </w:r>
          </w:p>
        </w:tc>
        <w:tc>
          <w:tcPr>
            <w:tcW w:w="1260"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tcPr>
          <w:p w14:paraId="730A3E16" w14:textId="77777777" w:rsidR="00864EDD" w:rsidRPr="003A44E9" w:rsidRDefault="00864EDD" w:rsidP="00A1003D">
            <w:pPr>
              <w:spacing w:line="240" w:lineRule="auto"/>
              <w:jc w:val="center"/>
              <w:rPr>
                <w:rFonts w:cs="Times New Roman"/>
                <w:color w:val="000000"/>
                <w:sz w:val="20"/>
                <w:szCs w:val="20"/>
              </w:rPr>
            </w:pPr>
            <w:r>
              <w:rPr>
                <w:rFonts w:cs="Times New Roman"/>
                <w:color w:val="000000"/>
                <w:sz w:val="20"/>
                <w:szCs w:val="20"/>
              </w:rPr>
              <w:t>2020</w:t>
            </w:r>
          </w:p>
        </w:tc>
        <w:tc>
          <w:tcPr>
            <w:tcW w:w="1260"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tcPr>
          <w:p w14:paraId="6AFCBD70" w14:textId="77777777" w:rsidR="00864EDD" w:rsidRPr="003A44E9" w:rsidRDefault="00864EDD" w:rsidP="00A1003D">
            <w:pPr>
              <w:spacing w:line="240" w:lineRule="auto"/>
              <w:jc w:val="center"/>
              <w:rPr>
                <w:rFonts w:cs="Times New Roman"/>
                <w:color w:val="000000"/>
                <w:sz w:val="20"/>
                <w:szCs w:val="20"/>
              </w:rPr>
            </w:pPr>
            <w:r>
              <w:rPr>
                <w:rFonts w:cs="Times New Roman"/>
                <w:color w:val="000000"/>
                <w:sz w:val="20"/>
                <w:szCs w:val="20"/>
              </w:rPr>
              <w:t>2019</w:t>
            </w:r>
          </w:p>
        </w:tc>
        <w:tc>
          <w:tcPr>
            <w:tcW w:w="1077"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tcPr>
          <w:p w14:paraId="7CFC5DCE" w14:textId="77777777" w:rsidR="00864EDD" w:rsidRPr="003A44E9" w:rsidRDefault="00864EDD" w:rsidP="00A1003D">
            <w:pPr>
              <w:spacing w:line="240" w:lineRule="auto"/>
              <w:jc w:val="center"/>
              <w:rPr>
                <w:rFonts w:cs="Times New Roman"/>
                <w:color w:val="000000"/>
                <w:sz w:val="20"/>
                <w:szCs w:val="20"/>
              </w:rPr>
            </w:pPr>
            <w:r>
              <w:rPr>
                <w:rFonts w:cs="Times New Roman"/>
                <w:color w:val="000000"/>
                <w:sz w:val="20"/>
                <w:szCs w:val="20"/>
              </w:rPr>
              <w:t>2020</w:t>
            </w:r>
          </w:p>
        </w:tc>
      </w:tr>
      <w:tr w:rsidR="00864EDD" w:rsidRPr="003A44E9" w14:paraId="70D25B9E" w14:textId="77777777" w:rsidTr="00A1003D">
        <w:trPr>
          <w:trHeight w:val="288"/>
        </w:trPr>
        <w:tc>
          <w:tcPr>
            <w:tcW w:w="1260" w:type="dxa"/>
            <w:tcBorders>
              <w:top w:val="single" w:sz="12" w:space="0" w:color="auto"/>
              <w:left w:val="nil"/>
              <w:right w:val="single" w:sz="36" w:space="0" w:color="FFFFFF" w:themeColor="background1"/>
            </w:tcBorders>
            <w:shd w:val="clear" w:color="auto" w:fill="auto"/>
            <w:noWrap/>
            <w:vAlign w:val="bottom"/>
          </w:tcPr>
          <w:p w14:paraId="53875223" w14:textId="77777777" w:rsidR="00864EDD" w:rsidRPr="003A44E9" w:rsidRDefault="00864EDD" w:rsidP="00A1003D">
            <w:pPr>
              <w:spacing w:line="240" w:lineRule="auto"/>
              <w:rPr>
                <w:rFonts w:cs="Times New Roman"/>
                <w:color w:val="000000"/>
                <w:sz w:val="20"/>
                <w:szCs w:val="20"/>
              </w:rPr>
            </w:pPr>
          </w:p>
        </w:tc>
        <w:tc>
          <w:tcPr>
            <w:tcW w:w="1530" w:type="dxa"/>
            <w:tcBorders>
              <w:top w:val="single" w:sz="12" w:space="0" w:color="auto"/>
              <w:left w:val="single" w:sz="36" w:space="0" w:color="FFFFFF" w:themeColor="background1"/>
              <w:right w:val="single" w:sz="36" w:space="0" w:color="FFFFFF" w:themeColor="background1"/>
            </w:tcBorders>
          </w:tcPr>
          <w:p w14:paraId="0966E88D" w14:textId="77777777" w:rsidR="00864EDD" w:rsidRPr="003A44E9" w:rsidRDefault="00864EDD" w:rsidP="00A1003D">
            <w:pPr>
              <w:spacing w:line="240" w:lineRule="auto"/>
              <w:jc w:val="center"/>
              <w:rPr>
                <w:sz w:val="20"/>
                <w:szCs w:val="20"/>
              </w:rPr>
            </w:pPr>
          </w:p>
        </w:tc>
        <w:tc>
          <w:tcPr>
            <w:tcW w:w="4590" w:type="dxa"/>
            <w:gridSpan w:val="4"/>
            <w:tcBorders>
              <w:top w:val="single" w:sz="12" w:space="0" w:color="auto"/>
              <w:left w:val="single" w:sz="36" w:space="0" w:color="FFFFFF" w:themeColor="background1"/>
              <w:right w:val="single" w:sz="24" w:space="0" w:color="FFFFFF" w:themeColor="background1"/>
            </w:tcBorders>
            <w:shd w:val="clear" w:color="auto" w:fill="auto"/>
            <w:noWrap/>
            <w:vAlign w:val="center"/>
          </w:tcPr>
          <w:p w14:paraId="4BF428E9" w14:textId="77777777" w:rsidR="00864EDD" w:rsidRPr="00853110" w:rsidRDefault="00864EDD" w:rsidP="00A1003D">
            <w:pPr>
              <w:spacing w:line="240" w:lineRule="auto"/>
              <w:jc w:val="center"/>
              <w:rPr>
                <w:sz w:val="20"/>
                <w:szCs w:val="20"/>
              </w:rPr>
            </w:pPr>
            <w:r>
              <w:rPr>
                <w:sz w:val="20"/>
                <w:szCs w:val="20"/>
              </w:rPr>
              <w:t>-------------------------plants m</w:t>
            </w:r>
            <w:r w:rsidRPr="0053607C">
              <w:rPr>
                <w:sz w:val="20"/>
                <w:szCs w:val="20"/>
                <w:vertAlign w:val="superscript"/>
              </w:rPr>
              <w:t>-</w:t>
            </w:r>
            <w:r>
              <w:rPr>
                <w:sz w:val="20"/>
                <w:szCs w:val="20"/>
                <w:vertAlign w:val="superscript"/>
              </w:rPr>
              <w:t>2</w:t>
            </w:r>
            <w:r>
              <w:rPr>
                <w:sz w:val="20"/>
                <w:szCs w:val="20"/>
              </w:rPr>
              <w:t>------------------------</w:t>
            </w:r>
          </w:p>
        </w:tc>
      </w:tr>
      <w:tr w:rsidR="00864EDD" w:rsidRPr="003A44E9" w14:paraId="55293582" w14:textId="77777777" w:rsidTr="00A1003D">
        <w:trPr>
          <w:trHeight w:val="288"/>
        </w:trPr>
        <w:tc>
          <w:tcPr>
            <w:tcW w:w="1260" w:type="dxa"/>
            <w:tcBorders>
              <w:left w:val="nil"/>
            </w:tcBorders>
            <w:shd w:val="clear" w:color="auto" w:fill="D9D9D9" w:themeFill="background1" w:themeFillShade="D9"/>
            <w:noWrap/>
            <w:vAlign w:val="center"/>
            <w:hideMark/>
          </w:tcPr>
          <w:p w14:paraId="5111A898" w14:textId="2E9D6FF0" w:rsidR="00864EDD" w:rsidRPr="003A44E9" w:rsidRDefault="00257CDC" w:rsidP="00A1003D">
            <w:pPr>
              <w:spacing w:line="240" w:lineRule="auto"/>
              <w:rPr>
                <w:rFonts w:cs="Times New Roman"/>
                <w:color w:val="000000"/>
                <w:sz w:val="20"/>
                <w:szCs w:val="20"/>
              </w:rPr>
            </w:pPr>
            <w:r>
              <w:rPr>
                <w:rFonts w:cs="Times New Roman"/>
                <w:color w:val="000000"/>
                <w:sz w:val="20"/>
                <w:szCs w:val="20"/>
              </w:rPr>
              <w:t>Monculture</w:t>
            </w:r>
          </w:p>
        </w:tc>
        <w:tc>
          <w:tcPr>
            <w:tcW w:w="1530" w:type="dxa"/>
            <w:shd w:val="clear" w:color="auto" w:fill="D9D9D9" w:themeFill="background1" w:themeFillShade="D9"/>
            <w:vAlign w:val="center"/>
          </w:tcPr>
          <w:p w14:paraId="2D7DB426" w14:textId="77777777" w:rsidR="00864EDD" w:rsidRDefault="00864EDD" w:rsidP="00A1003D">
            <w:pPr>
              <w:spacing w:line="240" w:lineRule="auto"/>
              <w:rPr>
                <w:rFonts w:cs="Times New Roman"/>
                <w:color w:val="000000"/>
                <w:sz w:val="20"/>
                <w:szCs w:val="20"/>
              </w:rPr>
            </w:pPr>
            <w:r>
              <w:rPr>
                <w:rFonts w:cs="Times New Roman"/>
                <w:color w:val="000000"/>
                <w:sz w:val="20"/>
                <w:szCs w:val="20"/>
              </w:rPr>
              <w:t xml:space="preserve">   </w:t>
            </w:r>
          </w:p>
        </w:tc>
        <w:tc>
          <w:tcPr>
            <w:tcW w:w="993" w:type="dxa"/>
            <w:shd w:val="clear" w:color="auto" w:fill="D9D9D9" w:themeFill="background1" w:themeFillShade="D9"/>
            <w:noWrap/>
            <w:vAlign w:val="center"/>
          </w:tcPr>
          <w:p w14:paraId="4A74E2FB" w14:textId="77777777" w:rsidR="00864EDD" w:rsidRPr="000D7ABF" w:rsidRDefault="00864EDD" w:rsidP="00A1003D">
            <w:pPr>
              <w:spacing w:line="240" w:lineRule="auto"/>
              <w:jc w:val="center"/>
              <w:rPr>
                <w:rFonts w:cs="Times New Roman"/>
                <w:color w:val="000000"/>
                <w:sz w:val="20"/>
                <w:szCs w:val="20"/>
              </w:rPr>
            </w:pPr>
          </w:p>
        </w:tc>
        <w:tc>
          <w:tcPr>
            <w:tcW w:w="1260" w:type="dxa"/>
            <w:shd w:val="clear" w:color="auto" w:fill="D9D9D9" w:themeFill="background1" w:themeFillShade="D9"/>
            <w:vAlign w:val="center"/>
          </w:tcPr>
          <w:p w14:paraId="01349479" w14:textId="77777777" w:rsidR="00864EDD" w:rsidRPr="000D7ABF" w:rsidRDefault="00864EDD" w:rsidP="00A1003D">
            <w:pPr>
              <w:spacing w:line="240" w:lineRule="auto"/>
              <w:jc w:val="center"/>
              <w:rPr>
                <w:rFonts w:cs="Times New Roman"/>
                <w:color w:val="000000"/>
                <w:sz w:val="20"/>
                <w:szCs w:val="20"/>
              </w:rPr>
            </w:pPr>
          </w:p>
        </w:tc>
        <w:tc>
          <w:tcPr>
            <w:tcW w:w="1260" w:type="dxa"/>
            <w:shd w:val="clear" w:color="auto" w:fill="D9D9D9" w:themeFill="background1" w:themeFillShade="D9"/>
            <w:vAlign w:val="center"/>
          </w:tcPr>
          <w:p w14:paraId="59309EE7" w14:textId="77777777" w:rsidR="00864EDD" w:rsidRPr="000D7ABF" w:rsidRDefault="00864EDD" w:rsidP="00A1003D">
            <w:pPr>
              <w:spacing w:line="240" w:lineRule="auto"/>
              <w:jc w:val="center"/>
              <w:rPr>
                <w:rFonts w:cs="Times New Roman"/>
                <w:color w:val="000000"/>
                <w:sz w:val="20"/>
                <w:szCs w:val="20"/>
              </w:rPr>
            </w:pPr>
          </w:p>
        </w:tc>
        <w:tc>
          <w:tcPr>
            <w:tcW w:w="1077" w:type="dxa"/>
            <w:shd w:val="clear" w:color="auto" w:fill="D9D9D9" w:themeFill="background1" w:themeFillShade="D9"/>
            <w:vAlign w:val="center"/>
          </w:tcPr>
          <w:p w14:paraId="394CDF8F" w14:textId="77777777" w:rsidR="00864EDD" w:rsidRPr="000D7ABF" w:rsidRDefault="00864EDD" w:rsidP="00A1003D">
            <w:pPr>
              <w:spacing w:line="240" w:lineRule="auto"/>
              <w:jc w:val="center"/>
              <w:rPr>
                <w:rFonts w:cs="Times New Roman"/>
                <w:color w:val="000000"/>
                <w:sz w:val="20"/>
                <w:szCs w:val="20"/>
              </w:rPr>
            </w:pPr>
          </w:p>
        </w:tc>
      </w:tr>
      <w:tr w:rsidR="00864EDD" w:rsidRPr="003A44E9" w14:paraId="0E03CFD1" w14:textId="77777777" w:rsidTr="00A1003D">
        <w:trPr>
          <w:trHeight w:val="288"/>
        </w:trPr>
        <w:tc>
          <w:tcPr>
            <w:tcW w:w="1260" w:type="dxa"/>
            <w:tcBorders>
              <w:left w:val="nil"/>
              <w:right w:val="nil"/>
            </w:tcBorders>
            <w:shd w:val="clear" w:color="auto" w:fill="FFFFFF" w:themeFill="background1"/>
            <w:noWrap/>
            <w:vAlign w:val="center"/>
            <w:hideMark/>
          </w:tcPr>
          <w:p w14:paraId="28F69DC9" w14:textId="77777777" w:rsidR="00864EDD" w:rsidRPr="00BE3BAD" w:rsidRDefault="00864EDD" w:rsidP="00A1003D">
            <w:pPr>
              <w:spacing w:line="240" w:lineRule="auto"/>
              <w:rPr>
                <w:rFonts w:cs="Times New Roman"/>
                <w:color w:val="000000"/>
                <w:sz w:val="20"/>
                <w:szCs w:val="20"/>
              </w:rPr>
            </w:pPr>
          </w:p>
        </w:tc>
        <w:tc>
          <w:tcPr>
            <w:tcW w:w="1530" w:type="dxa"/>
            <w:tcBorders>
              <w:left w:val="nil"/>
              <w:right w:val="nil"/>
            </w:tcBorders>
            <w:shd w:val="clear" w:color="auto" w:fill="FFFFFF" w:themeFill="background1"/>
            <w:vAlign w:val="center"/>
          </w:tcPr>
          <w:p w14:paraId="180FEE88" w14:textId="77777777" w:rsidR="00864EDD" w:rsidRDefault="00864EDD" w:rsidP="00A1003D">
            <w:pPr>
              <w:spacing w:line="240" w:lineRule="auto"/>
              <w:rPr>
                <w:rFonts w:cs="Times New Roman"/>
                <w:color w:val="000000"/>
                <w:sz w:val="20"/>
                <w:szCs w:val="20"/>
              </w:rPr>
            </w:pPr>
            <w:r>
              <w:rPr>
                <w:rFonts w:cs="Times New Roman"/>
                <w:color w:val="000000"/>
                <w:sz w:val="20"/>
                <w:szCs w:val="20"/>
              </w:rPr>
              <w:t>Cereal Rye</w:t>
            </w:r>
          </w:p>
        </w:tc>
        <w:tc>
          <w:tcPr>
            <w:tcW w:w="993" w:type="dxa"/>
            <w:tcBorders>
              <w:left w:val="nil"/>
              <w:right w:val="nil"/>
            </w:tcBorders>
            <w:shd w:val="clear" w:color="auto" w:fill="FFFFFF" w:themeFill="background1"/>
            <w:noWrap/>
            <w:vAlign w:val="center"/>
          </w:tcPr>
          <w:p w14:paraId="363E87F6" w14:textId="77777777" w:rsidR="00864EDD" w:rsidRPr="000D7ABF" w:rsidRDefault="00864EDD" w:rsidP="00A1003D">
            <w:pPr>
              <w:spacing w:line="240" w:lineRule="auto"/>
              <w:jc w:val="center"/>
              <w:rPr>
                <w:rFonts w:cs="Times New Roman"/>
                <w:color w:val="000000"/>
                <w:sz w:val="20"/>
                <w:szCs w:val="20"/>
              </w:rPr>
            </w:pPr>
            <w:r>
              <w:rPr>
                <w:rFonts w:cs="Times New Roman"/>
                <w:color w:val="000000"/>
                <w:sz w:val="20"/>
                <w:szCs w:val="20"/>
              </w:rPr>
              <w:t>498.3</w:t>
            </w:r>
          </w:p>
        </w:tc>
        <w:tc>
          <w:tcPr>
            <w:tcW w:w="1260" w:type="dxa"/>
            <w:tcBorders>
              <w:left w:val="nil"/>
              <w:right w:val="nil"/>
            </w:tcBorders>
            <w:shd w:val="clear" w:color="auto" w:fill="FFFFFF" w:themeFill="background1"/>
            <w:vAlign w:val="center"/>
          </w:tcPr>
          <w:p w14:paraId="17F2B6D2" w14:textId="77777777" w:rsidR="00864EDD" w:rsidRPr="000D7ABF" w:rsidRDefault="00864EDD" w:rsidP="00A1003D">
            <w:pPr>
              <w:spacing w:line="240" w:lineRule="auto"/>
              <w:jc w:val="center"/>
              <w:rPr>
                <w:rFonts w:cs="Times New Roman"/>
                <w:color w:val="000000"/>
                <w:sz w:val="20"/>
                <w:szCs w:val="20"/>
              </w:rPr>
            </w:pPr>
            <w:r>
              <w:rPr>
                <w:rFonts w:cs="Times New Roman"/>
                <w:color w:val="000000"/>
                <w:sz w:val="20"/>
                <w:szCs w:val="20"/>
              </w:rPr>
              <w:t>646.1</w:t>
            </w:r>
          </w:p>
        </w:tc>
        <w:tc>
          <w:tcPr>
            <w:tcW w:w="1260" w:type="dxa"/>
            <w:tcBorders>
              <w:left w:val="nil"/>
              <w:right w:val="nil"/>
            </w:tcBorders>
            <w:shd w:val="clear" w:color="auto" w:fill="FFFFFF" w:themeFill="background1"/>
            <w:vAlign w:val="center"/>
          </w:tcPr>
          <w:p w14:paraId="555C5095" w14:textId="77777777" w:rsidR="00864EDD" w:rsidRPr="000D7ABF" w:rsidRDefault="00864EDD" w:rsidP="00A1003D">
            <w:pPr>
              <w:spacing w:line="240" w:lineRule="auto"/>
              <w:jc w:val="center"/>
              <w:rPr>
                <w:rFonts w:cs="Times New Roman"/>
                <w:color w:val="000000"/>
                <w:sz w:val="20"/>
                <w:szCs w:val="20"/>
              </w:rPr>
            </w:pPr>
            <w:r>
              <w:rPr>
                <w:rFonts w:cs="Times New Roman"/>
                <w:color w:val="000000"/>
                <w:sz w:val="20"/>
                <w:szCs w:val="20"/>
              </w:rPr>
              <w:t>348.1</w:t>
            </w:r>
          </w:p>
        </w:tc>
        <w:tc>
          <w:tcPr>
            <w:tcW w:w="1077" w:type="dxa"/>
            <w:tcBorders>
              <w:left w:val="nil"/>
              <w:right w:val="nil"/>
            </w:tcBorders>
            <w:shd w:val="clear" w:color="auto" w:fill="FFFFFF" w:themeFill="background1"/>
            <w:vAlign w:val="center"/>
          </w:tcPr>
          <w:p w14:paraId="518C4A1B" w14:textId="77777777" w:rsidR="00864EDD" w:rsidRPr="000D7ABF" w:rsidRDefault="00864EDD" w:rsidP="00A1003D">
            <w:pPr>
              <w:spacing w:line="240" w:lineRule="auto"/>
              <w:jc w:val="center"/>
              <w:rPr>
                <w:rFonts w:cs="Times New Roman"/>
                <w:color w:val="000000"/>
                <w:sz w:val="20"/>
                <w:szCs w:val="20"/>
              </w:rPr>
            </w:pPr>
            <w:r>
              <w:rPr>
                <w:rFonts w:cs="Times New Roman"/>
                <w:color w:val="000000"/>
                <w:sz w:val="20"/>
                <w:szCs w:val="20"/>
              </w:rPr>
              <w:t>713.1</w:t>
            </w:r>
          </w:p>
        </w:tc>
      </w:tr>
      <w:tr w:rsidR="00864EDD" w:rsidRPr="003A44E9" w14:paraId="098868A5" w14:textId="77777777" w:rsidTr="00A1003D">
        <w:trPr>
          <w:trHeight w:val="288"/>
        </w:trPr>
        <w:tc>
          <w:tcPr>
            <w:tcW w:w="1260" w:type="dxa"/>
            <w:tcBorders>
              <w:left w:val="nil"/>
              <w:right w:val="nil"/>
            </w:tcBorders>
            <w:shd w:val="clear" w:color="auto" w:fill="D9D9D9" w:themeFill="background1" w:themeFillShade="D9"/>
            <w:noWrap/>
            <w:vAlign w:val="center"/>
          </w:tcPr>
          <w:p w14:paraId="43484EE1" w14:textId="77777777" w:rsidR="00864EDD" w:rsidRPr="00BE3BAD" w:rsidRDefault="00864EDD" w:rsidP="00A1003D">
            <w:pPr>
              <w:spacing w:line="240" w:lineRule="auto"/>
              <w:rPr>
                <w:rFonts w:cs="Times New Roman"/>
                <w:color w:val="000000"/>
                <w:sz w:val="20"/>
                <w:szCs w:val="20"/>
              </w:rPr>
            </w:pPr>
            <w:r>
              <w:rPr>
                <w:rFonts w:cs="Times New Roman"/>
                <w:color w:val="000000"/>
                <w:sz w:val="20"/>
                <w:szCs w:val="20"/>
              </w:rPr>
              <w:t>Polyculture</w:t>
            </w:r>
          </w:p>
        </w:tc>
        <w:tc>
          <w:tcPr>
            <w:tcW w:w="1530" w:type="dxa"/>
            <w:tcBorders>
              <w:left w:val="nil"/>
              <w:right w:val="nil"/>
            </w:tcBorders>
            <w:shd w:val="clear" w:color="auto" w:fill="D9D9D9" w:themeFill="background1" w:themeFillShade="D9"/>
            <w:vAlign w:val="center"/>
          </w:tcPr>
          <w:p w14:paraId="4806F24B" w14:textId="77777777" w:rsidR="00864EDD" w:rsidRDefault="00864EDD" w:rsidP="00A1003D">
            <w:pPr>
              <w:spacing w:line="240" w:lineRule="auto"/>
              <w:rPr>
                <w:rFonts w:cs="Times New Roman"/>
                <w:color w:val="000000"/>
                <w:sz w:val="20"/>
                <w:szCs w:val="20"/>
              </w:rPr>
            </w:pPr>
          </w:p>
        </w:tc>
        <w:tc>
          <w:tcPr>
            <w:tcW w:w="993" w:type="dxa"/>
            <w:tcBorders>
              <w:left w:val="nil"/>
              <w:right w:val="nil"/>
            </w:tcBorders>
            <w:shd w:val="clear" w:color="auto" w:fill="D9D9D9" w:themeFill="background1" w:themeFillShade="D9"/>
            <w:noWrap/>
            <w:vAlign w:val="center"/>
          </w:tcPr>
          <w:p w14:paraId="4D89F7F2" w14:textId="77777777" w:rsidR="00864EDD" w:rsidRDefault="00864EDD" w:rsidP="00A1003D">
            <w:pPr>
              <w:spacing w:line="240" w:lineRule="auto"/>
              <w:jc w:val="center"/>
              <w:rPr>
                <w:rFonts w:cs="Times New Roman"/>
                <w:color w:val="000000"/>
                <w:sz w:val="20"/>
                <w:szCs w:val="20"/>
              </w:rPr>
            </w:pPr>
          </w:p>
        </w:tc>
        <w:tc>
          <w:tcPr>
            <w:tcW w:w="1260" w:type="dxa"/>
            <w:tcBorders>
              <w:left w:val="nil"/>
              <w:right w:val="nil"/>
            </w:tcBorders>
            <w:shd w:val="clear" w:color="auto" w:fill="D9D9D9" w:themeFill="background1" w:themeFillShade="D9"/>
            <w:vAlign w:val="center"/>
          </w:tcPr>
          <w:p w14:paraId="40F9CA71" w14:textId="77777777" w:rsidR="00864EDD" w:rsidRDefault="00864EDD" w:rsidP="00A1003D">
            <w:pPr>
              <w:spacing w:line="240" w:lineRule="auto"/>
              <w:jc w:val="center"/>
              <w:rPr>
                <w:rFonts w:cs="Times New Roman"/>
                <w:color w:val="000000"/>
                <w:sz w:val="20"/>
                <w:szCs w:val="20"/>
              </w:rPr>
            </w:pPr>
          </w:p>
        </w:tc>
        <w:tc>
          <w:tcPr>
            <w:tcW w:w="1260" w:type="dxa"/>
            <w:tcBorders>
              <w:left w:val="nil"/>
              <w:right w:val="nil"/>
            </w:tcBorders>
            <w:shd w:val="clear" w:color="auto" w:fill="D9D9D9" w:themeFill="background1" w:themeFillShade="D9"/>
            <w:vAlign w:val="center"/>
          </w:tcPr>
          <w:p w14:paraId="49D82E7C" w14:textId="77777777" w:rsidR="00864EDD" w:rsidRDefault="00864EDD" w:rsidP="00A1003D">
            <w:pPr>
              <w:spacing w:line="240" w:lineRule="auto"/>
              <w:jc w:val="center"/>
              <w:rPr>
                <w:rFonts w:cs="Times New Roman"/>
                <w:color w:val="000000"/>
                <w:sz w:val="20"/>
                <w:szCs w:val="20"/>
              </w:rPr>
            </w:pPr>
          </w:p>
        </w:tc>
        <w:tc>
          <w:tcPr>
            <w:tcW w:w="1077" w:type="dxa"/>
            <w:tcBorders>
              <w:left w:val="nil"/>
              <w:right w:val="nil"/>
            </w:tcBorders>
            <w:shd w:val="clear" w:color="auto" w:fill="D9D9D9" w:themeFill="background1" w:themeFillShade="D9"/>
            <w:vAlign w:val="center"/>
          </w:tcPr>
          <w:p w14:paraId="057C384C" w14:textId="77777777" w:rsidR="00864EDD" w:rsidRDefault="00864EDD" w:rsidP="00A1003D">
            <w:pPr>
              <w:spacing w:line="240" w:lineRule="auto"/>
              <w:jc w:val="center"/>
              <w:rPr>
                <w:rFonts w:cs="Times New Roman"/>
                <w:color w:val="000000"/>
                <w:sz w:val="20"/>
                <w:szCs w:val="20"/>
              </w:rPr>
            </w:pPr>
          </w:p>
        </w:tc>
      </w:tr>
      <w:tr w:rsidR="00864EDD" w:rsidRPr="003A44E9" w14:paraId="1624FCD4" w14:textId="77777777" w:rsidTr="00A1003D">
        <w:trPr>
          <w:trHeight w:val="288"/>
        </w:trPr>
        <w:tc>
          <w:tcPr>
            <w:tcW w:w="1260" w:type="dxa"/>
            <w:tcBorders>
              <w:left w:val="nil"/>
              <w:right w:val="nil"/>
            </w:tcBorders>
            <w:shd w:val="clear" w:color="auto" w:fill="auto"/>
            <w:noWrap/>
            <w:vAlign w:val="center"/>
          </w:tcPr>
          <w:p w14:paraId="51233BC9" w14:textId="77777777" w:rsidR="00864EDD" w:rsidRDefault="00864EDD" w:rsidP="00A1003D">
            <w:pPr>
              <w:spacing w:line="240" w:lineRule="auto"/>
              <w:rPr>
                <w:rFonts w:cs="Times New Roman"/>
                <w:color w:val="000000"/>
                <w:sz w:val="20"/>
                <w:szCs w:val="20"/>
              </w:rPr>
            </w:pPr>
          </w:p>
        </w:tc>
        <w:tc>
          <w:tcPr>
            <w:tcW w:w="1530" w:type="dxa"/>
            <w:tcBorders>
              <w:left w:val="nil"/>
              <w:right w:val="nil"/>
            </w:tcBorders>
            <w:shd w:val="clear" w:color="auto" w:fill="auto"/>
            <w:vAlign w:val="center"/>
          </w:tcPr>
          <w:p w14:paraId="4FB9708D" w14:textId="77777777" w:rsidR="00864EDD" w:rsidRDefault="00864EDD" w:rsidP="00A1003D">
            <w:pPr>
              <w:spacing w:line="240" w:lineRule="auto"/>
              <w:rPr>
                <w:rFonts w:cs="Times New Roman"/>
                <w:color w:val="000000"/>
                <w:sz w:val="20"/>
                <w:szCs w:val="20"/>
              </w:rPr>
            </w:pPr>
            <w:r>
              <w:rPr>
                <w:rFonts w:cs="Times New Roman"/>
                <w:color w:val="000000"/>
                <w:sz w:val="20"/>
                <w:szCs w:val="20"/>
              </w:rPr>
              <w:t>Cereal Rye</w:t>
            </w:r>
          </w:p>
        </w:tc>
        <w:tc>
          <w:tcPr>
            <w:tcW w:w="993" w:type="dxa"/>
            <w:tcBorders>
              <w:left w:val="nil"/>
              <w:right w:val="nil"/>
            </w:tcBorders>
            <w:shd w:val="clear" w:color="auto" w:fill="auto"/>
            <w:noWrap/>
            <w:vAlign w:val="center"/>
          </w:tcPr>
          <w:p w14:paraId="181FA598"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419.1</w:t>
            </w:r>
          </w:p>
        </w:tc>
        <w:tc>
          <w:tcPr>
            <w:tcW w:w="1260" w:type="dxa"/>
            <w:tcBorders>
              <w:left w:val="nil"/>
              <w:right w:val="nil"/>
            </w:tcBorders>
            <w:shd w:val="clear" w:color="auto" w:fill="auto"/>
            <w:vAlign w:val="center"/>
          </w:tcPr>
          <w:p w14:paraId="11207FEE"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333.6</w:t>
            </w:r>
          </w:p>
        </w:tc>
        <w:tc>
          <w:tcPr>
            <w:tcW w:w="1260" w:type="dxa"/>
            <w:tcBorders>
              <w:left w:val="nil"/>
              <w:right w:val="nil"/>
            </w:tcBorders>
            <w:shd w:val="clear" w:color="auto" w:fill="auto"/>
            <w:vAlign w:val="center"/>
          </w:tcPr>
          <w:p w14:paraId="26D87A6B"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316.6</w:t>
            </w:r>
          </w:p>
        </w:tc>
        <w:tc>
          <w:tcPr>
            <w:tcW w:w="1077" w:type="dxa"/>
            <w:tcBorders>
              <w:left w:val="nil"/>
              <w:right w:val="nil"/>
            </w:tcBorders>
            <w:shd w:val="clear" w:color="auto" w:fill="auto"/>
            <w:vAlign w:val="center"/>
          </w:tcPr>
          <w:p w14:paraId="59DD341C"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396.9</w:t>
            </w:r>
          </w:p>
        </w:tc>
      </w:tr>
      <w:tr w:rsidR="00864EDD" w:rsidRPr="003A44E9" w14:paraId="31014C81" w14:textId="77777777" w:rsidTr="00A1003D">
        <w:trPr>
          <w:trHeight w:val="288"/>
        </w:trPr>
        <w:tc>
          <w:tcPr>
            <w:tcW w:w="1260" w:type="dxa"/>
            <w:tcBorders>
              <w:left w:val="nil"/>
              <w:right w:val="nil"/>
            </w:tcBorders>
            <w:shd w:val="clear" w:color="auto" w:fill="auto"/>
            <w:noWrap/>
            <w:vAlign w:val="center"/>
          </w:tcPr>
          <w:p w14:paraId="2403FEA6" w14:textId="77777777" w:rsidR="00864EDD" w:rsidRDefault="00864EDD" w:rsidP="00A1003D">
            <w:pPr>
              <w:spacing w:line="240" w:lineRule="auto"/>
              <w:rPr>
                <w:rFonts w:cs="Times New Roman"/>
                <w:color w:val="000000"/>
                <w:sz w:val="20"/>
                <w:szCs w:val="20"/>
              </w:rPr>
            </w:pPr>
          </w:p>
        </w:tc>
        <w:tc>
          <w:tcPr>
            <w:tcW w:w="1530" w:type="dxa"/>
            <w:tcBorders>
              <w:left w:val="nil"/>
              <w:right w:val="nil"/>
            </w:tcBorders>
            <w:shd w:val="clear" w:color="auto" w:fill="auto"/>
            <w:vAlign w:val="center"/>
          </w:tcPr>
          <w:p w14:paraId="484CF188" w14:textId="77777777" w:rsidR="00864EDD" w:rsidRDefault="00864EDD" w:rsidP="00A1003D">
            <w:pPr>
              <w:spacing w:line="240" w:lineRule="auto"/>
              <w:rPr>
                <w:rFonts w:cs="Times New Roman"/>
                <w:color w:val="000000"/>
                <w:sz w:val="20"/>
                <w:szCs w:val="20"/>
              </w:rPr>
            </w:pPr>
            <w:r>
              <w:rPr>
                <w:rFonts w:cs="Times New Roman"/>
                <w:color w:val="000000"/>
                <w:sz w:val="20"/>
                <w:szCs w:val="20"/>
              </w:rPr>
              <w:t>Turnip</w:t>
            </w:r>
          </w:p>
        </w:tc>
        <w:tc>
          <w:tcPr>
            <w:tcW w:w="993" w:type="dxa"/>
            <w:tcBorders>
              <w:left w:val="nil"/>
              <w:right w:val="nil"/>
            </w:tcBorders>
            <w:shd w:val="clear" w:color="auto" w:fill="auto"/>
            <w:noWrap/>
            <w:vAlign w:val="center"/>
          </w:tcPr>
          <w:p w14:paraId="4ADAD655"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0.1</w:t>
            </w:r>
          </w:p>
        </w:tc>
        <w:tc>
          <w:tcPr>
            <w:tcW w:w="1260" w:type="dxa"/>
            <w:tcBorders>
              <w:left w:val="nil"/>
              <w:right w:val="nil"/>
            </w:tcBorders>
            <w:shd w:val="clear" w:color="auto" w:fill="auto"/>
            <w:vAlign w:val="center"/>
          </w:tcPr>
          <w:p w14:paraId="485D523F"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0.0</w:t>
            </w:r>
          </w:p>
        </w:tc>
        <w:tc>
          <w:tcPr>
            <w:tcW w:w="1260" w:type="dxa"/>
            <w:tcBorders>
              <w:left w:val="nil"/>
              <w:right w:val="nil"/>
            </w:tcBorders>
            <w:shd w:val="clear" w:color="auto" w:fill="auto"/>
            <w:vAlign w:val="center"/>
          </w:tcPr>
          <w:p w14:paraId="3F290CC9"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0.1</w:t>
            </w:r>
          </w:p>
        </w:tc>
        <w:tc>
          <w:tcPr>
            <w:tcW w:w="1077" w:type="dxa"/>
            <w:tcBorders>
              <w:left w:val="nil"/>
              <w:right w:val="nil"/>
            </w:tcBorders>
            <w:shd w:val="clear" w:color="auto" w:fill="auto"/>
            <w:vAlign w:val="center"/>
          </w:tcPr>
          <w:p w14:paraId="24DC42F4"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0.0</w:t>
            </w:r>
          </w:p>
        </w:tc>
      </w:tr>
      <w:tr w:rsidR="00864EDD" w:rsidRPr="003A44E9" w14:paraId="69F7391A" w14:textId="77777777" w:rsidTr="00A1003D">
        <w:trPr>
          <w:trHeight w:val="288"/>
        </w:trPr>
        <w:tc>
          <w:tcPr>
            <w:tcW w:w="1260" w:type="dxa"/>
            <w:tcBorders>
              <w:left w:val="nil"/>
              <w:right w:val="nil"/>
            </w:tcBorders>
            <w:shd w:val="clear" w:color="auto" w:fill="auto"/>
            <w:noWrap/>
            <w:vAlign w:val="center"/>
          </w:tcPr>
          <w:p w14:paraId="19E0BDBE" w14:textId="77777777" w:rsidR="00864EDD" w:rsidRDefault="00864EDD" w:rsidP="00A1003D">
            <w:pPr>
              <w:spacing w:line="240" w:lineRule="auto"/>
              <w:rPr>
                <w:rFonts w:cs="Times New Roman"/>
                <w:color w:val="000000"/>
                <w:sz w:val="20"/>
                <w:szCs w:val="20"/>
              </w:rPr>
            </w:pPr>
          </w:p>
        </w:tc>
        <w:tc>
          <w:tcPr>
            <w:tcW w:w="1530" w:type="dxa"/>
            <w:tcBorders>
              <w:left w:val="nil"/>
              <w:right w:val="nil"/>
            </w:tcBorders>
            <w:shd w:val="clear" w:color="auto" w:fill="auto"/>
            <w:vAlign w:val="center"/>
          </w:tcPr>
          <w:p w14:paraId="5DDBE36F" w14:textId="77777777" w:rsidR="00864EDD" w:rsidRDefault="00864EDD" w:rsidP="00A1003D">
            <w:pPr>
              <w:spacing w:line="240" w:lineRule="auto"/>
              <w:rPr>
                <w:rFonts w:cs="Times New Roman"/>
                <w:color w:val="000000"/>
                <w:sz w:val="20"/>
                <w:szCs w:val="20"/>
              </w:rPr>
            </w:pPr>
            <w:r>
              <w:rPr>
                <w:rFonts w:cs="Times New Roman"/>
                <w:color w:val="000000"/>
                <w:sz w:val="20"/>
                <w:szCs w:val="20"/>
              </w:rPr>
              <w:t>Rape</w:t>
            </w:r>
          </w:p>
        </w:tc>
        <w:tc>
          <w:tcPr>
            <w:tcW w:w="993" w:type="dxa"/>
            <w:tcBorders>
              <w:left w:val="nil"/>
              <w:right w:val="nil"/>
            </w:tcBorders>
            <w:shd w:val="clear" w:color="auto" w:fill="auto"/>
            <w:noWrap/>
            <w:vAlign w:val="center"/>
          </w:tcPr>
          <w:p w14:paraId="57B1091E"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0.0</w:t>
            </w:r>
          </w:p>
        </w:tc>
        <w:tc>
          <w:tcPr>
            <w:tcW w:w="1260" w:type="dxa"/>
            <w:tcBorders>
              <w:left w:val="nil"/>
              <w:right w:val="nil"/>
            </w:tcBorders>
            <w:shd w:val="clear" w:color="auto" w:fill="auto"/>
            <w:vAlign w:val="center"/>
          </w:tcPr>
          <w:p w14:paraId="3DB79E0A"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0.0</w:t>
            </w:r>
          </w:p>
        </w:tc>
        <w:tc>
          <w:tcPr>
            <w:tcW w:w="1260" w:type="dxa"/>
            <w:tcBorders>
              <w:left w:val="nil"/>
              <w:right w:val="nil"/>
            </w:tcBorders>
            <w:shd w:val="clear" w:color="auto" w:fill="auto"/>
            <w:vAlign w:val="center"/>
          </w:tcPr>
          <w:p w14:paraId="4836ACD1"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0.2</w:t>
            </w:r>
          </w:p>
        </w:tc>
        <w:tc>
          <w:tcPr>
            <w:tcW w:w="1077" w:type="dxa"/>
            <w:tcBorders>
              <w:left w:val="nil"/>
              <w:right w:val="nil"/>
            </w:tcBorders>
            <w:shd w:val="clear" w:color="auto" w:fill="auto"/>
            <w:vAlign w:val="center"/>
          </w:tcPr>
          <w:p w14:paraId="749096D4"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0.2</w:t>
            </w:r>
          </w:p>
        </w:tc>
      </w:tr>
      <w:tr w:rsidR="00864EDD" w:rsidRPr="003A44E9" w14:paraId="57B2C861" w14:textId="77777777" w:rsidTr="00A1003D">
        <w:trPr>
          <w:trHeight w:val="288"/>
        </w:trPr>
        <w:tc>
          <w:tcPr>
            <w:tcW w:w="1260" w:type="dxa"/>
            <w:tcBorders>
              <w:left w:val="nil"/>
              <w:right w:val="nil"/>
            </w:tcBorders>
            <w:shd w:val="clear" w:color="auto" w:fill="auto"/>
            <w:noWrap/>
            <w:vAlign w:val="center"/>
          </w:tcPr>
          <w:p w14:paraId="4C567E79" w14:textId="77777777" w:rsidR="00864EDD" w:rsidRDefault="00864EDD" w:rsidP="00A1003D">
            <w:pPr>
              <w:spacing w:line="240" w:lineRule="auto"/>
              <w:rPr>
                <w:rFonts w:cs="Times New Roman"/>
                <w:color w:val="000000"/>
                <w:sz w:val="20"/>
                <w:szCs w:val="20"/>
              </w:rPr>
            </w:pPr>
          </w:p>
        </w:tc>
        <w:tc>
          <w:tcPr>
            <w:tcW w:w="1530" w:type="dxa"/>
            <w:tcBorders>
              <w:left w:val="nil"/>
              <w:right w:val="nil"/>
            </w:tcBorders>
            <w:shd w:val="clear" w:color="auto" w:fill="auto"/>
            <w:vAlign w:val="center"/>
          </w:tcPr>
          <w:p w14:paraId="2D3ED49B" w14:textId="77777777" w:rsidR="00864EDD" w:rsidRDefault="00864EDD" w:rsidP="00A1003D">
            <w:pPr>
              <w:spacing w:line="240" w:lineRule="auto"/>
              <w:rPr>
                <w:rFonts w:cs="Times New Roman"/>
                <w:color w:val="000000"/>
                <w:sz w:val="20"/>
                <w:szCs w:val="20"/>
              </w:rPr>
            </w:pPr>
            <w:r>
              <w:rPr>
                <w:rFonts w:cs="Times New Roman"/>
                <w:color w:val="000000"/>
                <w:sz w:val="20"/>
                <w:szCs w:val="20"/>
              </w:rPr>
              <w:t>Berseem clover</w:t>
            </w:r>
          </w:p>
        </w:tc>
        <w:tc>
          <w:tcPr>
            <w:tcW w:w="993" w:type="dxa"/>
            <w:tcBorders>
              <w:left w:val="nil"/>
              <w:right w:val="nil"/>
            </w:tcBorders>
            <w:shd w:val="clear" w:color="auto" w:fill="auto"/>
            <w:noWrap/>
            <w:vAlign w:val="center"/>
          </w:tcPr>
          <w:p w14:paraId="5E6F0052"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7.3</w:t>
            </w:r>
          </w:p>
        </w:tc>
        <w:tc>
          <w:tcPr>
            <w:tcW w:w="1260" w:type="dxa"/>
            <w:tcBorders>
              <w:left w:val="nil"/>
              <w:right w:val="nil"/>
            </w:tcBorders>
            <w:shd w:val="clear" w:color="auto" w:fill="auto"/>
            <w:vAlign w:val="center"/>
          </w:tcPr>
          <w:p w14:paraId="636C249A"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3.4</w:t>
            </w:r>
          </w:p>
        </w:tc>
        <w:tc>
          <w:tcPr>
            <w:tcW w:w="1260" w:type="dxa"/>
            <w:tcBorders>
              <w:left w:val="nil"/>
              <w:right w:val="nil"/>
            </w:tcBorders>
            <w:shd w:val="clear" w:color="auto" w:fill="auto"/>
            <w:vAlign w:val="center"/>
          </w:tcPr>
          <w:p w14:paraId="46C5077B"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10.7</w:t>
            </w:r>
          </w:p>
        </w:tc>
        <w:tc>
          <w:tcPr>
            <w:tcW w:w="1077" w:type="dxa"/>
            <w:tcBorders>
              <w:left w:val="nil"/>
              <w:right w:val="nil"/>
            </w:tcBorders>
            <w:shd w:val="clear" w:color="auto" w:fill="auto"/>
            <w:vAlign w:val="center"/>
          </w:tcPr>
          <w:p w14:paraId="0FBCC3DE"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6.4</w:t>
            </w:r>
          </w:p>
        </w:tc>
      </w:tr>
      <w:tr w:rsidR="00864EDD" w:rsidRPr="003A44E9" w14:paraId="77688C05" w14:textId="77777777" w:rsidTr="00A1003D">
        <w:trPr>
          <w:trHeight w:val="288"/>
        </w:trPr>
        <w:tc>
          <w:tcPr>
            <w:tcW w:w="1260" w:type="dxa"/>
            <w:tcBorders>
              <w:left w:val="nil"/>
              <w:bottom w:val="single" w:sz="18" w:space="0" w:color="auto"/>
              <w:right w:val="nil"/>
            </w:tcBorders>
            <w:shd w:val="clear" w:color="auto" w:fill="FFFFFF" w:themeFill="background1"/>
            <w:noWrap/>
            <w:vAlign w:val="center"/>
          </w:tcPr>
          <w:p w14:paraId="00BE1BF1" w14:textId="77777777" w:rsidR="00864EDD" w:rsidRPr="00BE3BAD" w:rsidRDefault="00864EDD" w:rsidP="00A1003D">
            <w:pPr>
              <w:spacing w:line="240" w:lineRule="auto"/>
              <w:rPr>
                <w:rFonts w:cs="Times New Roman"/>
                <w:color w:val="000000"/>
                <w:sz w:val="20"/>
                <w:szCs w:val="20"/>
              </w:rPr>
            </w:pPr>
          </w:p>
        </w:tc>
        <w:tc>
          <w:tcPr>
            <w:tcW w:w="1530" w:type="dxa"/>
            <w:tcBorders>
              <w:left w:val="nil"/>
              <w:bottom w:val="single" w:sz="18" w:space="0" w:color="auto"/>
              <w:right w:val="nil"/>
            </w:tcBorders>
            <w:shd w:val="clear" w:color="auto" w:fill="FFFFFF" w:themeFill="background1"/>
            <w:vAlign w:val="center"/>
          </w:tcPr>
          <w:p w14:paraId="184292D8" w14:textId="77777777" w:rsidR="00864EDD" w:rsidRDefault="00864EDD" w:rsidP="00A1003D">
            <w:pPr>
              <w:spacing w:line="240" w:lineRule="auto"/>
              <w:rPr>
                <w:rFonts w:cs="Times New Roman"/>
                <w:color w:val="000000"/>
                <w:sz w:val="20"/>
                <w:szCs w:val="20"/>
              </w:rPr>
            </w:pPr>
            <w:r>
              <w:rPr>
                <w:rFonts w:cs="Times New Roman"/>
                <w:color w:val="000000"/>
                <w:sz w:val="20"/>
                <w:szCs w:val="20"/>
              </w:rPr>
              <w:t>Crimson clover</w:t>
            </w:r>
          </w:p>
        </w:tc>
        <w:tc>
          <w:tcPr>
            <w:tcW w:w="993" w:type="dxa"/>
            <w:tcBorders>
              <w:left w:val="nil"/>
              <w:bottom w:val="single" w:sz="18" w:space="0" w:color="auto"/>
              <w:right w:val="nil"/>
            </w:tcBorders>
            <w:shd w:val="clear" w:color="auto" w:fill="FFFFFF" w:themeFill="background1"/>
            <w:noWrap/>
            <w:vAlign w:val="center"/>
          </w:tcPr>
          <w:p w14:paraId="4D0814FA"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26.6</w:t>
            </w:r>
          </w:p>
        </w:tc>
        <w:tc>
          <w:tcPr>
            <w:tcW w:w="1260" w:type="dxa"/>
            <w:tcBorders>
              <w:left w:val="nil"/>
              <w:bottom w:val="single" w:sz="18" w:space="0" w:color="auto"/>
              <w:right w:val="nil"/>
            </w:tcBorders>
            <w:shd w:val="clear" w:color="auto" w:fill="FFFFFF" w:themeFill="background1"/>
            <w:vAlign w:val="center"/>
          </w:tcPr>
          <w:p w14:paraId="4A199C1D"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24.6</w:t>
            </w:r>
          </w:p>
        </w:tc>
        <w:tc>
          <w:tcPr>
            <w:tcW w:w="1260" w:type="dxa"/>
            <w:tcBorders>
              <w:left w:val="nil"/>
              <w:bottom w:val="single" w:sz="18" w:space="0" w:color="auto"/>
              <w:right w:val="nil"/>
            </w:tcBorders>
            <w:shd w:val="clear" w:color="auto" w:fill="FFFFFF" w:themeFill="background1"/>
            <w:vAlign w:val="center"/>
          </w:tcPr>
          <w:p w14:paraId="5386EC3C"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63.2</w:t>
            </w:r>
          </w:p>
        </w:tc>
        <w:tc>
          <w:tcPr>
            <w:tcW w:w="1077" w:type="dxa"/>
            <w:tcBorders>
              <w:left w:val="nil"/>
              <w:bottom w:val="single" w:sz="18" w:space="0" w:color="auto"/>
              <w:right w:val="nil"/>
            </w:tcBorders>
            <w:shd w:val="clear" w:color="auto" w:fill="FFFFFF" w:themeFill="background1"/>
            <w:vAlign w:val="center"/>
          </w:tcPr>
          <w:p w14:paraId="7A21A29E" w14:textId="77777777" w:rsidR="00864EDD" w:rsidRDefault="00864EDD" w:rsidP="00A1003D">
            <w:pPr>
              <w:spacing w:line="240" w:lineRule="auto"/>
              <w:jc w:val="center"/>
              <w:rPr>
                <w:rFonts w:cs="Times New Roman"/>
                <w:color w:val="000000"/>
                <w:sz w:val="20"/>
                <w:szCs w:val="20"/>
              </w:rPr>
            </w:pPr>
            <w:r>
              <w:rPr>
                <w:rFonts w:cs="Times New Roman"/>
                <w:color w:val="000000"/>
                <w:sz w:val="20"/>
                <w:szCs w:val="20"/>
              </w:rPr>
              <w:t>55.0</w:t>
            </w:r>
          </w:p>
        </w:tc>
      </w:tr>
    </w:tbl>
    <w:p w14:paraId="00D08924" w14:textId="77777777" w:rsidR="00864EDD" w:rsidRDefault="00864EDD" w:rsidP="00864EDD">
      <w:pPr>
        <w:spacing w:line="240" w:lineRule="auto"/>
      </w:pPr>
    </w:p>
    <w:p w14:paraId="5B29DE27" w14:textId="77777777" w:rsidR="00864EDD" w:rsidRDefault="00864EDD" w:rsidP="00864EDD">
      <w:pPr>
        <w:spacing w:line="240" w:lineRule="auto"/>
      </w:pPr>
    </w:p>
    <w:p w14:paraId="703C6139" w14:textId="77777777" w:rsidR="00864EDD" w:rsidRDefault="00864EDD" w:rsidP="00864EDD">
      <w:pPr>
        <w:spacing w:line="240" w:lineRule="auto"/>
      </w:pPr>
    </w:p>
    <w:p w14:paraId="576AB1F4" w14:textId="77777777" w:rsidR="00864EDD" w:rsidRDefault="00864EDD" w:rsidP="00864EDD">
      <w:pPr>
        <w:spacing w:line="240" w:lineRule="auto"/>
      </w:pPr>
    </w:p>
    <w:p w14:paraId="48711DEE" w14:textId="77777777" w:rsidR="00864EDD" w:rsidRDefault="00864EDD" w:rsidP="00BE3BAD">
      <w:pPr>
        <w:pStyle w:val="Tables"/>
        <w:rPr>
          <w:rStyle w:val="Strong"/>
          <w:b w:val="0"/>
          <w:bCs/>
        </w:rPr>
      </w:pPr>
    </w:p>
    <w:p w14:paraId="73938E03" w14:textId="01E18FD7" w:rsidR="00BE3BAD" w:rsidRDefault="00BE3BAD" w:rsidP="00BE3BAD">
      <w:pPr>
        <w:pStyle w:val="Tables"/>
        <w:rPr>
          <w:rStyle w:val="Strong"/>
          <w:b w:val="0"/>
          <w:bCs/>
        </w:rPr>
      </w:pPr>
      <w:bookmarkStart w:id="75" w:name="_Toc72300397"/>
      <w:r w:rsidRPr="00005219">
        <w:rPr>
          <w:rStyle w:val="Strong"/>
          <w:b w:val="0"/>
          <w:bCs/>
        </w:rPr>
        <w:t xml:space="preserve">Table </w:t>
      </w:r>
      <w:r>
        <w:rPr>
          <w:rStyle w:val="Strong"/>
          <w:b w:val="0"/>
          <w:bCs/>
        </w:rPr>
        <w:t>1</w:t>
      </w:r>
      <w:r w:rsidRPr="00005219">
        <w:rPr>
          <w:rStyle w:val="Strong"/>
          <w:b w:val="0"/>
          <w:bCs/>
        </w:rPr>
        <w:t>.</w:t>
      </w:r>
      <w:r w:rsidR="00864EDD">
        <w:rPr>
          <w:rStyle w:val="Strong"/>
          <w:b w:val="0"/>
          <w:bCs/>
        </w:rPr>
        <w:t>4</w:t>
      </w:r>
      <w:r w:rsidRPr="00005219">
        <w:rPr>
          <w:rStyle w:val="Strong"/>
          <w:b w:val="0"/>
          <w:bCs/>
        </w:rPr>
        <w:t xml:space="preserve">.  </w:t>
      </w:r>
      <w:r w:rsidR="007C0117" w:rsidRPr="00BC2376">
        <w:t xml:space="preserve">Mean crude protein (CP), acid detergent fiber (ADF), </w:t>
      </w:r>
      <w:r w:rsidR="007C0117">
        <w:t xml:space="preserve">amylase </w:t>
      </w:r>
      <w:r w:rsidR="007C0117" w:rsidRPr="00BC2376">
        <w:t>neutral detergent fiber (</w:t>
      </w:r>
      <w:r w:rsidR="007C0117">
        <w:t>a</w:t>
      </w:r>
      <w:r w:rsidR="007C0117" w:rsidRPr="00BC2376">
        <w:t>NDF)</w:t>
      </w:r>
      <w:r w:rsidR="007C0117">
        <w:t>,</w:t>
      </w:r>
      <w:r w:rsidR="007C0117" w:rsidRPr="00BC2376">
        <w:t xml:space="preserve"> </w:t>
      </w:r>
      <w:r w:rsidR="007C0117">
        <w:t xml:space="preserve">and </w:t>
      </w:r>
      <w:r w:rsidR="007C0117" w:rsidRPr="000D28BC">
        <w:rPr>
          <w:i/>
          <w:iCs/>
        </w:rPr>
        <w:t>i</w:t>
      </w:r>
      <w:r w:rsidR="007C0117" w:rsidRPr="00100B61">
        <w:rPr>
          <w:i/>
          <w:iCs/>
        </w:rPr>
        <w:t>n vitro</w:t>
      </w:r>
      <w:r w:rsidR="007C0117">
        <w:t xml:space="preserve"> true dry matter digestibility 48 hours (IVTDMD48H)</w:t>
      </w:r>
      <w:r w:rsidR="007C0117" w:rsidRPr="00BC2376">
        <w:t xml:space="preserve"> </w:t>
      </w:r>
      <w:r w:rsidR="007C0117">
        <w:t>of</w:t>
      </w:r>
      <w:r w:rsidR="007C0117" w:rsidRPr="00BC2376">
        <w:t xml:space="preserve"> </w:t>
      </w:r>
      <w:r w:rsidR="00257CDC">
        <w:t xml:space="preserve">interseeded </w:t>
      </w:r>
      <w:r w:rsidR="00257CDC" w:rsidRPr="00320C4D">
        <w:rPr>
          <w:rStyle w:val="Strong"/>
          <w:b w:val="0"/>
          <w:bCs/>
        </w:rPr>
        <w:t>cereal rye</w:t>
      </w:r>
      <w:r w:rsidR="00257CDC">
        <w:rPr>
          <w:rStyle w:val="Strong"/>
          <w:b w:val="0"/>
          <w:bCs/>
        </w:rPr>
        <w:t xml:space="preserve"> (RYE)</w:t>
      </w:r>
      <w:r w:rsidR="00257CDC" w:rsidRPr="00320C4D">
        <w:rPr>
          <w:rStyle w:val="Strong"/>
          <w:b w:val="0"/>
          <w:bCs/>
        </w:rPr>
        <w:t xml:space="preserve"> and</w:t>
      </w:r>
      <w:r w:rsidR="00257CDC">
        <w:rPr>
          <w:rStyle w:val="Strong"/>
          <w:b w:val="0"/>
          <w:bCs/>
        </w:rPr>
        <w:t xml:space="preserve"> polyculture</w:t>
      </w:r>
      <w:r w:rsidR="00257CDC" w:rsidRPr="00320C4D">
        <w:rPr>
          <w:rStyle w:val="Strong"/>
          <w:b w:val="0"/>
          <w:bCs/>
        </w:rPr>
        <w:t xml:space="preserve"> </w:t>
      </w:r>
      <w:r w:rsidR="00257CDC">
        <w:rPr>
          <w:rStyle w:val="Strong"/>
          <w:b w:val="0"/>
          <w:bCs/>
        </w:rPr>
        <w:t>(</w:t>
      </w:r>
      <w:r w:rsidR="00257CDC" w:rsidRPr="00320C4D">
        <w:rPr>
          <w:rStyle w:val="Strong"/>
          <w:b w:val="0"/>
          <w:bCs/>
        </w:rPr>
        <w:t xml:space="preserve">cereal rye, </w:t>
      </w:r>
      <w:r w:rsidR="00257CDC">
        <w:rPr>
          <w:rStyle w:val="Strong"/>
          <w:b w:val="0"/>
          <w:bCs/>
        </w:rPr>
        <w:t xml:space="preserve">turnip, rape, berseem clover, and </w:t>
      </w:r>
      <w:r w:rsidR="00257CDC" w:rsidRPr="00320C4D">
        <w:rPr>
          <w:rStyle w:val="Strong"/>
          <w:b w:val="0"/>
          <w:bCs/>
        </w:rPr>
        <w:t>crimson clover</w:t>
      </w:r>
      <w:r w:rsidR="00257CDC">
        <w:rPr>
          <w:rStyle w:val="Strong"/>
          <w:b w:val="0"/>
          <w:bCs/>
        </w:rPr>
        <w:t>)</w:t>
      </w:r>
      <w:r w:rsidR="00257CDC" w:rsidRPr="00320C4D">
        <w:rPr>
          <w:rStyle w:val="Strong"/>
          <w:b w:val="0"/>
          <w:bCs/>
        </w:rPr>
        <w:t xml:space="preserve"> </w:t>
      </w:r>
      <w:r w:rsidRPr="00BC2376">
        <w:t>within switchgrass and big bluestem/indiangrass pastures</w:t>
      </w:r>
      <w:r w:rsidR="007C0117">
        <w:t xml:space="preserve"> prior to grazing</w:t>
      </w:r>
      <w:r w:rsidRPr="00BC2376">
        <w:t>, 201</w:t>
      </w:r>
      <w:r w:rsidR="00257CDC">
        <w:t>9</w:t>
      </w:r>
      <w:r w:rsidRPr="00BC2376">
        <w:t xml:space="preserve">-2020, University of Tennessee – </w:t>
      </w:r>
      <w:r>
        <w:t xml:space="preserve">Middle </w:t>
      </w:r>
      <w:r w:rsidRPr="00BC2376">
        <w:t xml:space="preserve">Tennessee AgResearch and Education Center, </w:t>
      </w:r>
      <w:r>
        <w:t>Spring Hill,</w:t>
      </w:r>
      <w:r w:rsidRPr="00BC2376">
        <w:t xml:space="preserve"> TN.</w:t>
      </w:r>
      <w:bookmarkEnd w:id="75"/>
      <w:r>
        <w:rPr>
          <w:rStyle w:val="Strong"/>
          <w:b w:val="0"/>
          <w:bCs/>
        </w:rPr>
        <w:t xml:space="preserve">  </w:t>
      </w:r>
    </w:p>
    <w:tbl>
      <w:tblPr>
        <w:tblW w:w="8640" w:type="dxa"/>
        <w:tblLayout w:type="fixed"/>
        <w:tblLook w:val="04A0" w:firstRow="1" w:lastRow="0" w:firstColumn="1" w:lastColumn="0" w:noHBand="0" w:noVBand="1"/>
      </w:tblPr>
      <w:tblGrid>
        <w:gridCol w:w="629"/>
        <w:gridCol w:w="1258"/>
        <w:gridCol w:w="675"/>
        <w:gridCol w:w="55"/>
        <w:gridCol w:w="635"/>
        <w:gridCol w:w="720"/>
        <w:gridCol w:w="1259"/>
        <w:gridCol w:w="720"/>
        <w:gridCol w:w="720"/>
        <w:gridCol w:w="735"/>
        <w:gridCol w:w="1234"/>
      </w:tblGrid>
      <w:tr w:rsidR="00853110" w:rsidRPr="003A44E9" w14:paraId="75DD8625" w14:textId="77777777" w:rsidTr="00716709">
        <w:trPr>
          <w:trHeight w:val="288"/>
        </w:trPr>
        <w:tc>
          <w:tcPr>
            <w:tcW w:w="629" w:type="dxa"/>
            <w:tcBorders>
              <w:top w:val="single" w:sz="12" w:space="0" w:color="auto"/>
              <w:left w:val="nil"/>
              <w:bottom w:val="single" w:sz="12" w:space="0" w:color="FFFFFF" w:themeColor="background1"/>
              <w:right w:val="single" w:sz="36" w:space="0" w:color="FFFFFF" w:themeColor="background1"/>
            </w:tcBorders>
            <w:shd w:val="clear" w:color="auto" w:fill="auto"/>
            <w:noWrap/>
            <w:vAlign w:val="center"/>
            <w:hideMark/>
          </w:tcPr>
          <w:p w14:paraId="7EBC0731" w14:textId="77777777" w:rsidR="00BE3BAD" w:rsidRPr="003A44E9" w:rsidRDefault="00BE3BAD" w:rsidP="001E0941">
            <w:pPr>
              <w:spacing w:line="240" w:lineRule="auto"/>
              <w:rPr>
                <w:rFonts w:cs="Times New Roman"/>
                <w:sz w:val="20"/>
                <w:szCs w:val="20"/>
              </w:rPr>
            </w:pPr>
          </w:p>
        </w:tc>
        <w:tc>
          <w:tcPr>
            <w:tcW w:w="1258" w:type="dxa"/>
            <w:tcBorders>
              <w:top w:val="single" w:sz="12" w:space="0" w:color="auto"/>
              <w:left w:val="single" w:sz="36" w:space="0" w:color="FFFFFF" w:themeColor="background1"/>
              <w:bottom w:val="single" w:sz="12" w:space="0" w:color="FFFFFF" w:themeColor="background1"/>
              <w:right w:val="single" w:sz="36" w:space="0" w:color="FFFFFF" w:themeColor="background1"/>
            </w:tcBorders>
          </w:tcPr>
          <w:p w14:paraId="50C9CDD9" w14:textId="77777777" w:rsidR="00BE3BAD" w:rsidRPr="003A44E9" w:rsidRDefault="00BE3BAD" w:rsidP="001E0941">
            <w:pPr>
              <w:spacing w:line="240" w:lineRule="auto"/>
              <w:jc w:val="center"/>
              <w:rPr>
                <w:rFonts w:cs="Times New Roman"/>
                <w:color w:val="000000"/>
                <w:sz w:val="20"/>
                <w:szCs w:val="20"/>
              </w:rPr>
            </w:pPr>
          </w:p>
        </w:tc>
        <w:tc>
          <w:tcPr>
            <w:tcW w:w="3344" w:type="dxa"/>
            <w:gridSpan w:val="5"/>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0E6CD79E" w14:textId="12FEB747" w:rsidR="00BE3BAD" w:rsidRPr="003A44E9" w:rsidRDefault="00BE3BAD" w:rsidP="001E0941">
            <w:pPr>
              <w:spacing w:line="240" w:lineRule="auto"/>
              <w:jc w:val="center"/>
              <w:rPr>
                <w:rFonts w:cs="Times New Roman"/>
                <w:color w:val="000000"/>
                <w:sz w:val="20"/>
                <w:szCs w:val="20"/>
              </w:rPr>
            </w:pPr>
            <w:r w:rsidRPr="003A44E9">
              <w:rPr>
                <w:rFonts w:cs="Times New Roman"/>
                <w:color w:val="000000"/>
                <w:sz w:val="20"/>
                <w:szCs w:val="20"/>
              </w:rPr>
              <w:t>Switchgrass</w:t>
            </w:r>
          </w:p>
        </w:tc>
        <w:tc>
          <w:tcPr>
            <w:tcW w:w="3409" w:type="dxa"/>
            <w:gridSpan w:val="4"/>
            <w:tcBorders>
              <w:top w:val="single" w:sz="12" w:space="0" w:color="auto"/>
              <w:left w:val="single" w:sz="36" w:space="0" w:color="FFFFFF" w:themeColor="background1"/>
              <w:bottom w:val="single" w:sz="12" w:space="0" w:color="auto"/>
              <w:right w:val="single" w:sz="24" w:space="0" w:color="FFFFFF" w:themeColor="background1"/>
            </w:tcBorders>
            <w:shd w:val="clear" w:color="auto" w:fill="auto"/>
            <w:noWrap/>
            <w:vAlign w:val="center"/>
          </w:tcPr>
          <w:p w14:paraId="009882C6" w14:textId="77777777" w:rsidR="00BE3BAD" w:rsidRPr="003A44E9" w:rsidRDefault="00BE3BAD" w:rsidP="001E0941">
            <w:pPr>
              <w:spacing w:line="240" w:lineRule="auto"/>
              <w:jc w:val="center"/>
              <w:rPr>
                <w:rFonts w:cs="Times New Roman"/>
                <w:color w:val="000000"/>
                <w:sz w:val="20"/>
                <w:szCs w:val="20"/>
              </w:rPr>
            </w:pPr>
            <w:r w:rsidRPr="003A44E9">
              <w:rPr>
                <w:rFonts w:cs="Times New Roman"/>
                <w:color w:val="000000"/>
                <w:sz w:val="20"/>
                <w:szCs w:val="20"/>
              </w:rPr>
              <w:t>Big bluestem/Indiangrass</w:t>
            </w:r>
          </w:p>
        </w:tc>
      </w:tr>
      <w:tr w:rsidR="00716709" w:rsidRPr="003A44E9" w14:paraId="41B101E7" w14:textId="77777777" w:rsidTr="00716709">
        <w:trPr>
          <w:trHeight w:val="288"/>
        </w:trPr>
        <w:tc>
          <w:tcPr>
            <w:tcW w:w="629" w:type="dxa"/>
            <w:tcBorders>
              <w:top w:val="single" w:sz="12" w:space="0" w:color="FFFFFF" w:themeColor="background1"/>
              <w:left w:val="nil"/>
              <w:bottom w:val="single" w:sz="12" w:space="0" w:color="auto"/>
              <w:right w:val="single" w:sz="36" w:space="0" w:color="FFFFFF" w:themeColor="background1"/>
            </w:tcBorders>
            <w:shd w:val="clear" w:color="auto" w:fill="auto"/>
            <w:noWrap/>
            <w:vAlign w:val="center"/>
            <w:hideMark/>
          </w:tcPr>
          <w:p w14:paraId="4E703DB1" w14:textId="77777777" w:rsidR="00853110" w:rsidRPr="003A44E9" w:rsidRDefault="00853110" w:rsidP="00853110">
            <w:pPr>
              <w:spacing w:line="240" w:lineRule="auto"/>
              <w:rPr>
                <w:rFonts w:cs="Times New Roman"/>
                <w:sz w:val="20"/>
                <w:szCs w:val="20"/>
              </w:rPr>
            </w:pPr>
            <w:r>
              <w:rPr>
                <w:rFonts w:cs="Times New Roman"/>
                <w:sz w:val="20"/>
                <w:szCs w:val="20"/>
              </w:rPr>
              <w:t>Year</w:t>
            </w:r>
          </w:p>
        </w:tc>
        <w:tc>
          <w:tcPr>
            <w:tcW w:w="1258" w:type="dxa"/>
            <w:tcBorders>
              <w:top w:val="single" w:sz="12" w:space="0" w:color="FFFFFF" w:themeColor="background1"/>
              <w:left w:val="single" w:sz="36" w:space="0" w:color="FFFFFF" w:themeColor="background1"/>
              <w:bottom w:val="single" w:sz="12" w:space="0" w:color="auto"/>
              <w:right w:val="single" w:sz="36" w:space="0" w:color="FFFFFF" w:themeColor="background1"/>
            </w:tcBorders>
            <w:vAlign w:val="center"/>
          </w:tcPr>
          <w:p w14:paraId="14C82E81" w14:textId="0D0D2561" w:rsidR="00853110" w:rsidRDefault="00853110" w:rsidP="00853110">
            <w:pPr>
              <w:spacing w:line="240" w:lineRule="auto"/>
              <w:jc w:val="center"/>
              <w:rPr>
                <w:rFonts w:cs="Times New Roman"/>
                <w:color w:val="000000"/>
                <w:sz w:val="20"/>
                <w:szCs w:val="20"/>
              </w:rPr>
            </w:pPr>
            <w:r>
              <w:rPr>
                <w:rFonts w:cs="Times New Roman"/>
                <w:color w:val="000000"/>
                <w:sz w:val="20"/>
                <w:szCs w:val="20"/>
              </w:rPr>
              <w:t>Cool-season Annual</w:t>
            </w:r>
          </w:p>
        </w:tc>
        <w:tc>
          <w:tcPr>
            <w:tcW w:w="73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42666A9B" w14:textId="77777777" w:rsidR="00853110" w:rsidRPr="003A44E9" w:rsidRDefault="00853110" w:rsidP="00853110">
            <w:pPr>
              <w:spacing w:line="240" w:lineRule="auto"/>
              <w:jc w:val="center"/>
              <w:rPr>
                <w:rFonts w:cs="Times New Roman"/>
                <w:color w:val="000000"/>
                <w:sz w:val="20"/>
                <w:szCs w:val="20"/>
              </w:rPr>
            </w:pPr>
            <w:r>
              <w:rPr>
                <w:rFonts w:cs="Times New Roman"/>
                <w:color w:val="000000"/>
                <w:sz w:val="20"/>
                <w:szCs w:val="20"/>
              </w:rPr>
              <w:t>CP</w:t>
            </w:r>
          </w:p>
        </w:tc>
        <w:tc>
          <w:tcPr>
            <w:tcW w:w="635"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tcPr>
          <w:p w14:paraId="0D90D208" w14:textId="07D646CA" w:rsidR="00853110" w:rsidRPr="003A44E9" w:rsidRDefault="00853110" w:rsidP="00853110">
            <w:pPr>
              <w:spacing w:line="240" w:lineRule="auto"/>
              <w:jc w:val="center"/>
              <w:rPr>
                <w:rFonts w:cs="Times New Roman"/>
                <w:color w:val="000000"/>
                <w:sz w:val="20"/>
                <w:szCs w:val="20"/>
              </w:rPr>
            </w:pPr>
            <w:r>
              <w:rPr>
                <w:rFonts w:cs="Times New Roman"/>
                <w:color w:val="000000"/>
                <w:sz w:val="20"/>
                <w:szCs w:val="20"/>
              </w:rPr>
              <w:t>ADF</w:t>
            </w:r>
          </w:p>
        </w:tc>
        <w:tc>
          <w:tcPr>
            <w:tcW w:w="720"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tcPr>
          <w:p w14:paraId="7F3F831D" w14:textId="6A295E9F" w:rsidR="00853110" w:rsidRPr="003A44E9" w:rsidRDefault="00853110" w:rsidP="00853110">
            <w:pPr>
              <w:spacing w:line="240" w:lineRule="auto"/>
              <w:jc w:val="center"/>
              <w:rPr>
                <w:rFonts w:cs="Times New Roman"/>
                <w:color w:val="000000"/>
                <w:sz w:val="20"/>
                <w:szCs w:val="20"/>
              </w:rPr>
            </w:pPr>
            <w:r>
              <w:rPr>
                <w:rFonts w:cs="Times New Roman"/>
                <w:color w:val="000000"/>
                <w:sz w:val="20"/>
                <w:szCs w:val="20"/>
              </w:rPr>
              <w:t>aNDF</w:t>
            </w:r>
          </w:p>
        </w:tc>
        <w:tc>
          <w:tcPr>
            <w:tcW w:w="1259"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tcPr>
          <w:p w14:paraId="4313D1B1" w14:textId="435F921D" w:rsidR="00853110" w:rsidRPr="003A44E9" w:rsidRDefault="00853110" w:rsidP="00853110">
            <w:pPr>
              <w:spacing w:line="240" w:lineRule="auto"/>
              <w:jc w:val="center"/>
              <w:rPr>
                <w:rFonts w:cs="Times New Roman"/>
                <w:color w:val="000000"/>
                <w:sz w:val="20"/>
                <w:szCs w:val="20"/>
              </w:rPr>
            </w:pPr>
            <w:r>
              <w:rPr>
                <w:rFonts w:cs="Times New Roman"/>
                <w:color w:val="000000"/>
                <w:sz w:val="20"/>
                <w:szCs w:val="20"/>
              </w:rPr>
              <w:t>IVTDMD48</w:t>
            </w:r>
          </w:p>
        </w:tc>
        <w:tc>
          <w:tcPr>
            <w:tcW w:w="720"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tcPr>
          <w:p w14:paraId="6A60396E" w14:textId="7BA10797" w:rsidR="00853110" w:rsidRPr="003A44E9" w:rsidRDefault="00853110" w:rsidP="00853110">
            <w:pPr>
              <w:spacing w:line="240" w:lineRule="auto"/>
              <w:jc w:val="center"/>
              <w:rPr>
                <w:rFonts w:cs="Times New Roman"/>
                <w:color w:val="000000"/>
                <w:sz w:val="20"/>
                <w:szCs w:val="20"/>
              </w:rPr>
            </w:pPr>
            <w:r>
              <w:rPr>
                <w:rFonts w:cs="Times New Roman"/>
                <w:color w:val="000000"/>
                <w:sz w:val="20"/>
                <w:szCs w:val="20"/>
              </w:rPr>
              <w:t>CP</w:t>
            </w:r>
          </w:p>
        </w:tc>
        <w:tc>
          <w:tcPr>
            <w:tcW w:w="720"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tcPr>
          <w:p w14:paraId="088831C4" w14:textId="6BAD1953" w:rsidR="00853110" w:rsidRPr="003A44E9" w:rsidRDefault="00853110" w:rsidP="00853110">
            <w:pPr>
              <w:spacing w:line="240" w:lineRule="auto"/>
              <w:jc w:val="center"/>
              <w:rPr>
                <w:rFonts w:cs="Times New Roman"/>
                <w:color w:val="000000"/>
                <w:sz w:val="20"/>
                <w:szCs w:val="20"/>
              </w:rPr>
            </w:pPr>
            <w:r>
              <w:rPr>
                <w:rFonts w:cs="Times New Roman"/>
                <w:color w:val="000000"/>
                <w:sz w:val="20"/>
                <w:szCs w:val="20"/>
              </w:rPr>
              <w:t>ADF</w:t>
            </w:r>
          </w:p>
        </w:tc>
        <w:tc>
          <w:tcPr>
            <w:tcW w:w="735"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tcPr>
          <w:p w14:paraId="6BE9E8E5" w14:textId="6AB16D86" w:rsidR="00853110" w:rsidRPr="003A44E9" w:rsidRDefault="00853110" w:rsidP="00853110">
            <w:pPr>
              <w:spacing w:line="240" w:lineRule="auto"/>
              <w:jc w:val="center"/>
              <w:rPr>
                <w:rFonts w:cs="Times New Roman"/>
                <w:color w:val="000000"/>
                <w:sz w:val="20"/>
                <w:szCs w:val="20"/>
              </w:rPr>
            </w:pPr>
            <w:r>
              <w:rPr>
                <w:rFonts w:cs="Times New Roman"/>
                <w:color w:val="000000"/>
                <w:sz w:val="20"/>
                <w:szCs w:val="20"/>
              </w:rPr>
              <w:t>aNDF</w:t>
            </w:r>
          </w:p>
        </w:tc>
        <w:tc>
          <w:tcPr>
            <w:tcW w:w="1234" w:type="dxa"/>
            <w:tcBorders>
              <w:top w:val="single" w:sz="12" w:space="0" w:color="auto"/>
              <w:left w:val="single" w:sz="36" w:space="0" w:color="FFFFFF" w:themeColor="background1"/>
              <w:bottom w:val="single" w:sz="12" w:space="0" w:color="auto"/>
              <w:right w:val="single" w:sz="24" w:space="0" w:color="FFFFFF" w:themeColor="background1"/>
            </w:tcBorders>
            <w:shd w:val="clear" w:color="auto" w:fill="auto"/>
            <w:vAlign w:val="center"/>
          </w:tcPr>
          <w:p w14:paraId="3566BEC3" w14:textId="33C3AEEF" w:rsidR="00853110" w:rsidRPr="003A44E9" w:rsidRDefault="00853110" w:rsidP="00853110">
            <w:pPr>
              <w:spacing w:line="240" w:lineRule="auto"/>
              <w:jc w:val="center"/>
              <w:rPr>
                <w:rFonts w:cs="Times New Roman"/>
                <w:color w:val="000000"/>
                <w:sz w:val="20"/>
                <w:szCs w:val="20"/>
              </w:rPr>
            </w:pPr>
            <w:r>
              <w:rPr>
                <w:rFonts w:cs="Times New Roman"/>
                <w:color w:val="000000"/>
                <w:sz w:val="20"/>
                <w:szCs w:val="20"/>
              </w:rPr>
              <w:t>IVTDMD48</w:t>
            </w:r>
          </w:p>
        </w:tc>
      </w:tr>
      <w:tr w:rsidR="00716709" w:rsidRPr="003A44E9" w14:paraId="0EB5695C" w14:textId="77777777" w:rsidTr="00716709">
        <w:trPr>
          <w:trHeight w:val="288"/>
        </w:trPr>
        <w:tc>
          <w:tcPr>
            <w:tcW w:w="629" w:type="dxa"/>
            <w:tcBorders>
              <w:top w:val="single" w:sz="12" w:space="0" w:color="auto"/>
              <w:left w:val="nil"/>
              <w:right w:val="single" w:sz="36" w:space="0" w:color="FFFFFF" w:themeColor="background1"/>
            </w:tcBorders>
            <w:shd w:val="clear" w:color="auto" w:fill="auto"/>
            <w:noWrap/>
            <w:vAlign w:val="bottom"/>
          </w:tcPr>
          <w:p w14:paraId="3EA2C433" w14:textId="77777777" w:rsidR="00853110" w:rsidRPr="003A44E9" w:rsidRDefault="00853110" w:rsidP="001E0941">
            <w:pPr>
              <w:spacing w:line="240" w:lineRule="auto"/>
              <w:rPr>
                <w:rFonts w:cs="Times New Roman"/>
                <w:color w:val="000000"/>
                <w:sz w:val="20"/>
                <w:szCs w:val="20"/>
              </w:rPr>
            </w:pPr>
          </w:p>
        </w:tc>
        <w:tc>
          <w:tcPr>
            <w:tcW w:w="1258" w:type="dxa"/>
            <w:tcBorders>
              <w:top w:val="single" w:sz="12" w:space="0" w:color="auto"/>
              <w:left w:val="single" w:sz="36" w:space="0" w:color="FFFFFF" w:themeColor="background1"/>
              <w:right w:val="single" w:sz="36" w:space="0" w:color="FFFFFF" w:themeColor="background1"/>
            </w:tcBorders>
          </w:tcPr>
          <w:p w14:paraId="24C11943" w14:textId="77777777" w:rsidR="00853110" w:rsidRPr="003A44E9" w:rsidRDefault="00853110" w:rsidP="001E0941">
            <w:pPr>
              <w:spacing w:line="240" w:lineRule="auto"/>
              <w:jc w:val="center"/>
              <w:rPr>
                <w:sz w:val="20"/>
                <w:szCs w:val="20"/>
              </w:rPr>
            </w:pPr>
          </w:p>
        </w:tc>
        <w:tc>
          <w:tcPr>
            <w:tcW w:w="6753" w:type="dxa"/>
            <w:gridSpan w:val="9"/>
            <w:tcBorders>
              <w:top w:val="single" w:sz="12" w:space="0" w:color="auto"/>
              <w:left w:val="single" w:sz="36" w:space="0" w:color="FFFFFF" w:themeColor="background1"/>
              <w:right w:val="single" w:sz="24" w:space="0" w:color="FFFFFF" w:themeColor="background1"/>
            </w:tcBorders>
            <w:shd w:val="clear" w:color="auto" w:fill="auto"/>
            <w:noWrap/>
            <w:vAlign w:val="center"/>
          </w:tcPr>
          <w:p w14:paraId="054DA4BC" w14:textId="3B202BB6" w:rsidR="00853110" w:rsidRPr="00853110" w:rsidRDefault="007C0117" w:rsidP="001E0941">
            <w:pPr>
              <w:spacing w:line="240" w:lineRule="auto"/>
              <w:jc w:val="center"/>
              <w:rPr>
                <w:sz w:val="20"/>
                <w:szCs w:val="20"/>
              </w:rPr>
            </w:pPr>
            <w:r>
              <w:rPr>
                <w:sz w:val="20"/>
                <w:szCs w:val="20"/>
              </w:rPr>
              <w:t>-----------</w:t>
            </w:r>
            <w:r w:rsidR="00853110">
              <w:rPr>
                <w:sz w:val="20"/>
                <w:szCs w:val="20"/>
              </w:rPr>
              <w:t>--------------------</w:t>
            </w:r>
            <w:r>
              <w:rPr>
                <w:sz w:val="20"/>
                <w:szCs w:val="20"/>
              </w:rPr>
              <w:t>----</w:t>
            </w:r>
            <w:r w:rsidR="00853110">
              <w:rPr>
                <w:sz w:val="20"/>
                <w:szCs w:val="20"/>
              </w:rPr>
              <w:t>--------g kg</w:t>
            </w:r>
            <w:r w:rsidR="00853110" w:rsidRPr="0053607C">
              <w:rPr>
                <w:sz w:val="20"/>
                <w:szCs w:val="20"/>
                <w:vertAlign w:val="superscript"/>
              </w:rPr>
              <w:t>-</w:t>
            </w:r>
            <w:r w:rsidR="00853110">
              <w:rPr>
                <w:sz w:val="20"/>
                <w:szCs w:val="20"/>
                <w:vertAlign w:val="superscript"/>
              </w:rPr>
              <w:t>1</w:t>
            </w:r>
            <w:r w:rsidR="00853110">
              <w:rPr>
                <w:sz w:val="20"/>
                <w:szCs w:val="20"/>
              </w:rPr>
              <w:t>-------</w:t>
            </w:r>
            <w:r>
              <w:rPr>
                <w:sz w:val="20"/>
                <w:szCs w:val="20"/>
              </w:rPr>
              <w:t>----------------</w:t>
            </w:r>
            <w:r w:rsidR="00853110">
              <w:rPr>
                <w:sz w:val="20"/>
                <w:szCs w:val="20"/>
              </w:rPr>
              <w:t>--------------------</w:t>
            </w:r>
          </w:p>
        </w:tc>
      </w:tr>
      <w:tr w:rsidR="00884DCE" w:rsidRPr="003A44E9" w14:paraId="2335E130" w14:textId="77777777" w:rsidTr="00884DCE">
        <w:trPr>
          <w:trHeight w:val="288"/>
        </w:trPr>
        <w:tc>
          <w:tcPr>
            <w:tcW w:w="629" w:type="dxa"/>
            <w:tcBorders>
              <w:left w:val="nil"/>
            </w:tcBorders>
            <w:shd w:val="clear" w:color="auto" w:fill="auto"/>
            <w:noWrap/>
            <w:vAlign w:val="center"/>
            <w:hideMark/>
          </w:tcPr>
          <w:p w14:paraId="6097B693" w14:textId="77777777" w:rsidR="00853110" w:rsidRPr="003A44E9" w:rsidRDefault="00853110" w:rsidP="001E0941">
            <w:pPr>
              <w:spacing w:line="240" w:lineRule="auto"/>
              <w:rPr>
                <w:rFonts w:cs="Times New Roman"/>
                <w:color w:val="000000"/>
                <w:sz w:val="20"/>
                <w:szCs w:val="20"/>
              </w:rPr>
            </w:pPr>
            <w:r>
              <w:rPr>
                <w:rFonts w:cs="Times New Roman"/>
                <w:color w:val="000000"/>
                <w:sz w:val="20"/>
                <w:szCs w:val="20"/>
              </w:rPr>
              <w:t>2019</w:t>
            </w:r>
          </w:p>
        </w:tc>
        <w:tc>
          <w:tcPr>
            <w:tcW w:w="1258" w:type="dxa"/>
            <w:vAlign w:val="center"/>
          </w:tcPr>
          <w:p w14:paraId="667157DE" w14:textId="67A43843" w:rsidR="00853110" w:rsidRDefault="00257CDC" w:rsidP="00BE3BAD">
            <w:pPr>
              <w:spacing w:line="240" w:lineRule="auto"/>
              <w:rPr>
                <w:rFonts w:cs="Times New Roman"/>
                <w:color w:val="000000"/>
                <w:sz w:val="20"/>
                <w:szCs w:val="20"/>
              </w:rPr>
            </w:pPr>
            <w:r>
              <w:rPr>
                <w:rFonts w:cs="Times New Roman"/>
                <w:color w:val="000000"/>
                <w:sz w:val="20"/>
                <w:szCs w:val="20"/>
              </w:rPr>
              <w:t>RYE</w:t>
            </w:r>
          </w:p>
        </w:tc>
        <w:tc>
          <w:tcPr>
            <w:tcW w:w="675" w:type="dxa"/>
            <w:tcBorders>
              <w:right w:val="single" w:sz="36" w:space="0" w:color="FFFFFF" w:themeColor="background1"/>
            </w:tcBorders>
            <w:shd w:val="clear" w:color="auto" w:fill="auto"/>
            <w:noWrap/>
            <w:vAlign w:val="center"/>
          </w:tcPr>
          <w:p w14:paraId="0117855A" w14:textId="0F9F72B4" w:rsidR="00853110" w:rsidRPr="000D7ABF" w:rsidRDefault="00853110" w:rsidP="001E0941">
            <w:pPr>
              <w:spacing w:line="240" w:lineRule="auto"/>
              <w:jc w:val="center"/>
              <w:rPr>
                <w:rFonts w:cs="Times New Roman"/>
                <w:color w:val="000000"/>
                <w:sz w:val="20"/>
                <w:szCs w:val="20"/>
              </w:rPr>
            </w:pPr>
            <w:r>
              <w:rPr>
                <w:rFonts w:cs="Times New Roman"/>
                <w:color w:val="000000"/>
                <w:sz w:val="20"/>
                <w:szCs w:val="20"/>
              </w:rPr>
              <w:t>123.2</w:t>
            </w:r>
          </w:p>
        </w:tc>
        <w:tc>
          <w:tcPr>
            <w:tcW w:w="690" w:type="dxa"/>
            <w:gridSpan w:val="2"/>
            <w:tcBorders>
              <w:left w:val="single" w:sz="36" w:space="0" w:color="FFFFFF" w:themeColor="background1"/>
              <w:right w:val="single" w:sz="36" w:space="0" w:color="FFFFFF" w:themeColor="background1"/>
            </w:tcBorders>
            <w:shd w:val="clear" w:color="auto" w:fill="auto"/>
            <w:vAlign w:val="center"/>
          </w:tcPr>
          <w:p w14:paraId="34D53564" w14:textId="6DE9C916" w:rsidR="00853110" w:rsidRPr="000D7ABF" w:rsidRDefault="00853110" w:rsidP="001E0941">
            <w:pPr>
              <w:spacing w:line="240" w:lineRule="auto"/>
              <w:jc w:val="center"/>
              <w:rPr>
                <w:rFonts w:cs="Times New Roman"/>
                <w:color w:val="000000"/>
                <w:sz w:val="20"/>
                <w:szCs w:val="20"/>
              </w:rPr>
            </w:pPr>
            <w:r>
              <w:rPr>
                <w:rFonts w:cs="Times New Roman"/>
                <w:color w:val="000000"/>
                <w:sz w:val="20"/>
                <w:szCs w:val="20"/>
              </w:rPr>
              <w:t>254.2</w:t>
            </w:r>
          </w:p>
        </w:tc>
        <w:tc>
          <w:tcPr>
            <w:tcW w:w="720" w:type="dxa"/>
            <w:tcBorders>
              <w:left w:val="single" w:sz="36" w:space="0" w:color="FFFFFF" w:themeColor="background1"/>
              <w:right w:val="single" w:sz="36" w:space="0" w:color="FFFFFF" w:themeColor="background1"/>
            </w:tcBorders>
            <w:shd w:val="clear" w:color="auto" w:fill="auto"/>
            <w:vAlign w:val="center"/>
          </w:tcPr>
          <w:p w14:paraId="3AE71B7F" w14:textId="546049C3" w:rsidR="00853110" w:rsidRPr="000D7ABF" w:rsidRDefault="00853110" w:rsidP="001E0941">
            <w:pPr>
              <w:spacing w:line="240" w:lineRule="auto"/>
              <w:jc w:val="center"/>
              <w:rPr>
                <w:rFonts w:cs="Times New Roman"/>
                <w:color w:val="000000"/>
                <w:sz w:val="20"/>
                <w:szCs w:val="20"/>
              </w:rPr>
            </w:pPr>
            <w:r>
              <w:rPr>
                <w:rFonts w:cs="Times New Roman"/>
                <w:color w:val="000000"/>
                <w:sz w:val="20"/>
                <w:szCs w:val="20"/>
              </w:rPr>
              <w:t>506.6</w:t>
            </w:r>
          </w:p>
        </w:tc>
        <w:tc>
          <w:tcPr>
            <w:tcW w:w="1259" w:type="dxa"/>
            <w:tcBorders>
              <w:left w:val="single" w:sz="36" w:space="0" w:color="FFFFFF" w:themeColor="background1"/>
              <w:right w:val="single" w:sz="36" w:space="0" w:color="FFFFFF" w:themeColor="background1"/>
            </w:tcBorders>
            <w:shd w:val="clear" w:color="auto" w:fill="auto"/>
            <w:vAlign w:val="center"/>
          </w:tcPr>
          <w:p w14:paraId="1787CF97" w14:textId="6442ECE7" w:rsidR="00853110" w:rsidRPr="000D7ABF" w:rsidRDefault="00853110" w:rsidP="001E0941">
            <w:pPr>
              <w:spacing w:line="240" w:lineRule="auto"/>
              <w:jc w:val="center"/>
              <w:rPr>
                <w:rFonts w:cs="Times New Roman"/>
                <w:color w:val="000000"/>
                <w:sz w:val="20"/>
                <w:szCs w:val="20"/>
              </w:rPr>
            </w:pPr>
            <w:r>
              <w:rPr>
                <w:rFonts w:cs="Times New Roman"/>
                <w:color w:val="000000"/>
                <w:sz w:val="20"/>
                <w:szCs w:val="20"/>
              </w:rPr>
              <w:t>862.9</w:t>
            </w:r>
          </w:p>
        </w:tc>
        <w:tc>
          <w:tcPr>
            <w:tcW w:w="720" w:type="dxa"/>
            <w:tcBorders>
              <w:left w:val="single" w:sz="36" w:space="0" w:color="FFFFFF" w:themeColor="background1"/>
              <w:right w:val="single" w:sz="36" w:space="0" w:color="FFFFFF" w:themeColor="background1"/>
            </w:tcBorders>
            <w:shd w:val="clear" w:color="auto" w:fill="auto"/>
            <w:vAlign w:val="center"/>
          </w:tcPr>
          <w:p w14:paraId="503399B0" w14:textId="7B8EE54F" w:rsidR="00853110" w:rsidRPr="000D7ABF" w:rsidRDefault="00853110" w:rsidP="001E0941">
            <w:pPr>
              <w:spacing w:line="240" w:lineRule="auto"/>
              <w:jc w:val="center"/>
              <w:rPr>
                <w:rFonts w:cs="Times New Roman"/>
                <w:color w:val="000000"/>
                <w:sz w:val="20"/>
                <w:szCs w:val="20"/>
              </w:rPr>
            </w:pPr>
            <w:r>
              <w:rPr>
                <w:rFonts w:cs="Times New Roman"/>
                <w:color w:val="000000"/>
                <w:sz w:val="20"/>
                <w:szCs w:val="20"/>
              </w:rPr>
              <w:t>140.9</w:t>
            </w:r>
          </w:p>
        </w:tc>
        <w:tc>
          <w:tcPr>
            <w:tcW w:w="720" w:type="dxa"/>
            <w:tcBorders>
              <w:left w:val="single" w:sz="36" w:space="0" w:color="FFFFFF" w:themeColor="background1"/>
              <w:right w:val="single" w:sz="36" w:space="0" w:color="FFFFFF" w:themeColor="background1"/>
            </w:tcBorders>
            <w:shd w:val="clear" w:color="auto" w:fill="auto"/>
            <w:vAlign w:val="center"/>
          </w:tcPr>
          <w:p w14:paraId="669BD9DD" w14:textId="2C43E914" w:rsidR="00853110" w:rsidRPr="000D7ABF" w:rsidRDefault="00853110" w:rsidP="001E0941">
            <w:pPr>
              <w:spacing w:line="240" w:lineRule="auto"/>
              <w:jc w:val="center"/>
              <w:rPr>
                <w:rFonts w:cs="Times New Roman"/>
                <w:color w:val="000000"/>
                <w:sz w:val="20"/>
                <w:szCs w:val="20"/>
              </w:rPr>
            </w:pPr>
            <w:r>
              <w:rPr>
                <w:rFonts w:cs="Times New Roman"/>
                <w:color w:val="000000"/>
                <w:sz w:val="20"/>
                <w:szCs w:val="20"/>
              </w:rPr>
              <w:t>202.4</w:t>
            </w:r>
          </w:p>
        </w:tc>
        <w:tc>
          <w:tcPr>
            <w:tcW w:w="735" w:type="dxa"/>
            <w:tcBorders>
              <w:left w:val="single" w:sz="36" w:space="0" w:color="FFFFFF" w:themeColor="background1"/>
              <w:right w:val="single" w:sz="36" w:space="0" w:color="FFFFFF" w:themeColor="background1"/>
            </w:tcBorders>
            <w:shd w:val="clear" w:color="auto" w:fill="auto"/>
            <w:vAlign w:val="center"/>
          </w:tcPr>
          <w:p w14:paraId="0401E6D4" w14:textId="183112B6" w:rsidR="00853110" w:rsidRPr="000D7ABF" w:rsidRDefault="00853110" w:rsidP="001E0941">
            <w:pPr>
              <w:spacing w:line="240" w:lineRule="auto"/>
              <w:jc w:val="center"/>
              <w:rPr>
                <w:rFonts w:cs="Times New Roman"/>
                <w:color w:val="000000"/>
                <w:sz w:val="20"/>
                <w:szCs w:val="20"/>
              </w:rPr>
            </w:pPr>
            <w:r>
              <w:rPr>
                <w:rFonts w:cs="Times New Roman"/>
                <w:color w:val="000000"/>
                <w:sz w:val="20"/>
                <w:szCs w:val="20"/>
              </w:rPr>
              <w:t>422.2</w:t>
            </w:r>
          </w:p>
        </w:tc>
        <w:tc>
          <w:tcPr>
            <w:tcW w:w="1234" w:type="dxa"/>
            <w:tcBorders>
              <w:left w:val="single" w:sz="36" w:space="0" w:color="FFFFFF" w:themeColor="background1"/>
              <w:right w:val="single" w:sz="24" w:space="0" w:color="FFFFFF" w:themeColor="background1"/>
            </w:tcBorders>
            <w:shd w:val="clear" w:color="auto" w:fill="auto"/>
            <w:vAlign w:val="center"/>
          </w:tcPr>
          <w:p w14:paraId="636B3750" w14:textId="38FA2EB6" w:rsidR="00853110" w:rsidRPr="000D7ABF" w:rsidRDefault="007C0117" w:rsidP="001E0941">
            <w:pPr>
              <w:spacing w:line="240" w:lineRule="auto"/>
              <w:jc w:val="center"/>
              <w:rPr>
                <w:rFonts w:cs="Times New Roman"/>
                <w:color w:val="000000"/>
                <w:sz w:val="20"/>
                <w:szCs w:val="20"/>
              </w:rPr>
            </w:pPr>
            <w:r>
              <w:rPr>
                <w:rFonts w:cs="Times New Roman"/>
                <w:color w:val="000000"/>
                <w:sz w:val="20"/>
                <w:szCs w:val="20"/>
              </w:rPr>
              <w:t>885.8</w:t>
            </w:r>
          </w:p>
        </w:tc>
      </w:tr>
      <w:tr w:rsidR="00716709" w:rsidRPr="003A44E9" w14:paraId="0C2C5751" w14:textId="77777777" w:rsidTr="00435332">
        <w:trPr>
          <w:trHeight w:val="288"/>
        </w:trPr>
        <w:tc>
          <w:tcPr>
            <w:tcW w:w="629" w:type="dxa"/>
            <w:tcBorders>
              <w:left w:val="nil"/>
              <w:right w:val="nil"/>
            </w:tcBorders>
            <w:shd w:val="clear" w:color="auto" w:fill="D9D9D9" w:themeFill="background1" w:themeFillShade="D9"/>
            <w:noWrap/>
            <w:vAlign w:val="center"/>
            <w:hideMark/>
          </w:tcPr>
          <w:p w14:paraId="650CC235" w14:textId="21E4FFC0" w:rsidR="00853110" w:rsidRPr="00BE3BAD" w:rsidRDefault="00853110" w:rsidP="001E0941">
            <w:pPr>
              <w:spacing w:line="240" w:lineRule="auto"/>
              <w:rPr>
                <w:rFonts w:cs="Times New Roman"/>
                <w:color w:val="000000"/>
                <w:sz w:val="20"/>
                <w:szCs w:val="20"/>
              </w:rPr>
            </w:pPr>
            <w:r>
              <w:rPr>
                <w:rFonts w:cs="Times New Roman"/>
                <w:color w:val="000000"/>
                <w:sz w:val="20"/>
                <w:szCs w:val="20"/>
              </w:rPr>
              <w:t>2019</w:t>
            </w:r>
          </w:p>
        </w:tc>
        <w:tc>
          <w:tcPr>
            <w:tcW w:w="1258" w:type="dxa"/>
            <w:tcBorders>
              <w:left w:val="nil"/>
              <w:right w:val="nil"/>
            </w:tcBorders>
            <w:shd w:val="clear" w:color="auto" w:fill="D9D9D9" w:themeFill="background1" w:themeFillShade="D9"/>
            <w:vAlign w:val="center"/>
          </w:tcPr>
          <w:p w14:paraId="5DF643BF" w14:textId="1550036D" w:rsidR="00853110" w:rsidRDefault="00853110" w:rsidP="00BE3BAD">
            <w:pPr>
              <w:spacing w:line="240" w:lineRule="auto"/>
              <w:rPr>
                <w:rFonts w:cs="Times New Roman"/>
                <w:color w:val="000000"/>
                <w:sz w:val="20"/>
                <w:szCs w:val="20"/>
              </w:rPr>
            </w:pPr>
            <w:r>
              <w:rPr>
                <w:rFonts w:cs="Times New Roman"/>
                <w:color w:val="000000"/>
                <w:sz w:val="20"/>
                <w:szCs w:val="20"/>
              </w:rPr>
              <w:t>Polyculture</w:t>
            </w:r>
          </w:p>
        </w:tc>
        <w:tc>
          <w:tcPr>
            <w:tcW w:w="675" w:type="dxa"/>
            <w:tcBorders>
              <w:left w:val="nil"/>
              <w:right w:val="nil"/>
            </w:tcBorders>
            <w:shd w:val="clear" w:color="auto" w:fill="D9D9D9" w:themeFill="background1" w:themeFillShade="D9"/>
            <w:noWrap/>
            <w:vAlign w:val="center"/>
          </w:tcPr>
          <w:p w14:paraId="4646F138" w14:textId="256333F6" w:rsidR="00853110" w:rsidRPr="000D7ABF" w:rsidRDefault="00853110" w:rsidP="001E0941">
            <w:pPr>
              <w:spacing w:line="240" w:lineRule="auto"/>
              <w:jc w:val="center"/>
              <w:rPr>
                <w:rFonts w:cs="Times New Roman"/>
                <w:color w:val="000000"/>
                <w:sz w:val="20"/>
                <w:szCs w:val="20"/>
              </w:rPr>
            </w:pPr>
            <w:r>
              <w:rPr>
                <w:rFonts w:cs="Times New Roman"/>
                <w:color w:val="000000"/>
                <w:sz w:val="20"/>
                <w:szCs w:val="20"/>
              </w:rPr>
              <w:t>147.2</w:t>
            </w:r>
          </w:p>
        </w:tc>
        <w:tc>
          <w:tcPr>
            <w:tcW w:w="690" w:type="dxa"/>
            <w:gridSpan w:val="2"/>
            <w:tcBorders>
              <w:left w:val="nil"/>
              <w:right w:val="nil"/>
            </w:tcBorders>
            <w:shd w:val="clear" w:color="auto" w:fill="D9D9D9" w:themeFill="background1" w:themeFillShade="D9"/>
            <w:vAlign w:val="center"/>
          </w:tcPr>
          <w:p w14:paraId="3BE54012" w14:textId="25E28CE7" w:rsidR="00853110" w:rsidRPr="000D7ABF" w:rsidRDefault="00853110" w:rsidP="001E0941">
            <w:pPr>
              <w:spacing w:line="240" w:lineRule="auto"/>
              <w:jc w:val="center"/>
              <w:rPr>
                <w:rFonts w:cs="Times New Roman"/>
                <w:color w:val="000000"/>
                <w:sz w:val="20"/>
                <w:szCs w:val="20"/>
              </w:rPr>
            </w:pPr>
            <w:r>
              <w:rPr>
                <w:rFonts w:cs="Times New Roman"/>
                <w:color w:val="000000"/>
                <w:sz w:val="20"/>
                <w:szCs w:val="20"/>
              </w:rPr>
              <w:t>236.2</w:t>
            </w:r>
          </w:p>
        </w:tc>
        <w:tc>
          <w:tcPr>
            <w:tcW w:w="720" w:type="dxa"/>
            <w:tcBorders>
              <w:left w:val="nil"/>
              <w:right w:val="nil"/>
            </w:tcBorders>
            <w:shd w:val="clear" w:color="auto" w:fill="D9D9D9" w:themeFill="background1" w:themeFillShade="D9"/>
            <w:vAlign w:val="center"/>
          </w:tcPr>
          <w:p w14:paraId="298DC18B" w14:textId="58B64212" w:rsidR="00853110" w:rsidRPr="000D7ABF" w:rsidRDefault="00853110" w:rsidP="001E0941">
            <w:pPr>
              <w:spacing w:line="240" w:lineRule="auto"/>
              <w:jc w:val="center"/>
              <w:rPr>
                <w:rFonts w:cs="Times New Roman"/>
                <w:color w:val="000000"/>
                <w:sz w:val="20"/>
                <w:szCs w:val="20"/>
              </w:rPr>
            </w:pPr>
            <w:r>
              <w:rPr>
                <w:rFonts w:cs="Times New Roman"/>
                <w:color w:val="000000"/>
                <w:sz w:val="20"/>
                <w:szCs w:val="20"/>
              </w:rPr>
              <w:t>456.7</w:t>
            </w:r>
          </w:p>
        </w:tc>
        <w:tc>
          <w:tcPr>
            <w:tcW w:w="1259" w:type="dxa"/>
            <w:tcBorders>
              <w:left w:val="nil"/>
              <w:right w:val="nil"/>
            </w:tcBorders>
            <w:shd w:val="clear" w:color="auto" w:fill="D9D9D9" w:themeFill="background1" w:themeFillShade="D9"/>
            <w:vAlign w:val="center"/>
          </w:tcPr>
          <w:p w14:paraId="54E6C11D" w14:textId="66B99807" w:rsidR="00853110" w:rsidRPr="000D7ABF" w:rsidRDefault="00853110" w:rsidP="001E0941">
            <w:pPr>
              <w:spacing w:line="240" w:lineRule="auto"/>
              <w:jc w:val="center"/>
              <w:rPr>
                <w:rFonts w:cs="Times New Roman"/>
                <w:color w:val="000000"/>
                <w:sz w:val="20"/>
                <w:szCs w:val="20"/>
              </w:rPr>
            </w:pPr>
            <w:r>
              <w:rPr>
                <w:rFonts w:cs="Times New Roman"/>
                <w:color w:val="000000"/>
                <w:sz w:val="20"/>
                <w:szCs w:val="20"/>
              </w:rPr>
              <w:t>891.9</w:t>
            </w:r>
          </w:p>
        </w:tc>
        <w:tc>
          <w:tcPr>
            <w:tcW w:w="720" w:type="dxa"/>
            <w:tcBorders>
              <w:left w:val="nil"/>
              <w:right w:val="nil"/>
            </w:tcBorders>
            <w:shd w:val="clear" w:color="auto" w:fill="D9D9D9" w:themeFill="background1" w:themeFillShade="D9"/>
            <w:vAlign w:val="center"/>
          </w:tcPr>
          <w:p w14:paraId="338B6A46" w14:textId="791C5381" w:rsidR="00853110" w:rsidRPr="000D7ABF" w:rsidRDefault="00853110" w:rsidP="001E0941">
            <w:pPr>
              <w:spacing w:line="240" w:lineRule="auto"/>
              <w:jc w:val="center"/>
              <w:rPr>
                <w:rFonts w:cs="Times New Roman"/>
                <w:color w:val="000000"/>
                <w:sz w:val="20"/>
                <w:szCs w:val="20"/>
              </w:rPr>
            </w:pPr>
            <w:r>
              <w:rPr>
                <w:rFonts w:cs="Times New Roman"/>
                <w:color w:val="000000"/>
                <w:sz w:val="20"/>
                <w:szCs w:val="20"/>
              </w:rPr>
              <w:t>167.8</w:t>
            </w:r>
          </w:p>
        </w:tc>
        <w:tc>
          <w:tcPr>
            <w:tcW w:w="720" w:type="dxa"/>
            <w:tcBorders>
              <w:left w:val="nil"/>
              <w:right w:val="nil"/>
            </w:tcBorders>
            <w:shd w:val="clear" w:color="auto" w:fill="D9D9D9" w:themeFill="background1" w:themeFillShade="D9"/>
            <w:vAlign w:val="center"/>
          </w:tcPr>
          <w:p w14:paraId="0678D91F" w14:textId="397E3BE9" w:rsidR="00853110" w:rsidRPr="000D7ABF" w:rsidRDefault="00853110" w:rsidP="001E0941">
            <w:pPr>
              <w:spacing w:line="240" w:lineRule="auto"/>
              <w:jc w:val="center"/>
              <w:rPr>
                <w:rFonts w:cs="Times New Roman"/>
                <w:color w:val="000000"/>
                <w:sz w:val="20"/>
                <w:szCs w:val="20"/>
              </w:rPr>
            </w:pPr>
            <w:r>
              <w:rPr>
                <w:rFonts w:cs="Times New Roman"/>
                <w:color w:val="000000"/>
                <w:sz w:val="20"/>
                <w:szCs w:val="20"/>
              </w:rPr>
              <w:t>205.4</w:t>
            </w:r>
          </w:p>
        </w:tc>
        <w:tc>
          <w:tcPr>
            <w:tcW w:w="735" w:type="dxa"/>
            <w:tcBorders>
              <w:left w:val="nil"/>
              <w:right w:val="nil"/>
            </w:tcBorders>
            <w:shd w:val="clear" w:color="auto" w:fill="D9D9D9" w:themeFill="background1" w:themeFillShade="D9"/>
            <w:vAlign w:val="center"/>
          </w:tcPr>
          <w:p w14:paraId="652E3DFF" w14:textId="3DC7370E" w:rsidR="00853110" w:rsidRPr="000D7ABF" w:rsidRDefault="00853110" w:rsidP="001E0941">
            <w:pPr>
              <w:spacing w:line="240" w:lineRule="auto"/>
              <w:jc w:val="center"/>
              <w:rPr>
                <w:rFonts w:cs="Times New Roman"/>
                <w:color w:val="000000"/>
                <w:sz w:val="20"/>
                <w:szCs w:val="20"/>
              </w:rPr>
            </w:pPr>
            <w:r>
              <w:rPr>
                <w:rFonts w:cs="Times New Roman"/>
                <w:color w:val="000000"/>
                <w:sz w:val="20"/>
                <w:szCs w:val="20"/>
              </w:rPr>
              <w:t>391.2</w:t>
            </w:r>
          </w:p>
        </w:tc>
        <w:tc>
          <w:tcPr>
            <w:tcW w:w="1234" w:type="dxa"/>
            <w:tcBorders>
              <w:left w:val="nil"/>
              <w:right w:val="single" w:sz="18" w:space="0" w:color="FFFFFF" w:themeColor="background1"/>
            </w:tcBorders>
            <w:shd w:val="clear" w:color="auto" w:fill="D9D9D9" w:themeFill="background1" w:themeFillShade="D9"/>
            <w:vAlign w:val="center"/>
          </w:tcPr>
          <w:p w14:paraId="7FD43CC5" w14:textId="607292D7" w:rsidR="00853110" w:rsidRPr="000D7ABF" w:rsidRDefault="007C0117" w:rsidP="001E0941">
            <w:pPr>
              <w:spacing w:line="240" w:lineRule="auto"/>
              <w:jc w:val="center"/>
              <w:rPr>
                <w:rFonts w:cs="Times New Roman"/>
                <w:color w:val="000000"/>
                <w:sz w:val="20"/>
                <w:szCs w:val="20"/>
              </w:rPr>
            </w:pPr>
            <w:r>
              <w:rPr>
                <w:rFonts w:cs="Times New Roman"/>
                <w:color w:val="000000"/>
                <w:sz w:val="20"/>
                <w:szCs w:val="20"/>
              </w:rPr>
              <w:t>887.3</w:t>
            </w:r>
          </w:p>
        </w:tc>
      </w:tr>
      <w:tr w:rsidR="00435332" w:rsidRPr="003A44E9" w14:paraId="4A3CEC06" w14:textId="77777777" w:rsidTr="00435332">
        <w:trPr>
          <w:trHeight w:val="288"/>
        </w:trPr>
        <w:tc>
          <w:tcPr>
            <w:tcW w:w="629" w:type="dxa"/>
            <w:tcBorders>
              <w:left w:val="nil"/>
              <w:right w:val="nil"/>
            </w:tcBorders>
            <w:shd w:val="clear" w:color="auto" w:fill="auto"/>
            <w:noWrap/>
            <w:vAlign w:val="center"/>
          </w:tcPr>
          <w:p w14:paraId="3116EB45" w14:textId="5D61649D" w:rsidR="00853110" w:rsidRPr="00BE3BAD" w:rsidRDefault="00853110" w:rsidP="001E0941">
            <w:pPr>
              <w:spacing w:line="240" w:lineRule="auto"/>
              <w:rPr>
                <w:rFonts w:cs="Times New Roman"/>
                <w:color w:val="000000"/>
                <w:sz w:val="20"/>
                <w:szCs w:val="20"/>
              </w:rPr>
            </w:pPr>
            <w:r>
              <w:rPr>
                <w:rFonts w:cs="Times New Roman"/>
                <w:color w:val="000000"/>
                <w:sz w:val="20"/>
                <w:szCs w:val="20"/>
              </w:rPr>
              <w:t>2020</w:t>
            </w:r>
          </w:p>
        </w:tc>
        <w:tc>
          <w:tcPr>
            <w:tcW w:w="1258" w:type="dxa"/>
            <w:tcBorders>
              <w:left w:val="nil"/>
              <w:right w:val="nil"/>
            </w:tcBorders>
            <w:shd w:val="clear" w:color="auto" w:fill="auto"/>
            <w:vAlign w:val="center"/>
          </w:tcPr>
          <w:p w14:paraId="574C8BB5" w14:textId="0ABC2177" w:rsidR="00853110" w:rsidRDefault="00257CDC" w:rsidP="00BE3BAD">
            <w:pPr>
              <w:spacing w:line="240" w:lineRule="auto"/>
              <w:rPr>
                <w:rFonts w:cs="Times New Roman"/>
                <w:color w:val="000000"/>
                <w:sz w:val="20"/>
                <w:szCs w:val="20"/>
              </w:rPr>
            </w:pPr>
            <w:r>
              <w:rPr>
                <w:rFonts w:cs="Times New Roman"/>
                <w:color w:val="000000"/>
                <w:sz w:val="20"/>
                <w:szCs w:val="20"/>
              </w:rPr>
              <w:t>RYE</w:t>
            </w:r>
          </w:p>
        </w:tc>
        <w:tc>
          <w:tcPr>
            <w:tcW w:w="675" w:type="dxa"/>
            <w:tcBorders>
              <w:left w:val="nil"/>
              <w:right w:val="nil"/>
            </w:tcBorders>
            <w:shd w:val="clear" w:color="auto" w:fill="auto"/>
            <w:noWrap/>
            <w:vAlign w:val="center"/>
          </w:tcPr>
          <w:p w14:paraId="3E311462" w14:textId="02AE72BC" w:rsidR="00853110" w:rsidRDefault="00853110" w:rsidP="00435332">
            <w:pPr>
              <w:spacing w:line="240" w:lineRule="auto"/>
              <w:jc w:val="center"/>
              <w:rPr>
                <w:rFonts w:cs="Times New Roman"/>
                <w:color w:val="000000"/>
                <w:sz w:val="20"/>
                <w:szCs w:val="20"/>
              </w:rPr>
            </w:pPr>
            <w:r>
              <w:rPr>
                <w:rFonts w:cs="Times New Roman"/>
                <w:color w:val="000000"/>
                <w:sz w:val="20"/>
                <w:szCs w:val="20"/>
              </w:rPr>
              <w:t>243.1</w:t>
            </w:r>
          </w:p>
        </w:tc>
        <w:tc>
          <w:tcPr>
            <w:tcW w:w="690" w:type="dxa"/>
            <w:gridSpan w:val="2"/>
            <w:tcBorders>
              <w:left w:val="nil"/>
              <w:right w:val="nil"/>
            </w:tcBorders>
            <w:shd w:val="clear" w:color="auto" w:fill="auto"/>
            <w:vAlign w:val="center"/>
          </w:tcPr>
          <w:p w14:paraId="7BE7D2C2" w14:textId="2AB3E26A" w:rsidR="00853110" w:rsidRDefault="00853110" w:rsidP="00435332">
            <w:pPr>
              <w:spacing w:line="240" w:lineRule="auto"/>
              <w:jc w:val="center"/>
              <w:rPr>
                <w:rFonts w:cs="Times New Roman"/>
                <w:color w:val="000000"/>
                <w:sz w:val="20"/>
                <w:szCs w:val="20"/>
              </w:rPr>
            </w:pPr>
            <w:r>
              <w:rPr>
                <w:rFonts w:cs="Times New Roman"/>
                <w:color w:val="000000"/>
                <w:sz w:val="20"/>
                <w:szCs w:val="20"/>
              </w:rPr>
              <w:t>171.7</w:t>
            </w:r>
          </w:p>
        </w:tc>
        <w:tc>
          <w:tcPr>
            <w:tcW w:w="720" w:type="dxa"/>
            <w:tcBorders>
              <w:left w:val="nil"/>
              <w:right w:val="nil"/>
            </w:tcBorders>
            <w:shd w:val="clear" w:color="auto" w:fill="auto"/>
            <w:vAlign w:val="center"/>
          </w:tcPr>
          <w:p w14:paraId="078D508B" w14:textId="16365140" w:rsidR="00853110" w:rsidRDefault="00853110" w:rsidP="00435332">
            <w:pPr>
              <w:spacing w:line="240" w:lineRule="auto"/>
              <w:jc w:val="center"/>
              <w:rPr>
                <w:rFonts w:cs="Times New Roman"/>
                <w:color w:val="000000"/>
                <w:sz w:val="20"/>
                <w:szCs w:val="20"/>
              </w:rPr>
            </w:pPr>
            <w:r>
              <w:rPr>
                <w:rFonts w:cs="Times New Roman"/>
                <w:color w:val="000000"/>
                <w:sz w:val="20"/>
                <w:szCs w:val="20"/>
              </w:rPr>
              <w:t>393.4</w:t>
            </w:r>
          </w:p>
        </w:tc>
        <w:tc>
          <w:tcPr>
            <w:tcW w:w="1259" w:type="dxa"/>
            <w:tcBorders>
              <w:left w:val="nil"/>
              <w:right w:val="nil"/>
            </w:tcBorders>
            <w:shd w:val="clear" w:color="auto" w:fill="auto"/>
            <w:vAlign w:val="center"/>
          </w:tcPr>
          <w:p w14:paraId="5357A5E8" w14:textId="7CB77C2E" w:rsidR="00853110" w:rsidRDefault="00853110" w:rsidP="00435332">
            <w:pPr>
              <w:spacing w:line="240" w:lineRule="auto"/>
              <w:jc w:val="center"/>
              <w:rPr>
                <w:rFonts w:cs="Times New Roman"/>
                <w:color w:val="000000"/>
                <w:sz w:val="20"/>
                <w:szCs w:val="20"/>
              </w:rPr>
            </w:pPr>
            <w:r>
              <w:rPr>
                <w:rFonts w:cs="Times New Roman"/>
                <w:color w:val="000000"/>
                <w:sz w:val="20"/>
                <w:szCs w:val="20"/>
              </w:rPr>
              <w:t>926.8</w:t>
            </w:r>
          </w:p>
        </w:tc>
        <w:tc>
          <w:tcPr>
            <w:tcW w:w="720" w:type="dxa"/>
            <w:tcBorders>
              <w:left w:val="nil"/>
              <w:right w:val="nil"/>
            </w:tcBorders>
            <w:shd w:val="clear" w:color="auto" w:fill="auto"/>
            <w:vAlign w:val="center"/>
          </w:tcPr>
          <w:p w14:paraId="6484A513" w14:textId="3F8624BE" w:rsidR="00853110" w:rsidRDefault="00853110" w:rsidP="00435332">
            <w:pPr>
              <w:spacing w:line="240" w:lineRule="auto"/>
              <w:jc w:val="center"/>
              <w:rPr>
                <w:rFonts w:cs="Times New Roman"/>
                <w:color w:val="000000"/>
                <w:sz w:val="20"/>
                <w:szCs w:val="20"/>
              </w:rPr>
            </w:pPr>
            <w:r>
              <w:rPr>
                <w:rFonts w:cs="Times New Roman"/>
                <w:color w:val="000000"/>
                <w:sz w:val="20"/>
                <w:szCs w:val="20"/>
              </w:rPr>
              <w:t>240.9</w:t>
            </w:r>
          </w:p>
        </w:tc>
        <w:tc>
          <w:tcPr>
            <w:tcW w:w="720" w:type="dxa"/>
            <w:tcBorders>
              <w:left w:val="nil"/>
              <w:right w:val="nil"/>
            </w:tcBorders>
            <w:shd w:val="clear" w:color="auto" w:fill="auto"/>
            <w:vAlign w:val="center"/>
          </w:tcPr>
          <w:p w14:paraId="4FBDA40A" w14:textId="211DC666" w:rsidR="00853110" w:rsidRDefault="00853110" w:rsidP="00435332">
            <w:pPr>
              <w:spacing w:line="240" w:lineRule="auto"/>
              <w:jc w:val="center"/>
              <w:rPr>
                <w:rFonts w:cs="Times New Roman"/>
                <w:color w:val="000000"/>
                <w:sz w:val="20"/>
                <w:szCs w:val="20"/>
              </w:rPr>
            </w:pPr>
            <w:r>
              <w:rPr>
                <w:rFonts w:cs="Times New Roman"/>
                <w:color w:val="000000"/>
                <w:sz w:val="20"/>
                <w:szCs w:val="20"/>
              </w:rPr>
              <w:t>181.4</w:t>
            </w:r>
          </w:p>
        </w:tc>
        <w:tc>
          <w:tcPr>
            <w:tcW w:w="735" w:type="dxa"/>
            <w:tcBorders>
              <w:left w:val="nil"/>
              <w:right w:val="nil"/>
            </w:tcBorders>
            <w:shd w:val="clear" w:color="auto" w:fill="auto"/>
            <w:vAlign w:val="center"/>
          </w:tcPr>
          <w:p w14:paraId="394B012E" w14:textId="58DC3CF1" w:rsidR="00853110" w:rsidRDefault="00853110" w:rsidP="00435332">
            <w:pPr>
              <w:spacing w:line="240" w:lineRule="auto"/>
              <w:jc w:val="center"/>
              <w:rPr>
                <w:rFonts w:cs="Times New Roman"/>
                <w:color w:val="000000"/>
                <w:sz w:val="20"/>
                <w:szCs w:val="20"/>
              </w:rPr>
            </w:pPr>
            <w:r>
              <w:rPr>
                <w:rFonts w:cs="Times New Roman"/>
                <w:color w:val="000000"/>
                <w:sz w:val="20"/>
                <w:szCs w:val="20"/>
              </w:rPr>
              <w:t>397.4</w:t>
            </w:r>
          </w:p>
        </w:tc>
        <w:tc>
          <w:tcPr>
            <w:tcW w:w="1234" w:type="dxa"/>
            <w:tcBorders>
              <w:left w:val="nil"/>
              <w:right w:val="single" w:sz="18" w:space="0" w:color="FFFFFF" w:themeColor="background1"/>
            </w:tcBorders>
            <w:shd w:val="clear" w:color="auto" w:fill="auto"/>
            <w:vAlign w:val="center"/>
          </w:tcPr>
          <w:p w14:paraId="718D0670" w14:textId="74E22CBE" w:rsidR="00853110" w:rsidRDefault="007C0117" w:rsidP="00435332">
            <w:pPr>
              <w:spacing w:line="240" w:lineRule="auto"/>
              <w:jc w:val="center"/>
              <w:rPr>
                <w:rFonts w:cs="Times New Roman"/>
                <w:color w:val="000000"/>
                <w:sz w:val="20"/>
                <w:szCs w:val="20"/>
              </w:rPr>
            </w:pPr>
            <w:r>
              <w:rPr>
                <w:rFonts w:cs="Times New Roman"/>
                <w:color w:val="000000"/>
                <w:sz w:val="20"/>
                <w:szCs w:val="20"/>
              </w:rPr>
              <w:t>920.7</w:t>
            </w:r>
          </w:p>
        </w:tc>
      </w:tr>
      <w:tr w:rsidR="00716709" w:rsidRPr="003A44E9" w14:paraId="470A6C27" w14:textId="77777777" w:rsidTr="00435332">
        <w:trPr>
          <w:trHeight w:val="288"/>
        </w:trPr>
        <w:tc>
          <w:tcPr>
            <w:tcW w:w="629" w:type="dxa"/>
            <w:tcBorders>
              <w:left w:val="nil"/>
              <w:bottom w:val="single" w:sz="18" w:space="0" w:color="auto"/>
              <w:right w:val="nil"/>
            </w:tcBorders>
            <w:shd w:val="clear" w:color="auto" w:fill="D9D9D9" w:themeFill="background1" w:themeFillShade="D9"/>
            <w:noWrap/>
            <w:vAlign w:val="center"/>
          </w:tcPr>
          <w:p w14:paraId="29695892" w14:textId="089E5321" w:rsidR="00853110" w:rsidRPr="00BE3BAD" w:rsidRDefault="00853110" w:rsidP="001E0941">
            <w:pPr>
              <w:spacing w:line="240" w:lineRule="auto"/>
              <w:rPr>
                <w:rFonts w:cs="Times New Roman"/>
                <w:color w:val="000000"/>
                <w:sz w:val="20"/>
                <w:szCs w:val="20"/>
              </w:rPr>
            </w:pPr>
            <w:r>
              <w:rPr>
                <w:rFonts w:cs="Times New Roman"/>
                <w:color w:val="000000"/>
                <w:sz w:val="20"/>
                <w:szCs w:val="20"/>
              </w:rPr>
              <w:t>2020</w:t>
            </w:r>
          </w:p>
        </w:tc>
        <w:tc>
          <w:tcPr>
            <w:tcW w:w="1258" w:type="dxa"/>
            <w:tcBorders>
              <w:left w:val="nil"/>
              <w:bottom w:val="single" w:sz="18" w:space="0" w:color="auto"/>
              <w:right w:val="nil"/>
            </w:tcBorders>
            <w:shd w:val="clear" w:color="auto" w:fill="D9D9D9" w:themeFill="background1" w:themeFillShade="D9"/>
            <w:vAlign w:val="center"/>
          </w:tcPr>
          <w:p w14:paraId="49779AFA" w14:textId="7CD7CDDA" w:rsidR="00853110" w:rsidRDefault="00853110" w:rsidP="00BE3BAD">
            <w:pPr>
              <w:spacing w:line="240" w:lineRule="auto"/>
              <w:rPr>
                <w:rFonts w:cs="Times New Roman"/>
                <w:color w:val="000000"/>
                <w:sz w:val="20"/>
                <w:szCs w:val="20"/>
              </w:rPr>
            </w:pPr>
            <w:r>
              <w:rPr>
                <w:rFonts w:cs="Times New Roman"/>
                <w:color w:val="000000"/>
                <w:sz w:val="20"/>
                <w:szCs w:val="20"/>
              </w:rPr>
              <w:t>Polyculture</w:t>
            </w:r>
          </w:p>
        </w:tc>
        <w:tc>
          <w:tcPr>
            <w:tcW w:w="675" w:type="dxa"/>
            <w:tcBorders>
              <w:left w:val="nil"/>
              <w:bottom w:val="single" w:sz="18" w:space="0" w:color="auto"/>
              <w:right w:val="nil"/>
            </w:tcBorders>
            <w:shd w:val="clear" w:color="auto" w:fill="D9D9D9" w:themeFill="background1" w:themeFillShade="D9"/>
            <w:noWrap/>
            <w:vAlign w:val="center"/>
          </w:tcPr>
          <w:p w14:paraId="7E1F4C1D" w14:textId="5FF97093" w:rsidR="00853110" w:rsidRDefault="00853110" w:rsidP="001E0941">
            <w:pPr>
              <w:spacing w:line="240" w:lineRule="auto"/>
              <w:jc w:val="center"/>
              <w:rPr>
                <w:rFonts w:cs="Times New Roman"/>
                <w:color w:val="000000"/>
                <w:sz w:val="20"/>
                <w:szCs w:val="20"/>
              </w:rPr>
            </w:pPr>
            <w:r>
              <w:rPr>
                <w:rFonts w:cs="Times New Roman"/>
                <w:color w:val="000000"/>
                <w:sz w:val="20"/>
                <w:szCs w:val="20"/>
              </w:rPr>
              <w:t>264.6</w:t>
            </w:r>
          </w:p>
        </w:tc>
        <w:tc>
          <w:tcPr>
            <w:tcW w:w="690" w:type="dxa"/>
            <w:gridSpan w:val="2"/>
            <w:tcBorders>
              <w:left w:val="nil"/>
              <w:bottom w:val="single" w:sz="18" w:space="0" w:color="auto"/>
              <w:right w:val="nil"/>
            </w:tcBorders>
            <w:shd w:val="clear" w:color="auto" w:fill="D9D9D9" w:themeFill="background1" w:themeFillShade="D9"/>
            <w:vAlign w:val="center"/>
          </w:tcPr>
          <w:p w14:paraId="11B7EDC6" w14:textId="59D8DF49" w:rsidR="00853110" w:rsidRDefault="00853110" w:rsidP="001E0941">
            <w:pPr>
              <w:spacing w:line="240" w:lineRule="auto"/>
              <w:jc w:val="center"/>
              <w:rPr>
                <w:rFonts w:cs="Times New Roman"/>
                <w:color w:val="000000"/>
                <w:sz w:val="20"/>
                <w:szCs w:val="20"/>
              </w:rPr>
            </w:pPr>
            <w:r>
              <w:rPr>
                <w:rFonts w:cs="Times New Roman"/>
                <w:color w:val="000000"/>
                <w:sz w:val="20"/>
                <w:szCs w:val="20"/>
              </w:rPr>
              <w:t>170.7</w:t>
            </w:r>
          </w:p>
        </w:tc>
        <w:tc>
          <w:tcPr>
            <w:tcW w:w="720" w:type="dxa"/>
            <w:tcBorders>
              <w:left w:val="nil"/>
              <w:bottom w:val="single" w:sz="18" w:space="0" w:color="auto"/>
              <w:right w:val="nil"/>
            </w:tcBorders>
            <w:shd w:val="clear" w:color="auto" w:fill="D9D9D9" w:themeFill="background1" w:themeFillShade="D9"/>
            <w:vAlign w:val="center"/>
          </w:tcPr>
          <w:p w14:paraId="58297482" w14:textId="665E02E5" w:rsidR="00853110" w:rsidRDefault="00853110" w:rsidP="001E0941">
            <w:pPr>
              <w:spacing w:line="240" w:lineRule="auto"/>
              <w:jc w:val="center"/>
              <w:rPr>
                <w:rFonts w:cs="Times New Roman"/>
                <w:color w:val="000000"/>
                <w:sz w:val="20"/>
                <w:szCs w:val="20"/>
              </w:rPr>
            </w:pPr>
            <w:r>
              <w:rPr>
                <w:rFonts w:cs="Times New Roman"/>
                <w:color w:val="000000"/>
                <w:sz w:val="20"/>
                <w:szCs w:val="20"/>
              </w:rPr>
              <w:t>395.4</w:t>
            </w:r>
          </w:p>
        </w:tc>
        <w:tc>
          <w:tcPr>
            <w:tcW w:w="1259" w:type="dxa"/>
            <w:tcBorders>
              <w:left w:val="nil"/>
              <w:bottom w:val="single" w:sz="18" w:space="0" w:color="auto"/>
              <w:right w:val="nil"/>
            </w:tcBorders>
            <w:shd w:val="clear" w:color="auto" w:fill="D9D9D9" w:themeFill="background1" w:themeFillShade="D9"/>
            <w:vAlign w:val="center"/>
          </w:tcPr>
          <w:p w14:paraId="4967862E" w14:textId="5CFE5895" w:rsidR="00853110" w:rsidRDefault="00853110" w:rsidP="001E0941">
            <w:pPr>
              <w:spacing w:line="240" w:lineRule="auto"/>
              <w:jc w:val="center"/>
              <w:rPr>
                <w:rFonts w:cs="Times New Roman"/>
                <w:color w:val="000000"/>
                <w:sz w:val="20"/>
                <w:szCs w:val="20"/>
              </w:rPr>
            </w:pPr>
            <w:r>
              <w:rPr>
                <w:rFonts w:cs="Times New Roman"/>
                <w:color w:val="000000"/>
                <w:sz w:val="20"/>
                <w:szCs w:val="20"/>
              </w:rPr>
              <w:t>948.6</w:t>
            </w:r>
          </w:p>
        </w:tc>
        <w:tc>
          <w:tcPr>
            <w:tcW w:w="720" w:type="dxa"/>
            <w:tcBorders>
              <w:left w:val="nil"/>
              <w:bottom w:val="single" w:sz="18" w:space="0" w:color="auto"/>
              <w:right w:val="nil"/>
            </w:tcBorders>
            <w:shd w:val="clear" w:color="auto" w:fill="D9D9D9" w:themeFill="background1" w:themeFillShade="D9"/>
            <w:vAlign w:val="center"/>
          </w:tcPr>
          <w:p w14:paraId="23935C38" w14:textId="63491AB5" w:rsidR="00853110" w:rsidRDefault="00853110" w:rsidP="001E0941">
            <w:pPr>
              <w:spacing w:line="240" w:lineRule="auto"/>
              <w:jc w:val="center"/>
              <w:rPr>
                <w:rFonts w:cs="Times New Roman"/>
                <w:color w:val="000000"/>
                <w:sz w:val="20"/>
                <w:szCs w:val="20"/>
              </w:rPr>
            </w:pPr>
            <w:r>
              <w:rPr>
                <w:rFonts w:cs="Times New Roman"/>
                <w:color w:val="000000"/>
                <w:sz w:val="20"/>
                <w:szCs w:val="20"/>
              </w:rPr>
              <w:t>258.1</w:t>
            </w:r>
          </w:p>
        </w:tc>
        <w:tc>
          <w:tcPr>
            <w:tcW w:w="720" w:type="dxa"/>
            <w:tcBorders>
              <w:left w:val="nil"/>
              <w:bottom w:val="single" w:sz="18" w:space="0" w:color="auto"/>
              <w:right w:val="nil"/>
            </w:tcBorders>
            <w:shd w:val="clear" w:color="auto" w:fill="D9D9D9" w:themeFill="background1" w:themeFillShade="D9"/>
            <w:vAlign w:val="center"/>
          </w:tcPr>
          <w:p w14:paraId="67458B16" w14:textId="5BA980F6" w:rsidR="00853110" w:rsidRDefault="00853110" w:rsidP="001E0941">
            <w:pPr>
              <w:spacing w:line="240" w:lineRule="auto"/>
              <w:jc w:val="center"/>
              <w:rPr>
                <w:rFonts w:cs="Times New Roman"/>
                <w:color w:val="000000"/>
                <w:sz w:val="20"/>
                <w:szCs w:val="20"/>
              </w:rPr>
            </w:pPr>
            <w:r>
              <w:rPr>
                <w:rFonts w:cs="Times New Roman"/>
                <w:color w:val="000000"/>
                <w:sz w:val="20"/>
                <w:szCs w:val="20"/>
              </w:rPr>
              <w:t>168.1</w:t>
            </w:r>
          </w:p>
        </w:tc>
        <w:tc>
          <w:tcPr>
            <w:tcW w:w="735" w:type="dxa"/>
            <w:tcBorders>
              <w:left w:val="nil"/>
              <w:bottom w:val="single" w:sz="18" w:space="0" w:color="auto"/>
              <w:right w:val="nil"/>
            </w:tcBorders>
            <w:shd w:val="clear" w:color="auto" w:fill="D9D9D9" w:themeFill="background1" w:themeFillShade="D9"/>
            <w:vAlign w:val="center"/>
          </w:tcPr>
          <w:p w14:paraId="71F5B46A" w14:textId="4E262410" w:rsidR="00853110" w:rsidRDefault="00853110" w:rsidP="001E0941">
            <w:pPr>
              <w:spacing w:line="240" w:lineRule="auto"/>
              <w:jc w:val="center"/>
              <w:rPr>
                <w:rFonts w:cs="Times New Roman"/>
                <w:color w:val="000000"/>
                <w:sz w:val="20"/>
                <w:szCs w:val="20"/>
              </w:rPr>
            </w:pPr>
            <w:r>
              <w:rPr>
                <w:rFonts w:cs="Times New Roman"/>
                <w:color w:val="000000"/>
                <w:sz w:val="20"/>
                <w:szCs w:val="20"/>
              </w:rPr>
              <w:t>37</w:t>
            </w:r>
            <w:r w:rsidR="007C0117">
              <w:rPr>
                <w:rFonts w:cs="Times New Roman"/>
                <w:color w:val="000000"/>
                <w:sz w:val="20"/>
                <w:szCs w:val="20"/>
              </w:rPr>
              <w:t>7.8</w:t>
            </w:r>
          </w:p>
        </w:tc>
        <w:tc>
          <w:tcPr>
            <w:tcW w:w="1234" w:type="dxa"/>
            <w:tcBorders>
              <w:left w:val="nil"/>
              <w:bottom w:val="single" w:sz="18" w:space="0" w:color="auto"/>
              <w:right w:val="single" w:sz="18" w:space="0" w:color="FFFFFF" w:themeColor="background1"/>
            </w:tcBorders>
            <w:shd w:val="clear" w:color="auto" w:fill="D9D9D9" w:themeFill="background1" w:themeFillShade="D9"/>
            <w:vAlign w:val="center"/>
          </w:tcPr>
          <w:p w14:paraId="663980AD" w14:textId="168B88D9" w:rsidR="00853110" w:rsidRDefault="007C0117" w:rsidP="001E0941">
            <w:pPr>
              <w:spacing w:line="240" w:lineRule="auto"/>
              <w:jc w:val="center"/>
              <w:rPr>
                <w:rFonts w:cs="Times New Roman"/>
                <w:color w:val="000000"/>
                <w:sz w:val="20"/>
                <w:szCs w:val="20"/>
              </w:rPr>
            </w:pPr>
            <w:r>
              <w:rPr>
                <w:rFonts w:cs="Times New Roman"/>
                <w:color w:val="000000"/>
                <w:sz w:val="20"/>
                <w:szCs w:val="20"/>
              </w:rPr>
              <w:t>945.2</w:t>
            </w:r>
          </w:p>
        </w:tc>
      </w:tr>
    </w:tbl>
    <w:p w14:paraId="57546F7E" w14:textId="77777777" w:rsidR="007C0117" w:rsidRDefault="007C0117" w:rsidP="00A55A5F">
      <w:pPr>
        <w:spacing w:line="240" w:lineRule="auto"/>
      </w:pPr>
    </w:p>
    <w:p w14:paraId="56E88FCA" w14:textId="77777777" w:rsidR="00916B6C" w:rsidRDefault="00916B6C" w:rsidP="00A55A5F">
      <w:pPr>
        <w:spacing w:line="240" w:lineRule="auto"/>
      </w:pPr>
    </w:p>
    <w:p w14:paraId="40E12430" w14:textId="77777777" w:rsidR="00884DCE" w:rsidRDefault="00884DCE" w:rsidP="00A55A5F">
      <w:pPr>
        <w:spacing w:line="240" w:lineRule="auto"/>
        <w:sectPr w:rsidR="00884DCE" w:rsidSect="00BB06E9">
          <w:pgSz w:w="12240" w:h="15840" w:code="1"/>
          <w:pgMar w:top="1440" w:right="1800" w:bottom="1872" w:left="1800" w:header="720" w:footer="1440" w:gutter="0"/>
          <w:cols w:space="720"/>
          <w:noEndnote/>
          <w:docGrid w:linePitch="360"/>
        </w:sectPr>
      </w:pPr>
    </w:p>
    <w:p w14:paraId="12371002" w14:textId="77777777" w:rsidR="00232F51" w:rsidRPr="00005219" w:rsidRDefault="00232F51" w:rsidP="00232F51">
      <w:pPr>
        <w:pStyle w:val="Tables"/>
        <w:rPr>
          <w:rStyle w:val="Strong"/>
          <w:b w:val="0"/>
          <w:bCs/>
        </w:rPr>
      </w:pPr>
      <w:bookmarkStart w:id="76" w:name="_Toc72300398"/>
      <w:r w:rsidRPr="00005219">
        <w:rPr>
          <w:rStyle w:val="Strong"/>
          <w:b w:val="0"/>
          <w:bCs/>
        </w:rPr>
        <w:lastRenderedPageBreak/>
        <w:t xml:space="preserve">Table </w:t>
      </w:r>
      <w:r>
        <w:rPr>
          <w:rStyle w:val="Strong"/>
          <w:b w:val="0"/>
          <w:bCs/>
        </w:rPr>
        <w:t>1.5</w:t>
      </w:r>
      <w:r w:rsidRPr="00005219">
        <w:rPr>
          <w:rStyle w:val="Strong"/>
          <w:b w:val="0"/>
          <w:bCs/>
        </w:rPr>
        <w:t xml:space="preserve">.  </w:t>
      </w:r>
      <w:r w:rsidRPr="004A1240">
        <w:rPr>
          <w:rStyle w:val="Strong"/>
          <w:b w:val="0"/>
          <w:bCs/>
        </w:rPr>
        <w:t xml:space="preserve">Mixed-effects ANOVA model for </w:t>
      </w:r>
      <w:r>
        <w:rPr>
          <w:rStyle w:val="Strong"/>
          <w:b w:val="0"/>
          <w:bCs/>
        </w:rPr>
        <w:t>switchgrass and big bluestem/indiangrass plant density (plants m</w:t>
      </w:r>
      <w:r w:rsidRPr="003D4C1A">
        <w:rPr>
          <w:rStyle w:val="Strong"/>
          <w:b w:val="0"/>
          <w:bCs/>
          <w:vertAlign w:val="superscript"/>
        </w:rPr>
        <w:t>-2</w:t>
      </w:r>
      <w:r>
        <w:rPr>
          <w:rStyle w:val="Strong"/>
          <w:b w:val="0"/>
          <w:bCs/>
        </w:rPr>
        <w:t>) and switchgrass tillers (plant</w:t>
      </w:r>
      <w:r w:rsidRPr="003D4C1A">
        <w:rPr>
          <w:rStyle w:val="Strong"/>
          <w:b w:val="0"/>
          <w:bCs/>
          <w:vertAlign w:val="superscript"/>
        </w:rPr>
        <w:t>-1</w:t>
      </w:r>
      <w:r>
        <w:rPr>
          <w:rStyle w:val="Strong"/>
          <w:b w:val="0"/>
          <w:bCs/>
        </w:rPr>
        <w:t>) in</w:t>
      </w:r>
      <w:r w:rsidRPr="004A1240">
        <w:rPr>
          <w:rStyle w:val="Strong"/>
          <w:b w:val="0"/>
          <w:bCs/>
        </w:rPr>
        <w:t xml:space="preserve"> native pasture grazing experiment</w:t>
      </w:r>
      <w:r>
        <w:rPr>
          <w:rStyle w:val="Strong"/>
          <w:b w:val="0"/>
          <w:bCs/>
        </w:rPr>
        <w:t>s</w:t>
      </w:r>
      <w:r w:rsidRPr="004A1240">
        <w:rPr>
          <w:rStyle w:val="Strong"/>
          <w:b w:val="0"/>
          <w:bCs/>
        </w:rPr>
        <w:t>, 201</w:t>
      </w:r>
      <w:r>
        <w:rPr>
          <w:rStyle w:val="Strong"/>
          <w:b w:val="0"/>
          <w:bCs/>
        </w:rPr>
        <w:t>8</w:t>
      </w:r>
      <w:r w:rsidRPr="004A1240">
        <w:rPr>
          <w:rStyle w:val="Strong"/>
          <w:b w:val="0"/>
          <w:bCs/>
        </w:rPr>
        <w:t xml:space="preserve">-2020, </w:t>
      </w:r>
      <w:r w:rsidRPr="00BC2376">
        <w:t xml:space="preserve">University of Tennessee – </w:t>
      </w:r>
      <w:r>
        <w:t xml:space="preserve">Middle </w:t>
      </w:r>
      <w:r w:rsidRPr="00BC2376">
        <w:t xml:space="preserve">Tennessee AgResearch and Education Center, </w:t>
      </w:r>
      <w:r>
        <w:t>Spring Hill,</w:t>
      </w:r>
      <w:r w:rsidRPr="00BC2376">
        <w:t xml:space="preserve"> TN.</w:t>
      </w:r>
      <w:bookmarkEnd w:id="76"/>
      <w:r>
        <w:rPr>
          <w:rStyle w:val="Strong"/>
          <w:b w:val="0"/>
          <w:bCs/>
        </w:rPr>
        <w:t xml:space="preserve">  </w:t>
      </w:r>
    </w:p>
    <w:tbl>
      <w:tblPr>
        <w:tblW w:w="7380" w:type="dxa"/>
        <w:tblLayout w:type="fixed"/>
        <w:tblLook w:val="04A0" w:firstRow="1" w:lastRow="0" w:firstColumn="1" w:lastColumn="0" w:noHBand="0" w:noVBand="1"/>
      </w:tblPr>
      <w:tblGrid>
        <w:gridCol w:w="1620"/>
        <w:gridCol w:w="958"/>
        <w:gridCol w:w="780"/>
        <w:gridCol w:w="872"/>
        <w:gridCol w:w="810"/>
        <w:gridCol w:w="1260"/>
        <w:gridCol w:w="1080"/>
      </w:tblGrid>
      <w:tr w:rsidR="00232F51" w:rsidRPr="003A44E9" w14:paraId="0B08C285" w14:textId="77777777" w:rsidTr="002A7D12">
        <w:trPr>
          <w:trHeight w:val="288"/>
        </w:trPr>
        <w:tc>
          <w:tcPr>
            <w:tcW w:w="1620" w:type="dxa"/>
            <w:tcBorders>
              <w:top w:val="single" w:sz="12" w:space="0" w:color="auto"/>
              <w:left w:val="nil"/>
              <w:bottom w:val="nil"/>
              <w:right w:val="single" w:sz="36" w:space="0" w:color="FFFFFF" w:themeColor="background1"/>
            </w:tcBorders>
            <w:shd w:val="clear" w:color="auto" w:fill="auto"/>
            <w:noWrap/>
            <w:vAlign w:val="center"/>
            <w:hideMark/>
          </w:tcPr>
          <w:p w14:paraId="656DD84B" w14:textId="77777777" w:rsidR="00232F51" w:rsidRPr="003A44E9" w:rsidRDefault="00232F51" w:rsidP="002A7D12">
            <w:pPr>
              <w:spacing w:line="240" w:lineRule="auto"/>
              <w:rPr>
                <w:rFonts w:cs="Times New Roman"/>
                <w:sz w:val="20"/>
                <w:szCs w:val="20"/>
              </w:rPr>
            </w:pPr>
          </w:p>
        </w:tc>
        <w:tc>
          <w:tcPr>
            <w:tcW w:w="3420" w:type="dxa"/>
            <w:gridSpan w:val="4"/>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420F9E98" w14:textId="77777777" w:rsidR="00232F51" w:rsidRPr="003A44E9" w:rsidRDefault="00232F51" w:rsidP="002A7D12">
            <w:pPr>
              <w:spacing w:line="240" w:lineRule="auto"/>
              <w:jc w:val="center"/>
              <w:rPr>
                <w:rFonts w:cs="Times New Roman"/>
                <w:color w:val="000000"/>
                <w:sz w:val="20"/>
                <w:szCs w:val="20"/>
              </w:rPr>
            </w:pPr>
            <w:r w:rsidRPr="003A44E9">
              <w:rPr>
                <w:rFonts w:cs="Times New Roman"/>
                <w:color w:val="000000"/>
                <w:sz w:val="20"/>
                <w:szCs w:val="20"/>
              </w:rPr>
              <w:t>Switchgrass</w:t>
            </w:r>
          </w:p>
        </w:tc>
        <w:tc>
          <w:tcPr>
            <w:tcW w:w="234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tcPr>
          <w:p w14:paraId="6C4415E4" w14:textId="77777777" w:rsidR="00232F51" w:rsidRPr="003A44E9" w:rsidRDefault="00232F51" w:rsidP="002A7D12">
            <w:pPr>
              <w:spacing w:line="240" w:lineRule="auto"/>
              <w:jc w:val="center"/>
              <w:rPr>
                <w:rFonts w:cs="Times New Roman"/>
                <w:color w:val="000000"/>
                <w:sz w:val="20"/>
                <w:szCs w:val="20"/>
              </w:rPr>
            </w:pPr>
            <w:r w:rsidRPr="003A44E9">
              <w:rPr>
                <w:rFonts w:cs="Times New Roman"/>
                <w:color w:val="000000"/>
                <w:sz w:val="20"/>
                <w:szCs w:val="20"/>
              </w:rPr>
              <w:t>Big bluestem/Indiangrass</w:t>
            </w:r>
          </w:p>
        </w:tc>
      </w:tr>
      <w:tr w:rsidR="00232F51" w:rsidRPr="003A44E9" w14:paraId="550B874B" w14:textId="77777777" w:rsidTr="002A7D12">
        <w:trPr>
          <w:trHeight w:val="288"/>
        </w:trPr>
        <w:tc>
          <w:tcPr>
            <w:tcW w:w="1620" w:type="dxa"/>
            <w:tcBorders>
              <w:top w:val="nil"/>
              <w:left w:val="nil"/>
              <w:bottom w:val="single" w:sz="12" w:space="0" w:color="FFFFFF" w:themeColor="background1"/>
              <w:right w:val="single" w:sz="36" w:space="0" w:color="FFFFFF" w:themeColor="background1"/>
            </w:tcBorders>
            <w:shd w:val="clear" w:color="auto" w:fill="auto"/>
            <w:noWrap/>
            <w:vAlign w:val="center"/>
            <w:hideMark/>
          </w:tcPr>
          <w:p w14:paraId="6A1B1100" w14:textId="77777777" w:rsidR="00232F51" w:rsidRPr="003A44E9" w:rsidRDefault="00232F51" w:rsidP="002A7D12">
            <w:pPr>
              <w:spacing w:line="240" w:lineRule="auto"/>
              <w:rPr>
                <w:rFonts w:cs="Times New Roman"/>
                <w:sz w:val="20"/>
                <w:szCs w:val="20"/>
              </w:rPr>
            </w:pPr>
          </w:p>
        </w:tc>
        <w:tc>
          <w:tcPr>
            <w:tcW w:w="1738"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2B681F0B" w14:textId="77777777" w:rsidR="00232F51" w:rsidRPr="003A44E9" w:rsidRDefault="00232F51" w:rsidP="002A7D12">
            <w:pPr>
              <w:spacing w:line="240" w:lineRule="auto"/>
              <w:jc w:val="center"/>
              <w:rPr>
                <w:rFonts w:cs="Times New Roman"/>
                <w:color w:val="000000"/>
                <w:sz w:val="20"/>
                <w:szCs w:val="20"/>
              </w:rPr>
            </w:pPr>
            <w:r>
              <w:rPr>
                <w:rFonts w:cs="Times New Roman"/>
                <w:color w:val="000000"/>
                <w:sz w:val="20"/>
                <w:szCs w:val="20"/>
              </w:rPr>
              <w:t>Plant</w:t>
            </w:r>
          </w:p>
        </w:tc>
        <w:tc>
          <w:tcPr>
            <w:tcW w:w="1682"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tcPr>
          <w:p w14:paraId="547BAE01" w14:textId="77777777" w:rsidR="00232F51" w:rsidRPr="003A44E9" w:rsidRDefault="00232F51" w:rsidP="002A7D12">
            <w:pPr>
              <w:spacing w:line="240" w:lineRule="auto"/>
              <w:jc w:val="center"/>
              <w:rPr>
                <w:rFonts w:cs="Times New Roman"/>
                <w:color w:val="000000"/>
                <w:sz w:val="20"/>
                <w:szCs w:val="20"/>
              </w:rPr>
            </w:pPr>
            <w:r>
              <w:rPr>
                <w:rFonts w:cs="Times New Roman"/>
                <w:color w:val="000000"/>
                <w:sz w:val="20"/>
                <w:szCs w:val="20"/>
              </w:rPr>
              <w:t>Tiller</w:t>
            </w:r>
          </w:p>
        </w:tc>
        <w:tc>
          <w:tcPr>
            <w:tcW w:w="234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27CF415E" w14:textId="77777777" w:rsidR="00232F51" w:rsidRPr="003A44E9" w:rsidRDefault="00232F51" w:rsidP="002A7D12">
            <w:pPr>
              <w:spacing w:line="240" w:lineRule="auto"/>
              <w:jc w:val="center"/>
              <w:rPr>
                <w:rFonts w:cs="Times New Roman"/>
                <w:color w:val="000000"/>
                <w:sz w:val="20"/>
                <w:szCs w:val="20"/>
              </w:rPr>
            </w:pPr>
            <w:r>
              <w:rPr>
                <w:rFonts w:cs="Times New Roman"/>
                <w:color w:val="000000"/>
                <w:sz w:val="20"/>
                <w:szCs w:val="20"/>
              </w:rPr>
              <w:t>Plant</w:t>
            </w:r>
          </w:p>
        </w:tc>
      </w:tr>
      <w:tr w:rsidR="00232F51" w:rsidRPr="003A44E9" w14:paraId="14A4AEE8" w14:textId="77777777" w:rsidTr="002A7D12">
        <w:trPr>
          <w:trHeight w:val="288"/>
        </w:trPr>
        <w:tc>
          <w:tcPr>
            <w:tcW w:w="1620" w:type="dxa"/>
            <w:tcBorders>
              <w:top w:val="single" w:sz="12" w:space="0" w:color="FFFFFF" w:themeColor="background1"/>
              <w:left w:val="nil"/>
              <w:bottom w:val="single" w:sz="12" w:space="0" w:color="auto"/>
              <w:right w:val="single" w:sz="36" w:space="0" w:color="FFFFFF" w:themeColor="background1"/>
            </w:tcBorders>
            <w:shd w:val="clear" w:color="auto" w:fill="auto"/>
            <w:noWrap/>
            <w:vAlign w:val="center"/>
          </w:tcPr>
          <w:p w14:paraId="36522169" w14:textId="77777777" w:rsidR="00232F51" w:rsidRDefault="00232F51" w:rsidP="002A7D12">
            <w:pPr>
              <w:spacing w:line="240" w:lineRule="auto"/>
              <w:rPr>
                <w:rFonts w:cs="Times New Roman"/>
                <w:color w:val="000000"/>
                <w:sz w:val="20"/>
                <w:szCs w:val="20"/>
              </w:rPr>
            </w:pPr>
            <w:r w:rsidRPr="00884DCE">
              <w:rPr>
                <w:rFonts w:cs="Times New Roman"/>
                <w:color w:val="000000"/>
                <w:sz w:val="20"/>
                <w:szCs w:val="20"/>
              </w:rPr>
              <w:t>Effect</w:t>
            </w:r>
          </w:p>
        </w:tc>
        <w:tc>
          <w:tcPr>
            <w:tcW w:w="958"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tcPr>
          <w:p w14:paraId="07D898D5" w14:textId="77777777" w:rsidR="00232F51" w:rsidRDefault="00232F51" w:rsidP="002A7D12">
            <w:pPr>
              <w:spacing w:line="240" w:lineRule="auto"/>
              <w:jc w:val="center"/>
              <w:rPr>
                <w:rFonts w:cs="Times New Roman"/>
                <w:color w:val="000000"/>
                <w:sz w:val="20"/>
                <w:szCs w:val="20"/>
              </w:rPr>
            </w:pPr>
            <w:r w:rsidRPr="00401D64">
              <w:rPr>
                <w:rFonts w:cs="Times New Roman"/>
                <w:i/>
                <w:iCs/>
                <w:color w:val="000000"/>
                <w:sz w:val="20"/>
                <w:szCs w:val="20"/>
              </w:rPr>
              <w:t>F</w:t>
            </w:r>
            <w:r w:rsidRPr="00401D64">
              <w:rPr>
                <w:rFonts w:cs="Times New Roman"/>
                <w:color w:val="000000"/>
                <w:sz w:val="20"/>
                <w:szCs w:val="20"/>
              </w:rPr>
              <w:t xml:space="preserve"> value</w:t>
            </w:r>
          </w:p>
        </w:tc>
        <w:tc>
          <w:tcPr>
            <w:tcW w:w="78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tcPr>
          <w:p w14:paraId="1B6BD522" w14:textId="77777777" w:rsidR="00232F51" w:rsidRDefault="00232F51" w:rsidP="002A7D12">
            <w:pPr>
              <w:spacing w:line="240" w:lineRule="auto"/>
              <w:jc w:val="center"/>
              <w:rPr>
                <w:rFonts w:cs="Times New Roman"/>
                <w:color w:val="000000"/>
                <w:sz w:val="20"/>
                <w:szCs w:val="20"/>
              </w:rPr>
            </w:pPr>
            <w:r w:rsidRPr="00401D64">
              <w:rPr>
                <w:rFonts w:cs="Times New Roman"/>
                <w:i/>
                <w:iCs/>
                <w:color w:val="000000"/>
                <w:sz w:val="20"/>
                <w:szCs w:val="20"/>
              </w:rPr>
              <w:t>P</w:t>
            </w:r>
            <w:r w:rsidRPr="00401D64">
              <w:rPr>
                <w:rFonts w:cs="Times New Roman"/>
                <w:color w:val="000000"/>
                <w:sz w:val="20"/>
                <w:szCs w:val="20"/>
              </w:rPr>
              <w:t xml:space="preserve"> &gt; </w:t>
            </w:r>
            <w:r w:rsidRPr="00401D64">
              <w:rPr>
                <w:rFonts w:cs="Times New Roman"/>
                <w:i/>
                <w:iCs/>
                <w:color w:val="000000"/>
                <w:sz w:val="20"/>
                <w:szCs w:val="20"/>
              </w:rPr>
              <w:t>F</w:t>
            </w:r>
          </w:p>
        </w:tc>
        <w:tc>
          <w:tcPr>
            <w:tcW w:w="872"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tcPr>
          <w:p w14:paraId="12DC4435" w14:textId="77777777" w:rsidR="00232F51" w:rsidRDefault="00232F51" w:rsidP="002A7D12">
            <w:pPr>
              <w:spacing w:line="240" w:lineRule="auto"/>
              <w:jc w:val="center"/>
              <w:rPr>
                <w:rFonts w:cs="Times New Roman"/>
                <w:color w:val="000000"/>
                <w:sz w:val="20"/>
                <w:szCs w:val="20"/>
              </w:rPr>
            </w:pPr>
            <w:r w:rsidRPr="00401D64">
              <w:rPr>
                <w:rFonts w:cs="Times New Roman"/>
                <w:i/>
                <w:iCs/>
                <w:color w:val="000000"/>
                <w:sz w:val="20"/>
                <w:szCs w:val="20"/>
              </w:rPr>
              <w:t>F</w:t>
            </w:r>
            <w:r w:rsidRPr="00401D64">
              <w:rPr>
                <w:rFonts w:cs="Times New Roman"/>
                <w:color w:val="000000"/>
                <w:sz w:val="20"/>
                <w:szCs w:val="20"/>
              </w:rPr>
              <w:t xml:space="preserve"> value</w:t>
            </w:r>
          </w:p>
        </w:tc>
        <w:tc>
          <w:tcPr>
            <w:tcW w:w="81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tcPr>
          <w:p w14:paraId="27316A57" w14:textId="77777777" w:rsidR="00232F51" w:rsidRDefault="00232F51" w:rsidP="002A7D12">
            <w:pPr>
              <w:spacing w:line="240" w:lineRule="auto"/>
              <w:jc w:val="center"/>
              <w:rPr>
                <w:rFonts w:cs="Times New Roman"/>
                <w:color w:val="000000"/>
                <w:sz w:val="20"/>
                <w:szCs w:val="20"/>
              </w:rPr>
            </w:pPr>
            <w:r w:rsidRPr="00401D64">
              <w:rPr>
                <w:rFonts w:cs="Times New Roman"/>
                <w:i/>
                <w:iCs/>
                <w:color w:val="000000"/>
                <w:sz w:val="20"/>
                <w:szCs w:val="20"/>
              </w:rPr>
              <w:t>P</w:t>
            </w:r>
            <w:r w:rsidRPr="00401D64">
              <w:rPr>
                <w:rFonts w:cs="Times New Roman"/>
                <w:color w:val="000000"/>
                <w:sz w:val="20"/>
                <w:szCs w:val="20"/>
              </w:rPr>
              <w:t xml:space="preserve"> &gt; </w:t>
            </w:r>
            <w:r w:rsidRPr="00401D64">
              <w:rPr>
                <w:rFonts w:cs="Times New Roman"/>
                <w:i/>
                <w:iCs/>
                <w:color w:val="000000"/>
                <w:sz w:val="20"/>
                <w:szCs w:val="20"/>
              </w:rPr>
              <w:t>F</w:t>
            </w:r>
          </w:p>
        </w:tc>
        <w:tc>
          <w:tcPr>
            <w:tcW w:w="126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tcPr>
          <w:p w14:paraId="2DC95137" w14:textId="77777777" w:rsidR="00232F51" w:rsidRPr="000D7ABF" w:rsidRDefault="00232F51" w:rsidP="002A7D12">
            <w:pPr>
              <w:spacing w:line="240" w:lineRule="auto"/>
              <w:jc w:val="center"/>
              <w:rPr>
                <w:rFonts w:cs="Times New Roman"/>
                <w:color w:val="000000"/>
                <w:sz w:val="20"/>
                <w:szCs w:val="20"/>
              </w:rPr>
            </w:pPr>
            <w:r w:rsidRPr="00401D64">
              <w:rPr>
                <w:rFonts w:cs="Times New Roman"/>
                <w:i/>
                <w:iCs/>
                <w:color w:val="000000"/>
                <w:sz w:val="20"/>
                <w:szCs w:val="20"/>
              </w:rPr>
              <w:t>F</w:t>
            </w:r>
            <w:r w:rsidRPr="00401D64">
              <w:rPr>
                <w:rFonts w:cs="Times New Roman"/>
                <w:color w:val="000000"/>
                <w:sz w:val="20"/>
                <w:szCs w:val="20"/>
              </w:rPr>
              <w:t xml:space="preserve"> value</w:t>
            </w:r>
          </w:p>
        </w:tc>
        <w:tc>
          <w:tcPr>
            <w:tcW w:w="108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tcPr>
          <w:p w14:paraId="1F3D7B02" w14:textId="77777777" w:rsidR="00232F51" w:rsidRPr="000D7ABF" w:rsidRDefault="00232F51" w:rsidP="002A7D12">
            <w:pPr>
              <w:spacing w:line="240" w:lineRule="auto"/>
              <w:jc w:val="center"/>
              <w:rPr>
                <w:rFonts w:cs="Times New Roman"/>
                <w:color w:val="000000"/>
                <w:sz w:val="20"/>
                <w:szCs w:val="20"/>
              </w:rPr>
            </w:pPr>
            <w:r w:rsidRPr="00401D64">
              <w:rPr>
                <w:rFonts w:cs="Times New Roman"/>
                <w:i/>
                <w:iCs/>
                <w:color w:val="000000"/>
                <w:sz w:val="20"/>
                <w:szCs w:val="20"/>
              </w:rPr>
              <w:t>P</w:t>
            </w:r>
            <w:r w:rsidRPr="00401D64">
              <w:rPr>
                <w:rFonts w:cs="Times New Roman"/>
                <w:color w:val="000000"/>
                <w:sz w:val="20"/>
                <w:szCs w:val="20"/>
              </w:rPr>
              <w:t xml:space="preserve"> &gt; </w:t>
            </w:r>
            <w:r w:rsidRPr="00401D64">
              <w:rPr>
                <w:rFonts w:cs="Times New Roman"/>
                <w:i/>
                <w:iCs/>
                <w:color w:val="000000"/>
                <w:sz w:val="20"/>
                <w:szCs w:val="20"/>
              </w:rPr>
              <w:t>F</w:t>
            </w:r>
          </w:p>
        </w:tc>
      </w:tr>
      <w:tr w:rsidR="00232F51" w:rsidRPr="003A44E9" w14:paraId="3483B53C" w14:textId="77777777" w:rsidTr="002A7D12">
        <w:trPr>
          <w:trHeight w:val="288"/>
        </w:trPr>
        <w:tc>
          <w:tcPr>
            <w:tcW w:w="1620" w:type="dxa"/>
            <w:tcBorders>
              <w:top w:val="single" w:sz="12" w:space="0" w:color="auto"/>
              <w:left w:val="nil"/>
              <w:right w:val="single" w:sz="36" w:space="0" w:color="FFFFFF" w:themeColor="background1"/>
            </w:tcBorders>
            <w:shd w:val="clear" w:color="auto" w:fill="auto"/>
            <w:noWrap/>
            <w:vAlign w:val="center"/>
            <w:hideMark/>
          </w:tcPr>
          <w:p w14:paraId="0CD6B015" w14:textId="77777777" w:rsidR="00232F51" w:rsidRPr="003A44E9" w:rsidRDefault="00232F51" w:rsidP="002A7D12">
            <w:pPr>
              <w:spacing w:line="240" w:lineRule="auto"/>
              <w:rPr>
                <w:rFonts w:cs="Times New Roman"/>
                <w:color w:val="000000"/>
                <w:sz w:val="20"/>
                <w:szCs w:val="20"/>
              </w:rPr>
            </w:pPr>
            <w:r>
              <w:rPr>
                <w:rFonts w:cs="Times New Roman"/>
                <w:color w:val="000000"/>
                <w:sz w:val="20"/>
                <w:szCs w:val="20"/>
              </w:rPr>
              <w:t>CSA</w:t>
            </w:r>
            <w:r w:rsidRPr="00E223C7">
              <w:rPr>
                <w:rFonts w:cs="Times New Roman"/>
                <w:color w:val="000000"/>
                <w:sz w:val="20"/>
                <w:szCs w:val="20"/>
                <w:vertAlign w:val="superscript"/>
              </w:rPr>
              <w:t>†</w:t>
            </w:r>
          </w:p>
        </w:tc>
        <w:tc>
          <w:tcPr>
            <w:tcW w:w="958" w:type="dxa"/>
            <w:tcBorders>
              <w:left w:val="single" w:sz="36" w:space="0" w:color="FFFFFF" w:themeColor="background1"/>
              <w:right w:val="single" w:sz="36" w:space="0" w:color="FFFFFF" w:themeColor="background1"/>
            </w:tcBorders>
            <w:shd w:val="clear" w:color="auto" w:fill="auto"/>
            <w:noWrap/>
            <w:vAlign w:val="center"/>
          </w:tcPr>
          <w:p w14:paraId="232DD924" w14:textId="3687C389" w:rsidR="00232F51" w:rsidRPr="000D7ABF" w:rsidRDefault="00057E17" w:rsidP="002A7D12">
            <w:pPr>
              <w:spacing w:line="240" w:lineRule="auto"/>
              <w:jc w:val="center"/>
              <w:rPr>
                <w:rFonts w:cs="Times New Roman"/>
                <w:color w:val="000000"/>
                <w:sz w:val="20"/>
                <w:szCs w:val="20"/>
              </w:rPr>
            </w:pPr>
            <w:r>
              <w:rPr>
                <w:rFonts w:cs="Times New Roman"/>
                <w:color w:val="000000"/>
                <w:sz w:val="20"/>
                <w:szCs w:val="20"/>
              </w:rPr>
              <w:t xml:space="preserve">  </w:t>
            </w:r>
            <w:r w:rsidR="00232F51">
              <w:rPr>
                <w:rFonts w:cs="Times New Roman"/>
                <w:color w:val="000000"/>
                <w:sz w:val="20"/>
                <w:szCs w:val="20"/>
              </w:rPr>
              <w:t>0.36</w:t>
            </w:r>
          </w:p>
        </w:tc>
        <w:tc>
          <w:tcPr>
            <w:tcW w:w="780" w:type="dxa"/>
            <w:tcBorders>
              <w:left w:val="single" w:sz="36" w:space="0" w:color="FFFFFF" w:themeColor="background1"/>
              <w:right w:val="single" w:sz="36" w:space="0" w:color="FFFFFF" w:themeColor="background1"/>
            </w:tcBorders>
            <w:shd w:val="clear" w:color="auto" w:fill="auto"/>
            <w:vAlign w:val="center"/>
          </w:tcPr>
          <w:p w14:paraId="30F006CE" w14:textId="77777777" w:rsidR="00232F51" w:rsidRPr="000D7ABF" w:rsidRDefault="00232F51" w:rsidP="002A7D12">
            <w:pPr>
              <w:spacing w:line="240" w:lineRule="auto"/>
              <w:jc w:val="center"/>
              <w:rPr>
                <w:rFonts w:cs="Times New Roman"/>
                <w:color w:val="000000"/>
                <w:sz w:val="20"/>
                <w:szCs w:val="20"/>
              </w:rPr>
            </w:pPr>
            <w:r>
              <w:rPr>
                <w:rFonts w:cs="Times New Roman"/>
                <w:color w:val="000000"/>
                <w:sz w:val="20"/>
                <w:szCs w:val="20"/>
              </w:rPr>
              <w:t xml:space="preserve">  0.709</w:t>
            </w:r>
          </w:p>
        </w:tc>
        <w:tc>
          <w:tcPr>
            <w:tcW w:w="872" w:type="dxa"/>
            <w:tcBorders>
              <w:left w:val="single" w:sz="36" w:space="0" w:color="FFFFFF" w:themeColor="background1"/>
              <w:right w:val="single" w:sz="36" w:space="0" w:color="FFFFFF" w:themeColor="background1"/>
            </w:tcBorders>
            <w:shd w:val="clear" w:color="auto" w:fill="auto"/>
            <w:vAlign w:val="center"/>
          </w:tcPr>
          <w:p w14:paraId="0341E6AE" w14:textId="77777777" w:rsidR="00232F51" w:rsidRPr="000D7ABF" w:rsidRDefault="00232F51" w:rsidP="002A7D12">
            <w:pPr>
              <w:spacing w:line="240" w:lineRule="auto"/>
              <w:jc w:val="center"/>
              <w:rPr>
                <w:rFonts w:cs="Times New Roman"/>
                <w:color w:val="000000"/>
                <w:sz w:val="20"/>
                <w:szCs w:val="20"/>
              </w:rPr>
            </w:pPr>
            <w:r>
              <w:rPr>
                <w:rFonts w:cs="Times New Roman"/>
                <w:color w:val="000000"/>
                <w:sz w:val="20"/>
                <w:szCs w:val="20"/>
              </w:rPr>
              <w:t>3.20</w:t>
            </w:r>
          </w:p>
        </w:tc>
        <w:tc>
          <w:tcPr>
            <w:tcW w:w="810" w:type="dxa"/>
            <w:tcBorders>
              <w:left w:val="single" w:sz="36" w:space="0" w:color="FFFFFF" w:themeColor="background1"/>
              <w:right w:val="single" w:sz="36" w:space="0" w:color="FFFFFF" w:themeColor="background1"/>
            </w:tcBorders>
            <w:shd w:val="clear" w:color="auto" w:fill="auto"/>
            <w:vAlign w:val="center"/>
          </w:tcPr>
          <w:p w14:paraId="123B4C86" w14:textId="77777777" w:rsidR="00232F51" w:rsidRPr="000D7ABF" w:rsidRDefault="00232F51" w:rsidP="002A7D12">
            <w:pPr>
              <w:spacing w:line="240" w:lineRule="auto"/>
              <w:jc w:val="center"/>
              <w:rPr>
                <w:rFonts w:cs="Times New Roman"/>
                <w:color w:val="000000"/>
                <w:sz w:val="20"/>
                <w:szCs w:val="20"/>
              </w:rPr>
            </w:pPr>
            <w:r>
              <w:rPr>
                <w:rFonts w:cs="Times New Roman"/>
                <w:color w:val="000000"/>
                <w:sz w:val="20"/>
                <w:szCs w:val="20"/>
              </w:rPr>
              <w:t>0.090</w:t>
            </w:r>
          </w:p>
        </w:tc>
        <w:tc>
          <w:tcPr>
            <w:tcW w:w="1260" w:type="dxa"/>
            <w:tcBorders>
              <w:left w:val="single" w:sz="36" w:space="0" w:color="FFFFFF" w:themeColor="background1"/>
              <w:right w:val="single" w:sz="36" w:space="0" w:color="FFFFFF" w:themeColor="background1"/>
            </w:tcBorders>
            <w:shd w:val="clear" w:color="auto" w:fill="auto"/>
            <w:vAlign w:val="center"/>
          </w:tcPr>
          <w:p w14:paraId="07F363B6" w14:textId="5B4CD373" w:rsidR="00232F51" w:rsidRPr="000D7ABF" w:rsidRDefault="00057E17" w:rsidP="002A7D12">
            <w:pPr>
              <w:spacing w:line="240" w:lineRule="auto"/>
              <w:jc w:val="center"/>
              <w:rPr>
                <w:rFonts w:cs="Times New Roman"/>
                <w:color w:val="000000"/>
                <w:sz w:val="20"/>
                <w:szCs w:val="20"/>
              </w:rPr>
            </w:pPr>
            <w:r>
              <w:rPr>
                <w:rFonts w:cs="Times New Roman"/>
                <w:color w:val="000000"/>
                <w:sz w:val="20"/>
                <w:szCs w:val="20"/>
              </w:rPr>
              <w:t xml:space="preserve">  </w:t>
            </w:r>
            <w:r w:rsidR="00232F51">
              <w:rPr>
                <w:rFonts w:cs="Times New Roman"/>
                <w:color w:val="000000"/>
                <w:sz w:val="20"/>
                <w:szCs w:val="20"/>
              </w:rPr>
              <w:t>3.26</w:t>
            </w:r>
          </w:p>
        </w:tc>
        <w:tc>
          <w:tcPr>
            <w:tcW w:w="1080" w:type="dxa"/>
            <w:tcBorders>
              <w:left w:val="single" w:sz="36" w:space="0" w:color="FFFFFF" w:themeColor="background1"/>
              <w:right w:val="single" w:sz="36" w:space="0" w:color="FFFFFF" w:themeColor="background1"/>
            </w:tcBorders>
            <w:shd w:val="clear" w:color="auto" w:fill="auto"/>
            <w:vAlign w:val="center"/>
          </w:tcPr>
          <w:p w14:paraId="1F44FBFC" w14:textId="77777777" w:rsidR="00232F51" w:rsidRPr="000D7ABF" w:rsidRDefault="00232F51" w:rsidP="002A7D12">
            <w:pPr>
              <w:spacing w:line="240" w:lineRule="auto"/>
              <w:jc w:val="center"/>
              <w:rPr>
                <w:rFonts w:cs="Times New Roman"/>
                <w:color w:val="000000"/>
                <w:sz w:val="20"/>
                <w:szCs w:val="20"/>
              </w:rPr>
            </w:pPr>
            <w:r>
              <w:rPr>
                <w:rFonts w:cs="Times New Roman"/>
                <w:color w:val="000000"/>
                <w:sz w:val="20"/>
                <w:szCs w:val="20"/>
              </w:rPr>
              <w:t xml:space="preserve">  0.147</w:t>
            </w:r>
          </w:p>
        </w:tc>
      </w:tr>
      <w:tr w:rsidR="00232F51" w:rsidRPr="003A44E9" w14:paraId="5349D74E" w14:textId="77777777" w:rsidTr="002A7D12">
        <w:trPr>
          <w:trHeight w:val="288"/>
        </w:trPr>
        <w:tc>
          <w:tcPr>
            <w:tcW w:w="1620" w:type="dxa"/>
            <w:tcBorders>
              <w:left w:val="nil"/>
              <w:right w:val="nil"/>
            </w:tcBorders>
            <w:shd w:val="clear" w:color="auto" w:fill="D9D9D9" w:themeFill="background1" w:themeFillShade="D9"/>
            <w:noWrap/>
            <w:vAlign w:val="center"/>
            <w:hideMark/>
          </w:tcPr>
          <w:p w14:paraId="3BCC8B99" w14:textId="77777777" w:rsidR="00232F51" w:rsidRPr="003A44E9" w:rsidRDefault="00232F51" w:rsidP="002A7D12">
            <w:pPr>
              <w:spacing w:line="240" w:lineRule="auto"/>
              <w:rPr>
                <w:rFonts w:cs="Times New Roman"/>
                <w:color w:val="000000"/>
                <w:sz w:val="20"/>
                <w:szCs w:val="20"/>
              </w:rPr>
            </w:pPr>
            <w:r>
              <w:rPr>
                <w:rFonts w:cs="Times New Roman"/>
                <w:color w:val="000000"/>
                <w:sz w:val="20"/>
                <w:szCs w:val="20"/>
              </w:rPr>
              <w:t>N</w:t>
            </w:r>
          </w:p>
        </w:tc>
        <w:tc>
          <w:tcPr>
            <w:tcW w:w="958" w:type="dxa"/>
            <w:tcBorders>
              <w:left w:val="nil"/>
              <w:right w:val="nil"/>
            </w:tcBorders>
            <w:shd w:val="clear" w:color="auto" w:fill="D9D9D9" w:themeFill="background1" w:themeFillShade="D9"/>
            <w:noWrap/>
            <w:vAlign w:val="center"/>
          </w:tcPr>
          <w:p w14:paraId="31144D64" w14:textId="72B2706B" w:rsidR="00232F51" w:rsidRPr="000D7ABF" w:rsidRDefault="00057E17" w:rsidP="002A7D12">
            <w:pPr>
              <w:spacing w:line="240" w:lineRule="auto"/>
              <w:jc w:val="center"/>
              <w:rPr>
                <w:rFonts w:cs="Times New Roman"/>
                <w:color w:val="000000"/>
                <w:sz w:val="20"/>
                <w:szCs w:val="20"/>
              </w:rPr>
            </w:pPr>
            <w:r>
              <w:rPr>
                <w:rFonts w:cs="Times New Roman"/>
                <w:color w:val="000000"/>
                <w:sz w:val="20"/>
                <w:szCs w:val="20"/>
              </w:rPr>
              <w:t xml:space="preserve">  </w:t>
            </w:r>
            <w:r w:rsidR="00232F51">
              <w:rPr>
                <w:rFonts w:cs="Times New Roman"/>
                <w:color w:val="000000"/>
                <w:sz w:val="20"/>
                <w:szCs w:val="20"/>
              </w:rPr>
              <w:t>0.83</w:t>
            </w:r>
          </w:p>
        </w:tc>
        <w:tc>
          <w:tcPr>
            <w:tcW w:w="780" w:type="dxa"/>
            <w:tcBorders>
              <w:left w:val="nil"/>
              <w:right w:val="nil"/>
            </w:tcBorders>
            <w:shd w:val="clear" w:color="auto" w:fill="D9D9D9" w:themeFill="background1" w:themeFillShade="D9"/>
            <w:vAlign w:val="center"/>
          </w:tcPr>
          <w:p w14:paraId="72E9C2E0" w14:textId="77777777" w:rsidR="00232F51" w:rsidRPr="00D87AC7" w:rsidRDefault="00232F51" w:rsidP="002A7D12">
            <w:pPr>
              <w:spacing w:line="240" w:lineRule="auto"/>
              <w:jc w:val="center"/>
              <w:rPr>
                <w:rFonts w:cs="Times New Roman"/>
                <w:color w:val="000000"/>
                <w:sz w:val="20"/>
                <w:szCs w:val="20"/>
              </w:rPr>
            </w:pPr>
            <w:r>
              <w:rPr>
                <w:rFonts w:cs="Times New Roman"/>
                <w:color w:val="000000"/>
                <w:sz w:val="20"/>
                <w:szCs w:val="20"/>
              </w:rPr>
              <w:t xml:space="preserve">  0.389</w:t>
            </w:r>
          </w:p>
        </w:tc>
        <w:tc>
          <w:tcPr>
            <w:tcW w:w="872" w:type="dxa"/>
            <w:tcBorders>
              <w:left w:val="nil"/>
              <w:right w:val="nil"/>
            </w:tcBorders>
            <w:shd w:val="clear" w:color="auto" w:fill="D9D9D9" w:themeFill="background1" w:themeFillShade="D9"/>
            <w:vAlign w:val="center"/>
          </w:tcPr>
          <w:p w14:paraId="0CE60B81" w14:textId="77777777" w:rsidR="00232F51" w:rsidRPr="00D87AC7" w:rsidRDefault="00232F51" w:rsidP="002A7D12">
            <w:pPr>
              <w:spacing w:line="240" w:lineRule="auto"/>
              <w:jc w:val="center"/>
              <w:rPr>
                <w:rFonts w:cs="Times New Roman"/>
                <w:color w:val="000000"/>
                <w:sz w:val="20"/>
                <w:szCs w:val="20"/>
              </w:rPr>
            </w:pPr>
            <w:r>
              <w:rPr>
                <w:rFonts w:cs="Times New Roman"/>
                <w:color w:val="000000"/>
                <w:sz w:val="20"/>
                <w:szCs w:val="20"/>
              </w:rPr>
              <w:t>5.85</w:t>
            </w:r>
          </w:p>
        </w:tc>
        <w:tc>
          <w:tcPr>
            <w:tcW w:w="810" w:type="dxa"/>
            <w:tcBorders>
              <w:left w:val="nil"/>
              <w:right w:val="nil"/>
            </w:tcBorders>
            <w:shd w:val="clear" w:color="auto" w:fill="D9D9D9" w:themeFill="background1" w:themeFillShade="D9"/>
            <w:vAlign w:val="center"/>
          </w:tcPr>
          <w:p w14:paraId="70541EB7" w14:textId="77777777" w:rsidR="00232F51" w:rsidRPr="00CB73C9" w:rsidRDefault="00232F51" w:rsidP="002A7D12">
            <w:pPr>
              <w:spacing w:line="240" w:lineRule="auto"/>
              <w:jc w:val="center"/>
              <w:rPr>
                <w:rFonts w:cs="Times New Roman"/>
                <w:b/>
                <w:bCs/>
                <w:color w:val="000000"/>
                <w:sz w:val="20"/>
                <w:szCs w:val="20"/>
              </w:rPr>
            </w:pPr>
            <w:r w:rsidRPr="00CB73C9">
              <w:rPr>
                <w:rFonts w:cs="Times New Roman"/>
                <w:b/>
                <w:bCs/>
                <w:color w:val="000000"/>
                <w:sz w:val="20"/>
                <w:szCs w:val="20"/>
              </w:rPr>
              <w:t>0.048</w:t>
            </w:r>
          </w:p>
        </w:tc>
        <w:tc>
          <w:tcPr>
            <w:tcW w:w="1260" w:type="dxa"/>
            <w:tcBorders>
              <w:left w:val="nil"/>
              <w:right w:val="nil"/>
            </w:tcBorders>
            <w:shd w:val="clear" w:color="auto" w:fill="D9D9D9" w:themeFill="background1" w:themeFillShade="D9"/>
            <w:vAlign w:val="center"/>
          </w:tcPr>
          <w:p w14:paraId="662B3DED" w14:textId="2D58DA97" w:rsidR="00232F51" w:rsidRPr="00D87AC7" w:rsidRDefault="00232F51" w:rsidP="002A7D12">
            <w:pPr>
              <w:spacing w:line="240" w:lineRule="auto"/>
              <w:jc w:val="center"/>
              <w:rPr>
                <w:rFonts w:cs="Times New Roman"/>
                <w:color w:val="000000"/>
                <w:sz w:val="20"/>
                <w:szCs w:val="20"/>
              </w:rPr>
            </w:pPr>
            <w:r>
              <w:rPr>
                <w:rFonts w:cs="Times New Roman"/>
                <w:color w:val="000000"/>
                <w:sz w:val="20"/>
                <w:szCs w:val="20"/>
              </w:rPr>
              <w:t>17.2</w:t>
            </w:r>
            <w:r w:rsidR="00057E17">
              <w:rPr>
                <w:rFonts w:cs="Times New Roman"/>
                <w:color w:val="000000"/>
                <w:sz w:val="20"/>
                <w:szCs w:val="20"/>
              </w:rPr>
              <w:t>0</w:t>
            </w:r>
          </w:p>
        </w:tc>
        <w:tc>
          <w:tcPr>
            <w:tcW w:w="1080" w:type="dxa"/>
            <w:tcBorders>
              <w:left w:val="nil"/>
              <w:right w:val="nil"/>
            </w:tcBorders>
            <w:shd w:val="clear" w:color="auto" w:fill="D9D9D9" w:themeFill="background1" w:themeFillShade="D9"/>
            <w:vAlign w:val="center"/>
          </w:tcPr>
          <w:p w14:paraId="23F39939" w14:textId="77777777" w:rsidR="00232F51" w:rsidRPr="00CB73C9" w:rsidRDefault="00232F51" w:rsidP="002A7D12">
            <w:pPr>
              <w:spacing w:line="240" w:lineRule="auto"/>
              <w:jc w:val="center"/>
              <w:rPr>
                <w:rFonts w:cs="Times New Roman"/>
                <w:b/>
                <w:bCs/>
                <w:color w:val="000000"/>
                <w:sz w:val="20"/>
                <w:szCs w:val="20"/>
              </w:rPr>
            </w:pPr>
            <w:r w:rsidRPr="00CB73C9">
              <w:rPr>
                <w:rFonts w:cs="Times New Roman"/>
                <w:b/>
                <w:bCs/>
                <w:color w:val="000000"/>
                <w:sz w:val="20"/>
                <w:szCs w:val="20"/>
              </w:rPr>
              <w:t>&lt;0.001</w:t>
            </w:r>
          </w:p>
        </w:tc>
      </w:tr>
      <w:tr w:rsidR="00057E17" w:rsidRPr="003A44E9" w14:paraId="2C76B8FF" w14:textId="77777777" w:rsidTr="00057E17">
        <w:trPr>
          <w:trHeight w:val="288"/>
        </w:trPr>
        <w:tc>
          <w:tcPr>
            <w:tcW w:w="1620" w:type="dxa"/>
            <w:tcBorders>
              <w:left w:val="nil"/>
              <w:right w:val="nil"/>
            </w:tcBorders>
            <w:shd w:val="clear" w:color="auto" w:fill="auto"/>
            <w:noWrap/>
            <w:vAlign w:val="center"/>
          </w:tcPr>
          <w:p w14:paraId="0F48A044" w14:textId="0088BE69" w:rsidR="00057E17" w:rsidRDefault="00057E17" w:rsidP="00057E17">
            <w:pPr>
              <w:spacing w:line="240" w:lineRule="auto"/>
              <w:rPr>
                <w:rFonts w:cs="Times New Roman"/>
                <w:color w:val="000000"/>
                <w:sz w:val="20"/>
                <w:szCs w:val="20"/>
              </w:rPr>
            </w:pPr>
            <w:r>
              <w:rPr>
                <w:rFonts w:cs="Times New Roman"/>
                <w:color w:val="000000"/>
                <w:sz w:val="20"/>
                <w:szCs w:val="20"/>
              </w:rPr>
              <w:t>Year</w:t>
            </w:r>
          </w:p>
        </w:tc>
        <w:tc>
          <w:tcPr>
            <w:tcW w:w="958" w:type="dxa"/>
            <w:tcBorders>
              <w:left w:val="nil"/>
              <w:right w:val="nil"/>
            </w:tcBorders>
            <w:shd w:val="clear" w:color="auto" w:fill="auto"/>
            <w:noWrap/>
            <w:vAlign w:val="center"/>
          </w:tcPr>
          <w:p w14:paraId="7038FCE9" w14:textId="4D03B88A" w:rsidR="00057E17" w:rsidRDefault="00057E17" w:rsidP="00057E17">
            <w:pPr>
              <w:spacing w:line="240" w:lineRule="auto"/>
              <w:jc w:val="center"/>
              <w:rPr>
                <w:rFonts w:cs="Times New Roman"/>
                <w:color w:val="000000"/>
                <w:sz w:val="20"/>
                <w:szCs w:val="20"/>
              </w:rPr>
            </w:pPr>
            <w:r>
              <w:rPr>
                <w:rFonts w:cs="Times New Roman"/>
                <w:color w:val="000000"/>
                <w:sz w:val="20"/>
                <w:szCs w:val="20"/>
              </w:rPr>
              <w:t>14.13</w:t>
            </w:r>
          </w:p>
        </w:tc>
        <w:tc>
          <w:tcPr>
            <w:tcW w:w="780" w:type="dxa"/>
            <w:tcBorders>
              <w:left w:val="nil"/>
              <w:right w:val="nil"/>
            </w:tcBorders>
            <w:shd w:val="clear" w:color="auto" w:fill="auto"/>
            <w:vAlign w:val="center"/>
          </w:tcPr>
          <w:p w14:paraId="554B56ED" w14:textId="710F1F80" w:rsidR="00057E17" w:rsidRDefault="00057E17" w:rsidP="00057E17">
            <w:pPr>
              <w:spacing w:line="240" w:lineRule="auto"/>
              <w:jc w:val="center"/>
              <w:rPr>
                <w:rFonts w:cs="Times New Roman"/>
                <w:color w:val="000000"/>
                <w:sz w:val="20"/>
                <w:szCs w:val="20"/>
              </w:rPr>
            </w:pPr>
            <w:r w:rsidRPr="00CB73C9">
              <w:rPr>
                <w:rFonts w:cs="Times New Roman"/>
                <w:b/>
                <w:bCs/>
                <w:color w:val="000000"/>
                <w:sz w:val="20"/>
                <w:szCs w:val="20"/>
              </w:rPr>
              <w:t>&lt;0.001</w:t>
            </w:r>
          </w:p>
        </w:tc>
        <w:tc>
          <w:tcPr>
            <w:tcW w:w="872" w:type="dxa"/>
            <w:tcBorders>
              <w:left w:val="nil"/>
              <w:right w:val="nil"/>
            </w:tcBorders>
            <w:shd w:val="clear" w:color="auto" w:fill="auto"/>
            <w:vAlign w:val="center"/>
          </w:tcPr>
          <w:p w14:paraId="4652ABAC" w14:textId="4CED5272" w:rsidR="00057E17" w:rsidRDefault="00057E17" w:rsidP="00057E17">
            <w:pPr>
              <w:spacing w:line="240" w:lineRule="auto"/>
              <w:jc w:val="center"/>
              <w:rPr>
                <w:rFonts w:cs="Times New Roman"/>
                <w:color w:val="000000"/>
                <w:sz w:val="20"/>
                <w:szCs w:val="20"/>
              </w:rPr>
            </w:pPr>
            <w:r>
              <w:rPr>
                <w:rFonts w:cs="Times New Roman"/>
                <w:color w:val="000000"/>
                <w:sz w:val="20"/>
                <w:szCs w:val="20"/>
              </w:rPr>
              <w:t>0.38</w:t>
            </w:r>
          </w:p>
        </w:tc>
        <w:tc>
          <w:tcPr>
            <w:tcW w:w="810" w:type="dxa"/>
            <w:tcBorders>
              <w:left w:val="nil"/>
              <w:right w:val="nil"/>
            </w:tcBorders>
            <w:shd w:val="clear" w:color="auto" w:fill="auto"/>
            <w:vAlign w:val="center"/>
          </w:tcPr>
          <w:p w14:paraId="6C90BCB3" w14:textId="32DF26CD" w:rsidR="00057E17" w:rsidRPr="00CB73C9" w:rsidRDefault="00057E17" w:rsidP="00057E17">
            <w:pPr>
              <w:spacing w:line="240" w:lineRule="auto"/>
              <w:jc w:val="center"/>
              <w:rPr>
                <w:rFonts w:cs="Times New Roman"/>
                <w:b/>
                <w:bCs/>
                <w:color w:val="000000"/>
                <w:sz w:val="20"/>
                <w:szCs w:val="20"/>
              </w:rPr>
            </w:pPr>
            <w:r>
              <w:rPr>
                <w:rFonts w:cs="Times New Roman"/>
                <w:color w:val="000000"/>
                <w:sz w:val="20"/>
                <w:szCs w:val="20"/>
              </w:rPr>
              <w:t>0.689</w:t>
            </w:r>
          </w:p>
        </w:tc>
        <w:tc>
          <w:tcPr>
            <w:tcW w:w="1260" w:type="dxa"/>
            <w:tcBorders>
              <w:left w:val="nil"/>
              <w:right w:val="nil"/>
            </w:tcBorders>
            <w:shd w:val="clear" w:color="auto" w:fill="auto"/>
            <w:vAlign w:val="center"/>
          </w:tcPr>
          <w:p w14:paraId="07A4095B" w14:textId="78F61019" w:rsidR="00057E17" w:rsidRDefault="00057E17" w:rsidP="00057E17">
            <w:pPr>
              <w:spacing w:line="240" w:lineRule="auto"/>
              <w:jc w:val="center"/>
              <w:rPr>
                <w:rFonts w:cs="Times New Roman"/>
                <w:color w:val="000000"/>
                <w:sz w:val="20"/>
                <w:szCs w:val="20"/>
              </w:rPr>
            </w:pPr>
            <w:r>
              <w:rPr>
                <w:rFonts w:cs="Times New Roman"/>
                <w:color w:val="000000"/>
                <w:sz w:val="20"/>
                <w:szCs w:val="20"/>
              </w:rPr>
              <w:t>56.51</w:t>
            </w:r>
          </w:p>
        </w:tc>
        <w:tc>
          <w:tcPr>
            <w:tcW w:w="1080" w:type="dxa"/>
            <w:tcBorders>
              <w:left w:val="nil"/>
              <w:right w:val="nil"/>
            </w:tcBorders>
            <w:shd w:val="clear" w:color="auto" w:fill="auto"/>
            <w:vAlign w:val="center"/>
          </w:tcPr>
          <w:p w14:paraId="3B0791F2" w14:textId="7DD4C8EC" w:rsidR="00057E17" w:rsidRPr="00CB73C9" w:rsidRDefault="00057E17" w:rsidP="00057E17">
            <w:pPr>
              <w:spacing w:line="240" w:lineRule="auto"/>
              <w:jc w:val="center"/>
              <w:rPr>
                <w:rFonts w:cs="Times New Roman"/>
                <w:b/>
                <w:bCs/>
                <w:color w:val="000000"/>
                <w:sz w:val="20"/>
                <w:szCs w:val="20"/>
              </w:rPr>
            </w:pPr>
            <w:r w:rsidRPr="00CB73C9">
              <w:rPr>
                <w:rFonts w:cs="Times New Roman"/>
                <w:b/>
                <w:bCs/>
                <w:color w:val="000000"/>
                <w:sz w:val="20"/>
                <w:szCs w:val="20"/>
              </w:rPr>
              <w:t>&lt;0.001</w:t>
            </w:r>
          </w:p>
        </w:tc>
      </w:tr>
      <w:tr w:rsidR="00057E17" w:rsidRPr="003A44E9" w14:paraId="71F49BDC" w14:textId="77777777" w:rsidTr="00057E17">
        <w:trPr>
          <w:trHeight w:val="288"/>
        </w:trPr>
        <w:tc>
          <w:tcPr>
            <w:tcW w:w="1620" w:type="dxa"/>
            <w:tcBorders>
              <w:left w:val="nil"/>
              <w:right w:val="nil"/>
            </w:tcBorders>
            <w:shd w:val="clear" w:color="auto" w:fill="D9D9D9" w:themeFill="background1" w:themeFillShade="D9"/>
            <w:noWrap/>
            <w:vAlign w:val="center"/>
          </w:tcPr>
          <w:p w14:paraId="52D59CA2" w14:textId="4266DB3F" w:rsidR="00057E17" w:rsidRDefault="00057E17" w:rsidP="00057E17">
            <w:pPr>
              <w:spacing w:line="240" w:lineRule="auto"/>
              <w:rPr>
                <w:rFonts w:cs="Times New Roman"/>
                <w:color w:val="000000"/>
                <w:sz w:val="20"/>
                <w:szCs w:val="20"/>
              </w:rPr>
            </w:pPr>
            <w:r>
              <w:rPr>
                <w:rFonts w:cs="Times New Roman"/>
                <w:color w:val="000000"/>
                <w:sz w:val="20"/>
                <w:szCs w:val="20"/>
              </w:rPr>
              <w:t>CSA x N</w:t>
            </w:r>
          </w:p>
        </w:tc>
        <w:tc>
          <w:tcPr>
            <w:tcW w:w="958" w:type="dxa"/>
            <w:tcBorders>
              <w:left w:val="nil"/>
              <w:right w:val="nil"/>
            </w:tcBorders>
            <w:shd w:val="clear" w:color="auto" w:fill="D9D9D9" w:themeFill="background1" w:themeFillShade="D9"/>
            <w:noWrap/>
            <w:vAlign w:val="center"/>
          </w:tcPr>
          <w:p w14:paraId="67E6CFC3" w14:textId="387228F5" w:rsidR="00057E17" w:rsidRDefault="00057E17" w:rsidP="00057E17">
            <w:pPr>
              <w:spacing w:line="240" w:lineRule="auto"/>
              <w:jc w:val="center"/>
              <w:rPr>
                <w:rFonts w:cs="Times New Roman"/>
                <w:color w:val="000000"/>
                <w:sz w:val="20"/>
                <w:szCs w:val="20"/>
              </w:rPr>
            </w:pPr>
            <w:r>
              <w:rPr>
                <w:rFonts w:cs="Times New Roman"/>
                <w:color w:val="000000"/>
                <w:sz w:val="20"/>
                <w:szCs w:val="20"/>
              </w:rPr>
              <w:t xml:space="preserve">  0.31</w:t>
            </w:r>
          </w:p>
        </w:tc>
        <w:tc>
          <w:tcPr>
            <w:tcW w:w="780" w:type="dxa"/>
            <w:tcBorders>
              <w:left w:val="nil"/>
              <w:right w:val="nil"/>
            </w:tcBorders>
            <w:shd w:val="clear" w:color="auto" w:fill="D9D9D9" w:themeFill="background1" w:themeFillShade="D9"/>
            <w:vAlign w:val="center"/>
          </w:tcPr>
          <w:p w14:paraId="1CBD4EAC" w14:textId="4A2217D8" w:rsidR="00057E17" w:rsidRDefault="00057E17" w:rsidP="00057E17">
            <w:pPr>
              <w:spacing w:line="240" w:lineRule="auto"/>
              <w:jc w:val="center"/>
              <w:rPr>
                <w:rFonts w:cs="Times New Roman"/>
                <w:color w:val="000000"/>
                <w:sz w:val="20"/>
                <w:szCs w:val="20"/>
              </w:rPr>
            </w:pPr>
            <w:r>
              <w:rPr>
                <w:rFonts w:cs="Times New Roman"/>
                <w:color w:val="000000"/>
                <w:sz w:val="20"/>
                <w:szCs w:val="20"/>
              </w:rPr>
              <w:t xml:space="preserve">  0.737</w:t>
            </w:r>
          </w:p>
        </w:tc>
        <w:tc>
          <w:tcPr>
            <w:tcW w:w="872" w:type="dxa"/>
            <w:tcBorders>
              <w:left w:val="nil"/>
              <w:right w:val="nil"/>
            </w:tcBorders>
            <w:shd w:val="clear" w:color="auto" w:fill="D9D9D9" w:themeFill="background1" w:themeFillShade="D9"/>
            <w:vAlign w:val="center"/>
          </w:tcPr>
          <w:p w14:paraId="257FE65E" w14:textId="3C2FF15E" w:rsidR="00057E17" w:rsidRDefault="00057E17" w:rsidP="00057E17">
            <w:pPr>
              <w:spacing w:line="240" w:lineRule="auto"/>
              <w:jc w:val="center"/>
              <w:rPr>
                <w:rFonts w:cs="Times New Roman"/>
                <w:color w:val="000000"/>
                <w:sz w:val="20"/>
                <w:szCs w:val="20"/>
              </w:rPr>
            </w:pPr>
            <w:r>
              <w:rPr>
                <w:rFonts w:cs="Times New Roman"/>
                <w:color w:val="000000"/>
                <w:sz w:val="20"/>
                <w:szCs w:val="20"/>
              </w:rPr>
              <w:t>1.61</w:t>
            </w:r>
          </w:p>
        </w:tc>
        <w:tc>
          <w:tcPr>
            <w:tcW w:w="810" w:type="dxa"/>
            <w:tcBorders>
              <w:left w:val="nil"/>
              <w:right w:val="nil"/>
            </w:tcBorders>
            <w:shd w:val="clear" w:color="auto" w:fill="D9D9D9" w:themeFill="background1" w:themeFillShade="D9"/>
            <w:vAlign w:val="center"/>
          </w:tcPr>
          <w:p w14:paraId="36B55B5F" w14:textId="6968832F" w:rsidR="00057E17" w:rsidRDefault="00057E17" w:rsidP="00057E17">
            <w:pPr>
              <w:spacing w:line="240" w:lineRule="auto"/>
              <w:jc w:val="center"/>
              <w:rPr>
                <w:rFonts w:cs="Times New Roman"/>
                <w:color w:val="000000"/>
                <w:sz w:val="20"/>
                <w:szCs w:val="20"/>
              </w:rPr>
            </w:pPr>
            <w:r>
              <w:rPr>
                <w:rFonts w:cs="Times New Roman"/>
                <w:color w:val="000000"/>
                <w:sz w:val="20"/>
                <w:szCs w:val="20"/>
              </w:rPr>
              <w:t>0.228</w:t>
            </w:r>
          </w:p>
        </w:tc>
        <w:tc>
          <w:tcPr>
            <w:tcW w:w="1260" w:type="dxa"/>
            <w:tcBorders>
              <w:left w:val="nil"/>
              <w:right w:val="nil"/>
            </w:tcBorders>
            <w:shd w:val="clear" w:color="auto" w:fill="D9D9D9" w:themeFill="background1" w:themeFillShade="D9"/>
            <w:vAlign w:val="center"/>
          </w:tcPr>
          <w:p w14:paraId="667F2054" w14:textId="0FF5FB70" w:rsidR="00057E17" w:rsidRDefault="00057E17" w:rsidP="00057E17">
            <w:pPr>
              <w:spacing w:line="240" w:lineRule="auto"/>
              <w:jc w:val="center"/>
              <w:rPr>
                <w:rFonts w:cs="Times New Roman"/>
                <w:color w:val="000000"/>
                <w:sz w:val="20"/>
                <w:szCs w:val="20"/>
              </w:rPr>
            </w:pPr>
            <w:r>
              <w:rPr>
                <w:rFonts w:cs="Times New Roman"/>
                <w:color w:val="000000"/>
                <w:sz w:val="20"/>
                <w:szCs w:val="20"/>
              </w:rPr>
              <w:t xml:space="preserve">  0.86</w:t>
            </w:r>
          </w:p>
        </w:tc>
        <w:tc>
          <w:tcPr>
            <w:tcW w:w="1080" w:type="dxa"/>
            <w:tcBorders>
              <w:left w:val="nil"/>
              <w:right w:val="nil"/>
            </w:tcBorders>
            <w:shd w:val="clear" w:color="auto" w:fill="D9D9D9" w:themeFill="background1" w:themeFillShade="D9"/>
            <w:vAlign w:val="center"/>
          </w:tcPr>
          <w:p w14:paraId="36082808" w14:textId="3F935A0C" w:rsidR="00057E17" w:rsidRDefault="00057E17" w:rsidP="00057E17">
            <w:pPr>
              <w:spacing w:line="240" w:lineRule="auto"/>
              <w:jc w:val="center"/>
              <w:rPr>
                <w:rFonts w:cs="Times New Roman"/>
                <w:color w:val="000000"/>
                <w:sz w:val="20"/>
                <w:szCs w:val="20"/>
              </w:rPr>
            </w:pPr>
            <w:r>
              <w:rPr>
                <w:rFonts w:cs="Times New Roman"/>
                <w:color w:val="000000"/>
                <w:sz w:val="20"/>
                <w:szCs w:val="20"/>
              </w:rPr>
              <w:t xml:space="preserve">  0.442</w:t>
            </w:r>
          </w:p>
        </w:tc>
      </w:tr>
      <w:tr w:rsidR="00057E17" w:rsidRPr="003A44E9" w14:paraId="47D6ADBE" w14:textId="77777777" w:rsidTr="006E42DD">
        <w:trPr>
          <w:trHeight w:val="288"/>
        </w:trPr>
        <w:tc>
          <w:tcPr>
            <w:tcW w:w="1620" w:type="dxa"/>
            <w:tcBorders>
              <w:left w:val="nil"/>
              <w:right w:val="nil"/>
            </w:tcBorders>
            <w:shd w:val="clear" w:color="auto" w:fill="auto"/>
            <w:noWrap/>
            <w:vAlign w:val="center"/>
          </w:tcPr>
          <w:p w14:paraId="500C48C6" w14:textId="7548788B" w:rsidR="00057E17" w:rsidRDefault="00057E17" w:rsidP="00057E17">
            <w:pPr>
              <w:spacing w:line="240" w:lineRule="auto"/>
              <w:rPr>
                <w:rFonts w:cs="Times New Roman"/>
                <w:color w:val="000000"/>
                <w:sz w:val="20"/>
                <w:szCs w:val="20"/>
              </w:rPr>
            </w:pPr>
            <w:r>
              <w:rPr>
                <w:rFonts w:cs="Times New Roman"/>
                <w:color w:val="000000"/>
                <w:sz w:val="20"/>
                <w:szCs w:val="20"/>
              </w:rPr>
              <w:t>CSA x Year</w:t>
            </w:r>
          </w:p>
        </w:tc>
        <w:tc>
          <w:tcPr>
            <w:tcW w:w="958" w:type="dxa"/>
            <w:tcBorders>
              <w:left w:val="nil"/>
              <w:right w:val="nil"/>
            </w:tcBorders>
            <w:shd w:val="clear" w:color="auto" w:fill="auto"/>
            <w:noWrap/>
            <w:vAlign w:val="center"/>
          </w:tcPr>
          <w:p w14:paraId="0250A588" w14:textId="1800BC74" w:rsidR="00057E17" w:rsidRDefault="00057E17" w:rsidP="00057E17">
            <w:pPr>
              <w:spacing w:line="240" w:lineRule="auto"/>
              <w:jc w:val="center"/>
              <w:rPr>
                <w:rFonts w:cs="Times New Roman"/>
                <w:color w:val="000000"/>
                <w:sz w:val="20"/>
                <w:szCs w:val="20"/>
              </w:rPr>
            </w:pPr>
            <w:r>
              <w:rPr>
                <w:rFonts w:cs="Times New Roman"/>
                <w:color w:val="000000"/>
                <w:sz w:val="20"/>
                <w:szCs w:val="20"/>
              </w:rPr>
              <w:t xml:space="preserve">  1.67</w:t>
            </w:r>
          </w:p>
        </w:tc>
        <w:tc>
          <w:tcPr>
            <w:tcW w:w="780" w:type="dxa"/>
            <w:tcBorders>
              <w:left w:val="nil"/>
              <w:right w:val="nil"/>
            </w:tcBorders>
            <w:shd w:val="clear" w:color="auto" w:fill="auto"/>
            <w:vAlign w:val="center"/>
          </w:tcPr>
          <w:p w14:paraId="6AEAFE76" w14:textId="147B7178" w:rsidR="00057E17" w:rsidRPr="00CB73C9" w:rsidRDefault="00057E17" w:rsidP="00057E17">
            <w:pPr>
              <w:spacing w:line="240" w:lineRule="auto"/>
              <w:jc w:val="center"/>
              <w:rPr>
                <w:rFonts w:cs="Times New Roman"/>
                <w:b/>
                <w:bCs/>
                <w:color w:val="000000"/>
                <w:sz w:val="20"/>
                <w:szCs w:val="20"/>
              </w:rPr>
            </w:pPr>
            <w:r>
              <w:rPr>
                <w:rFonts w:cs="Times New Roman"/>
                <w:color w:val="000000"/>
                <w:sz w:val="20"/>
                <w:szCs w:val="20"/>
              </w:rPr>
              <w:t xml:space="preserve">  0.173</w:t>
            </w:r>
          </w:p>
        </w:tc>
        <w:tc>
          <w:tcPr>
            <w:tcW w:w="872" w:type="dxa"/>
            <w:tcBorders>
              <w:left w:val="nil"/>
              <w:right w:val="nil"/>
            </w:tcBorders>
            <w:shd w:val="clear" w:color="auto" w:fill="auto"/>
            <w:vAlign w:val="center"/>
          </w:tcPr>
          <w:p w14:paraId="5430ED94" w14:textId="0A904451" w:rsidR="00057E17" w:rsidRDefault="00057E17" w:rsidP="00057E17">
            <w:pPr>
              <w:spacing w:line="240" w:lineRule="auto"/>
              <w:jc w:val="center"/>
              <w:rPr>
                <w:rFonts w:cs="Times New Roman"/>
                <w:color w:val="000000"/>
                <w:sz w:val="20"/>
                <w:szCs w:val="20"/>
              </w:rPr>
            </w:pPr>
            <w:r>
              <w:rPr>
                <w:rFonts w:cs="Times New Roman"/>
                <w:color w:val="000000"/>
                <w:sz w:val="20"/>
                <w:szCs w:val="20"/>
              </w:rPr>
              <w:t>0.39</w:t>
            </w:r>
          </w:p>
        </w:tc>
        <w:tc>
          <w:tcPr>
            <w:tcW w:w="810" w:type="dxa"/>
            <w:tcBorders>
              <w:left w:val="nil"/>
              <w:right w:val="nil"/>
            </w:tcBorders>
            <w:shd w:val="clear" w:color="auto" w:fill="auto"/>
            <w:vAlign w:val="center"/>
          </w:tcPr>
          <w:p w14:paraId="74172925" w14:textId="2D0DCA9C" w:rsidR="00057E17" w:rsidRDefault="00057E17" w:rsidP="00057E17">
            <w:pPr>
              <w:spacing w:line="240" w:lineRule="auto"/>
              <w:jc w:val="center"/>
              <w:rPr>
                <w:rFonts w:cs="Times New Roman"/>
                <w:color w:val="000000"/>
                <w:sz w:val="20"/>
                <w:szCs w:val="20"/>
              </w:rPr>
            </w:pPr>
            <w:r>
              <w:rPr>
                <w:rFonts w:cs="Times New Roman"/>
                <w:color w:val="000000"/>
                <w:sz w:val="20"/>
                <w:szCs w:val="20"/>
              </w:rPr>
              <w:t>0.816</w:t>
            </w:r>
          </w:p>
        </w:tc>
        <w:tc>
          <w:tcPr>
            <w:tcW w:w="1260" w:type="dxa"/>
            <w:tcBorders>
              <w:left w:val="nil"/>
              <w:right w:val="nil"/>
            </w:tcBorders>
            <w:shd w:val="clear" w:color="auto" w:fill="auto"/>
            <w:vAlign w:val="center"/>
          </w:tcPr>
          <w:p w14:paraId="37925D3D" w14:textId="172F5510" w:rsidR="00057E17" w:rsidRDefault="00057E17" w:rsidP="00057E17">
            <w:pPr>
              <w:spacing w:line="240" w:lineRule="auto"/>
              <w:jc w:val="center"/>
              <w:rPr>
                <w:rFonts w:cs="Times New Roman"/>
                <w:color w:val="000000"/>
                <w:sz w:val="20"/>
                <w:szCs w:val="20"/>
              </w:rPr>
            </w:pPr>
            <w:r>
              <w:rPr>
                <w:rFonts w:cs="Times New Roman"/>
                <w:color w:val="000000"/>
                <w:sz w:val="20"/>
                <w:szCs w:val="20"/>
              </w:rPr>
              <w:t xml:space="preserve">  2.13</w:t>
            </w:r>
          </w:p>
        </w:tc>
        <w:tc>
          <w:tcPr>
            <w:tcW w:w="1080" w:type="dxa"/>
            <w:tcBorders>
              <w:left w:val="nil"/>
              <w:right w:val="nil"/>
            </w:tcBorders>
            <w:shd w:val="clear" w:color="auto" w:fill="auto"/>
            <w:vAlign w:val="center"/>
          </w:tcPr>
          <w:p w14:paraId="050FBD1D" w14:textId="42174DCF" w:rsidR="00057E17" w:rsidRPr="00CB73C9" w:rsidRDefault="00057E17" w:rsidP="00057E17">
            <w:pPr>
              <w:spacing w:line="240" w:lineRule="auto"/>
              <w:jc w:val="center"/>
              <w:rPr>
                <w:rFonts w:cs="Times New Roman"/>
                <w:b/>
                <w:bCs/>
                <w:color w:val="000000"/>
                <w:sz w:val="20"/>
                <w:szCs w:val="20"/>
              </w:rPr>
            </w:pPr>
            <w:r>
              <w:rPr>
                <w:rFonts w:cs="Times New Roman"/>
                <w:color w:val="000000"/>
                <w:sz w:val="20"/>
                <w:szCs w:val="20"/>
              </w:rPr>
              <w:t xml:space="preserve">  0.099</w:t>
            </w:r>
          </w:p>
        </w:tc>
      </w:tr>
      <w:tr w:rsidR="00057E17" w:rsidRPr="003A44E9" w14:paraId="54A510FF" w14:textId="77777777" w:rsidTr="002F68E4">
        <w:trPr>
          <w:trHeight w:val="288"/>
        </w:trPr>
        <w:tc>
          <w:tcPr>
            <w:tcW w:w="1620" w:type="dxa"/>
            <w:tcBorders>
              <w:left w:val="nil"/>
              <w:right w:val="nil"/>
            </w:tcBorders>
            <w:shd w:val="clear" w:color="auto" w:fill="D9D9D9" w:themeFill="background1" w:themeFillShade="D9"/>
            <w:noWrap/>
            <w:vAlign w:val="center"/>
          </w:tcPr>
          <w:p w14:paraId="11D4324F" w14:textId="07345535" w:rsidR="00057E17" w:rsidRDefault="00057E17" w:rsidP="00057E17">
            <w:pPr>
              <w:spacing w:line="240" w:lineRule="auto"/>
              <w:rPr>
                <w:rFonts w:cs="Times New Roman"/>
                <w:color w:val="000000"/>
                <w:sz w:val="20"/>
                <w:szCs w:val="20"/>
              </w:rPr>
            </w:pPr>
            <w:r>
              <w:rPr>
                <w:rFonts w:cs="Times New Roman"/>
                <w:color w:val="000000"/>
                <w:sz w:val="20"/>
                <w:szCs w:val="20"/>
              </w:rPr>
              <w:t>N x Year</w:t>
            </w:r>
          </w:p>
        </w:tc>
        <w:tc>
          <w:tcPr>
            <w:tcW w:w="958" w:type="dxa"/>
            <w:tcBorders>
              <w:left w:val="nil"/>
              <w:right w:val="nil"/>
            </w:tcBorders>
            <w:shd w:val="clear" w:color="auto" w:fill="D9D9D9" w:themeFill="background1" w:themeFillShade="D9"/>
            <w:noWrap/>
            <w:vAlign w:val="center"/>
          </w:tcPr>
          <w:p w14:paraId="149AC3D7" w14:textId="371A7124" w:rsidR="00057E17" w:rsidRDefault="00057E17" w:rsidP="00057E17">
            <w:pPr>
              <w:spacing w:line="240" w:lineRule="auto"/>
              <w:jc w:val="center"/>
              <w:rPr>
                <w:rFonts w:cs="Times New Roman"/>
                <w:color w:val="000000"/>
                <w:sz w:val="20"/>
                <w:szCs w:val="20"/>
              </w:rPr>
            </w:pPr>
            <w:r>
              <w:rPr>
                <w:rFonts w:cs="Times New Roman"/>
                <w:color w:val="000000"/>
                <w:sz w:val="20"/>
                <w:szCs w:val="20"/>
              </w:rPr>
              <w:t xml:space="preserve">  1.69</w:t>
            </w:r>
          </w:p>
        </w:tc>
        <w:tc>
          <w:tcPr>
            <w:tcW w:w="780" w:type="dxa"/>
            <w:tcBorders>
              <w:left w:val="nil"/>
              <w:right w:val="nil"/>
            </w:tcBorders>
            <w:shd w:val="clear" w:color="auto" w:fill="D9D9D9" w:themeFill="background1" w:themeFillShade="D9"/>
            <w:vAlign w:val="center"/>
          </w:tcPr>
          <w:p w14:paraId="1057B8FE" w14:textId="3EA742DF" w:rsidR="00057E17" w:rsidRDefault="00057E17" w:rsidP="00057E17">
            <w:pPr>
              <w:spacing w:line="240" w:lineRule="auto"/>
              <w:jc w:val="center"/>
              <w:rPr>
                <w:rFonts w:cs="Times New Roman"/>
                <w:color w:val="000000"/>
                <w:sz w:val="20"/>
                <w:szCs w:val="20"/>
              </w:rPr>
            </w:pPr>
            <w:r>
              <w:rPr>
                <w:rFonts w:cs="Times New Roman"/>
                <w:color w:val="000000"/>
                <w:sz w:val="20"/>
                <w:szCs w:val="20"/>
              </w:rPr>
              <w:t xml:space="preserve">  0.195</w:t>
            </w:r>
          </w:p>
        </w:tc>
        <w:tc>
          <w:tcPr>
            <w:tcW w:w="872" w:type="dxa"/>
            <w:tcBorders>
              <w:left w:val="nil"/>
              <w:right w:val="nil"/>
            </w:tcBorders>
            <w:shd w:val="clear" w:color="auto" w:fill="D9D9D9" w:themeFill="background1" w:themeFillShade="D9"/>
            <w:vAlign w:val="center"/>
          </w:tcPr>
          <w:p w14:paraId="1060B05C" w14:textId="425AD74D" w:rsidR="00057E17" w:rsidRDefault="00057E17" w:rsidP="00057E17">
            <w:pPr>
              <w:spacing w:line="240" w:lineRule="auto"/>
              <w:jc w:val="center"/>
              <w:rPr>
                <w:rFonts w:cs="Times New Roman"/>
                <w:color w:val="000000"/>
                <w:sz w:val="20"/>
                <w:szCs w:val="20"/>
              </w:rPr>
            </w:pPr>
            <w:r>
              <w:rPr>
                <w:rFonts w:cs="Times New Roman"/>
                <w:color w:val="000000"/>
                <w:sz w:val="20"/>
                <w:szCs w:val="20"/>
              </w:rPr>
              <w:t>0.06</w:t>
            </w:r>
          </w:p>
        </w:tc>
        <w:tc>
          <w:tcPr>
            <w:tcW w:w="810" w:type="dxa"/>
            <w:tcBorders>
              <w:left w:val="nil"/>
              <w:right w:val="nil"/>
            </w:tcBorders>
            <w:shd w:val="clear" w:color="auto" w:fill="D9D9D9" w:themeFill="background1" w:themeFillShade="D9"/>
            <w:vAlign w:val="center"/>
          </w:tcPr>
          <w:p w14:paraId="685A62DB" w14:textId="248E45D3" w:rsidR="00057E17" w:rsidRDefault="00057E17" w:rsidP="00057E17">
            <w:pPr>
              <w:spacing w:line="240" w:lineRule="auto"/>
              <w:jc w:val="center"/>
              <w:rPr>
                <w:rFonts w:cs="Times New Roman"/>
                <w:color w:val="000000"/>
                <w:sz w:val="20"/>
                <w:szCs w:val="20"/>
              </w:rPr>
            </w:pPr>
            <w:r>
              <w:rPr>
                <w:rFonts w:cs="Times New Roman"/>
                <w:color w:val="000000"/>
                <w:sz w:val="20"/>
                <w:szCs w:val="20"/>
              </w:rPr>
              <w:t>0.943</w:t>
            </w:r>
          </w:p>
        </w:tc>
        <w:tc>
          <w:tcPr>
            <w:tcW w:w="1260" w:type="dxa"/>
            <w:tcBorders>
              <w:left w:val="nil"/>
              <w:right w:val="nil"/>
            </w:tcBorders>
            <w:shd w:val="clear" w:color="auto" w:fill="D9D9D9" w:themeFill="background1" w:themeFillShade="D9"/>
            <w:vAlign w:val="center"/>
          </w:tcPr>
          <w:p w14:paraId="6E8F568E" w14:textId="46C5F19B" w:rsidR="00057E17" w:rsidRDefault="00057E17" w:rsidP="00057E17">
            <w:pPr>
              <w:spacing w:line="240" w:lineRule="auto"/>
              <w:jc w:val="center"/>
              <w:rPr>
                <w:rFonts w:cs="Times New Roman"/>
                <w:color w:val="000000"/>
                <w:sz w:val="20"/>
                <w:szCs w:val="20"/>
              </w:rPr>
            </w:pPr>
            <w:r>
              <w:rPr>
                <w:rFonts w:cs="Times New Roman"/>
                <w:color w:val="000000"/>
                <w:sz w:val="20"/>
                <w:szCs w:val="20"/>
              </w:rPr>
              <w:t xml:space="preserve">  1.94</w:t>
            </w:r>
          </w:p>
        </w:tc>
        <w:tc>
          <w:tcPr>
            <w:tcW w:w="1080" w:type="dxa"/>
            <w:tcBorders>
              <w:left w:val="nil"/>
              <w:right w:val="nil"/>
            </w:tcBorders>
            <w:shd w:val="clear" w:color="auto" w:fill="D9D9D9" w:themeFill="background1" w:themeFillShade="D9"/>
            <w:vAlign w:val="center"/>
          </w:tcPr>
          <w:p w14:paraId="0BF86E1D" w14:textId="582EECE7" w:rsidR="00057E17" w:rsidRDefault="00057E17" w:rsidP="00057E17">
            <w:pPr>
              <w:spacing w:line="240" w:lineRule="auto"/>
              <w:jc w:val="center"/>
              <w:rPr>
                <w:rFonts w:cs="Times New Roman"/>
                <w:color w:val="000000"/>
                <w:sz w:val="20"/>
                <w:szCs w:val="20"/>
              </w:rPr>
            </w:pPr>
            <w:r>
              <w:rPr>
                <w:rFonts w:cs="Times New Roman"/>
                <w:color w:val="000000"/>
                <w:sz w:val="20"/>
                <w:szCs w:val="20"/>
              </w:rPr>
              <w:t xml:space="preserve">  0.160</w:t>
            </w:r>
          </w:p>
        </w:tc>
      </w:tr>
      <w:tr w:rsidR="00057E17" w:rsidRPr="003A44E9" w14:paraId="7C2217E0" w14:textId="77777777" w:rsidTr="002F68E4">
        <w:trPr>
          <w:trHeight w:val="288"/>
        </w:trPr>
        <w:tc>
          <w:tcPr>
            <w:tcW w:w="1620" w:type="dxa"/>
            <w:tcBorders>
              <w:left w:val="nil"/>
              <w:bottom w:val="single" w:sz="12" w:space="0" w:color="auto"/>
              <w:right w:val="nil"/>
            </w:tcBorders>
            <w:shd w:val="clear" w:color="auto" w:fill="auto"/>
            <w:noWrap/>
            <w:vAlign w:val="center"/>
          </w:tcPr>
          <w:p w14:paraId="5B89E4E5" w14:textId="7C228B46" w:rsidR="00057E17" w:rsidRDefault="00057E17" w:rsidP="00057E17">
            <w:pPr>
              <w:spacing w:line="240" w:lineRule="auto"/>
              <w:rPr>
                <w:rFonts w:cs="Times New Roman"/>
                <w:color w:val="000000"/>
                <w:sz w:val="20"/>
                <w:szCs w:val="20"/>
              </w:rPr>
            </w:pPr>
            <w:r>
              <w:rPr>
                <w:rFonts w:cs="Times New Roman"/>
                <w:color w:val="000000"/>
                <w:sz w:val="20"/>
                <w:szCs w:val="20"/>
              </w:rPr>
              <w:t>CSA x N x Year</w:t>
            </w:r>
          </w:p>
        </w:tc>
        <w:tc>
          <w:tcPr>
            <w:tcW w:w="958" w:type="dxa"/>
            <w:tcBorders>
              <w:left w:val="nil"/>
              <w:bottom w:val="single" w:sz="12" w:space="0" w:color="auto"/>
              <w:right w:val="nil"/>
            </w:tcBorders>
            <w:shd w:val="clear" w:color="auto" w:fill="auto"/>
            <w:noWrap/>
            <w:vAlign w:val="center"/>
          </w:tcPr>
          <w:p w14:paraId="541F125C" w14:textId="1C867E30" w:rsidR="00057E17" w:rsidRDefault="00057E17" w:rsidP="00057E17">
            <w:pPr>
              <w:spacing w:line="240" w:lineRule="auto"/>
              <w:jc w:val="center"/>
              <w:rPr>
                <w:rFonts w:cs="Times New Roman"/>
                <w:color w:val="000000"/>
                <w:sz w:val="20"/>
                <w:szCs w:val="20"/>
              </w:rPr>
            </w:pPr>
            <w:r>
              <w:rPr>
                <w:rFonts w:cs="Times New Roman"/>
                <w:color w:val="000000"/>
                <w:sz w:val="20"/>
                <w:szCs w:val="20"/>
              </w:rPr>
              <w:t xml:space="preserve">  0.70</w:t>
            </w:r>
          </w:p>
        </w:tc>
        <w:tc>
          <w:tcPr>
            <w:tcW w:w="780" w:type="dxa"/>
            <w:tcBorders>
              <w:left w:val="nil"/>
              <w:bottom w:val="single" w:sz="12" w:space="0" w:color="auto"/>
              <w:right w:val="nil"/>
            </w:tcBorders>
            <w:shd w:val="clear" w:color="auto" w:fill="auto"/>
            <w:vAlign w:val="center"/>
          </w:tcPr>
          <w:p w14:paraId="47104636" w14:textId="1C0B14B4" w:rsidR="00057E17" w:rsidRDefault="00057E17" w:rsidP="00057E17">
            <w:pPr>
              <w:spacing w:line="240" w:lineRule="auto"/>
              <w:jc w:val="center"/>
              <w:rPr>
                <w:rFonts w:cs="Times New Roman"/>
                <w:color w:val="000000"/>
                <w:sz w:val="20"/>
                <w:szCs w:val="20"/>
              </w:rPr>
            </w:pPr>
            <w:r>
              <w:rPr>
                <w:rFonts w:cs="Times New Roman"/>
                <w:color w:val="000000"/>
                <w:sz w:val="20"/>
                <w:szCs w:val="20"/>
              </w:rPr>
              <w:t xml:space="preserve">  0.594</w:t>
            </w:r>
          </w:p>
        </w:tc>
        <w:tc>
          <w:tcPr>
            <w:tcW w:w="872" w:type="dxa"/>
            <w:tcBorders>
              <w:left w:val="nil"/>
              <w:bottom w:val="single" w:sz="12" w:space="0" w:color="auto"/>
              <w:right w:val="nil"/>
            </w:tcBorders>
            <w:shd w:val="clear" w:color="auto" w:fill="auto"/>
            <w:vAlign w:val="center"/>
          </w:tcPr>
          <w:p w14:paraId="566269F2" w14:textId="7B5F7D44" w:rsidR="00057E17" w:rsidRDefault="00057E17" w:rsidP="00057E17">
            <w:pPr>
              <w:spacing w:line="240" w:lineRule="auto"/>
              <w:jc w:val="center"/>
              <w:rPr>
                <w:rFonts w:cs="Times New Roman"/>
                <w:color w:val="000000"/>
                <w:sz w:val="20"/>
                <w:szCs w:val="20"/>
              </w:rPr>
            </w:pPr>
            <w:r>
              <w:rPr>
                <w:rFonts w:cs="Times New Roman"/>
                <w:color w:val="000000"/>
                <w:sz w:val="20"/>
                <w:szCs w:val="20"/>
              </w:rPr>
              <w:t>0.62</w:t>
            </w:r>
          </w:p>
        </w:tc>
        <w:tc>
          <w:tcPr>
            <w:tcW w:w="810" w:type="dxa"/>
            <w:tcBorders>
              <w:left w:val="nil"/>
              <w:bottom w:val="single" w:sz="12" w:space="0" w:color="auto"/>
              <w:right w:val="nil"/>
            </w:tcBorders>
            <w:shd w:val="clear" w:color="auto" w:fill="auto"/>
            <w:vAlign w:val="center"/>
          </w:tcPr>
          <w:p w14:paraId="18874B13" w14:textId="00F04E35" w:rsidR="00057E17" w:rsidRDefault="00057E17" w:rsidP="00057E17">
            <w:pPr>
              <w:spacing w:line="240" w:lineRule="auto"/>
              <w:jc w:val="center"/>
              <w:rPr>
                <w:rFonts w:cs="Times New Roman"/>
                <w:color w:val="000000"/>
                <w:sz w:val="20"/>
                <w:szCs w:val="20"/>
              </w:rPr>
            </w:pPr>
            <w:r>
              <w:rPr>
                <w:rFonts w:cs="Times New Roman"/>
                <w:color w:val="000000"/>
                <w:sz w:val="20"/>
                <w:szCs w:val="20"/>
              </w:rPr>
              <w:t>0.654</w:t>
            </w:r>
          </w:p>
        </w:tc>
        <w:tc>
          <w:tcPr>
            <w:tcW w:w="1260" w:type="dxa"/>
            <w:tcBorders>
              <w:left w:val="nil"/>
              <w:bottom w:val="single" w:sz="12" w:space="0" w:color="auto"/>
              <w:right w:val="nil"/>
            </w:tcBorders>
            <w:shd w:val="clear" w:color="auto" w:fill="auto"/>
            <w:vAlign w:val="center"/>
          </w:tcPr>
          <w:p w14:paraId="1957C96F" w14:textId="5C7FAFDF" w:rsidR="00057E17" w:rsidRDefault="00057E17" w:rsidP="00057E17">
            <w:pPr>
              <w:spacing w:line="240" w:lineRule="auto"/>
              <w:jc w:val="center"/>
              <w:rPr>
                <w:rFonts w:cs="Times New Roman"/>
                <w:color w:val="000000"/>
                <w:sz w:val="20"/>
                <w:szCs w:val="20"/>
              </w:rPr>
            </w:pPr>
            <w:r>
              <w:rPr>
                <w:rFonts w:cs="Times New Roman"/>
                <w:color w:val="000000"/>
                <w:sz w:val="20"/>
                <w:szCs w:val="20"/>
              </w:rPr>
              <w:t xml:space="preserve">  0.61</w:t>
            </w:r>
          </w:p>
        </w:tc>
        <w:tc>
          <w:tcPr>
            <w:tcW w:w="1080" w:type="dxa"/>
            <w:tcBorders>
              <w:left w:val="nil"/>
              <w:bottom w:val="single" w:sz="12" w:space="0" w:color="auto"/>
              <w:right w:val="nil"/>
            </w:tcBorders>
            <w:shd w:val="clear" w:color="auto" w:fill="auto"/>
            <w:vAlign w:val="center"/>
          </w:tcPr>
          <w:p w14:paraId="57D75D45" w14:textId="4E04CDB7" w:rsidR="00057E17" w:rsidRDefault="00057E17" w:rsidP="00057E17">
            <w:pPr>
              <w:spacing w:line="240" w:lineRule="auto"/>
              <w:jc w:val="center"/>
              <w:rPr>
                <w:rFonts w:cs="Times New Roman"/>
                <w:color w:val="000000"/>
                <w:sz w:val="20"/>
                <w:szCs w:val="20"/>
              </w:rPr>
            </w:pPr>
            <w:r>
              <w:rPr>
                <w:rFonts w:cs="Times New Roman"/>
                <w:color w:val="000000"/>
                <w:sz w:val="20"/>
                <w:szCs w:val="20"/>
              </w:rPr>
              <w:t xml:space="preserve">  0.655</w:t>
            </w:r>
          </w:p>
        </w:tc>
      </w:tr>
    </w:tbl>
    <w:p w14:paraId="67A3B2C8" w14:textId="77777777" w:rsidR="00232F51" w:rsidRPr="00BC2376" w:rsidRDefault="00232F51" w:rsidP="00232F51">
      <w:pPr>
        <w:spacing w:line="240" w:lineRule="auto"/>
        <w:rPr>
          <w:rFonts w:eastAsia="Calibri" w:cs="Times New Roman"/>
          <w:bCs/>
        </w:rPr>
      </w:pPr>
      <w:r w:rsidRPr="00BC2376">
        <w:rPr>
          <w:rFonts w:eastAsia="Calibri" w:cs="Times New Roman"/>
          <w:bCs/>
        </w:rPr>
        <w:t>†</w:t>
      </w:r>
      <w:r>
        <w:rPr>
          <w:rFonts w:eastAsia="Calibri" w:cs="Times New Roman"/>
          <w:bCs/>
        </w:rPr>
        <w:t>CSA</w:t>
      </w:r>
      <w:r w:rsidRPr="00BC2376">
        <w:rPr>
          <w:rFonts w:eastAsia="Calibri" w:cs="Times New Roman"/>
          <w:bCs/>
        </w:rPr>
        <w:t xml:space="preserve"> = </w:t>
      </w:r>
      <w:r>
        <w:rPr>
          <w:rFonts w:eastAsia="Calibri" w:cs="Times New Roman"/>
          <w:bCs/>
        </w:rPr>
        <w:t>cool-season annual (</w:t>
      </w:r>
      <w:r w:rsidRPr="00E223C7">
        <w:rPr>
          <w:rFonts w:eastAsia="Calibri" w:cs="Times New Roman"/>
          <w:bCs/>
        </w:rPr>
        <w:t>cereal rye monoculture or cereal rye, turnip, rape, berseem clover, and crimson clover polyculture</w:t>
      </w:r>
      <w:r>
        <w:rPr>
          <w:rFonts w:eastAsia="Calibri" w:cs="Times New Roman"/>
          <w:bCs/>
        </w:rPr>
        <w:t>); N = warm-season N treatment (0 or 60 kg ha</w:t>
      </w:r>
      <w:r w:rsidRPr="00E223C7">
        <w:rPr>
          <w:rFonts w:eastAsia="Calibri" w:cs="Times New Roman"/>
          <w:bCs/>
          <w:vertAlign w:val="superscript"/>
        </w:rPr>
        <w:t>-1</w:t>
      </w:r>
      <w:r w:rsidRPr="00E223C7">
        <w:rPr>
          <w:rFonts w:eastAsia="Calibri" w:cs="Times New Roman"/>
          <w:bCs/>
        </w:rPr>
        <w:t>)</w:t>
      </w:r>
      <w:r>
        <w:rPr>
          <w:rFonts w:eastAsia="Calibri" w:cs="Times New Roman"/>
          <w:bCs/>
        </w:rPr>
        <w:t xml:space="preserve">; </w:t>
      </w:r>
      <w:r w:rsidRPr="00BC2376">
        <w:rPr>
          <w:rFonts w:eastAsia="Calibri" w:cs="Times New Roman"/>
          <w:bCs/>
        </w:rPr>
        <w:t>Year = 2018, 2019, or 2020</w:t>
      </w:r>
    </w:p>
    <w:p w14:paraId="0E0E94B3" w14:textId="77777777" w:rsidR="00232F51" w:rsidRDefault="00232F51" w:rsidP="00232F51">
      <w:pPr>
        <w:pStyle w:val="Tables"/>
        <w:rPr>
          <w:rStyle w:val="Strong"/>
          <w:b w:val="0"/>
          <w:bCs/>
        </w:rPr>
      </w:pPr>
    </w:p>
    <w:p w14:paraId="606B5C09" w14:textId="77777777" w:rsidR="00232F51" w:rsidRDefault="00232F51" w:rsidP="00232F51">
      <w:pPr>
        <w:pStyle w:val="Tables"/>
        <w:rPr>
          <w:rStyle w:val="Strong"/>
          <w:b w:val="0"/>
          <w:bCs/>
        </w:rPr>
      </w:pPr>
    </w:p>
    <w:p w14:paraId="11B6AA47" w14:textId="77777777" w:rsidR="00232F51" w:rsidRDefault="00232F51" w:rsidP="00232F51">
      <w:pPr>
        <w:pStyle w:val="Tables"/>
        <w:rPr>
          <w:rStyle w:val="Strong"/>
          <w:b w:val="0"/>
          <w:bCs/>
        </w:rPr>
      </w:pPr>
    </w:p>
    <w:p w14:paraId="27AF1393" w14:textId="77777777" w:rsidR="00232F51" w:rsidRDefault="00232F51" w:rsidP="00232F51">
      <w:pPr>
        <w:pStyle w:val="Tables"/>
        <w:rPr>
          <w:rStyle w:val="Strong"/>
          <w:b w:val="0"/>
          <w:bCs/>
        </w:rPr>
      </w:pPr>
    </w:p>
    <w:p w14:paraId="028EC792" w14:textId="77777777" w:rsidR="00232F51" w:rsidRDefault="00232F51" w:rsidP="00232F51">
      <w:pPr>
        <w:pStyle w:val="Tables"/>
        <w:rPr>
          <w:rStyle w:val="Strong"/>
          <w:b w:val="0"/>
          <w:bCs/>
        </w:rPr>
      </w:pPr>
      <w:bookmarkStart w:id="77" w:name="_Hlk67144085"/>
    </w:p>
    <w:p w14:paraId="3A8AE55C" w14:textId="77777777" w:rsidR="00232F51" w:rsidRPr="00005219" w:rsidRDefault="00232F51" w:rsidP="00232F51">
      <w:pPr>
        <w:pStyle w:val="Tables"/>
        <w:rPr>
          <w:rStyle w:val="Strong"/>
          <w:b w:val="0"/>
          <w:bCs/>
        </w:rPr>
      </w:pPr>
      <w:bookmarkStart w:id="78" w:name="_Toc72300399"/>
      <w:r w:rsidRPr="00005219">
        <w:rPr>
          <w:rStyle w:val="Strong"/>
          <w:b w:val="0"/>
          <w:bCs/>
        </w:rPr>
        <w:t xml:space="preserve">Table </w:t>
      </w:r>
      <w:r>
        <w:rPr>
          <w:rStyle w:val="Strong"/>
          <w:b w:val="0"/>
          <w:bCs/>
        </w:rPr>
        <w:t>1.6</w:t>
      </w:r>
      <w:r w:rsidRPr="00005219">
        <w:rPr>
          <w:rStyle w:val="Strong"/>
          <w:b w:val="0"/>
          <w:bCs/>
        </w:rPr>
        <w:t xml:space="preserve">.  </w:t>
      </w:r>
      <w:r w:rsidRPr="004A1240">
        <w:rPr>
          <w:rStyle w:val="Strong"/>
          <w:b w:val="0"/>
          <w:bCs/>
        </w:rPr>
        <w:t xml:space="preserve">Mixed-effects ANOVA model for </w:t>
      </w:r>
      <w:r>
        <w:rPr>
          <w:rStyle w:val="Strong"/>
          <w:b w:val="0"/>
          <w:bCs/>
        </w:rPr>
        <w:t>hay yield (Mg ha</w:t>
      </w:r>
      <w:r w:rsidRPr="00BA386E">
        <w:rPr>
          <w:rStyle w:val="Strong"/>
          <w:b w:val="0"/>
          <w:bCs/>
          <w:vertAlign w:val="superscript"/>
        </w:rPr>
        <w:t>-1</w:t>
      </w:r>
      <w:r>
        <w:rPr>
          <w:rStyle w:val="Strong"/>
          <w:b w:val="0"/>
          <w:bCs/>
        </w:rPr>
        <w:t xml:space="preserve">) by cool-season annual (CSA) pasture for </w:t>
      </w:r>
      <w:r w:rsidRPr="004A1240">
        <w:rPr>
          <w:rStyle w:val="Strong"/>
          <w:b w:val="0"/>
          <w:bCs/>
        </w:rPr>
        <w:t xml:space="preserve">switchgrass </w:t>
      </w:r>
      <w:r>
        <w:rPr>
          <w:rStyle w:val="Strong"/>
          <w:b w:val="0"/>
          <w:bCs/>
        </w:rPr>
        <w:t>and big bluestem/indiangrass pastures in</w:t>
      </w:r>
      <w:r w:rsidRPr="004A1240">
        <w:rPr>
          <w:rStyle w:val="Strong"/>
          <w:b w:val="0"/>
          <w:bCs/>
        </w:rPr>
        <w:t xml:space="preserve"> native pasture grazing experiment, 201</w:t>
      </w:r>
      <w:r>
        <w:rPr>
          <w:rStyle w:val="Strong"/>
          <w:b w:val="0"/>
          <w:bCs/>
        </w:rPr>
        <w:t>9</w:t>
      </w:r>
      <w:r w:rsidRPr="004A1240">
        <w:rPr>
          <w:rStyle w:val="Strong"/>
          <w:b w:val="0"/>
          <w:bCs/>
        </w:rPr>
        <w:t xml:space="preserve">-2020, </w:t>
      </w:r>
      <w:r w:rsidRPr="00BC2376">
        <w:t xml:space="preserve">University of Tennessee – </w:t>
      </w:r>
      <w:r>
        <w:t xml:space="preserve">Middle </w:t>
      </w:r>
      <w:r w:rsidRPr="00BC2376">
        <w:t xml:space="preserve">Tennessee AgResearch and Education Center, </w:t>
      </w:r>
      <w:r>
        <w:t>Spring Hill,</w:t>
      </w:r>
      <w:r w:rsidRPr="00BC2376">
        <w:t xml:space="preserve"> TN.</w:t>
      </w:r>
      <w:bookmarkEnd w:id="78"/>
      <w:r>
        <w:rPr>
          <w:rStyle w:val="Strong"/>
          <w:b w:val="0"/>
          <w:bCs/>
        </w:rPr>
        <w:t xml:space="preserve">  </w:t>
      </w:r>
    </w:p>
    <w:tbl>
      <w:tblPr>
        <w:tblW w:w="5940" w:type="dxa"/>
        <w:tblLayout w:type="fixed"/>
        <w:tblLook w:val="04A0" w:firstRow="1" w:lastRow="0" w:firstColumn="1" w:lastColumn="0" w:noHBand="0" w:noVBand="1"/>
      </w:tblPr>
      <w:tblGrid>
        <w:gridCol w:w="1441"/>
        <w:gridCol w:w="1079"/>
        <w:gridCol w:w="1080"/>
        <w:gridCol w:w="1170"/>
        <w:gridCol w:w="1170"/>
      </w:tblGrid>
      <w:tr w:rsidR="00232F51" w:rsidRPr="003A44E9" w14:paraId="219B406C" w14:textId="77777777" w:rsidTr="002A7D12">
        <w:trPr>
          <w:trHeight w:val="288"/>
        </w:trPr>
        <w:tc>
          <w:tcPr>
            <w:tcW w:w="1441" w:type="dxa"/>
            <w:tcBorders>
              <w:top w:val="single" w:sz="12" w:space="0" w:color="auto"/>
              <w:left w:val="nil"/>
              <w:bottom w:val="nil"/>
              <w:right w:val="single" w:sz="36" w:space="0" w:color="FFFFFF" w:themeColor="background1"/>
            </w:tcBorders>
            <w:shd w:val="clear" w:color="auto" w:fill="auto"/>
            <w:noWrap/>
            <w:vAlign w:val="center"/>
            <w:hideMark/>
          </w:tcPr>
          <w:p w14:paraId="7D8DD289" w14:textId="77777777" w:rsidR="00232F51" w:rsidRPr="003A44E9" w:rsidRDefault="00232F51" w:rsidP="002A7D12">
            <w:pPr>
              <w:spacing w:line="240" w:lineRule="auto"/>
              <w:rPr>
                <w:rFonts w:cs="Times New Roman"/>
                <w:sz w:val="20"/>
                <w:szCs w:val="20"/>
              </w:rPr>
            </w:pPr>
          </w:p>
        </w:tc>
        <w:tc>
          <w:tcPr>
            <w:tcW w:w="2159"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tcPr>
          <w:p w14:paraId="44D2D9FD" w14:textId="77777777" w:rsidR="00232F51" w:rsidRPr="003A44E9" w:rsidRDefault="00232F51" w:rsidP="002A7D12">
            <w:pPr>
              <w:spacing w:line="240" w:lineRule="auto"/>
              <w:jc w:val="center"/>
              <w:rPr>
                <w:rFonts w:cs="Times New Roman"/>
                <w:color w:val="000000"/>
                <w:sz w:val="20"/>
                <w:szCs w:val="20"/>
              </w:rPr>
            </w:pPr>
            <w:r w:rsidRPr="003A44E9">
              <w:rPr>
                <w:rFonts w:cs="Times New Roman"/>
                <w:color w:val="000000"/>
                <w:sz w:val="20"/>
                <w:szCs w:val="20"/>
              </w:rPr>
              <w:t>Switchgrass</w:t>
            </w:r>
          </w:p>
        </w:tc>
        <w:tc>
          <w:tcPr>
            <w:tcW w:w="2340" w:type="dxa"/>
            <w:gridSpan w:val="2"/>
            <w:tcBorders>
              <w:top w:val="single" w:sz="12" w:space="0" w:color="auto"/>
              <w:left w:val="single" w:sz="36" w:space="0" w:color="FFFFFF" w:themeColor="background1"/>
              <w:bottom w:val="single" w:sz="12" w:space="0" w:color="auto"/>
            </w:tcBorders>
            <w:shd w:val="clear" w:color="auto" w:fill="auto"/>
            <w:vAlign w:val="center"/>
          </w:tcPr>
          <w:p w14:paraId="6801A170" w14:textId="77777777" w:rsidR="00232F51" w:rsidRPr="003A44E9" w:rsidRDefault="00232F51" w:rsidP="002A7D12">
            <w:pPr>
              <w:spacing w:line="240" w:lineRule="auto"/>
              <w:jc w:val="center"/>
              <w:rPr>
                <w:rFonts w:cs="Times New Roman"/>
                <w:color w:val="000000"/>
                <w:sz w:val="20"/>
                <w:szCs w:val="20"/>
              </w:rPr>
            </w:pPr>
            <w:r w:rsidRPr="003A44E9">
              <w:rPr>
                <w:rFonts w:cs="Times New Roman"/>
                <w:color w:val="000000"/>
                <w:sz w:val="20"/>
                <w:szCs w:val="20"/>
              </w:rPr>
              <w:t>Big bluestem/Indiangrass</w:t>
            </w:r>
          </w:p>
        </w:tc>
      </w:tr>
      <w:tr w:rsidR="00232F51" w:rsidRPr="003A44E9" w14:paraId="06C1C889" w14:textId="77777777" w:rsidTr="002A7D12">
        <w:trPr>
          <w:trHeight w:val="288"/>
        </w:trPr>
        <w:tc>
          <w:tcPr>
            <w:tcW w:w="1441" w:type="dxa"/>
            <w:tcBorders>
              <w:top w:val="single" w:sz="12" w:space="0" w:color="FFFFFF" w:themeColor="background1"/>
              <w:left w:val="nil"/>
              <w:bottom w:val="single" w:sz="12" w:space="0" w:color="auto"/>
              <w:right w:val="single" w:sz="36" w:space="0" w:color="FFFFFF" w:themeColor="background1"/>
            </w:tcBorders>
            <w:shd w:val="clear" w:color="auto" w:fill="auto"/>
            <w:noWrap/>
            <w:vAlign w:val="center"/>
          </w:tcPr>
          <w:p w14:paraId="5C0336F0" w14:textId="77777777" w:rsidR="00232F51" w:rsidRDefault="00232F51" w:rsidP="002A7D12">
            <w:pPr>
              <w:spacing w:line="240" w:lineRule="auto"/>
              <w:rPr>
                <w:rFonts w:cs="Times New Roman"/>
                <w:color w:val="000000"/>
                <w:sz w:val="20"/>
                <w:szCs w:val="20"/>
              </w:rPr>
            </w:pPr>
            <w:r w:rsidRPr="00884DCE">
              <w:rPr>
                <w:rFonts w:cs="Times New Roman"/>
                <w:color w:val="000000"/>
                <w:sz w:val="20"/>
                <w:szCs w:val="20"/>
              </w:rPr>
              <w:t>Effect</w:t>
            </w:r>
          </w:p>
        </w:tc>
        <w:tc>
          <w:tcPr>
            <w:tcW w:w="1079" w:type="dxa"/>
            <w:tcBorders>
              <w:top w:val="nil"/>
              <w:left w:val="single" w:sz="36" w:space="0" w:color="FFFFFF" w:themeColor="background1"/>
              <w:bottom w:val="single" w:sz="12" w:space="0" w:color="000000" w:themeColor="text1"/>
              <w:right w:val="single" w:sz="36" w:space="0" w:color="FFFFFF" w:themeColor="background1"/>
            </w:tcBorders>
            <w:shd w:val="clear" w:color="auto" w:fill="auto"/>
            <w:vAlign w:val="center"/>
          </w:tcPr>
          <w:p w14:paraId="025F8EE0" w14:textId="77777777" w:rsidR="00232F51" w:rsidRDefault="00232F51" w:rsidP="002A7D12">
            <w:pPr>
              <w:spacing w:line="240" w:lineRule="auto"/>
              <w:jc w:val="center"/>
              <w:rPr>
                <w:rFonts w:cs="Times New Roman"/>
                <w:color w:val="000000"/>
                <w:sz w:val="20"/>
                <w:szCs w:val="20"/>
              </w:rPr>
            </w:pPr>
            <w:r w:rsidRPr="00401D64">
              <w:rPr>
                <w:rFonts w:cs="Times New Roman"/>
                <w:i/>
                <w:iCs/>
                <w:color w:val="000000"/>
                <w:sz w:val="20"/>
                <w:szCs w:val="20"/>
              </w:rPr>
              <w:t>F</w:t>
            </w:r>
            <w:r w:rsidRPr="00401D64">
              <w:rPr>
                <w:rFonts w:cs="Times New Roman"/>
                <w:color w:val="000000"/>
                <w:sz w:val="20"/>
                <w:szCs w:val="20"/>
              </w:rPr>
              <w:t xml:space="preserve"> value</w:t>
            </w:r>
          </w:p>
        </w:tc>
        <w:tc>
          <w:tcPr>
            <w:tcW w:w="108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tcPr>
          <w:p w14:paraId="26F8DA41" w14:textId="77777777" w:rsidR="00232F51" w:rsidRDefault="00232F51" w:rsidP="002A7D12">
            <w:pPr>
              <w:spacing w:line="240" w:lineRule="auto"/>
              <w:jc w:val="center"/>
              <w:rPr>
                <w:rFonts w:cs="Times New Roman"/>
                <w:color w:val="000000"/>
                <w:sz w:val="20"/>
                <w:szCs w:val="20"/>
              </w:rPr>
            </w:pPr>
            <w:r w:rsidRPr="00401D64">
              <w:rPr>
                <w:rFonts w:cs="Times New Roman"/>
                <w:i/>
                <w:iCs/>
                <w:color w:val="000000"/>
                <w:sz w:val="20"/>
                <w:szCs w:val="20"/>
              </w:rPr>
              <w:t>P</w:t>
            </w:r>
            <w:r w:rsidRPr="00401D64">
              <w:rPr>
                <w:rFonts w:cs="Times New Roman"/>
                <w:color w:val="000000"/>
                <w:sz w:val="20"/>
                <w:szCs w:val="20"/>
              </w:rPr>
              <w:t xml:space="preserve"> &gt; </w:t>
            </w:r>
            <w:r w:rsidRPr="00401D64">
              <w:rPr>
                <w:rFonts w:cs="Times New Roman"/>
                <w:i/>
                <w:iCs/>
                <w:color w:val="000000"/>
                <w:sz w:val="20"/>
                <w:szCs w:val="20"/>
              </w:rPr>
              <w:t>F</w:t>
            </w:r>
          </w:p>
        </w:tc>
        <w:tc>
          <w:tcPr>
            <w:tcW w:w="1170" w:type="dxa"/>
            <w:tcBorders>
              <w:top w:val="nil"/>
              <w:left w:val="single" w:sz="36" w:space="0" w:color="FFFFFF" w:themeColor="background1"/>
              <w:bottom w:val="single" w:sz="12" w:space="0" w:color="000000" w:themeColor="text1"/>
              <w:right w:val="single" w:sz="36" w:space="0" w:color="FFFFFF" w:themeColor="background1"/>
            </w:tcBorders>
            <w:shd w:val="clear" w:color="auto" w:fill="auto"/>
            <w:vAlign w:val="center"/>
          </w:tcPr>
          <w:p w14:paraId="33D9AFE8" w14:textId="77777777" w:rsidR="00232F51" w:rsidRPr="000D7ABF" w:rsidRDefault="00232F51" w:rsidP="002A7D12">
            <w:pPr>
              <w:spacing w:line="240" w:lineRule="auto"/>
              <w:jc w:val="center"/>
              <w:rPr>
                <w:rFonts w:cs="Times New Roman"/>
                <w:color w:val="000000"/>
                <w:sz w:val="20"/>
                <w:szCs w:val="20"/>
              </w:rPr>
            </w:pPr>
            <w:r w:rsidRPr="00401D64">
              <w:rPr>
                <w:rFonts w:cs="Times New Roman"/>
                <w:i/>
                <w:iCs/>
                <w:color w:val="000000"/>
                <w:sz w:val="20"/>
                <w:szCs w:val="20"/>
              </w:rPr>
              <w:t>F</w:t>
            </w:r>
            <w:r w:rsidRPr="00401D64">
              <w:rPr>
                <w:rFonts w:cs="Times New Roman"/>
                <w:color w:val="000000"/>
                <w:sz w:val="20"/>
                <w:szCs w:val="20"/>
              </w:rPr>
              <w:t xml:space="preserve"> value</w:t>
            </w:r>
          </w:p>
        </w:tc>
        <w:tc>
          <w:tcPr>
            <w:tcW w:w="1170" w:type="dxa"/>
            <w:tcBorders>
              <w:top w:val="nil"/>
              <w:left w:val="single" w:sz="36" w:space="0" w:color="FFFFFF" w:themeColor="background1"/>
              <w:bottom w:val="single" w:sz="12" w:space="0" w:color="auto"/>
            </w:tcBorders>
            <w:shd w:val="clear" w:color="auto" w:fill="auto"/>
            <w:vAlign w:val="center"/>
          </w:tcPr>
          <w:p w14:paraId="413E1BEA" w14:textId="77777777" w:rsidR="00232F51" w:rsidRPr="000D7ABF" w:rsidRDefault="00232F51" w:rsidP="002A7D12">
            <w:pPr>
              <w:spacing w:line="240" w:lineRule="auto"/>
              <w:jc w:val="center"/>
              <w:rPr>
                <w:rFonts w:cs="Times New Roman"/>
                <w:color w:val="000000"/>
                <w:sz w:val="20"/>
                <w:szCs w:val="20"/>
              </w:rPr>
            </w:pPr>
            <w:r w:rsidRPr="00401D64">
              <w:rPr>
                <w:rFonts w:cs="Times New Roman"/>
                <w:i/>
                <w:iCs/>
                <w:color w:val="000000"/>
                <w:sz w:val="20"/>
                <w:szCs w:val="20"/>
              </w:rPr>
              <w:t>P</w:t>
            </w:r>
            <w:r w:rsidRPr="00401D64">
              <w:rPr>
                <w:rFonts w:cs="Times New Roman"/>
                <w:color w:val="000000"/>
                <w:sz w:val="20"/>
                <w:szCs w:val="20"/>
              </w:rPr>
              <w:t xml:space="preserve"> &gt; </w:t>
            </w:r>
            <w:r w:rsidRPr="00401D64">
              <w:rPr>
                <w:rFonts w:cs="Times New Roman"/>
                <w:i/>
                <w:iCs/>
                <w:color w:val="000000"/>
                <w:sz w:val="20"/>
                <w:szCs w:val="20"/>
              </w:rPr>
              <w:t>F</w:t>
            </w:r>
          </w:p>
        </w:tc>
      </w:tr>
      <w:tr w:rsidR="00232F51" w:rsidRPr="003A44E9" w14:paraId="715E9CB5" w14:textId="77777777" w:rsidTr="002A7D12">
        <w:trPr>
          <w:trHeight w:val="288"/>
        </w:trPr>
        <w:tc>
          <w:tcPr>
            <w:tcW w:w="1441" w:type="dxa"/>
            <w:tcBorders>
              <w:top w:val="single" w:sz="12" w:space="0" w:color="auto"/>
              <w:left w:val="nil"/>
              <w:right w:val="single" w:sz="36" w:space="0" w:color="FFFFFF" w:themeColor="background1"/>
            </w:tcBorders>
            <w:shd w:val="clear" w:color="auto" w:fill="auto"/>
            <w:noWrap/>
            <w:vAlign w:val="center"/>
            <w:hideMark/>
          </w:tcPr>
          <w:p w14:paraId="5336F228" w14:textId="77777777" w:rsidR="00232F51" w:rsidRPr="003A44E9" w:rsidRDefault="00232F51" w:rsidP="002A7D12">
            <w:pPr>
              <w:spacing w:line="240" w:lineRule="auto"/>
              <w:rPr>
                <w:rFonts w:cs="Times New Roman"/>
                <w:color w:val="000000"/>
                <w:sz w:val="20"/>
                <w:szCs w:val="20"/>
              </w:rPr>
            </w:pPr>
            <w:r>
              <w:rPr>
                <w:rFonts w:cs="Times New Roman"/>
                <w:color w:val="000000"/>
                <w:sz w:val="20"/>
                <w:szCs w:val="20"/>
              </w:rPr>
              <w:t>CSA</w:t>
            </w:r>
            <w:r w:rsidRPr="008C7790">
              <w:rPr>
                <w:rFonts w:cs="Times New Roman"/>
                <w:color w:val="000000"/>
                <w:sz w:val="20"/>
                <w:szCs w:val="20"/>
                <w:vertAlign w:val="superscript"/>
              </w:rPr>
              <w:t>†</w:t>
            </w:r>
          </w:p>
        </w:tc>
        <w:tc>
          <w:tcPr>
            <w:tcW w:w="1079" w:type="dxa"/>
            <w:tcBorders>
              <w:top w:val="single" w:sz="12" w:space="0" w:color="000000" w:themeColor="text1"/>
              <w:left w:val="single" w:sz="36" w:space="0" w:color="FFFFFF" w:themeColor="background1"/>
              <w:right w:val="single" w:sz="36" w:space="0" w:color="FFFFFF" w:themeColor="background1"/>
            </w:tcBorders>
            <w:shd w:val="clear" w:color="auto" w:fill="auto"/>
            <w:vAlign w:val="center"/>
          </w:tcPr>
          <w:p w14:paraId="7DF4BFD2" w14:textId="265D56C9" w:rsidR="00232F51" w:rsidRPr="000D7ABF" w:rsidRDefault="007D3473" w:rsidP="002A7D12">
            <w:pPr>
              <w:spacing w:line="240" w:lineRule="auto"/>
              <w:jc w:val="center"/>
              <w:rPr>
                <w:rFonts w:cs="Times New Roman"/>
                <w:color w:val="000000"/>
                <w:sz w:val="20"/>
                <w:szCs w:val="20"/>
              </w:rPr>
            </w:pPr>
            <w:r>
              <w:rPr>
                <w:rFonts w:cs="Times New Roman"/>
                <w:color w:val="000000"/>
                <w:sz w:val="20"/>
                <w:szCs w:val="20"/>
              </w:rPr>
              <w:t xml:space="preserve">  </w:t>
            </w:r>
            <w:r w:rsidR="00232F51">
              <w:rPr>
                <w:rFonts w:cs="Times New Roman"/>
                <w:color w:val="000000"/>
                <w:sz w:val="20"/>
                <w:szCs w:val="20"/>
              </w:rPr>
              <w:t>0.37</w:t>
            </w:r>
          </w:p>
        </w:tc>
        <w:tc>
          <w:tcPr>
            <w:tcW w:w="1080" w:type="dxa"/>
            <w:tcBorders>
              <w:left w:val="single" w:sz="36" w:space="0" w:color="FFFFFF" w:themeColor="background1"/>
              <w:right w:val="single" w:sz="36" w:space="0" w:color="FFFFFF" w:themeColor="background1"/>
            </w:tcBorders>
            <w:shd w:val="clear" w:color="auto" w:fill="auto"/>
            <w:vAlign w:val="center"/>
          </w:tcPr>
          <w:p w14:paraId="316FCC95" w14:textId="750CB56F" w:rsidR="00232F51" w:rsidRPr="000D7ABF" w:rsidRDefault="007D3473" w:rsidP="002A7D12">
            <w:pPr>
              <w:spacing w:line="240" w:lineRule="auto"/>
              <w:jc w:val="center"/>
              <w:rPr>
                <w:rFonts w:cs="Times New Roman"/>
                <w:color w:val="000000"/>
                <w:sz w:val="20"/>
                <w:szCs w:val="20"/>
              </w:rPr>
            </w:pPr>
            <w:r>
              <w:rPr>
                <w:rFonts w:cs="Times New Roman"/>
                <w:color w:val="000000"/>
                <w:sz w:val="20"/>
                <w:szCs w:val="20"/>
              </w:rPr>
              <w:t xml:space="preserve">  </w:t>
            </w:r>
            <w:r w:rsidR="00232F51">
              <w:rPr>
                <w:rFonts w:cs="Times New Roman"/>
                <w:color w:val="000000"/>
                <w:sz w:val="20"/>
                <w:szCs w:val="20"/>
              </w:rPr>
              <w:t>0.564</w:t>
            </w:r>
          </w:p>
        </w:tc>
        <w:tc>
          <w:tcPr>
            <w:tcW w:w="1170" w:type="dxa"/>
            <w:tcBorders>
              <w:top w:val="single" w:sz="12" w:space="0" w:color="000000" w:themeColor="text1"/>
              <w:left w:val="single" w:sz="36" w:space="0" w:color="FFFFFF" w:themeColor="background1"/>
              <w:right w:val="single" w:sz="36" w:space="0" w:color="FFFFFF" w:themeColor="background1"/>
            </w:tcBorders>
            <w:shd w:val="clear" w:color="auto" w:fill="auto"/>
            <w:vAlign w:val="center"/>
          </w:tcPr>
          <w:p w14:paraId="29083C2F" w14:textId="0B99A1AE" w:rsidR="00232F51" w:rsidRPr="000D7ABF" w:rsidRDefault="007D3473" w:rsidP="002A7D12">
            <w:pPr>
              <w:spacing w:line="240" w:lineRule="auto"/>
              <w:jc w:val="center"/>
              <w:rPr>
                <w:rFonts w:cs="Times New Roman"/>
                <w:color w:val="000000"/>
                <w:sz w:val="20"/>
                <w:szCs w:val="20"/>
              </w:rPr>
            </w:pPr>
            <w:r>
              <w:rPr>
                <w:rFonts w:cs="Times New Roman"/>
                <w:color w:val="000000"/>
                <w:sz w:val="20"/>
                <w:szCs w:val="20"/>
              </w:rPr>
              <w:t xml:space="preserve">  </w:t>
            </w:r>
            <w:r w:rsidR="00232F51">
              <w:rPr>
                <w:rFonts w:cs="Times New Roman"/>
                <w:color w:val="000000"/>
                <w:sz w:val="20"/>
                <w:szCs w:val="20"/>
              </w:rPr>
              <w:t>2.02</w:t>
            </w:r>
          </w:p>
        </w:tc>
        <w:tc>
          <w:tcPr>
            <w:tcW w:w="1170" w:type="dxa"/>
            <w:tcBorders>
              <w:left w:val="single" w:sz="36" w:space="0" w:color="FFFFFF" w:themeColor="background1"/>
            </w:tcBorders>
            <w:shd w:val="clear" w:color="auto" w:fill="auto"/>
            <w:vAlign w:val="center"/>
          </w:tcPr>
          <w:p w14:paraId="3BF99890" w14:textId="2BE5A250" w:rsidR="00232F51" w:rsidRPr="000D7ABF" w:rsidRDefault="007D3473" w:rsidP="002A7D12">
            <w:pPr>
              <w:spacing w:line="240" w:lineRule="auto"/>
              <w:jc w:val="center"/>
              <w:rPr>
                <w:rFonts w:cs="Times New Roman"/>
                <w:color w:val="000000"/>
                <w:sz w:val="20"/>
                <w:szCs w:val="20"/>
              </w:rPr>
            </w:pPr>
            <w:r>
              <w:rPr>
                <w:rFonts w:cs="Times New Roman"/>
                <w:color w:val="000000"/>
                <w:sz w:val="20"/>
                <w:szCs w:val="20"/>
              </w:rPr>
              <w:t xml:space="preserve">  </w:t>
            </w:r>
            <w:r w:rsidR="00232F51">
              <w:rPr>
                <w:rFonts w:cs="Times New Roman"/>
                <w:color w:val="000000"/>
                <w:sz w:val="20"/>
                <w:szCs w:val="20"/>
              </w:rPr>
              <w:t>0.234</w:t>
            </w:r>
          </w:p>
        </w:tc>
      </w:tr>
      <w:tr w:rsidR="00232F51" w:rsidRPr="003A44E9" w14:paraId="771D5E97" w14:textId="77777777" w:rsidTr="002A7D12">
        <w:trPr>
          <w:trHeight w:val="288"/>
        </w:trPr>
        <w:tc>
          <w:tcPr>
            <w:tcW w:w="1441" w:type="dxa"/>
            <w:tcBorders>
              <w:left w:val="nil"/>
              <w:right w:val="nil"/>
            </w:tcBorders>
            <w:shd w:val="clear" w:color="auto" w:fill="D9D9D9" w:themeFill="background1" w:themeFillShade="D9"/>
            <w:noWrap/>
            <w:vAlign w:val="center"/>
            <w:hideMark/>
          </w:tcPr>
          <w:p w14:paraId="55AEC822" w14:textId="77777777" w:rsidR="00232F51" w:rsidRPr="003A44E9" w:rsidRDefault="00232F51" w:rsidP="002A7D12">
            <w:pPr>
              <w:spacing w:line="240" w:lineRule="auto"/>
              <w:rPr>
                <w:rFonts w:cs="Times New Roman"/>
                <w:color w:val="000000"/>
                <w:sz w:val="20"/>
                <w:szCs w:val="20"/>
              </w:rPr>
            </w:pPr>
            <w:r>
              <w:rPr>
                <w:rFonts w:cs="Times New Roman"/>
                <w:color w:val="000000"/>
                <w:sz w:val="20"/>
                <w:szCs w:val="20"/>
              </w:rPr>
              <w:t>Harvest</w:t>
            </w:r>
          </w:p>
        </w:tc>
        <w:tc>
          <w:tcPr>
            <w:tcW w:w="1079" w:type="dxa"/>
            <w:tcBorders>
              <w:left w:val="nil"/>
              <w:right w:val="nil"/>
            </w:tcBorders>
            <w:shd w:val="clear" w:color="auto" w:fill="D9D9D9" w:themeFill="background1" w:themeFillShade="D9"/>
            <w:vAlign w:val="center"/>
          </w:tcPr>
          <w:p w14:paraId="2D40AE46" w14:textId="77777777" w:rsidR="00232F51" w:rsidRPr="000D7ABF" w:rsidRDefault="00232F51" w:rsidP="002A7D12">
            <w:pPr>
              <w:spacing w:line="240" w:lineRule="auto"/>
              <w:jc w:val="center"/>
              <w:rPr>
                <w:rFonts w:cs="Times New Roman"/>
                <w:color w:val="000000"/>
                <w:sz w:val="20"/>
                <w:szCs w:val="20"/>
              </w:rPr>
            </w:pPr>
            <w:r>
              <w:rPr>
                <w:rFonts w:cs="Times New Roman"/>
                <w:color w:val="000000"/>
                <w:sz w:val="20"/>
                <w:szCs w:val="20"/>
              </w:rPr>
              <w:t>39.52</w:t>
            </w:r>
          </w:p>
        </w:tc>
        <w:tc>
          <w:tcPr>
            <w:tcW w:w="1080" w:type="dxa"/>
            <w:tcBorders>
              <w:left w:val="nil"/>
              <w:right w:val="nil"/>
            </w:tcBorders>
            <w:shd w:val="clear" w:color="auto" w:fill="D9D9D9" w:themeFill="background1" w:themeFillShade="D9"/>
            <w:vAlign w:val="center"/>
          </w:tcPr>
          <w:p w14:paraId="256A78D1" w14:textId="77777777" w:rsidR="00232F51" w:rsidRPr="00622A34" w:rsidRDefault="00232F51" w:rsidP="002A7D12">
            <w:pPr>
              <w:spacing w:line="240" w:lineRule="auto"/>
              <w:jc w:val="center"/>
              <w:rPr>
                <w:rFonts w:cs="Times New Roman"/>
                <w:b/>
                <w:bCs/>
                <w:color w:val="000000"/>
                <w:sz w:val="20"/>
                <w:szCs w:val="20"/>
              </w:rPr>
            </w:pPr>
            <w:r w:rsidRPr="00622A34">
              <w:rPr>
                <w:rFonts w:cs="Times New Roman"/>
                <w:b/>
                <w:bCs/>
                <w:color w:val="000000"/>
                <w:sz w:val="20"/>
                <w:szCs w:val="20"/>
              </w:rPr>
              <w:t>&lt;0.001</w:t>
            </w:r>
          </w:p>
        </w:tc>
        <w:tc>
          <w:tcPr>
            <w:tcW w:w="1170" w:type="dxa"/>
            <w:tcBorders>
              <w:left w:val="nil"/>
              <w:right w:val="nil"/>
            </w:tcBorders>
            <w:shd w:val="clear" w:color="auto" w:fill="D9D9D9" w:themeFill="background1" w:themeFillShade="D9"/>
            <w:vAlign w:val="center"/>
          </w:tcPr>
          <w:p w14:paraId="00A9A50C" w14:textId="77777777" w:rsidR="00232F51" w:rsidRPr="000D7ABF" w:rsidRDefault="00232F51" w:rsidP="002A7D12">
            <w:pPr>
              <w:spacing w:line="240" w:lineRule="auto"/>
              <w:jc w:val="center"/>
              <w:rPr>
                <w:rFonts w:cs="Times New Roman"/>
                <w:color w:val="000000"/>
                <w:sz w:val="20"/>
                <w:szCs w:val="20"/>
              </w:rPr>
            </w:pPr>
            <w:r>
              <w:rPr>
                <w:rFonts w:cs="Times New Roman"/>
                <w:color w:val="000000"/>
                <w:sz w:val="20"/>
                <w:szCs w:val="20"/>
              </w:rPr>
              <w:t>29.26</w:t>
            </w:r>
          </w:p>
        </w:tc>
        <w:tc>
          <w:tcPr>
            <w:tcW w:w="1170" w:type="dxa"/>
            <w:tcBorders>
              <w:left w:val="nil"/>
              <w:right w:val="nil"/>
            </w:tcBorders>
            <w:shd w:val="clear" w:color="auto" w:fill="D9D9D9" w:themeFill="background1" w:themeFillShade="D9"/>
            <w:vAlign w:val="center"/>
          </w:tcPr>
          <w:p w14:paraId="072D7CE7" w14:textId="77777777" w:rsidR="00232F51" w:rsidRPr="00622A34" w:rsidRDefault="00232F51" w:rsidP="002A7D12">
            <w:pPr>
              <w:spacing w:line="240" w:lineRule="auto"/>
              <w:jc w:val="center"/>
              <w:rPr>
                <w:rFonts w:cs="Times New Roman"/>
                <w:b/>
                <w:bCs/>
                <w:color w:val="000000"/>
                <w:sz w:val="20"/>
                <w:szCs w:val="20"/>
              </w:rPr>
            </w:pPr>
            <w:r w:rsidRPr="00622A34">
              <w:rPr>
                <w:rFonts w:cs="Times New Roman"/>
                <w:b/>
                <w:bCs/>
                <w:color w:val="000000"/>
                <w:sz w:val="20"/>
                <w:szCs w:val="20"/>
              </w:rPr>
              <w:t>&lt;0.001</w:t>
            </w:r>
          </w:p>
        </w:tc>
      </w:tr>
      <w:tr w:rsidR="00232F51" w:rsidRPr="003A44E9" w14:paraId="48F9C367" w14:textId="77777777" w:rsidTr="002A7D12">
        <w:trPr>
          <w:trHeight w:val="288"/>
        </w:trPr>
        <w:tc>
          <w:tcPr>
            <w:tcW w:w="1441" w:type="dxa"/>
            <w:tcBorders>
              <w:left w:val="nil"/>
              <w:bottom w:val="single" w:sz="12" w:space="0" w:color="000000" w:themeColor="text1"/>
              <w:right w:val="nil"/>
            </w:tcBorders>
            <w:shd w:val="clear" w:color="auto" w:fill="auto"/>
            <w:noWrap/>
            <w:vAlign w:val="center"/>
          </w:tcPr>
          <w:p w14:paraId="3CC2C6CC" w14:textId="77777777" w:rsidR="00232F51" w:rsidRDefault="00232F51" w:rsidP="002A7D12">
            <w:pPr>
              <w:spacing w:line="240" w:lineRule="auto"/>
              <w:rPr>
                <w:rFonts w:cs="Times New Roman"/>
                <w:color w:val="000000"/>
                <w:sz w:val="20"/>
                <w:szCs w:val="20"/>
              </w:rPr>
            </w:pPr>
            <w:r>
              <w:rPr>
                <w:rFonts w:cs="Times New Roman"/>
                <w:color w:val="000000"/>
                <w:sz w:val="20"/>
                <w:szCs w:val="20"/>
              </w:rPr>
              <w:t>CSA x Harvest</w:t>
            </w:r>
          </w:p>
        </w:tc>
        <w:tc>
          <w:tcPr>
            <w:tcW w:w="1079" w:type="dxa"/>
            <w:tcBorders>
              <w:left w:val="nil"/>
              <w:bottom w:val="single" w:sz="12" w:space="0" w:color="auto"/>
              <w:right w:val="nil"/>
            </w:tcBorders>
            <w:shd w:val="clear" w:color="auto" w:fill="auto"/>
            <w:vAlign w:val="center"/>
          </w:tcPr>
          <w:p w14:paraId="17514C9D" w14:textId="0C916670" w:rsidR="00232F51" w:rsidRDefault="007D3473" w:rsidP="002A7D12">
            <w:pPr>
              <w:spacing w:line="240" w:lineRule="auto"/>
              <w:jc w:val="center"/>
              <w:rPr>
                <w:rFonts w:cs="Times New Roman"/>
                <w:color w:val="000000"/>
                <w:sz w:val="20"/>
                <w:szCs w:val="20"/>
              </w:rPr>
            </w:pPr>
            <w:r>
              <w:rPr>
                <w:rFonts w:cs="Times New Roman"/>
                <w:color w:val="000000"/>
                <w:sz w:val="20"/>
                <w:szCs w:val="20"/>
              </w:rPr>
              <w:t xml:space="preserve">  </w:t>
            </w:r>
            <w:r w:rsidR="00232F51">
              <w:rPr>
                <w:rFonts w:cs="Times New Roman"/>
                <w:color w:val="000000"/>
                <w:sz w:val="20"/>
                <w:szCs w:val="20"/>
              </w:rPr>
              <w:t>2.01</w:t>
            </w:r>
          </w:p>
        </w:tc>
        <w:tc>
          <w:tcPr>
            <w:tcW w:w="1080" w:type="dxa"/>
            <w:tcBorders>
              <w:left w:val="nil"/>
              <w:bottom w:val="single" w:sz="12" w:space="0" w:color="auto"/>
              <w:right w:val="nil"/>
            </w:tcBorders>
            <w:shd w:val="clear" w:color="auto" w:fill="auto"/>
            <w:vAlign w:val="center"/>
          </w:tcPr>
          <w:p w14:paraId="24F4E7F9" w14:textId="5E1029A6" w:rsidR="00232F51" w:rsidRDefault="007D3473" w:rsidP="002A7D12">
            <w:pPr>
              <w:spacing w:line="240" w:lineRule="auto"/>
              <w:jc w:val="center"/>
              <w:rPr>
                <w:rFonts w:cs="Times New Roman"/>
                <w:color w:val="000000"/>
                <w:sz w:val="20"/>
                <w:szCs w:val="20"/>
              </w:rPr>
            </w:pPr>
            <w:r>
              <w:rPr>
                <w:rFonts w:cs="Times New Roman"/>
                <w:color w:val="000000"/>
                <w:sz w:val="20"/>
                <w:szCs w:val="20"/>
              </w:rPr>
              <w:t xml:space="preserve">  </w:t>
            </w:r>
            <w:r w:rsidR="00232F51">
              <w:rPr>
                <w:rFonts w:cs="Times New Roman"/>
                <w:color w:val="000000"/>
                <w:sz w:val="20"/>
                <w:szCs w:val="20"/>
              </w:rPr>
              <w:t>0.200</w:t>
            </w:r>
          </w:p>
        </w:tc>
        <w:tc>
          <w:tcPr>
            <w:tcW w:w="1170" w:type="dxa"/>
            <w:tcBorders>
              <w:left w:val="nil"/>
              <w:bottom w:val="single" w:sz="12" w:space="0" w:color="000000" w:themeColor="text1"/>
              <w:right w:val="nil"/>
            </w:tcBorders>
            <w:shd w:val="clear" w:color="auto" w:fill="auto"/>
            <w:vAlign w:val="center"/>
          </w:tcPr>
          <w:p w14:paraId="6273F321" w14:textId="636AA296" w:rsidR="00232F51" w:rsidRDefault="007D3473" w:rsidP="002A7D12">
            <w:pPr>
              <w:spacing w:line="240" w:lineRule="auto"/>
              <w:jc w:val="center"/>
              <w:rPr>
                <w:rFonts w:cs="Times New Roman"/>
                <w:color w:val="000000"/>
                <w:sz w:val="20"/>
                <w:szCs w:val="20"/>
              </w:rPr>
            </w:pPr>
            <w:r>
              <w:rPr>
                <w:rFonts w:cs="Times New Roman"/>
                <w:color w:val="000000"/>
                <w:sz w:val="20"/>
                <w:szCs w:val="20"/>
              </w:rPr>
              <w:t xml:space="preserve">  </w:t>
            </w:r>
            <w:r w:rsidR="00232F51">
              <w:rPr>
                <w:rFonts w:cs="Times New Roman"/>
                <w:color w:val="000000"/>
                <w:sz w:val="20"/>
                <w:szCs w:val="20"/>
              </w:rPr>
              <w:t>0.43</w:t>
            </w:r>
          </w:p>
        </w:tc>
        <w:tc>
          <w:tcPr>
            <w:tcW w:w="1170" w:type="dxa"/>
            <w:tcBorders>
              <w:left w:val="nil"/>
              <w:bottom w:val="single" w:sz="12" w:space="0" w:color="auto"/>
              <w:right w:val="nil"/>
            </w:tcBorders>
            <w:shd w:val="clear" w:color="auto" w:fill="auto"/>
            <w:vAlign w:val="center"/>
          </w:tcPr>
          <w:p w14:paraId="15431142" w14:textId="7E1F1F45" w:rsidR="00232F51" w:rsidRDefault="007D3473" w:rsidP="002A7D12">
            <w:pPr>
              <w:spacing w:line="240" w:lineRule="auto"/>
              <w:jc w:val="center"/>
              <w:rPr>
                <w:rFonts w:cs="Times New Roman"/>
                <w:color w:val="000000"/>
                <w:sz w:val="20"/>
                <w:szCs w:val="20"/>
              </w:rPr>
            </w:pPr>
            <w:r>
              <w:rPr>
                <w:rFonts w:cs="Times New Roman"/>
                <w:color w:val="000000"/>
                <w:sz w:val="20"/>
                <w:szCs w:val="20"/>
              </w:rPr>
              <w:t xml:space="preserve">  </w:t>
            </w:r>
            <w:r w:rsidR="00232F51">
              <w:rPr>
                <w:rFonts w:cs="Times New Roman"/>
                <w:color w:val="000000"/>
                <w:sz w:val="20"/>
                <w:szCs w:val="20"/>
              </w:rPr>
              <w:t>0.666</w:t>
            </w:r>
          </w:p>
        </w:tc>
      </w:tr>
    </w:tbl>
    <w:bookmarkEnd w:id="77"/>
    <w:p w14:paraId="42AEFE2A" w14:textId="77777777" w:rsidR="00232F51" w:rsidRDefault="00232F51" w:rsidP="00232F51">
      <w:pPr>
        <w:spacing w:line="240" w:lineRule="auto"/>
        <w:rPr>
          <w:rFonts w:eastAsia="Calibri" w:cs="Times New Roman"/>
          <w:bCs/>
        </w:rPr>
        <w:sectPr w:rsidR="00232F51" w:rsidSect="00232F51">
          <w:pgSz w:w="12240" w:h="15840" w:code="1"/>
          <w:pgMar w:top="1440" w:right="1800" w:bottom="1872" w:left="1800" w:header="720" w:footer="1440" w:gutter="0"/>
          <w:cols w:space="720"/>
          <w:noEndnote/>
          <w:docGrid w:linePitch="360"/>
        </w:sectPr>
      </w:pPr>
      <w:r w:rsidRPr="00BC2376">
        <w:rPr>
          <w:rFonts w:eastAsia="Calibri" w:cs="Times New Roman"/>
          <w:bCs/>
        </w:rPr>
        <w:t>†</w:t>
      </w:r>
      <w:bookmarkStart w:id="79" w:name="_Hlk69661503"/>
      <w:r>
        <w:rPr>
          <w:rFonts w:eastAsia="Calibri" w:cs="Times New Roman"/>
          <w:bCs/>
        </w:rPr>
        <w:t>CSA</w:t>
      </w:r>
      <w:r w:rsidRPr="00BC2376">
        <w:rPr>
          <w:rFonts w:eastAsia="Calibri" w:cs="Times New Roman"/>
          <w:bCs/>
        </w:rPr>
        <w:t xml:space="preserve"> = </w:t>
      </w:r>
      <w:r>
        <w:rPr>
          <w:rFonts w:eastAsia="Calibri" w:cs="Times New Roman"/>
          <w:bCs/>
        </w:rPr>
        <w:t>cool-season annual (</w:t>
      </w:r>
      <w:r w:rsidRPr="00E223C7">
        <w:rPr>
          <w:rFonts w:eastAsia="Calibri" w:cs="Times New Roman"/>
          <w:bCs/>
        </w:rPr>
        <w:t>cereal rye monoculture or cereal rye, turnip, rape, berseem clover, and crimson clover polyculture</w:t>
      </w:r>
      <w:r>
        <w:rPr>
          <w:rFonts w:eastAsia="Calibri" w:cs="Times New Roman"/>
          <w:bCs/>
        </w:rPr>
        <w:t>); Harvest = warm-season hay yield (July 2019, July 2020, or September 2020)</w:t>
      </w:r>
      <w:bookmarkEnd w:id="79"/>
    </w:p>
    <w:p w14:paraId="3B59873C" w14:textId="28E6EC19" w:rsidR="00E22E7E" w:rsidRPr="00BC2376" w:rsidRDefault="00E22E7E" w:rsidP="00E22E7E">
      <w:pPr>
        <w:pStyle w:val="Tables"/>
        <w:spacing w:after="60"/>
        <w:rPr>
          <w:b/>
        </w:rPr>
      </w:pPr>
      <w:bookmarkStart w:id="80" w:name="_Toc72300400"/>
      <w:r w:rsidRPr="00BC2376">
        <w:lastRenderedPageBreak/>
        <w:t xml:space="preserve">Table </w:t>
      </w:r>
      <w:r>
        <w:t>1.7.</w:t>
      </w:r>
      <w:r w:rsidRPr="00BC2376">
        <w:t xml:space="preserve">  Mixed-effects ANOVA model for </w:t>
      </w:r>
      <w:r>
        <w:t xml:space="preserve">nutritive value parameters </w:t>
      </w:r>
      <w:r w:rsidRPr="004A1240">
        <w:rPr>
          <w:rStyle w:val="Strong"/>
          <w:b w:val="0"/>
          <w:bCs/>
        </w:rPr>
        <w:t xml:space="preserve">for </w:t>
      </w:r>
      <w:r>
        <w:rPr>
          <w:rStyle w:val="Strong"/>
          <w:b w:val="0"/>
          <w:bCs/>
        </w:rPr>
        <w:t xml:space="preserve">hay samples by cool-season annual (CSA) pasture for </w:t>
      </w:r>
      <w:r w:rsidRPr="004A1240">
        <w:rPr>
          <w:rStyle w:val="Strong"/>
          <w:b w:val="0"/>
          <w:bCs/>
        </w:rPr>
        <w:t xml:space="preserve">switchgrass </w:t>
      </w:r>
      <w:r>
        <w:rPr>
          <w:rStyle w:val="Strong"/>
          <w:b w:val="0"/>
          <w:bCs/>
        </w:rPr>
        <w:t>and big bluestem/indiangrass pastures in</w:t>
      </w:r>
      <w:r w:rsidRPr="004A1240">
        <w:rPr>
          <w:rStyle w:val="Strong"/>
          <w:b w:val="0"/>
          <w:bCs/>
        </w:rPr>
        <w:t xml:space="preserve"> native pasture grazing experiment, 201</w:t>
      </w:r>
      <w:r>
        <w:rPr>
          <w:rStyle w:val="Strong"/>
          <w:b w:val="0"/>
          <w:bCs/>
        </w:rPr>
        <w:t>9</w:t>
      </w:r>
      <w:r w:rsidRPr="004A1240">
        <w:rPr>
          <w:rStyle w:val="Strong"/>
          <w:b w:val="0"/>
          <w:bCs/>
        </w:rPr>
        <w:t xml:space="preserve">-2020, </w:t>
      </w:r>
      <w:r w:rsidRPr="00BC2376">
        <w:t xml:space="preserve">University of Tennessee – </w:t>
      </w:r>
      <w:r>
        <w:t xml:space="preserve">Middle </w:t>
      </w:r>
      <w:r w:rsidRPr="00BC2376">
        <w:t xml:space="preserve">Tennessee AgResearch and Education Center, </w:t>
      </w:r>
      <w:r>
        <w:t>Spring Hill,</w:t>
      </w:r>
      <w:r w:rsidRPr="00BC2376">
        <w:t xml:space="preserve"> TN.</w:t>
      </w:r>
      <w:bookmarkEnd w:id="80"/>
      <w:r>
        <w:rPr>
          <w:rStyle w:val="Strong"/>
          <w:b w:val="0"/>
          <w:bCs/>
        </w:rPr>
        <w:t xml:space="preserve">  </w:t>
      </w:r>
    </w:p>
    <w:tbl>
      <w:tblPr>
        <w:tblW w:w="8152" w:type="dxa"/>
        <w:tblLook w:val="04A0" w:firstRow="1" w:lastRow="0" w:firstColumn="1" w:lastColumn="0" w:noHBand="0" w:noVBand="1"/>
      </w:tblPr>
      <w:tblGrid>
        <w:gridCol w:w="1440"/>
        <w:gridCol w:w="909"/>
        <w:gridCol w:w="711"/>
        <w:gridCol w:w="848"/>
        <w:gridCol w:w="819"/>
        <w:gridCol w:w="909"/>
        <w:gridCol w:w="819"/>
        <w:gridCol w:w="909"/>
        <w:gridCol w:w="726"/>
        <w:gridCol w:w="62"/>
      </w:tblGrid>
      <w:tr w:rsidR="00E22E7E" w:rsidRPr="00C61664" w14:paraId="0FA7AE52" w14:textId="77777777" w:rsidTr="00E801DE">
        <w:trPr>
          <w:gridAfter w:val="1"/>
          <w:wAfter w:w="62" w:type="dxa"/>
          <w:trHeight w:val="317"/>
        </w:trPr>
        <w:tc>
          <w:tcPr>
            <w:tcW w:w="1440" w:type="dxa"/>
            <w:tcBorders>
              <w:top w:val="single" w:sz="12" w:space="0" w:color="auto"/>
              <w:left w:val="nil"/>
            </w:tcBorders>
            <w:shd w:val="clear" w:color="auto" w:fill="auto"/>
            <w:noWrap/>
            <w:vAlign w:val="bottom"/>
          </w:tcPr>
          <w:p w14:paraId="74A5DA17" w14:textId="2D200623" w:rsidR="00E22E7E" w:rsidRPr="00C61664" w:rsidRDefault="00E22E7E" w:rsidP="006F0582">
            <w:pPr>
              <w:spacing w:line="240" w:lineRule="auto"/>
              <w:rPr>
                <w:rFonts w:cs="Times New Roman"/>
                <w:color w:val="000000"/>
                <w:sz w:val="20"/>
                <w:szCs w:val="20"/>
              </w:rPr>
            </w:pPr>
          </w:p>
        </w:tc>
        <w:tc>
          <w:tcPr>
            <w:tcW w:w="6650" w:type="dxa"/>
            <w:gridSpan w:val="8"/>
            <w:tcBorders>
              <w:top w:val="single" w:sz="12" w:space="0" w:color="auto"/>
              <w:left w:val="nil"/>
              <w:bottom w:val="single" w:sz="12" w:space="0" w:color="auto"/>
              <w:right w:val="single" w:sz="36" w:space="0" w:color="FFFFFF" w:themeColor="background1"/>
            </w:tcBorders>
            <w:shd w:val="clear" w:color="auto" w:fill="auto"/>
            <w:noWrap/>
            <w:vAlign w:val="center"/>
          </w:tcPr>
          <w:p w14:paraId="19ACA7A2" w14:textId="77777777" w:rsidR="00E22E7E" w:rsidRPr="00C61664" w:rsidRDefault="00E22E7E" w:rsidP="006F0582">
            <w:pPr>
              <w:spacing w:line="240" w:lineRule="auto"/>
              <w:jc w:val="center"/>
              <w:rPr>
                <w:rFonts w:cs="Times New Roman"/>
                <w:color w:val="000000"/>
                <w:sz w:val="20"/>
                <w:szCs w:val="20"/>
              </w:rPr>
            </w:pPr>
            <w:r>
              <w:rPr>
                <w:rFonts w:cs="Times New Roman"/>
                <w:color w:val="000000"/>
                <w:sz w:val="20"/>
                <w:szCs w:val="20"/>
              </w:rPr>
              <w:t>Switchgrass</w:t>
            </w:r>
          </w:p>
        </w:tc>
      </w:tr>
      <w:tr w:rsidR="00E22E7E" w:rsidRPr="00C61664" w14:paraId="6FE47FFB" w14:textId="77777777" w:rsidTr="00E801DE">
        <w:trPr>
          <w:trHeight w:val="317"/>
        </w:trPr>
        <w:tc>
          <w:tcPr>
            <w:tcW w:w="1440" w:type="dxa"/>
            <w:tcBorders>
              <w:left w:val="nil"/>
              <w:bottom w:val="nil"/>
            </w:tcBorders>
            <w:shd w:val="clear" w:color="auto" w:fill="auto"/>
            <w:noWrap/>
            <w:vAlign w:val="bottom"/>
            <w:hideMark/>
          </w:tcPr>
          <w:p w14:paraId="2ED749AB" w14:textId="77777777" w:rsidR="00E22E7E" w:rsidRPr="00C61664" w:rsidRDefault="00E22E7E" w:rsidP="006F0582">
            <w:pPr>
              <w:spacing w:line="240" w:lineRule="auto"/>
              <w:rPr>
                <w:rFonts w:cs="Times New Roman"/>
                <w:color w:val="000000"/>
                <w:sz w:val="20"/>
                <w:szCs w:val="20"/>
              </w:rPr>
            </w:pPr>
            <w:r w:rsidRPr="00C61664">
              <w:rPr>
                <w:rFonts w:cs="Times New Roman"/>
                <w:color w:val="000000"/>
                <w:sz w:val="20"/>
                <w:szCs w:val="20"/>
              </w:rPr>
              <w:t> </w:t>
            </w:r>
          </w:p>
        </w:tc>
        <w:tc>
          <w:tcPr>
            <w:tcW w:w="1620" w:type="dxa"/>
            <w:gridSpan w:val="2"/>
            <w:tcBorders>
              <w:top w:val="single" w:sz="12" w:space="0" w:color="auto"/>
              <w:left w:val="nil"/>
              <w:bottom w:val="single" w:sz="12" w:space="0" w:color="auto"/>
              <w:right w:val="single" w:sz="36" w:space="0" w:color="FFFFFF" w:themeColor="background1"/>
            </w:tcBorders>
            <w:shd w:val="clear" w:color="auto" w:fill="auto"/>
            <w:noWrap/>
            <w:vAlign w:val="center"/>
            <w:hideMark/>
          </w:tcPr>
          <w:p w14:paraId="143202B6" w14:textId="77777777" w:rsidR="00E22E7E" w:rsidRPr="00C61664" w:rsidRDefault="00E22E7E" w:rsidP="006F0582">
            <w:pPr>
              <w:spacing w:line="240" w:lineRule="auto"/>
              <w:jc w:val="center"/>
              <w:rPr>
                <w:rFonts w:cs="Times New Roman"/>
                <w:color w:val="000000"/>
                <w:sz w:val="20"/>
                <w:szCs w:val="20"/>
              </w:rPr>
            </w:pPr>
            <w:r>
              <w:rPr>
                <w:rFonts w:cs="Times New Roman"/>
                <w:color w:val="000000"/>
                <w:sz w:val="20"/>
                <w:szCs w:val="20"/>
              </w:rPr>
              <w:t>CP</w:t>
            </w:r>
            <w:r w:rsidRPr="00AC553F">
              <w:rPr>
                <w:rFonts w:cs="Times New Roman"/>
                <w:color w:val="000000"/>
                <w:sz w:val="20"/>
                <w:szCs w:val="20"/>
                <w:vertAlign w:val="superscript"/>
              </w:rPr>
              <w:t>†</w:t>
            </w:r>
          </w:p>
        </w:tc>
        <w:tc>
          <w:tcPr>
            <w:tcW w:w="1667"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5D9EAE92" w14:textId="77777777" w:rsidR="00E22E7E" w:rsidRPr="00C61664" w:rsidRDefault="00E22E7E" w:rsidP="006F0582">
            <w:pPr>
              <w:spacing w:line="240" w:lineRule="auto"/>
              <w:jc w:val="center"/>
              <w:rPr>
                <w:rFonts w:cs="Times New Roman"/>
                <w:color w:val="000000"/>
                <w:sz w:val="20"/>
                <w:szCs w:val="20"/>
              </w:rPr>
            </w:pPr>
            <w:r>
              <w:rPr>
                <w:rFonts w:cs="Times New Roman"/>
                <w:color w:val="000000"/>
                <w:sz w:val="20"/>
                <w:szCs w:val="20"/>
              </w:rPr>
              <w:t>ADF</w:t>
            </w:r>
          </w:p>
        </w:tc>
        <w:tc>
          <w:tcPr>
            <w:tcW w:w="1724"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hideMark/>
          </w:tcPr>
          <w:p w14:paraId="2B9C088F" w14:textId="77777777" w:rsidR="00E22E7E" w:rsidRPr="00C61664" w:rsidRDefault="00E22E7E" w:rsidP="006F0582">
            <w:pPr>
              <w:spacing w:line="240" w:lineRule="auto"/>
              <w:jc w:val="center"/>
              <w:rPr>
                <w:rFonts w:cs="Times New Roman"/>
                <w:color w:val="000000"/>
                <w:sz w:val="20"/>
                <w:szCs w:val="20"/>
              </w:rPr>
            </w:pPr>
            <w:r>
              <w:rPr>
                <w:rFonts w:cs="Times New Roman"/>
                <w:color w:val="000000"/>
                <w:sz w:val="20"/>
                <w:szCs w:val="20"/>
              </w:rPr>
              <w:t>aNDF</w:t>
            </w:r>
          </w:p>
        </w:tc>
        <w:tc>
          <w:tcPr>
            <w:tcW w:w="1697" w:type="dxa"/>
            <w:gridSpan w:val="3"/>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1C01108C" w14:textId="77777777" w:rsidR="00E22E7E" w:rsidRPr="00C61664" w:rsidRDefault="00E22E7E" w:rsidP="006F0582">
            <w:pPr>
              <w:spacing w:line="240" w:lineRule="auto"/>
              <w:jc w:val="center"/>
              <w:rPr>
                <w:rFonts w:cs="Times New Roman"/>
                <w:color w:val="000000"/>
                <w:sz w:val="20"/>
                <w:szCs w:val="20"/>
              </w:rPr>
            </w:pPr>
            <w:r>
              <w:rPr>
                <w:rFonts w:cs="Times New Roman"/>
                <w:color w:val="000000"/>
                <w:sz w:val="20"/>
                <w:szCs w:val="20"/>
              </w:rPr>
              <w:t>IVTDMD48H</w:t>
            </w:r>
          </w:p>
        </w:tc>
      </w:tr>
      <w:tr w:rsidR="00E22E7E" w:rsidRPr="00C61664" w14:paraId="30A937F9" w14:textId="77777777" w:rsidTr="00E801DE">
        <w:trPr>
          <w:trHeight w:val="317"/>
        </w:trPr>
        <w:tc>
          <w:tcPr>
            <w:tcW w:w="1440" w:type="dxa"/>
            <w:tcBorders>
              <w:top w:val="nil"/>
              <w:left w:val="nil"/>
              <w:bottom w:val="single" w:sz="12" w:space="0" w:color="auto"/>
              <w:right w:val="single" w:sz="36" w:space="0" w:color="FFFFFF" w:themeColor="background1"/>
            </w:tcBorders>
            <w:shd w:val="clear" w:color="auto" w:fill="auto"/>
            <w:noWrap/>
            <w:vAlign w:val="center"/>
            <w:hideMark/>
          </w:tcPr>
          <w:p w14:paraId="2C0EB812" w14:textId="77777777" w:rsidR="00E22E7E" w:rsidRPr="00C61664" w:rsidRDefault="00E22E7E" w:rsidP="006F0582">
            <w:pPr>
              <w:spacing w:line="240" w:lineRule="auto"/>
              <w:rPr>
                <w:rFonts w:cs="Times New Roman"/>
                <w:color w:val="000000"/>
                <w:sz w:val="20"/>
                <w:szCs w:val="20"/>
              </w:rPr>
            </w:pPr>
            <w:r w:rsidRPr="00C61664">
              <w:rPr>
                <w:rFonts w:cs="Times New Roman"/>
                <w:color w:val="000000"/>
                <w:sz w:val="20"/>
                <w:szCs w:val="20"/>
              </w:rPr>
              <w:t>Effect</w:t>
            </w:r>
          </w:p>
        </w:tc>
        <w:tc>
          <w:tcPr>
            <w:tcW w:w="909"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4BB855FE" w14:textId="77777777" w:rsidR="00E22E7E" w:rsidRPr="00C61664" w:rsidRDefault="00E22E7E" w:rsidP="006F0582">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711"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79C7C7BD" w14:textId="77777777" w:rsidR="00E22E7E" w:rsidRPr="00C61664" w:rsidRDefault="00E22E7E" w:rsidP="006F0582">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c>
          <w:tcPr>
            <w:tcW w:w="848"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00468F08" w14:textId="77777777" w:rsidR="00E22E7E" w:rsidRPr="00C61664" w:rsidRDefault="00E22E7E" w:rsidP="006F0582">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819"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2DE9D2A4" w14:textId="77777777" w:rsidR="00E22E7E" w:rsidRPr="00C61664" w:rsidRDefault="00E22E7E" w:rsidP="006F0582">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c>
          <w:tcPr>
            <w:tcW w:w="909"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7E42A1E9" w14:textId="77777777" w:rsidR="00E22E7E" w:rsidRPr="00C61664" w:rsidRDefault="00E22E7E" w:rsidP="006F0582">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819"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5D4A690B" w14:textId="77777777" w:rsidR="00E22E7E" w:rsidRPr="00C61664" w:rsidRDefault="00E22E7E" w:rsidP="006F0582">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c>
          <w:tcPr>
            <w:tcW w:w="909" w:type="dxa"/>
            <w:tcBorders>
              <w:top w:val="nil"/>
              <w:left w:val="single" w:sz="36" w:space="0" w:color="FFFFFF" w:themeColor="background1"/>
              <w:bottom w:val="single" w:sz="12" w:space="0" w:color="000000" w:themeColor="text1"/>
              <w:right w:val="single" w:sz="36" w:space="0" w:color="FFFFFF" w:themeColor="background1"/>
            </w:tcBorders>
            <w:shd w:val="clear" w:color="auto" w:fill="auto"/>
            <w:noWrap/>
            <w:vAlign w:val="center"/>
            <w:hideMark/>
          </w:tcPr>
          <w:p w14:paraId="0AACBF83" w14:textId="77777777" w:rsidR="00E22E7E" w:rsidRPr="00C61664" w:rsidRDefault="00E22E7E" w:rsidP="006F0582">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788" w:type="dxa"/>
            <w:gridSpan w:val="2"/>
            <w:tcBorders>
              <w:top w:val="nil"/>
              <w:left w:val="single" w:sz="36" w:space="0" w:color="FFFFFF" w:themeColor="background1"/>
              <w:bottom w:val="single" w:sz="12" w:space="0" w:color="000000" w:themeColor="text1"/>
              <w:right w:val="single" w:sz="36" w:space="0" w:color="FFFFFF" w:themeColor="background1"/>
            </w:tcBorders>
            <w:shd w:val="clear" w:color="auto" w:fill="auto"/>
            <w:noWrap/>
            <w:vAlign w:val="center"/>
            <w:hideMark/>
          </w:tcPr>
          <w:p w14:paraId="203BC960" w14:textId="77777777" w:rsidR="00E22E7E" w:rsidRPr="00C61664" w:rsidRDefault="00E22E7E" w:rsidP="006F0582">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r>
      <w:tr w:rsidR="00E22E7E" w:rsidRPr="00C61664" w14:paraId="6904C118" w14:textId="77777777" w:rsidTr="00E801DE">
        <w:trPr>
          <w:trHeight w:val="329"/>
        </w:trPr>
        <w:tc>
          <w:tcPr>
            <w:tcW w:w="1440" w:type="dxa"/>
            <w:tcBorders>
              <w:top w:val="nil"/>
              <w:left w:val="nil"/>
              <w:bottom w:val="nil"/>
              <w:right w:val="single" w:sz="36" w:space="0" w:color="FFFFFF" w:themeColor="background1"/>
            </w:tcBorders>
            <w:shd w:val="clear" w:color="auto" w:fill="auto"/>
            <w:noWrap/>
            <w:vAlign w:val="center"/>
            <w:hideMark/>
          </w:tcPr>
          <w:p w14:paraId="66D52BF6" w14:textId="03733A67" w:rsidR="00E22E7E" w:rsidRPr="00C61664" w:rsidRDefault="00E22E7E" w:rsidP="00E22E7E">
            <w:pPr>
              <w:spacing w:line="240" w:lineRule="auto"/>
              <w:rPr>
                <w:rFonts w:cs="Times New Roman"/>
                <w:color w:val="000000"/>
                <w:sz w:val="20"/>
                <w:szCs w:val="20"/>
              </w:rPr>
            </w:pPr>
            <w:r w:rsidRPr="00E22E7E">
              <w:rPr>
                <w:rFonts w:cs="Times New Roman"/>
                <w:color w:val="000000"/>
                <w:sz w:val="20"/>
                <w:szCs w:val="20"/>
              </w:rPr>
              <w:t>CSA</w:t>
            </w:r>
            <w:r w:rsidRPr="00401D64">
              <w:rPr>
                <w:rFonts w:cs="Times New Roman"/>
                <w:color w:val="000000"/>
                <w:sz w:val="20"/>
                <w:szCs w:val="20"/>
                <w:vertAlign w:val="superscript"/>
              </w:rPr>
              <w:t>‡</w:t>
            </w:r>
          </w:p>
        </w:tc>
        <w:tc>
          <w:tcPr>
            <w:tcW w:w="909" w:type="dxa"/>
            <w:tcBorders>
              <w:top w:val="nil"/>
              <w:left w:val="nil"/>
              <w:bottom w:val="nil"/>
              <w:right w:val="single" w:sz="18" w:space="0" w:color="FFFFFF"/>
            </w:tcBorders>
            <w:noWrap/>
            <w:vAlign w:val="center"/>
          </w:tcPr>
          <w:p w14:paraId="1B047AC6" w14:textId="1B67894D" w:rsidR="00E22E7E" w:rsidRPr="00E22E7E" w:rsidRDefault="00E801DE" w:rsidP="00E801DE">
            <w:pPr>
              <w:spacing w:line="240" w:lineRule="auto"/>
              <w:jc w:val="center"/>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0.61</w:t>
            </w:r>
          </w:p>
        </w:tc>
        <w:tc>
          <w:tcPr>
            <w:tcW w:w="711" w:type="dxa"/>
            <w:tcBorders>
              <w:top w:val="nil"/>
              <w:left w:val="nil"/>
              <w:bottom w:val="nil"/>
              <w:right w:val="single" w:sz="18" w:space="0" w:color="FFFFFF"/>
            </w:tcBorders>
            <w:noWrap/>
            <w:vAlign w:val="center"/>
          </w:tcPr>
          <w:p w14:paraId="15E6C1D1" w14:textId="6E095E56"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0.465</w:t>
            </w:r>
          </w:p>
        </w:tc>
        <w:tc>
          <w:tcPr>
            <w:tcW w:w="848" w:type="dxa"/>
            <w:tcBorders>
              <w:top w:val="nil"/>
              <w:left w:val="nil"/>
              <w:bottom w:val="nil"/>
              <w:right w:val="single" w:sz="18" w:space="0" w:color="FFFFFF"/>
            </w:tcBorders>
            <w:noWrap/>
            <w:vAlign w:val="center"/>
          </w:tcPr>
          <w:p w14:paraId="50A63821" w14:textId="788976AE" w:rsidR="00E22E7E" w:rsidRPr="00E22E7E" w:rsidRDefault="00E801DE" w:rsidP="00E801DE">
            <w:pPr>
              <w:spacing w:line="240" w:lineRule="auto"/>
              <w:jc w:val="center"/>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6.08</w:t>
            </w:r>
          </w:p>
        </w:tc>
        <w:tc>
          <w:tcPr>
            <w:tcW w:w="819" w:type="dxa"/>
            <w:tcBorders>
              <w:top w:val="nil"/>
              <w:left w:val="nil"/>
              <w:bottom w:val="nil"/>
              <w:right w:val="single" w:sz="18" w:space="0" w:color="FFFFFF"/>
            </w:tcBorders>
            <w:noWrap/>
            <w:vAlign w:val="center"/>
          </w:tcPr>
          <w:p w14:paraId="13C43597" w14:textId="2BE61126" w:rsidR="00E22E7E" w:rsidRPr="00E22E7E" w:rsidRDefault="00E801DE" w:rsidP="00E801DE">
            <w:pPr>
              <w:spacing w:line="240" w:lineRule="auto"/>
              <w:rPr>
                <w:rFonts w:cs="Times New Roman"/>
                <w:color w:val="000000"/>
                <w:sz w:val="20"/>
                <w:szCs w:val="20"/>
              </w:rPr>
            </w:pPr>
            <w:r>
              <w:rPr>
                <w:rFonts w:cs="Times New Roman"/>
                <w:b/>
                <w:bCs/>
                <w:color w:val="000000"/>
                <w:sz w:val="20"/>
                <w:szCs w:val="20"/>
              </w:rPr>
              <w:t xml:space="preserve"> </w:t>
            </w:r>
            <w:r w:rsidR="00E22E7E">
              <w:rPr>
                <w:rFonts w:cs="Times New Roman"/>
                <w:b/>
                <w:bCs/>
                <w:color w:val="000000"/>
                <w:sz w:val="20"/>
                <w:szCs w:val="20"/>
              </w:rPr>
              <w:t>0.049</w:t>
            </w:r>
          </w:p>
        </w:tc>
        <w:tc>
          <w:tcPr>
            <w:tcW w:w="909" w:type="dxa"/>
            <w:tcBorders>
              <w:top w:val="nil"/>
              <w:left w:val="nil"/>
              <w:bottom w:val="nil"/>
              <w:right w:val="single" w:sz="18" w:space="0" w:color="FFFFFF"/>
            </w:tcBorders>
            <w:vAlign w:val="center"/>
          </w:tcPr>
          <w:p w14:paraId="69488F09" w14:textId="42A24C7C" w:rsidR="00E22E7E" w:rsidRPr="00E22E7E" w:rsidRDefault="00E801DE" w:rsidP="00E801DE">
            <w:pPr>
              <w:spacing w:line="240" w:lineRule="auto"/>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3.34</w:t>
            </w:r>
          </w:p>
        </w:tc>
        <w:tc>
          <w:tcPr>
            <w:tcW w:w="819" w:type="dxa"/>
            <w:tcBorders>
              <w:top w:val="nil"/>
              <w:left w:val="nil"/>
              <w:bottom w:val="nil"/>
              <w:right w:val="single" w:sz="18" w:space="0" w:color="FFFFFF"/>
            </w:tcBorders>
            <w:vAlign w:val="center"/>
          </w:tcPr>
          <w:p w14:paraId="1FA43A6B" w14:textId="342CB4C0"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0.118</w:t>
            </w:r>
          </w:p>
        </w:tc>
        <w:tc>
          <w:tcPr>
            <w:tcW w:w="909" w:type="dxa"/>
            <w:tcBorders>
              <w:top w:val="single" w:sz="12" w:space="0" w:color="000000" w:themeColor="text1"/>
              <w:left w:val="nil"/>
              <w:bottom w:val="nil"/>
              <w:right w:val="single" w:sz="18" w:space="0" w:color="FFFFFF"/>
            </w:tcBorders>
            <w:noWrap/>
            <w:vAlign w:val="center"/>
          </w:tcPr>
          <w:p w14:paraId="7A61CECB" w14:textId="70DC1ECD"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1.27</w:t>
            </w:r>
          </w:p>
        </w:tc>
        <w:tc>
          <w:tcPr>
            <w:tcW w:w="788" w:type="dxa"/>
            <w:gridSpan w:val="2"/>
            <w:tcBorders>
              <w:top w:val="single" w:sz="12" w:space="0" w:color="000000" w:themeColor="text1"/>
              <w:left w:val="single" w:sz="18" w:space="0" w:color="FFFFFF"/>
              <w:bottom w:val="nil"/>
              <w:right w:val="nil"/>
            </w:tcBorders>
            <w:noWrap/>
            <w:vAlign w:val="center"/>
          </w:tcPr>
          <w:p w14:paraId="15473D3B" w14:textId="4796A26C"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0.302</w:t>
            </w:r>
          </w:p>
        </w:tc>
      </w:tr>
      <w:tr w:rsidR="00E22E7E" w:rsidRPr="00C61664" w14:paraId="060C1E69" w14:textId="77777777" w:rsidTr="00E0058E">
        <w:trPr>
          <w:trHeight w:val="293"/>
        </w:trPr>
        <w:tc>
          <w:tcPr>
            <w:tcW w:w="1440" w:type="dxa"/>
            <w:tcBorders>
              <w:top w:val="nil"/>
              <w:left w:val="nil"/>
              <w:bottom w:val="nil"/>
              <w:right w:val="nil"/>
            </w:tcBorders>
            <w:shd w:val="clear" w:color="auto" w:fill="D9D9D9" w:themeFill="background1" w:themeFillShade="D9"/>
            <w:noWrap/>
            <w:vAlign w:val="center"/>
          </w:tcPr>
          <w:p w14:paraId="7670AC8D" w14:textId="562F7674" w:rsidR="00E22E7E" w:rsidRPr="00C61664" w:rsidRDefault="00E22E7E" w:rsidP="00E22E7E">
            <w:pPr>
              <w:spacing w:line="240" w:lineRule="auto"/>
              <w:rPr>
                <w:rFonts w:cs="Times New Roman"/>
                <w:color w:val="000000"/>
                <w:sz w:val="20"/>
                <w:szCs w:val="20"/>
              </w:rPr>
            </w:pPr>
            <w:r>
              <w:rPr>
                <w:rFonts w:cs="Times New Roman"/>
                <w:color w:val="000000"/>
                <w:sz w:val="20"/>
                <w:szCs w:val="20"/>
              </w:rPr>
              <w:t>Year</w:t>
            </w:r>
          </w:p>
        </w:tc>
        <w:tc>
          <w:tcPr>
            <w:tcW w:w="909" w:type="dxa"/>
            <w:tcBorders>
              <w:top w:val="nil"/>
              <w:left w:val="nil"/>
              <w:bottom w:val="nil"/>
              <w:right w:val="nil"/>
            </w:tcBorders>
            <w:shd w:val="clear" w:color="auto" w:fill="D9D9D9" w:themeFill="background1" w:themeFillShade="D9"/>
            <w:noWrap/>
            <w:vAlign w:val="center"/>
          </w:tcPr>
          <w:p w14:paraId="5B98A092" w14:textId="042F088C"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 xml:space="preserve"> 15.71</w:t>
            </w:r>
          </w:p>
        </w:tc>
        <w:tc>
          <w:tcPr>
            <w:tcW w:w="711" w:type="dxa"/>
            <w:tcBorders>
              <w:top w:val="nil"/>
              <w:left w:val="nil"/>
              <w:bottom w:val="nil"/>
              <w:right w:val="nil"/>
            </w:tcBorders>
            <w:shd w:val="clear" w:color="auto" w:fill="D9D9D9" w:themeFill="background1" w:themeFillShade="D9"/>
            <w:noWrap/>
            <w:vAlign w:val="center"/>
          </w:tcPr>
          <w:p w14:paraId="0954EAEB" w14:textId="16194C4E" w:rsidR="00E22E7E" w:rsidRPr="00E22E7E" w:rsidRDefault="00E22E7E" w:rsidP="00E801DE">
            <w:pPr>
              <w:spacing w:line="240" w:lineRule="auto"/>
              <w:jc w:val="right"/>
              <w:rPr>
                <w:rFonts w:cs="Times New Roman"/>
                <w:color w:val="000000"/>
                <w:sz w:val="20"/>
                <w:szCs w:val="20"/>
              </w:rPr>
            </w:pPr>
            <w:r>
              <w:rPr>
                <w:rFonts w:cs="Times New Roman"/>
                <w:b/>
                <w:bCs/>
                <w:color w:val="000000"/>
                <w:sz w:val="20"/>
                <w:szCs w:val="20"/>
              </w:rPr>
              <w:t>0.007</w:t>
            </w:r>
          </w:p>
        </w:tc>
        <w:tc>
          <w:tcPr>
            <w:tcW w:w="848" w:type="dxa"/>
            <w:tcBorders>
              <w:top w:val="nil"/>
              <w:left w:val="nil"/>
              <w:bottom w:val="nil"/>
              <w:right w:val="nil"/>
            </w:tcBorders>
            <w:shd w:val="clear" w:color="auto" w:fill="D9D9D9" w:themeFill="background1" w:themeFillShade="D9"/>
            <w:noWrap/>
            <w:vAlign w:val="center"/>
          </w:tcPr>
          <w:p w14:paraId="19C4DFBD" w14:textId="4C9ADCBC" w:rsidR="00E22E7E" w:rsidRPr="00E22E7E" w:rsidRDefault="00E801DE" w:rsidP="00E801DE">
            <w:pPr>
              <w:spacing w:line="240" w:lineRule="auto"/>
              <w:jc w:val="center"/>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0.16</w:t>
            </w:r>
          </w:p>
        </w:tc>
        <w:tc>
          <w:tcPr>
            <w:tcW w:w="819" w:type="dxa"/>
            <w:tcBorders>
              <w:top w:val="nil"/>
              <w:left w:val="nil"/>
              <w:bottom w:val="nil"/>
              <w:right w:val="nil"/>
            </w:tcBorders>
            <w:shd w:val="clear" w:color="auto" w:fill="D9D9D9" w:themeFill="background1" w:themeFillShade="D9"/>
            <w:noWrap/>
            <w:vAlign w:val="center"/>
          </w:tcPr>
          <w:p w14:paraId="30C80923" w14:textId="5EF9D596"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0.700</w:t>
            </w:r>
          </w:p>
        </w:tc>
        <w:tc>
          <w:tcPr>
            <w:tcW w:w="909" w:type="dxa"/>
            <w:tcBorders>
              <w:top w:val="nil"/>
              <w:left w:val="nil"/>
              <w:bottom w:val="nil"/>
              <w:right w:val="nil"/>
            </w:tcBorders>
            <w:shd w:val="clear" w:color="auto" w:fill="D9D9D9" w:themeFill="background1" w:themeFillShade="D9"/>
            <w:vAlign w:val="center"/>
          </w:tcPr>
          <w:p w14:paraId="05135564" w14:textId="3183CFDB"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5.53</w:t>
            </w:r>
          </w:p>
        </w:tc>
        <w:tc>
          <w:tcPr>
            <w:tcW w:w="819" w:type="dxa"/>
            <w:tcBorders>
              <w:top w:val="nil"/>
              <w:left w:val="nil"/>
              <w:bottom w:val="nil"/>
              <w:right w:val="nil"/>
            </w:tcBorders>
            <w:shd w:val="clear" w:color="auto" w:fill="D9D9D9" w:themeFill="background1" w:themeFillShade="D9"/>
            <w:vAlign w:val="center"/>
          </w:tcPr>
          <w:p w14:paraId="51BF905B" w14:textId="321EEA57" w:rsidR="00E22E7E" w:rsidRPr="00E22E7E" w:rsidRDefault="00E801DE" w:rsidP="00E801DE">
            <w:pPr>
              <w:spacing w:line="240" w:lineRule="auto"/>
              <w:jc w:val="center"/>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0.057</w:t>
            </w:r>
          </w:p>
        </w:tc>
        <w:tc>
          <w:tcPr>
            <w:tcW w:w="909" w:type="dxa"/>
            <w:tcBorders>
              <w:top w:val="nil"/>
              <w:left w:val="nil"/>
              <w:bottom w:val="nil"/>
              <w:right w:val="nil"/>
            </w:tcBorders>
            <w:shd w:val="clear" w:color="auto" w:fill="D9D9D9" w:themeFill="background1" w:themeFillShade="D9"/>
            <w:noWrap/>
            <w:vAlign w:val="center"/>
          </w:tcPr>
          <w:p w14:paraId="3D11C149" w14:textId="14C7EC99" w:rsidR="00E22E7E" w:rsidRPr="00E22E7E" w:rsidRDefault="00E801DE" w:rsidP="00E801DE">
            <w:pPr>
              <w:spacing w:line="240" w:lineRule="auto"/>
              <w:jc w:val="center"/>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0.13</w:t>
            </w:r>
          </w:p>
        </w:tc>
        <w:tc>
          <w:tcPr>
            <w:tcW w:w="788" w:type="dxa"/>
            <w:gridSpan w:val="2"/>
            <w:tcBorders>
              <w:top w:val="nil"/>
              <w:left w:val="nil"/>
              <w:bottom w:val="nil"/>
              <w:right w:val="nil"/>
            </w:tcBorders>
            <w:shd w:val="clear" w:color="auto" w:fill="D9D9D9" w:themeFill="background1" w:themeFillShade="D9"/>
            <w:noWrap/>
            <w:vAlign w:val="center"/>
          </w:tcPr>
          <w:p w14:paraId="6D30D945" w14:textId="3400160A"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0.731</w:t>
            </w:r>
          </w:p>
        </w:tc>
      </w:tr>
      <w:tr w:rsidR="00E22E7E" w:rsidRPr="00C61664" w14:paraId="753B4FF4" w14:textId="77777777" w:rsidTr="00E801DE">
        <w:trPr>
          <w:trHeight w:val="293"/>
        </w:trPr>
        <w:tc>
          <w:tcPr>
            <w:tcW w:w="1440" w:type="dxa"/>
            <w:tcBorders>
              <w:top w:val="nil"/>
              <w:left w:val="nil"/>
              <w:bottom w:val="single" w:sz="12" w:space="0" w:color="auto"/>
              <w:right w:val="nil"/>
            </w:tcBorders>
            <w:shd w:val="clear" w:color="auto" w:fill="auto"/>
            <w:noWrap/>
            <w:vAlign w:val="center"/>
          </w:tcPr>
          <w:p w14:paraId="19F75CD1" w14:textId="708957C3" w:rsidR="00E22E7E" w:rsidRPr="00C61664" w:rsidRDefault="00E22E7E" w:rsidP="00E22E7E">
            <w:pPr>
              <w:spacing w:line="240" w:lineRule="auto"/>
              <w:rPr>
                <w:rFonts w:cs="Times New Roman"/>
                <w:color w:val="000000"/>
                <w:sz w:val="20"/>
                <w:szCs w:val="20"/>
              </w:rPr>
            </w:pPr>
            <w:r>
              <w:rPr>
                <w:rFonts w:cs="Times New Roman"/>
                <w:color w:val="000000"/>
                <w:sz w:val="20"/>
                <w:szCs w:val="20"/>
              </w:rPr>
              <w:t>CSA x Year</w:t>
            </w:r>
          </w:p>
        </w:tc>
        <w:tc>
          <w:tcPr>
            <w:tcW w:w="909" w:type="dxa"/>
            <w:tcBorders>
              <w:top w:val="nil"/>
              <w:left w:val="nil"/>
              <w:bottom w:val="single" w:sz="12" w:space="0" w:color="000000" w:themeColor="text1"/>
              <w:right w:val="nil"/>
            </w:tcBorders>
            <w:noWrap/>
            <w:vAlign w:val="center"/>
          </w:tcPr>
          <w:p w14:paraId="41B07A05" w14:textId="605A2EFD" w:rsidR="00E22E7E" w:rsidRPr="00E22E7E" w:rsidRDefault="00E801DE" w:rsidP="00E801DE">
            <w:pPr>
              <w:spacing w:line="240" w:lineRule="auto"/>
              <w:jc w:val="center"/>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3.72</w:t>
            </w:r>
          </w:p>
        </w:tc>
        <w:tc>
          <w:tcPr>
            <w:tcW w:w="711" w:type="dxa"/>
            <w:tcBorders>
              <w:top w:val="nil"/>
              <w:left w:val="nil"/>
              <w:bottom w:val="single" w:sz="12" w:space="0" w:color="000000" w:themeColor="text1"/>
              <w:right w:val="nil"/>
            </w:tcBorders>
            <w:noWrap/>
            <w:vAlign w:val="center"/>
          </w:tcPr>
          <w:p w14:paraId="2A45DF38" w14:textId="4410E7E7" w:rsidR="00E22E7E" w:rsidRPr="00E22E7E" w:rsidRDefault="00E22E7E" w:rsidP="00E801DE">
            <w:pPr>
              <w:spacing w:line="240" w:lineRule="auto"/>
              <w:jc w:val="right"/>
              <w:rPr>
                <w:rFonts w:cs="Times New Roman"/>
                <w:color w:val="000000"/>
                <w:sz w:val="20"/>
                <w:szCs w:val="20"/>
              </w:rPr>
            </w:pPr>
            <w:r>
              <w:rPr>
                <w:rFonts w:cs="Times New Roman"/>
                <w:color w:val="000000"/>
                <w:sz w:val="20"/>
                <w:szCs w:val="20"/>
              </w:rPr>
              <w:t>0.102</w:t>
            </w:r>
          </w:p>
        </w:tc>
        <w:tc>
          <w:tcPr>
            <w:tcW w:w="848" w:type="dxa"/>
            <w:tcBorders>
              <w:top w:val="nil"/>
              <w:left w:val="nil"/>
              <w:bottom w:val="single" w:sz="12" w:space="0" w:color="000000" w:themeColor="text1"/>
              <w:right w:val="nil"/>
            </w:tcBorders>
            <w:noWrap/>
            <w:vAlign w:val="center"/>
          </w:tcPr>
          <w:p w14:paraId="5591332C" w14:textId="6C12E4F2" w:rsidR="00E22E7E" w:rsidRPr="00E22E7E" w:rsidRDefault="00E801DE" w:rsidP="00E801DE">
            <w:pPr>
              <w:spacing w:line="240" w:lineRule="auto"/>
              <w:jc w:val="center"/>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2.54</w:t>
            </w:r>
          </w:p>
        </w:tc>
        <w:tc>
          <w:tcPr>
            <w:tcW w:w="819" w:type="dxa"/>
            <w:tcBorders>
              <w:top w:val="nil"/>
              <w:left w:val="nil"/>
              <w:bottom w:val="single" w:sz="12" w:space="0" w:color="000000" w:themeColor="text1"/>
              <w:right w:val="nil"/>
            </w:tcBorders>
            <w:noWrap/>
            <w:vAlign w:val="center"/>
          </w:tcPr>
          <w:p w14:paraId="3E64F1EE" w14:textId="21E07E2A"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0.162</w:t>
            </w:r>
          </w:p>
        </w:tc>
        <w:tc>
          <w:tcPr>
            <w:tcW w:w="909" w:type="dxa"/>
            <w:tcBorders>
              <w:top w:val="nil"/>
              <w:left w:val="nil"/>
              <w:bottom w:val="single" w:sz="12" w:space="0" w:color="000000" w:themeColor="text1"/>
              <w:right w:val="nil"/>
            </w:tcBorders>
            <w:vAlign w:val="center"/>
          </w:tcPr>
          <w:p w14:paraId="41A21439" w14:textId="3C54C39C"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6.30</w:t>
            </w:r>
          </w:p>
        </w:tc>
        <w:tc>
          <w:tcPr>
            <w:tcW w:w="819" w:type="dxa"/>
            <w:tcBorders>
              <w:top w:val="nil"/>
              <w:left w:val="nil"/>
              <w:bottom w:val="single" w:sz="12" w:space="0" w:color="000000" w:themeColor="text1"/>
              <w:right w:val="nil"/>
            </w:tcBorders>
            <w:vAlign w:val="center"/>
          </w:tcPr>
          <w:p w14:paraId="01EEA39B" w14:textId="6710D51C" w:rsidR="00E22E7E" w:rsidRPr="00E22E7E" w:rsidRDefault="00E801DE" w:rsidP="00E801DE">
            <w:pPr>
              <w:spacing w:line="240" w:lineRule="auto"/>
              <w:jc w:val="center"/>
              <w:rPr>
                <w:rFonts w:cs="Times New Roman"/>
                <w:color w:val="000000"/>
                <w:sz w:val="20"/>
                <w:szCs w:val="20"/>
              </w:rPr>
            </w:pPr>
            <w:r>
              <w:rPr>
                <w:rFonts w:cs="Times New Roman"/>
                <w:b/>
                <w:bCs/>
                <w:color w:val="000000"/>
                <w:sz w:val="20"/>
                <w:szCs w:val="20"/>
              </w:rPr>
              <w:t xml:space="preserve"> </w:t>
            </w:r>
            <w:r w:rsidR="00E22E7E">
              <w:rPr>
                <w:rFonts w:cs="Times New Roman"/>
                <w:b/>
                <w:bCs/>
                <w:color w:val="000000"/>
                <w:sz w:val="20"/>
                <w:szCs w:val="20"/>
              </w:rPr>
              <w:t>0.046</w:t>
            </w:r>
          </w:p>
        </w:tc>
        <w:tc>
          <w:tcPr>
            <w:tcW w:w="909" w:type="dxa"/>
            <w:tcBorders>
              <w:top w:val="nil"/>
              <w:left w:val="nil"/>
              <w:bottom w:val="single" w:sz="12" w:space="0" w:color="000000" w:themeColor="text1"/>
              <w:right w:val="nil"/>
            </w:tcBorders>
            <w:noWrap/>
            <w:vAlign w:val="center"/>
          </w:tcPr>
          <w:p w14:paraId="3B071D11" w14:textId="54CC7110" w:rsidR="00E22E7E" w:rsidRPr="00E22E7E" w:rsidRDefault="00E801DE" w:rsidP="00E801DE">
            <w:pPr>
              <w:spacing w:line="240" w:lineRule="auto"/>
              <w:jc w:val="center"/>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3.03</w:t>
            </w:r>
          </w:p>
        </w:tc>
        <w:tc>
          <w:tcPr>
            <w:tcW w:w="788" w:type="dxa"/>
            <w:gridSpan w:val="2"/>
            <w:tcBorders>
              <w:top w:val="nil"/>
              <w:left w:val="nil"/>
              <w:bottom w:val="single" w:sz="12" w:space="0" w:color="000000" w:themeColor="text1"/>
              <w:right w:val="nil"/>
            </w:tcBorders>
            <w:noWrap/>
            <w:vAlign w:val="center"/>
          </w:tcPr>
          <w:p w14:paraId="1AF2F204" w14:textId="0303403C"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0.133</w:t>
            </w:r>
          </w:p>
        </w:tc>
      </w:tr>
      <w:tr w:rsidR="00E22E7E" w:rsidRPr="00C61664" w14:paraId="5D0F60CC" w14:textId="77777777" w:rsidTr="00E801DE">
        <w:trPr>
          <w:trHeight w:val="317"/>
        </w:trPr>
        <w:tc>
          <w:tcPr>
            <w:tcW w:w="1440" w:type="dxa"/>
            <w:tcBorders>
              <w:top w:val="single" w:sz="12" w:space="0" w:color="auto"/>
              <w:left w:val="nil"/>
              <w:bottom w:val="nil"/>
              <w:right w:val="nil"/>
            </w:tcBorders>
            <w:shd w:val="clear" w:color="auto" w:fill="auto"/>
            <w:noWrap/>
            <w:vAlign w:val="bottom"/>
            <w:hideMark/>
          </w:tcPr>
          <w:p w14:paraId="7F772EEF" w14:textId="77777777" w:rsidR="00E22E7E" w:rsidRPr="00C61664" w:rsidRDefault="00E22E7E" w:rsidP="006F0582">
            <w:pPr>
              <w:spacing w:line="240" w:lineRule="auto"/>
              <w:jc w:val="right"/>
              <w:rPr>
                <w:rFonts w:cs="Times New Roman"/>
                <w:color w:val="000000"/>
                <w:sz w:val="20"/>
                <w:szCs w:val="20"/>
              </w:rPr>
            </w:pPr>
          </w:p>
        </w:tc>
        <w:tc>
          <w:tcPr>
            <w:tcW w:w="909" w:type="dxa"/>
            <w:tcBorders>
              <w:top w:val="single" w:sz="12" w:space="0" w:color="000000" w:themeColor="text1"/>
              <w:left w:val="nil"/>
              <w:bottom w:val="nil"/>
              <w:right w:val="nil"/>
            </w:tcBorders>
            <w:shd w:val="clear" w:color="auto" w:fill="auto"/>
            <w:noWrap/>
            <w:vAlign w:val="bottom"/>
          </w:tcPr>
          <w:p w14:paraId="1A508B3A" w14:textId="77777777" w:rsidR="00E22E7E" w:rsidRPr="00C61664" w:rsidRDefault="00E22E7E" w:rsidP="006F0582">
            <w:pPr>
              <w:spacing w:line="240" w:lineRule="auto"/>
              <w:rPr>
                <w:rFonts w:cs="Times New Roman"/>
                <w:sz w:val="20"/>
                <w:szCs w:val="20"/>
              </w:rPr>
            </w:pPr>
          </w:p>
        </w:tc>
        <w:tc>
          <w:tcPr>
            <w:tcW w:w="711" w:type="dxa"/>
            <w:tcBorders>
              <w:top w:val="single" w:sz="12" w:space="0" w:color="000000" w:themeColor="text1"/>
              <w:left w:val="nil"/>
              <w:bottom w:val="nil"/>
              <w:right w:val="nil"/>
            </w:tcBorders>
            <w:shd w:val="clear" w:color="auto" w:fill="auto"/>
            <w:noWrap/>
            <w:vAlign w:val="bottom"/>
          </w:tcPr>
          <w:p w14:paraId="1EF9E20D" w14:textId="77777777" w:rsidR="00E22E7E" w:rsidRPr="00C61664" w:rsidRDefault="00E22E7E" w:rsidP="006F0582">
            <w:pPr>
              <w:spacing w:line="240" w:lineRule="auto"/>
              <w:rPr>
                <w:rFonts w:cs="Times New Roman"/>
                <w:sz w:val="20"/>
                <w:szCs w:val="20"/>
              </w:rPr>
            </w:pPr>
          </w:p>
        </w:tc>
        <w:tc>
          <w:tcPr>
            <w:tcW w:w="848" w:type="dxa"/>
            <w:tcBorders>
              <w:top w:val="single" w:sz="12" w:space="0" w:color="000000" w:themeColor="text1"/>
              <w:left w:val="nil"/>
              <w:bottom w:val="nil"/>
              <w:right w:val="nil"/>
            </w:tcBorders>
            <w:shd w:val="clear" w:color="auto" w:fill="auto"/>
            <w:noWrap/>
            <w:vAlign w:val="bottom"/>
          </w:tcPr>
          <w:p w14:paraId="7361C61D" w14:textId="77777777" w:rsidR="00E22E7E" w:rsidRPr="00C61664" w:rsidRDefault="00E22E7E" w:rsidP="006F0582">
            <w:pPr>
              <w:spacing w:line="240" w:lineRule="auto"/>
              <w:rPr>
                <w:rFonts w:cs="Times New Roman"/>
                <w:sz w:val="20"/>
                <w:szCs w:val="20"/>
              </w:rPr>
            </w:pPr>
          </w:p>
        </w:tc>
        <w:tc>
          <w:tcPr>
            <w:tcW w:w="819" w:type="dxa"/>
            <w:tcBorders>
              <w:top w:val="single" w:sz="12" w:space="0" w:color="000000" w:themeColor="text1"/>
              <w:left w:val="nil"/>
              <w:bottom w:val="nil"/>
              <w:right w:val="nil"/>
            </w:tcBorders>
            <w:shd w:val="clear" w:color="auto" w:fill="auto"/>
            <w:noWrap/>
            <w:vAlign w:val="bottom"/>
          </w:tcPr>
          <w:p w14:paraId="08FA4BFC" w14:textId="77777777" w:rsidR="00E22E7E" w:rsidRPr="00C61664" w:rsidRDefault="00E22E7E" w:rsidP="006F0582">
            <w:pPr>
              <w:spacing w:line="240" w:lineRule="auto"/>
              <w:rPr>
                <w:rFonts w:cs="Times New Roman"/>
                <w:sz w:val="20"/>
                <w:szCs w:val="20"/>
              </w:rPr>
            </w:pPr>
          </w:p>
        </w:tc>
        <w:tc>
          <w:tcPr>
            <w:tcW w:w="909" w:type="dxa"/>
            <w:tcBorders>
              <w:top w:val="single" w:sz="12" w:space="0" w:color="000000" w:themeColor="text1"/>
              <w:left w:val="nil"/>
              <w:bottom w:val="nil"/>
              <w:right w:val="nil"/>
            </w:tcBorders>
            <w:shd w:val="clear" w:color="auto" w:fill="auto"/>
            <w:noWrap/>
            <w:vAlign w:val="bottom"/>
          </w:tcPr>
          <w:p w14:paraId="0541C95C" w14:textId="77777777" w:rsidR="00E22E7E" w:rsidRPr="00C61664" w:rsidRDefault="00E22E7E" w:rsidP="006F0582">
            <w:pPr>
              <w:spacing w:line="240" w:lineRule="auto"/>
              <w:rPr>
                <w:rFonts w:cs="Times New Roman"/>
                <w:sz w:val="20"/>
                <w:szCs w:val="20"/>
              </w:rPr>
            </w:pPr>
          </w:p>
        </w:tc>
        <w:tc>
          <w:tcPr>
            <w:tcW w:w="819" w:type="dxa"/>
            <w:tcBorders>
              <w:top w:val="single" w:sz="12" w:space="0" w:color="000000" w:themeColor="text1"/>
              <w:left w:val="nil"/>
              <w:bottom w:val="nil"/>
              <w:right w:val="nil"/>
            </w:tcBorders>
            <w:shd w:val="clear" w:color="auto" w:fill="auto"/>
            <w:noWrap/>
            <w:vAlign w:val="bottom"/>
          </w:tcPr>
          <w:p w14:paraId="47D6747C" w14:textId="77777777" w:rsidR="00E22E7E" w:rsidRPr="00C61664" w:rsidRDefault="00E22E7E" w:rsidP="006F0582">
            <w:pPr>
              <w:spacing w:line="240" w:lineRule="auto"/>
              <w:rPr>
                <w:rFonts w:cs="Times New Roman"/>
                <w:sz w:val="20"/>
                <w:szCs w:val="20"/>
              </w:rPr>
            </w:pPr>
          </w:p>
        </w:tc>
        <w:tc>
          <w:tcPr>
            <w:tcW w:w="909" w:type="dxa"/>
            <w:tcBorders>
              <w:top w:val="single" w:sz="12" w:space="0" w:color="000000" w:themeColor="text1"/>
              <w:left w:val="nil"/>
              <w:bottom w:val="nil"/>
              <w:right w:val="nil"/>
            </w:tcBorders>
            <w:shd w:val="clear" w:color="auto" w:fill="auto"/>
            <w:noWrap/>
            <w:vAlign w:val="bottom"/>
          </w:tcPr>
          <w:p w14:paraId="093F9D61" w14:textId="77777777" w:rsidR="00E22E7E" w:rsidRPr="00C61664" w:rsidRDefault="00E22E7E" w:rsidP="006F0582">
            <w:pPr>
              <w:spacing w:line="240" w:lineRule="auto"/>
              <w:rPr>
                <w:rFonts w:cs="Times New Roman"/>
                <w:sz w:val="20"/>
                <w:szCs w:val="20"/>
              </w:rPr>
            </w:pPr>
          </w:p>
        </w:tc>
        <w:tc>
          <w:tcPr>
            <w:tcW w:w="788" w:type="dxa"/>
            <w:gridSpan w:val="2"/>
            <w:tcBorders>
              <w:top w:val="single" w:sz="12" w:space="0" w:color="000000" w:themeColor="text1"/>
              <w:left w:val="nil"/>
              <w:bottom w:val="nil"/>
              <w:right w:val="nil"/>
            </w:tcBorders>
            <w:shd w:val="clear" w:color="auto" w:fill="auto"/>
            <w:noWrap/>
            <w:vAlign w:val="bottom"/>
          </w:tcPr>
          <w:p w14:paraId="68854E07" w14:textId="77777777" w:rsidR="00E22E7E" w:rsidRPr="00C61664" w:rsidRDefault="00E22E7E" w:rsidP="006F0582">
            <w:pPr>
              <w:spacing w:line="240" w:lineRule="auto"/>
              <w:rPr>
                <w:rFonts w:cs="Times New Roman"/>
                <w:sz w:val="20"/>
                <w:szCs w:val="20"/>
              </w:rPr>
            </w:pPr>
          </w:p>
        </w:tc>
      </w:tr>
      <w:tr w:rsidR="00E22E7E" w:rsidRPr="00C61664" w14:paraId="2E4C3C0F" w14:textId="77777777" w:rsidTr="00E801DE">
        <w:trPr>
          <w:gridAfter w:val="1"/>
          <w:wAfter w:w="62" w:type="dxa"/>
          <w:trHeight w:val="317"/>
        </w:trPr>
        <w:tc>
          <w:tcPr>
            <w:tcW w:w="1440" w:type="dxa"/>
            <w:tcBorders>
              <w:top w:val="single" w:sz="12" w:space="0" w:color="auto"/>
              <w:left w:val="nil"/>
              <w:right w:val="single" w:sz="36" w:space="0" w:color="FFFFFF" w:themeColor="background1"/>
            </w:tcBorders>
            <w:shd w:val="clear" w:color="auto" w:fill="auto"/>
            <w:noWrap/>
            <w:vAlign w:val="bottom"/>
            <w:hideMark/>
          </w:tcPr>
          <w:p w14:paraId="32014E6C" w14:textId="77777777" w:rsidR="00E22E7E" w:rsidRPr="00C61664" w:rsidRDefault="00E22E7E" w:rsidP="006F0582">
            <w:pPr>
              <w:spacing w:line="240" w:lineRule="auto"/>
              <w:rPr>
                <w:rFonts w:cs="Times New Roman"/>
                <w:color w:val="000000"/>
                <w:sz w:val="20"/>
                <w:szCs w:val="20"/>
              </w:rPr>
            </w:pPr>
            <w:r w:rsidRPr="00C61664">
              <w:rPr>
                <w:rFonts w:cs="Times New Roman"/>
                <w:color w:val="000000"/>
                <w:sz w:val="20"/>
                <w:szCs w:val="20"/>
              </w:rPr>
              <w:t> </w:t>
            </w:r>
          </w:p>
        </w:tc>
        <w:tc>
          <w:tcPr>
            <w:tcW w:w="6650" w:type="dxa"/>
            <w:gridSpan w:val="8"/>
            <w:tcBorders>
              <w:top w:val="single" w:sz="12" w:space="0" w:color="auto"/>
              <w:left w:val="single" w:sz="36" w:space="0" w:color="FFFFFF" w:themeColor="background1"/>
              <w:bottom w:val="single" w:sz="12" w:space="0" w:color="000000" w:themeColor="text1"/>
              <w:right w:val="single" w:sz="36" w:space="0" w:color="FFFFFF" w:themeColor="background1"/>
            </w:tcBorders>
            <w:shd w:val="clear" w:color="auto" w:fill="auto"/>
            <w:noWrap/>
            <w:vAlign w:val="center"/>
            <w:hideMark/>
          </w:tcPr>
          <w:p w14:paraId="772A56AE" w14:textId="77777777" w:rsidR="00E22E7E" w:rsidRPr="00C61664" w:rsidRDefault="00E22E7E" w:rsidP="006F0582">
            <w:pPr>
              <w:spacing w:line="240" w:lineRule="auto"/>
              <w:jc w:val="center"/>
              <w:rPr>
                <w:rFonts w:cs="Times New Roman"/>
                <w:color w:val="000000"/>
                <w:sz w:val="20"/>
                <w:szCs w:val="20"/>
              </w:rPr>
            </w:pPr>
            <w:r>
              <w:rPr>
                <w:rFonts w:cs="Times New Roman"/>
                <w:color w:val="000000"/>
                <w:sz w:val="20"/>
                <w:szCs w:val="20"/>
              </w:rPr>
              <w:t>Big bluestem/Indiangrass</w:t>
            </w:r>
          </w:p>
        </w:tc>
      </w:tr>
      <w:tr w:rsidR="00E22E7E" w:rsidRPr="00C61664" w14:paraId="0231B565" w14:textId="77777777" w:rsidTr="00E801DE">
        <w:trPr>
          <w:trHeight w:val="317"/>
        </w:trPr>
        <w:tc>
          <w:tcPr>
            <w:tcW w:w="1440" w:type="dxa"/>
            <w:tcBorders>
              <w:left w:val="nil"/>
              <w:bottom w:val="nil"/>
            </w:tcBorders>
            <w:shd w:val="clear" w:color="auto" w:fill="auto"/>
            <w:noWrap/>
            <w:vAlign w:val="bottom"/>
          </w:tcPr>
          <w:p w14:paraId="3DA8E630" w14:textId="77777777" w:rsidR="00E22E7E" w:rsidRPr="00C61664" w:rsidRDefault="00E22E7E" w:rsidP="006F0582">
            <w:pPr>
              <w:spacing w:line="240" w:lineRule="auto"/>
              <w:rPr>
                <w:rFonts w:cs="Times New Roman"/>
                <w:color w:val="000000"/>
                <w:sz w:val="20"/>
                <w:szCs w:val="20"/>
              </w:rPr>
            </w:pPr>
          </w:p>
        </w:tc>
        <w:tc>
          <w:tcPr>
            <w:tcW w:w="1620" w:type="dxa"/>
            <w:gridSpan w:val="2"/>
            <w:tcBorders>
              <w:top w:val="single" w:sz="12" w:space="0" w:color="000000" w:themeColor="text1"/>
              <w:left w:val="nil"/>
              <w:bottom w:val="single" w:sz="12" w:space="0" w:color="000000" w:themeColor="text1"/>
              <w:right w:val="single" w:sz="36" w:space="0" w:color="FFFFFF" w:themeColor="background1"/>
            </w:tcBorders>
            <w:shd w:val="clear" w:color="auto" w:fill="auto"/>
            <w:noWrap/>
            <w:vAlign w:val="center"/>
          </w:tcPr>
          <w:p w14:paraId="13939801" w14:textId="77777777" w:rsidR="00E22E7E" w:rsidRPr="00C61664" w:rsidRDefault="00E22E7E" w:rsidP="006F0582">
            <w:pPr>
              <w:spacing w:line="240" w:lineRule="auto"/>
              <w:jc w:val="center"/>
              <w:rPr>
                <w:rFonts w:cs="Times New Roman"/>
                <w:color w:val="000000"/>
                <w:sz w:val="20"/>
                <w:szCs w:val="20"/>
              </w:rPr>
            </w:pPr>
            <w:r>
              <w:rPr>
                <w:rFonts w:cs="Times New Roman"/>
                <w:color w:val="000000"/>
                <w:sz w:val="20"/>
                <w:szCs w:val="20"/>
              </w:rPr>
              <w:t>CP</w:t>
            </w:r>
          </w:p>
        </w:tc>
        <w:tc>
          <w:tcPr>
            <w:tcW w:w="1667" w:type="dxa"/>
            <w:gridSpan w:val="2"/>
            <w:tcBorders>
              <w:top w:val="single" w:sz="12" w:space="0" w:color="000000" w:themeColor="text1"/>
              <w:left w:val="single" w:sz="36" w:space="0" w:color="FFFFFF" w:themeColor="background1"/>
              <w:bottom w:val="single" w:sz="12" w:space="0" w:color="auto"/>
              <w:right w:val="single" w:sz="36" w:space="0" w:color="FFFFFF" w:themeColor="background1"/>
            </w:tcBorders>
            <w:shd w:val="clear" w:color="auto" w:fill="auto"/>
            <w:vAlign w:val="center"/>
          </w:tcPr>
          <w:p w14:paraId="203B2CAA" w14:textId="77777777" w:rsidR="00E22E7E" w:rsidRPr="00C61664" w:rsidRDefault="00E22E7E" w:rsidP="006F0582">
            <w:pPr>
              <w:spacing w:line="240" w:lineRule="auto"/>
              <w:jc w:val="center"/>
              <w:rPr>
                <w:rFonts w:cs="Times New Roman"/>
                <w:color w:val="000000"/>
                <w:sz w:val="20"/>
                <w:szCs w:val="20"/>
              </w:rPr>
            </w:pPr>
            <w:r>
              <w:rPr>
                <w:rFonts w:cs="Times New Roman"/>
                <w:color w:val="000000"/>
                <w:sz w:val="20"/>
                <w:szCs w:val="20"/>
              </w:rPr>
              <w:t>ADF</w:t>
            </w:r>
          </w:p>
        </w:tc>
        <w:tc>
          <w:tcPr>
            <w:tcW w:w="1724" w:type="dxa"/>
            <w:gridSpan w:val="2"/>
            <w:tcBorders>
              <w:top w:val="single" w:sz="12" w:space="0" w:color="000000" w:themeColor="text1"/>
              <w:left w:val="single" w:sz="36" w:space="0" w:color="FFFFFF" w:themeColor="background1"/>
              <w:bottom w:val="single" w:sz="12" w:space="0" w:color="000000" w:themeColor="text1"/>
              <w:right w:val="single" w:sz="36" w:space="0" w:color="FFFFFF" w:themeColor="background1"/>
            </w:tcBorders>
            <w:shd w:val="clear" w:color="auto" w:fill="auto"/>
            <w:vAlign w:val="center"/>
          </w:tcPr>
          <w:p w14:paraId="192D487B" w14:textId="77777777" w:rsidR="00E22E7E" w:rsidRPr="00C61664" w:rsidRDefault="00E22E7E" w:rsidP="006F0582">
            <w:pPr>
              <w:spacing w:line="240" w:lineRule="auto"/>
              <w:jc w:val="center"/>
              <w:rPr>
                <w:rFonts w:cs="Times New Roman"/>
                <w:color w:val="000000"/>
                <w:sz w:val="20"/>
                <w:szCs w:val="20"/>
              </w:rPr>
            </w:pPr>
            <w:r>
              <w:rPr>
                <w:rFonts w:cs="Times New Roman"/>
                <w:color w:val="000000"/>
                <w:sz w:val="20"/>
                <w:szCs w:val="20"/>
              </w:rPr>
              <w:t>aNDF</w:t>
            </w:r>
          </w:p>
        </w:tc>
        <w:tc>
          <w:tcPr>
            <w:tcW w:w="1697" w:type="dxa"/>
            <w:gridSpan w:val="3"/>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tcPr>
          <w:p w14:paraId="79425E89" w14:textId="77777777" w:rsidR="00E22E7E" w:rsidRPr="00C61664" w:rsidRDefault="00E22E7E" w:rsidP="006F0582">
            <w:pPr>
              <w:spacing w:line="240" w:lineRule="auto"/>
              <w:jc w:val="center"/>
              <w:rPr>
                <w:rFonts w:cs="Times New Roman"/>
                <w:color w:val="000000"/>
                <w:sz w:val="20"/>
                <w:szCs w:val="20"/>
              </w:rPr>
            </w:pPr>
            <w:r>
              <w:rPr>
                <w:rFonts w:cs="Times New Roman"/>
                <w:color w:val="000000"/>
                <w:sz w:val="20"/>
                <w:szCs w:val="20"/>
              </w:rPr>
              <w:t>IVTDMD48H</w:t>
            </w:r>
          </w:p>
        </w:tc>
      </w:tr>
      <w:tr w:rsidR="00E22E7E" w:rsidRPr="00C61664" w14:paraId="2A5E64EB" w14:textId="77777777" w:rsidTr="00E801DE">
        <w:trPr>
          <w:trHeight w:val="317"/>
        </w:trPr>
        <w:tc>
          <w:tcPr>
            <w:tcW w:w="1440" w:type="dxa"/>
            <w:tcBorders>
              <w:top w:val="nil"/>
              <w:left w:val="nil"/>
              <w:bottom w:val="single" w:sz="12" w:space="0" w:color="auto"/>
              <w:right w:val="single" w:sz="36" w:space="0" w:color="FFFFFF" w:themeColor="background1"/>
            </w:tcBorders>
            <w:shd w:val="clear" w:color="auto" w:fill="auto"/>
            <w:noWrap/>
            <w:vAlign w:val="center"/>
            <w:hideMark/>
          </w:tcPr>
          <w:p w14:paraId="48088E7A" w14:textId="77777777" w:rsidR="00E22E7E" w:rsidRPr="00C61664" w:rsidRDefault="00E22E7E" w:rsidP="006F0582">
            <w:pPr>
              <w:spacing w:line="240" w:lineRule="auto"/>
              <w:rPr>
                <w:rFonts w:cs="Times New Roman"/>
                <w:color w:val="000000"/>
                <w:sz w:val="20"/>
                <w:szCs w:val="20"/>
              </w:rPr>
            </w:pPr>
            <w:r w:rsidRPr="00C61664">
              <w:rPr>
                <w:rFonts w:cs="Times New Roman"/>
                <w:color w:val="000000"/>
                <w:sz w:val="20"/>
                <w:szCs w:val="20"/>
              </w:rPr>
              <w:t>Effect</w:t>
            </w:r>
          </w:p>
        </w:tc>
        <w:tc>
          <w:tcPr>
            <w:tcW w:w="909" w:type="dxa"/>
            <w:tcBorders>
              <w:top w:val="single" w:sz="12" w:space="0" w:color="000000" w:themeColor="text1"/>
              <w:left w:val="single" w:sz="36" w:space="0" w:color="FFFFFF" w:themeColor="background1"/>
              <w:bottom w:val="single" w:sz="12" w:space="0" w:color="000000" w:themeColor="text1"/>
              <w:right w:val="single" w:sz="36" w:space="0" w:color="FFFFFF" w:themeColor="background1"/>
            </w:tcBorders>
            <w:shd w:val="clear" w:color="auto" w:fill="auto"/>
            <w:noWrap/>
            <w:vAlign w:val="center"/>
            <w:hideMark/>
          </w:tcPr>
          <w:p w14:paraId="0B4EAD4D" w14:textId="77777777" w:rsidR="00E22E7E" w:rsidRPr="00C61664" w:rsidRDefault="00E22E7E" w:rsidP="006F0582">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711" w:type="dxa"/>
            <w:tcBorders>
              <w:top w:val="single" w:sz="12" w:space="0" w:color="000000" w:themeColor="text1"/>
              <w:left w:val="single" w:sz="36" w:space="0" w:color="FFFFFF" w:themeColor="background1"/>
              <w:bottom w:val="single" w:sz="12" w:space="0" w:color="000000" w:themeColor="text1"/>
              <w:right w:val="single" w:sz="36" w:space="0" w:color="FFFFFF" w:themeColor="background1"/>
            </w:tcBorders>
            <w:shd w:val="clear" w:color="auto" w:fill="auto"/>
            <w:noWrap/>
            <w:vAlign w:val="center"/>
            <w:hideMark/>
          </w:tcPr>
          <w:p w14:paraId="645B1852" w14:textId="77777777" w:rsidR="00E22E7E" w:rsidRPr="00C61664" w:rsidRDefault="00E22E7E" w:rsidP="006F0582">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c>
          <w:tcPr>
            <w:tcW w:w="848" w:type="dxa"/>
            <w:tcBorders>
              <w:top w:val="single" w:sz="12" w:space="0" w:color="000000" w:themeColor="text1"/>
              <w:left w:val="single" w:sz="36" w:space="0" w:color="FFFFFF" w:themeColor="background1"/>
              <w:bottom w:val="single" w:sz="12" w:space="0" w:color="000000" w:themeColor="text1"/>
              <w:right w:val="single" w:sz="36" w:space="0" w:color="FFFFFF" w:themeColor="background1"/>
            </w:tcBorders>
            <w:shd w:val="clear" w:color="auto" w:fill="auto"/>
            <w:vAlign w:val="center"/>
            <w:hideMark/>
          </w:tcPr>
          <w:p w14:paraId="15C0E838" w14:textId="77777777" w:rsidR="00E22E7E" w:rsidRPr="00C61664" w:rsidRDefault="00E22E7E" w:rsidP="006F0582">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819" w:type="dxa"/>
            <w:tcBorders>
              <w:top w:val="nil"/>
              <w:left w:val="single" w:sz="36" w:space="0" w:color="FFFFFF" w:themeColor="background1"/>
              <w:bottom w:val="single" w:sz="12" w:space="0" w:color="000000" w:themeColor="text1"/>
              <w:right w:val="single" w:sz="36" w:space="0" w:color="FFFFFF" w:themeColor="background1"/>
            </w:tcBorders>
            <w:shd w:val="clear" w:color="auto" w:fill="auto"/>
            <w:vAlign w:val="center"/>
            <w:hideMark/>
          </w:tcPr>
          <w:p w14:paraId="24996B6F" w14:textId="77777777" w:rsidR="00E22E7E" w:rsidRPr="00C61664" w:rsidRDefault="00E22E7E" w:rsidP="006F0582">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c>
          <w:tcPr>
            <w:tcW w:w="909" w:type="dxa"/>
            <w:tcBorders>
              <w:top w:val="single" w:sz="12" w:space="0" w:color="000000" w:themeColor="text1"/>
              <w:left w:val="single" w:sz="36" w:space="0" w:color="FFFFFF" w:themeColor="background1"/>
              <w:bottom w:val="single" w:sz="12" w:space="0" w:color="000000" w:themeColor="text1"/>
              <w:right w:val="single" w:sz="36" w:space="0" w:color="FFFFFF" w:themeColor="background1"/>
            </w:tcBorders>
            <w:shd w:val="clear" w:color="auto" w:fill="auto"/>
            <w:vAlign w:val="center"/>
            <w:hideMark/>
          </w:tcPr>
          <w:p w14:paraId="2CBB58EB" w14:textId="77777777" w:rsidR="00E22E7E" w:rsidRPr="00C61664" w:rsidRDefault="00E22E7E" w:rsidP="006F0582">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819" w:type="dxa"/>
            <w:tcBorders>
              <w:top w:val="single" w:sz="12" w:space="0" w:color="000000" w:themeColor="text1"/>
              <w:left w:val="single" w:sz="36" w:space="0" w:color="FFFFFF" w:themeColor="background1"/>
              <w:bottom w:val="single" w:sz="12" w:space="0" w:color="000000" w:themeColor="text1"/>
              <w:right w:val="single" w:sz="36" w:space="0" w:color="FFFFFF" w:themeColor="background1"/>
            </w:tcBorders>
            <w:shd w:val="clear" w:color="auto" w:fill="auto"/>
            <w:vAlign w:val="center"/>
            <w:hideMark/>
          </w:tcPr>
          <w:p w14:paraId="2A4EEFD0" w14:textId="77777777" w:rsidR="00E22E7E" w:rsidRPr="00C61664" w:rsidRDefault="00E22E7E" w:rsidP="006F0582">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c>
          <w:tcPr>
            <w:tcW w:w="909" w:type="dxa"/>
            <w:tcBorders>
              <w:top w:val="single" w:sz="12" w:space="0" w:color="000000" w:themeColor="text1"/>
              <w:left w:val="single" w:sz="36" w:space="0" w:color="FFFFFF" w:themeColor="background1"/>
              <w:bottom w:val="single" w:sz="12" w:space="0" w:color="000000" w:themeColor="text1"/>
              <w:right w:val="single" w:sz="36" w:space="0" w:color="FFFFFF" w:themeColor="background1"/>
            </w:tcBorders>
            <w:shd w:val="clear" w:color="auto" w:fill="auto"/>
            <w:vAlign w:val="center"/>
            <w:hideMark/>
          </w:tcPr>
          <w:p w14:paraId="3152BA22" w14:textId="77777777" w:rsidR="00E22E7E" w:rsidRPr="00C61664" w:rsidRDefault="00E22E7E" w:rsidP="006F0582">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788" w:type="dxa"/>
            <w:gridSpan w:val="2"/>
            <w:tcBorders>
              <w:top w:val="nil"/>
              <w:left w:val="single" w:sz="36" w:space="0" w:color="FFFFFF" w:themeColor="background1"/>
              <w:bottom w:val="single" w:sz="12" w:space="0" w:color="000000" w:themeColor="text1"/>
              <w:right w:val="single" w:sz="36" w:space="0" w:color="FFFFFF" w:themeColor="background1"/>
            </w:tcBorders>
            <w:shd w:val="clear" w:color="auto" w:fill="auto"/>
            <w:vAlign w:val="center"/>
            <w:hideMark/>
          </w:tcPr>
          <w:p w14:paraId="4DBB6D56" w14:textId="77777777" w:rsidR="00E22E7E" w:rsidRPr="00C61664" w:rsidRDefault="00E22E7E" w:rsidP="006F0582">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r>
      <w:tr w:rsidR="00E22E7E" w:rsidRPr="00C61664" w14:paraId="541BCF29" w14:textId="77777777" w:rsidTr="00E801DE">
        <w:trPr>
          <w:trHeight w:val="329"/>
        </w:trPr>
        <w:tc>
          <w:tcPr>
            <w:tcW w:w="1440" w:type="dxa"/>
            <w:tcBorders>
              <w:top w:val="nil"/>
              <w:left w:val="nil"/>
              <w:bottom w:val="nil"/>
              <w:right w:val="single" w:sz="36" w:space="0" w:color="FFFFFF" w:themeColor="background1"/>
            </w:tcBorders>
            <w:shd w:val="clear" w:color="auto" w:fill="auto"/>
            <w:noWrap/>
            <w:vAlign w:val="center"/>
            <w:hideMark/>
          </w:tcPr>
          <w:p w14:paraId="02525BB3" w14:textId="30970471" w:rsidR="00E22E7E" w:rsidRPr="00C61664" w:rsidRDefault="00E22E7E" w:rsidP="00E22E7E">
            <w:pPr>
              <w:spacing w:line="240" w:lineRule="auto"/>
              <w:rPr>
                <w:rFonts w:cs="Times New Roman"/>
                <w:color w:val="000000"/>
                <w:sz w:val="20"/>
                <w:szCs w:val="20"/>
              </w:rPr>
            </w:pPr>
            <w:r w:rsidRPr="00E22E7E">
              <w:rPr>
                <w:rFonts w:cs="Times New Roman"/>
                <w:color w:val="000000"/>
                <w:sz w:val="20"/>
                <w:szCs w:val="20"/>
              </w:rPr>
              <w:t>CSA</w:t>
            </w:r>
            <w:r w:rsidRPr="00401D64">
              <w:rPr>
                <w:rFonts w:cs="Times New Roman"/>
                <w:color w:val="000000"/>
                <w:sz w:val="20"/>
                <w:szCs w:val="20"/>
                <w:vertAlign w:val="superscript"/>
              </w:rPr>
              <w:t>‡</w:t>
            </w:r>
          </w:p>
        </w:tc>
        <w:tc>
          <w:tcPr>
            <w:tcW w:w="909" w:type="dxa"/>
            <w:tcBorders>
              <w:top w:val="single" w:sz="12" w:space="0" w:color="000000" w:themeColor="text1"/>
              <w:left w:val="nil"/>
              <w:bottom w:val="nil"/>
              <w:right w:val="single" w:sz="18" w:space="0" w:color="FFFFFF"/>
            </w:tcBorders>
            <w:noWrap/>
            <w:vAlign w:val="center"/>
          </w:tcPr>
          <w:p w14:paraId="2C948AB7" w14:textId="1651CD16"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6.71</w:t>
            </w:r>
          </w:p>
        </w:tc>
        <w:tc>
          <w:tcPr>
            <w:tcW w:w="711" w:type="dxa"/>
            <w:tcBorders>
              <w:top w:val="single" w:sz="12" w:space="0" w:color="000000" w:themeColor="text1"/>
              <w:left w:val="nil"/>
              <w:bottom w:val="nil"/>
              <w:right w:val="single" w:sz="18" w:space="0" w:color="FFFFFF"/>
            </w:tcBorders>
            <w:noWrap/>
            <w:vAlign w:val="center"/>
          </w:tcPr>
          <w:p w14:paraId="599A5A29" w14:textId="5B3586C7"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0.061</w:t>
            </w:r>
          </w:p>
        </w:tc>
        <w:tc>
          <w:tcPr>
            <w:tcW w:w="848" w:type="dxa"/>
            <w:tcBorders>
              <w:top w:val="single" w:sz="12" w:space="0" w:color="000000" w:themeColor="text1"/>
              <w:left w:val="nil"/>
              <w:bottom w:val="nil"/>
              <w:right w:val="single" w:sz="18" w:space="0" w:color="FFFFFF"/>
            </w:tcBorders>
            <w:vAlign w:val="center"/>
          </w:tcPr>
          <w:p w14:paraId="1181B2E9" w14:textId="079F2176" w:rsidR="00E22E7E" w:rsidRPr="00E22E7E" w:rsidRDefault="00E801DE" w:rsidP="00E801DE">
            <w:pPr>
              <w:spacing w:line="240" w:lineRule="auto"/>
              <w:jc w:val="center"/>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2.03</w:t>
            </w:r>
          </w:p>
        </w:tc>
        <w:tc>
          <w:tcPr>
            <w:tcW w:w="819" w:type="dxa"/>
            <w:tcBorders>
              <w:top w:val="single" w:sz="12" w:space="0" w:color="000000" w:themeColor="text1"/>
              <w:left w:val="nil"/>
              <w:bottom w:val="nil"/>
              <w:right w:val="single" w:sz="18" w:space="0" w:color="FFFFFF"/>
            </w:tcBorders>
            <w:vAlign w:val="center"/>
          </w:tcPr>
          <w:p w14:paraId="37B94A38" w14:textId="6CD1BC35"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0.227</w:t>
            </w:r>
          </w:p>
        </w:tc>
        <w:tc>
          <w:tcPr>
            <w:tcW w:w="909" w:type="dxa"/>
            <w:tcBorders>
              <w:top w:val="single" w:sz="12" w:space="0" w:color="000000" w:themeColor="text1"/>
              <w:left w:val="nil"/>
              <w:bottom w:val="nil"/>
              <w:right w:val="single" w:sz="18" w:space="0" w:color="FFFFFF"/>
            </w:tcBorders>
            <w:vAlign w:val="center"/>
          </w:tcPr>
          <w:p w14:paraId="5A611B50" w14:textId="0E0D0D72" w:rsidR="00E22E7E" w:rsidRPr="00E22E7E" w:rsidRDefault="00E801DE" w:rsidP="00E801DE">
            <w:pPr>
              <w:spacing w:line="240" w:lineRule="auto"/>
              <w:jc w:val="center"/>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0.07</w:t>
            </w:r>
          </w:p>
        </w:tc>
        <w:tc>
          <w:tcPr>
            <w:tcW w:w="819" w:type="dxa"/>
            <w:tcBorders>
              <w:top w:val="single" w:sz="12" w:space="0" w:color="000000" w:themeColor="text1"/>
              <w:left w:val="nil"/>
              <w:bottom w:val="nil"/>
              <w:right w:val="single" w:sz="18" w:space="0" w:color="FFFFFF"/>
            </w:tcBorders>
            <w:vAlign w:val="center"/>
          </w:tcPr>
          <w:p w14:paraId="5A61A527" w14:textId="2CF0AB4F" w:rsidR="00E22E7E" w:rsidRPr="00E22E7E" w:rsidRDefault="00E801DE" w:rsidP="00E801DE">
            <w:pPr>
              <w:spacing w:line="240" w:lineRule="auto"/>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0.807</w:t>
            </w:r>
          </w:p>
        </w:tc>
        <w:tc>
          <w:tcPr>
            <w:tcW w:w="909" w:type="dxa"/>
            <w:tcBorders>
              <w:top w:val="single" w:sz="12" w:space="0" w:color="000000" w:themeColor="text1"/>
              <w:left w:val="nil"/>
              <w:bottom w:val="nil"/>
              <w:right w:val="single" w:sz="18" w:space="0" w:color="FFFFFF"/>
            </w:tcBorders>
            <w:vAlign w:val="center"/>
          </w:tcPr>
          <w:p w14:paraId="6F09A1E1" w14:textId="659BFDEB" w:rsidR="00E22E7E" w:rsidRPr="00E22E7E" w:rsidRDefault="00E801DE" w:rsidP="00E801DE">
            <w:pPr>
              <w:spacing w:line="240" w:lineRule="auto"/>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0.04</w:t>
            </w:r>
          </w:p>
        </w:tc>
        <w:tc>
          <w:tcPr>
            <w:tcW w:w="788" w:type="dxa"/>
            <w:gridSpan w:val="2"/>
            <w:tcBorders>
              <w:top w:val="single" w:sz="12" w:space="0" w:color="000000" w:themeColor="text1"/>
              <w:left w:val="single" w:sz="18" w:space="0" w:color="FFFFFF"/>
              <w:bottom w:val="nil"/>
              <w:right w:val="nil"/>
            </w:tcBorders>
            <w:vAlign w:val="center"/>
          </w:tcPr>
          <w:p w14:paraId="5F943756" w14:textId="7F07135A"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0.850</w:t>
            </w:r>
          </w:p>
        </w:tc>
      </w:tr>
      <w:tr w:rsidR="00E22E7E" w:rsidRPr="00C61664" w14:paraId="323E7F15" w14:textId="77777777" w:rsidTr="00E0058E">
        <w:trPr>
          <w:trHeight w:val="293"/>
        </w:trPr>
        <w:tc>
          <w:tcPr>
            <w:tcW w:w="1440" w:type="dxa"/>
            <w:tcBorders>
              <w:top w:val="nil"/>
              <w:left w:val="nil"/>
              <w:bottom w:val="nil"/>
              <w:right w:val="nil"/>
            </w:tcBorders>
            <w:shd w:val="clear" w:color="auto" w:fill="D9D9D9" w:themeFill="background1" w:themeFillShade="D9"/>
            <w:noWrap/>
            <w:vAlign w:val="center"/>
            <w:hideMark/>
          </w:tcPr>
          <w:p w14:paraId="49E72778" w14:textId="7F7C1C6A" w:rsidR="00E22E7E" w:rsidRPr="00C61664" w:rsidRDefault="00E22E7E" w:rsidP="00E22E7E">
            <w:pPr>
              <w:spacing w:line="240" w:lineRule="auto"/>
              <w:rPr>
                <w:rFonts w:cs="Times New Roman"/>
                <w:color w:val="000000"/>
                <w:sz w:val="20"/>
                <w:szCs w:val="20"/>
              </w:rPr>
            </w:pPr>
            <w:r>
              <w:rPr>
                <w:rFonts w:cs="Times New Roman"/>
                <w:color w:val="000000"/>
                <w:sz w:val="20"/>
                <w:szCs w:val="20"/>
              </w:rPr>
              <w:t>Year</w:t>
            </w:r>
          </w:p>
        </w:tc>
        <w:tc>
          <w:tcPr>
            <w:tcW w:w="909" w:type="dxa"/>
            <w:tcBorders>
              <w:top w:val="nil"/>
              <w:left w:val="nil"/>
              <w:bottom w:val="nil"/>
              <w:right w:val="nil"/>
            </w:tcBorders>
            <w:shd w:val="clear" w:color="auto" w:fill="D9D9D9" w:themeFill="background1" w:themeFillShade="D9"/>
            <w:noWrap/>
            <w:vAlign w:val="center"/>
          </w:tcPr>
          <w:p w14:paraId="43E1FCB0" w14:textId="4D7E6BD7"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15.87</w:t>
            </w:r>
          </w:p>
        </w:tc>
        <w:tc>
          <w:tcPr>
            <w:tcW w:w="711" w:type="dxa"/>
            <w:tcBorders>
              <w:top w:val="nil"/>
              <w:left w:val="nil"/>
              <w:bottom w:val="nil"/>
              <w:right w:val="nil"/>
            </w:tcBorders>
            <w:shd w:val="clear" w:color="auto" w:fill="D9D9D9" w:themeFill="background1" w:themeFillShade="D9"/>
            <w:noWrap/>
            <w:vAlign w:val="center"/>
          </w:tcPr>
          <w:p w14:paraId="4FA7BA76" w14:textId="05FBF299" w:rsidR="00E22E7E" w:rsidRPr="00E22E7E" w:rsidRDefault="00E22E7E" w:rsidP="00E801DE">
            <w:pPr>
              <w:spacing w:line="240" w:lineRule="auto"/>
              <w:jc w:val="right"/>
              <w:rPr>
                <w:rFonts w:cs="Times New Roman"/>
                <w:color w:val="000000"/>
                <w:sz w:val="20"/>
                <w:szCs w:val="20"/>
              </w:rPr>
            </w:pPr>
            <w:r>
              <w:rPr>
                <w:rFonts w:cs="Times New Roman"/>
                <w:b/>
                <w:bCs/>
                <w:color w:val="000000"/>
                <w:sz w:val="20"/>
                <w:szCs w:val="20"/>
              </w:rPr>
              <w:t>0.016</w:t>
            </w:r>
          </w:p>
        </w:tc>
        <w:tc>
          <w:tcPr>
            <w:tcW w:w="848" w:type="dxa"/>
            <w:tcBorders>
              <w:top w:val="nil"/>
              <w:left w:val="nil"/>
              <w:bottom w:val="nil"/>
              <w:right w:val="nil"/>
            </w:tcBorders>
            <w:shd w:val="clear" w:color="auto" w:fill="D9D9D9" w:themeFill="background1" w:themeFillShade="D9"/>
            <w:vAlign w:val="center"/>
          </w:tcPr>
          <w:p w14:paraId="70A9287E" w14:textId="7ED36B07" w:rsidR="00E22E7E" w:rsidRPr="00E22E7E" w:rsidRDefault="00E801DE" w:rsidP="00E801DE">
            <w:pPr>
              <w:spacing w:line="240" w:lineRule="auto"/>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14.31</w:t>
            </w:r>
          </w:p>
        </w:tc>
        <w:tc>
          <w:tcPr>
            <w:tcW w:w="819" w:type="dxa"/>
            <w:tcBorders>
              <w:top w:val="nil"/>
              <w:left w:val="nil"/>
              <w:bottom w:val="nil"/>
              <w:right w:val="nil"/>
            </w:tcBorders>
            <w:shd w:val="clear" w:color="auto" w:fill="D9D9D9" w:themeFill="background1" w:themeFillShade="D9"/>
            <w:vAlign w:val="center"/>
          </w:tcPr>
          <w:p w14:paraId="24834BA2" w14:textId="2AD977B2" w:rsidR="00E22E7E" w:rsidRPr="00E22E7E" w:rsidRDefault="00E801DE" w:rsidP="00E801DE">
            <w:pPr>
              <w:spacing w:line="240" w:lineRule="auto"/>
              <w:jc w:val="center"/>
              <w:rPr>
                <w:rFonts w:cs="Times New Roman"/>
                <w:color w:val="000000"/>
                <w:sz w:val="20"/>
                <w:szCs w:val="20"/>
              </w:rPr>
            </w:pPr>
            <w:r>
              <w:rPr>
                <w:rFonts w:cs="Times New Roman"/>
                <w:b/>
                <w:bCs/>
                <w:color w:val="000000"/>
                <w:sz w:val="20"/>
                <w:szCs w:val="20"/>
              </w:rPr>
              <w:t xml:space="preserve"> </w:t>
            </w:r>
            <w:r w:rsidR="00E22E7E">
              <w:rPr>
                <w:rFonts w:cs="Times New Roman"/>
                <w:b/>
                <w:bCs/>
                <w:color w:val="000000"/>
                <w:sz w:val="20"/>
                <w:szCs w:val="20"/>
              </w:rPr>
              <w:t>0.019</w:t>
            </w:r>
          </w:p>
        </w:tc>
        <w:tc>
          <w:tcPr>
            <w:tcW w:w="909" w:type="dxa"/>
            <w:tcBorders>
              <w:top w:val="nil"/>
              <w:left w:val="nil"/>
              <w:bottom w:val="nil"/>
              <w:right w:val="nil"/>
            </w:tcBorders>
            <w:shd w:val="clear" w:color="auto" w:fill="D9D9D9" w:themeFill="background1" w:themeFillShade="D9"/>
            <w:vAlign w:val="center"/>
          </w:tcPr>
          <w:p w14:paraId="5BF94205" w14:textId="25C9838B" w:rsidR="00E22E7E" w:rsidRPr="00E22E7E" w:rsidRDefault="00E801DE" w:rsidP="00E801DE">
            <w:pPr>
              <w:spacing w:line="240" w:lineRule="auto"/>
              <w:jc w:val="center"/>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0.49</w:t>
            </w:r>
          </w:p>
        </w:tc>
        <w:tc>
          <w:tcPr>
            <w:tcW w:w="819" w:type="dxa"/>
            <w:tcBorders>
              <w:top w:val="nil"/>
              <w:left w:val="nil"/>
              <w:bottom w:val="nil"/>
              <w:right w:val="nil"/>
            </w:tcBorders>
            <w:shd w:val="clear" w:color="auto" w:fill="D9D9D9" w:themeFill="background1" w:themeFillShade="D9"/>
            <w:vAlign w:val="center"/>
          </w:tcPr>
          <w:p w14:paraId="04668E31" w14:textId="27E8B730"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0.521</w:t>
            </w:r>
          </w:p>
        </w:tc>
        <w:tc>
          <w:tcPr>
            <w:tcW w:w="909" w:type="dxa"/>
            <w:tcBorders>
              <w:top w:val="nil"/>
              <w:left w:val="nil"/>
              <w:bottom w:val="nil"/>
              <w:right w:val="nil"/>
            </w:tcBorders>
            <w:shd w:val="clear" w:color="auto" w:fill="D9D9D9" w:themeFill="background1" w:themeFillShade="D9"/>
            <w:vAlign w:val="center"/>
          </w:tcPr>
          <w:p w14:paraId="6D698F24" w14:textId="2C69048D" w:rsidR="00E22E7E" w:rsidRPr="00E22E7E" w:rsidRDefault="00E801DE" w:rsidP="00E801DE">
            <w:pPr>
              <w:spacing w:line="240" w:lineRule="auto"/>
              <w:jc w:val="center"/>
              <w:rPr>
                <w:rFonts w:cs="Times New Roman"/>
                <w:color w:val="000000"/>
                <w:sz w:val="20"/>
                <w:szCs w:val="20"/>
              </w:rPr>
            </w:pPr>
            <w:r>
              <w:rPr>
                <w:rFonts w:cs="Times New Roman"/>
                <w:color w:val="000000"/>
                <w:sz w:val="20"/>
                <w:szCs w:val="20"/>
              </w:rPr>
              <w:t xml:space="preserve"> 5</w:t>
            </w:r>
            <w:r w:rsidR="00E22E7E">
              <w:rPr>
                <w:rFonts w:cs="Times New Roman"/>
                <w:color w:val="000000"/>
                <w:sz w:val="20"/>
                <w:szCs w:val="20"/>
              </w:rPr>
              <w:t>.46</w:t>
            </w:r>
          </w:p>
        </w:tc>
        <w:tc>
          <w:tcPr>
            <w:tcW w:w="788" w:type="dxa"/>
            <w:gridSpan w:val="2"/>
            <w:tcBorders>
              <w:top w:val="nil"/>
              <w:left w:val="nil"/>
              <w:bottom w:val="nil"/>
              <w:right w:val="nil"/>
            </w:tcBorders>
            <w:shd w:val="clear" w:color="auto" w:fill="D9D9D9" w:themeFill="background1" w:themeFillShade="D9"/>
            <w:vAlign w:val="center"/>
          </w:tcPr>
          <w:p w14:paraId="05A551C4" w14:textId="1226F4F4"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0.080</w:t>
            </w:r>
          </w:p>
        </w:tc>
      </w:tr>
      <w:tr w:rsidR="00E22E7E" w:rsidRPr="00C61664" w14:paraId="13E52ABB" w14:textId="77777777" w:rsidTr="00E801DE">
        <w:trPr>
          <w:trHeight w:val="293"/>
        </w:trPr>
        <w:tc>
          <w:tcPr>
            <w:tcW w:w="1440" w:type="dxa"/>
            <w:tcBorders>
              <w:top w:val="nil"/>
              <w:left w:val="nil"/>
              <w:bottom w:val="single" w:sz="12" w:space="0" w:color="000000" w:themeColor="text1"/>
              <w:right w:val="nil"/>
            </w:tcBorders>
            <w:shd w:val="clear" w:color="auto" w:fill="auto"/>
            <w:noWrap/>
            <w:vAlign w:val="center"/>
            <w:hideMark/>
          </w:tcPr>
          <w:p w14:paraId="229E08EB" w14:textId="589E4CE7" w:rsidR="00E22E7E" w:rsidRPr="00C61664" w:rsidRDefault="00E22E7E" w:rsidP="00E22E7E">
            <w:pPr>
              <w:spacing w:line="240" w:lineRule="auto"/>
              <w:rPr>
                <w:rFonts w:cs="Times New Roman"/>
                <w:color w:val="000000"/>
                <w:sz w:val="20"/>
                <w:szCs w:val="20"/>
              </w:rPr>
            </w:pPr>
            <w:r>
              <w:rPr>
                <w:rFonts w:cs="Times New Roman"/>
                <w:color w:val="000000"/>
                <w:sz w:val="20"/>
                <w:szCs w:val="20"/>
              </w:rPr>
              <w:t>CSA x Year</w:t>
            </w:r>
          </w:p>
        </w:tc>
        <w:tc>
          <w:tcPr>
            <w:tcW w:w="909" w:type="dxa"/>
            <w:tcBorders>
              <w:top w:val="nil"/>
              <w:left w:val="nil"/>
              <w:bottom w:val="single" w:sz="12" w:space="0" w:color="000000" w:themeColor="text1"/>
              <w:right w:val="nil"/>
            </w:tcBorders>
            <w:noWrap/>
            <w:vAlign w:val="center"/>
          </w:tcPr>
          <w:p w14:paraId="23C8F35E" w14:textId="09908F8A" w:rsidR="00E22E7E" w:rsidRPr="00E22E7E" w:rsidRDefault="00E801DE" w:rsidP="00E801DE">
            <w:pPr>
              <w:spacing w:line="240" w:lineRule="auto"/>
              <w:jc w:val="center"/>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1.08</w:t>
            </w:r>
          </w:p>
        </w:tc>
        <w:tc>
          <w:tcPr>
            <w:tcW w:w="711" w:type="dxa"/>
            <w:tcBorders>
              <w:top w:val="nil"/>
              <w:left w:val="nil"/>
              <w:bottom w:val="single" w:sz="12" w:space="0" w:color="000000" w:themeColor="text1"/>
              <w:right w:val="nil"/>
            </w:tcBorders>
            <w:noWrap/>
            <w:vAlign w:val="center"/>
          </w:tcPr>
          <w:p w14:paraId="6F2D2860" w14:textId="5CE7E020" w:rsidR="00E22E7E" w:rsidRPr="00E22E7E" w:rsidRDefault="00E22E7E" w:rsidP="00E801DE">
            <w:pPr>
              <w:spacing w:line="240" w:lineRule="auto"/>
              <w:jc w:val="right"/>
              <w:rPr>
                <w:rFonts w:cs="Times New Roman"/>
                <w:color w:val="000000"/>
                <w:sz w:val="20"/>
                <w:szCs w:val="20"/>
              </w:rPr>
            </w:pPr>
            <w:r>
              <w:rPr>
                <w:rFonts w:cs="Times New Roman"/>
                <w:color w:val="000000"/>
                <w:sz w:val="20"/>
                <w:szCs w:val="20"/>
              </w:rPr>
              <w:t>0.357</w:t>
            </w:r>
          </w:p>
        </w:tc>
        <w:tc>
          <w:tcPr>
            <w:tcW w:w="848" w:type="dxa"/>
            <w:tcBorders>
              <w:top w:val="nil"/>
              <w:left w:val="nil"/>
              <w:bottom w:val="single" w:sz="12" w:space="0" w:color="000000" w:themeColor="text1"/>
              <w:right w:val="nil"/>
            </w:tcBorders>
            <w:vAlign w:val="center"/>
          </w:tcPr>
          <w:p w14:paraId="3272D2CD" w14:textId="04BEE811" w:rsidR="00E22E7E" w:rsidRPr="00E22E7E" w:rsidRDefault="00E801DE" w:rsidP="00E801DE">
            <w:pPr>
              <w:spacing w:line="240" w:lineRule="auto"/>
              <w:jc w:val="center"/>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0.23</w:t>
            </w:r>
          </w:p>
        </w:tc>
        <w:tc>
          <w:tcPr>
            <w:tcW w:w="819" w:type="dxa"/>
            <w:tcBorders>
              <w:top w:val="nil"/>
              <w:left w:val="nil"/>
              <w:bottom w:val="single" w:sz="12" w:space="0" w:color="000000" w:themeColor="text1"/>
              <w:right w:val="nil"/>
            </w:tcBorders>
            <w:vAlign w:val="center"/>
          </w:tcPr>
          <w:p w14:paraId="7A0DD9E9" w14:textId="73D19EE2" w:rsidR="00E22E7E" w:rsidRPr="00E22E7E" w:rsidRDefault="00E801DE" w:rsidP="00E801DE">
            <w:pPr>
              <w:spacing w:line="240" w:lineRule="auto"/>
              <w:jc w:val="center"/>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0.655</w:t>
            </w:r>
          </w:p>
        </w:tc>
        <w:tc>
          <w:tcPr>
            <w:tcW w:w="909" w:type="dxa"/>
            <w:tcBorders>
              <w:top w:val="nil"/>
              <w:left w:val="nil"/>
              <w:bottom w:val="single" w:sz="12" w:space="0" w:color="000000" w:themeColor="text1"/>
              <w:right w:val="nil"/>
            </w:tcBorders>
            <w:vAlign w:val="center"/>
          </w:tcPr>
          <w:p w14:paraId="006DBEE1" w14:textId="3EC82DA8" w:rsidR="00E22E7E" w:rsidRPr="00E22E7E" w:rsidRDefault="00E801DE" w:rsidP="00E801DE">
            <w:pPr>
              <w:spacing w:line="240" w:lineRule="auto"/>
              <w:jc w:val="center"/>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0.53</w:t>
            </w:r>
          </w:p>
        </w:tc>
        <w:tc>
          <w:tcPr>
            <w:tcW w:w="819" w:type="dxa"/>
            <w:tcBorders>
              <w:top w:val="nil"/>
              <w:left w:val="nil"/>
              <w:bottom w:val="single" w:sz="12" w:space="0" w:color="000000" w:themeColor="text1"/>
              <w:right w:val="nil"/>
            </w:tcBorders>
            <w:vAlign w:val="center"/>
          </w:tcPr>
          <w:p w14:paraId="0D405B57" w14:textId="1769F3C3"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0.506</w:t>
            </w:r>
          </w:p>
        </w:tc>
        <w:tc>
          <w:tcPr>
            <w:tcW w:w="909" w:type="dxa"/>
            <w:tcBorders>
              <w:top w:val="nil"/>
              <w:left w:val="nil"/>
              <w:bottom w:val="single" w:sz="12" w:space="0" w:color="000000" w:themeColor="text1"/>
              <w:right w:val="nil"/>
            </w:tcBorders>
            <w:vAlign w:val="center"/>
          </w:tcPr>
          <w:p w14:paraId="78FCC26A" w14:textId="53E06971" w:rsidR="00E22E7E" w:rsidRPr="00E22E7E" w:rsidRDefault="00E801DE" w:rsidP="00E801DE">
            <w:pPr>
              <w:spacing w:line="240" w:lineRule="auto"/>
              <w:jc w:val="center"/>
              <w:rPr>
                <w:rFonts w:cs="Times New Roman"/>
                <w:color w:val="000000"/>
                <w:sz w:val="20"/>
                <w:szCs w:val="20"/>
              </w:rPr>
            </w:pPr>
            <w:r>
              <w:rPr>
                <w:rFonts w:cs="Times New Roman"/>
                <w:color w:val="000000"/>
                <w:sz w:val="20"/>
                <w:szCs w:val="20"/>
              </w:rPr>
              <w:t xml:space="preserve"> </w:t>
            </w:r>
            <w:r w:rsidR="00E22E7E">
              <w:rPr>
                <w:rFonts w:cs="Times New Roman"/>
                <w:color w:val="000000"/>
                <w:sz w:val="20"/>
                <w:szCs w:val="20"/>
              </w:rPr>
              <w:t>0.02</w:t>
            </w:r>
          </w:p>
        </w:tc>
        <w:tc>
          <w:tcPr>
            <w:tcW w:w="788" w:type="dxa"/>
            <w:gridSpan w:val="2"/>
            <w:tcBorders>
              <w:top w:val="nil"/>
              <w:left w:val="nil"/>
              <w:bottom w:val="single" w:sz="12" w:space="0" w:color="000000" w:themeColor="text1"/>
              <w:right w:val="nil"/>
            </w:tcBorders>
            <w:vAlign w:val="center"/>
          </w:tcPr>
          <w:p w14:paraId="13BB4F7D" w14:textId="41598AA3" w:rsidR="00E22E7E" w:rsidRPr="00E22E7E" w:rsidRDefault="00E22E7E" w:rsidP="00E801DE">
            <w:pPr>
              <w:spacing w:line="240" w:lineRule="auto"/>
              <w:jc w:val="center"/>
              <w:rPr>
                <w:rFonts w:cs="Times New Roman"/>
                <w:color w:val="000000"/>
                <w:sz w:val="20"/>
                <w:szCs w:val="20"/>
              </w:rPr>
            </w:pPr>
            <w:r>
              <w:rPr>
                <w:rFonts w:cs="Times New Roman"/>
                <w:color w:val="000000"/>
                <w:sz w:val="20"/>
                <w:szCs w:val="20"/>
              </w:rPr>
              <w:t>0.895</w:t>
            </w:r>
          </w:p>
        </w:tc>
      </w:tr>
    </w:tbl>
    <w:p w14:paraId="59A503E0" w14:textId="77F08424" w:rsidR="00E22E7E" w:rsidRPr="00BC2376" w:rsidRDefault="00E22E7E" w:rsidP="00E22E7E">
      <w:pPr>
        <w:spacing w:line="240" w:lineRule="auto"/>
        <w:rPr>
          <w:rFonts w:eastAsia="Calibri" w:cs="Times New Roman"/>
          <w:bCs/>
        </w:rPr>
      </w:pPr>
      <w:r w:rsidRPr="00BC2376">
        <w:rPr>
          <w:rFonts w:eastAsia="Calibri" w:cs="Times New Roman"/>
          <w:bCs/>
        </w:rPr>
        <w:t>†</w:t>
      </w:r>
      <w:r>
        <w:rPr>
          <w:rFonts w:eastAsia="Calibri" w:cs="Times New Roman"/>
          <w:bCs/>
        </w:rPr>
        <w:t>CP</w:t>
      </w:r>
      <w:r w:rsidRPr="00BC2376">
        <w:rPr>
          <w:rFonts w:eastAsia="Calibri" w:cs="Times New Roman"/>
          <w:bCs/>
        </w:rPr>
        <w:t xml:space="preserve"> = </w:t>
      </w:r>
      <w:r>
        <w:rPr>
          <w:rFonts w:eastAsia="Calibri" w:cs="Times New Roman"/>
          <w:bCs/>
        </w:rPr>
        <w:t>crude protein</w:t>
      </w:r>
      <w:r w:rsidRPr="00BC2376">
        <w:rPr>
          <w:rFonts w:eastAsia="Calibri" w:cs="Times New Roman"/>
          <w:bCs/>
        </w:rPr>
        <w:t xml:space="preserve">, </w:t>
      </w:r>
      <w:r>
        <w:rPr>
          <w:rFonts w:eastAsia="Calibri" w:cs="Times New Roman"/>
          <w:bCs/>
        </w:rPr>
        <w:t>ADF</w:t>
      </w:r>
      <w:r w:rsidRPr="00BC2376">
        <w:rPr>
          <w:rFonts w:eastAsia="Calibri" w:cs="Times New Roman"/>
          <w:bCs/>
        </w:rPr>
        <w:t xml:space="preserve"> = </w:t>
      </w:r>
      <w:r>
        <w:rPr>
          <w:rFonts w:eastAsia="Calibri" w:cs="Times New Roman"/>
          <w:bCs/>
        </w:rPr>
        <w:t>acid detergent fiber</w:t>
      </w:r>
      <w:r w:rsidRPr="00BC2376">
        <w:rPr>
          <w:rFonts w:eastAsia="Calibri" w:cs="Times New Roman"/>
          <w:bCs/>
        </w:rPr>
        <w:t xml:space="preserve">, </w:t>
      </w:r>
      <w:r>
        <w:rPr>
          <w:rFonts w:eastAsia="Calibri" w:cs="Times New Roman"/>
          <w:bCs/>
        </w:rPr>
        <w:t>aNDF</w:t>
      </w:r>
      <w:r w:rsidRPr="00BC2376">
        <w:rPr>
          <w:rFonts w:eastAsia="Calibri" w:cs="Times New Roman"/>
          <w:bCs/>
        </w:rPr>
        <w:t xml:space="preserve"> = </w:t>
      </w:r>
      <w:r>
        <w:rPr>
          <w:rFonts w:eastAsia="Calibri" w:cs="Times New Roman"/>
          <w:bCs/>
        </w:rPr>
        <w:t>amylase neutral detergent</w:t>
      </w:r>
      <w:r w:rsidRPr="00BC2376">
        <w:rPr>
          <w:rFonts w:eastAsia="Calibri" w:cs="Times New Roman"/>
          <w:bCs/>
        </w:rPr>
        <w:t xml:space="preserve">, </w:t>
      </w:r>
      <w:r>
        <w:rPr>
          <w:rFonts w:eastAsia="Calibri" w:cs="Times New Roman"/>
          <w:bCs/>
        </w:rPr>
        <w:t xml:space="preserve">IVTDMD48H </w:t>
      </w:r>
      <w:r w:rsidRPr="00BC2376">
        <w:rPr>
          <w:rFonts w:eastAsia="Calibri" w:cs="Times New Roman"/>
          <w:bCs/>
        </w:rPr>
        <w:t xml:space="preserve">= </w:t>
      </w:r>
      <w:r w:rsidRPr="000D28BC">
        <w:rPr>
          <w:i/>
          <w:iCs/>
        </w:rPr>
        <w:t>i</w:t>
      </w:r>
      <w:r w:rsidRPr="00100B61">
        <w:rPr>
          <w:i/>
          <w:iCs/>
        </w:rPr>
        <w:t>n vitro</w:t>
      </w:r>
      <w:r>
        <w:t xml:space="preserve"> true dry matter digestibility 48 hours</w:t>
      </w:r>
      <w:r w:rsidRPr="00BC2376">
        <w:rPr>
          <w:rFonts w:eastAsia="Calibri" w:cs="Times New Roman"/>
          <w:bCs/>
        </w:rPr>
        <w:t xml:space="preserve"> </w:t>
      </w:r>
    </w:p>
    <w:p w14:paraId="2A928E34" w14:textId="5BD293D5" w:rsidR="00E22E7E" w:rsidRDefault="00E22E7E" w:rsidP="00E22E7E">
      <w:pPr>
        <w:spacing w:line="240" w:lineRule="auto"/>
        <w:rPr>
          <w:rFonts w:eastAsia="Calibri" w:cs="Times New Roman"/>
          <w:bCs/>
        </w:rPr>
      </w:pPr>
      <w:r w:rsidRPr="00BC2376">
        <w:rPr>
          <w:rFonts w:eastAsia="Calibri" w:cs="Times New Roman"/>
          <w:bCs/>
        </w:rPr>
        <w:t>‡</w:t>
      </w:r>
      <w:r w:rsidR="00E801DE" w:rsidRPr="00E801DE">
        <w:rPr>
          <w:rFonts w:eastAsia="Calibri" w:cs="Times New Roman"/>
          <w:bCs/>
        </w:rPr>
        <w:t xml:space="preserve"> </w:t>
      </w:r>
      <w:r w:rsidR="00E801DE">
        <w:rPr>
          <w:rFonts w:eastAsia="Calibri" w:cs="Times New Roman"/>
          <w:bCs/>
        </w:rPr>
        <w:t>CSA</w:t>
      </w:r>
      <w:r w:rsidR="00E801DE" w:rsidRPr="00BC2376">
        <w:rPr>
          <w:rFonts w:eastAsia="Calibri" w:cs="Times New Roman"/>
          <w:bCs/>
        </w:rPr>
        <w:t xml:space="preserve"> = </w:t>
      </w:r>
      <w:r w:rsidR="00E801DE">
        <w:rPr>
          <w:rFonts w:eastAsia="Calibri" w:cs="Times New Roman"/>
          <w:bCs/>
        </w:rPr>
        <w:t>cool-season annual (</w:t>
      </w:r>
      <w:r w:rsidR="00E801DE" w:rsidRPr="00E223C7">
        <w:rPr>
          <w:rFonts w:eastAsia="Calibri" w:cs="Times New Roman"/>
          <w:bCs/>
        </w:rPr>
        <w:t>cereal rye monoculture or cereal rye, turnip, rape, berseem clover, and crimson clover polyculture</w:t>
      </w:r>
      <w:r w:rsidR="00E801DE">
        <w:rPr>
          <w:rFonts w:eastAsia="Calibri" w:cs="Times New Roman"/>
          <w:bCs/>
        </w:rPr>
        <w:t>); Year = warm-season hay yield (July 2019 or July 2020)</w:t>
      </w:r>
    </w:p>
    <w:p w14:paraId="39417D19" w14:textId="77777777" w:rsidR="00524057" w:rsidRDefault="00524057" w:rsidP="00C3673C">
      <w:pPr>
        <w:spacing w:before="120" w:after="120" w:line="240" w:lineRule="auto"/>
        <w:sectPr w:rsidR="00524057" w:rsidSect="00A01E34">
          <w:pgSz w:w="15840" w:h="12240" w:orient="landscape" w:code="1"/>
          <w:pgMar w:top="1440" w:right="1800" w:bottom="1872" w:left="1800" w:header="720" w:footer="1440" w:gutter="0"/>
          <w:cols w:space="720"/>
          <w:noEndnote/>
          <w:docGrid w:linePitch="360"/>
        </w:sectPr>
      </w:pPr>
    </w:p>
    <w:p w14:paraId="1C7FF308" w14:textId="0C694ED2" w:rsidR="00916B6C" w:rsidRDefault="00524057" w:rsidP="00C3673C">
      <w:pPr>
        <w:spacing w:before="120" w:after="120" w:line="240" w:lineRule="auto"/>
      </w:pPr>
      <w:r>
        <w:rPr>
          <w:noProof/>
        </w:rPr>
        <w:lastRenderedPageBreak/>
        <w:drawing>
          <wp:inline distT="0" distB="0" distL="0" distR="0" wp14:anchorId="41F844E7" wp14:editId="49169B4D">
            <wp:extent cx="4944110" cy="6752560"/>
            <wp:effectExtent l="0" t="0" r="8890" b="0"/>
            <wp:docPr id="227" name="Picture 22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icture 227" descr="Graphical user interface, application&#10;&#10;Description automatically generated"/>
                    <pic:cNvPicPr/>
                  </pic:nvPicPr>
                  <pic:blipFill rotWithShape="1">
                    <a:blip r:embed="rId19">
                      <a:extLst>
                        <a:ext uri="{28A0092B-C50C-407E-A947-70E740481C1C}">
                          <a14:useLocalDpi xmlns:a14="http://schemas.microsoft.com/office/drawing/2010/main" val="0"/>
                        </a:ext>
                      </a:extLst>
                    </a:blip>
                    <a:srcRect t="1066" b="2391"/>
                    <a:stretch/>
                  </pic:blipFill>
                  <pic:spPr bwMode="auto">
                    <a:xfrm>
                      <a:off x="0" y="0"/>
                      <a:ext cx="4953809" cy="6765806"/>
                    </a:xfrm>
                    <a:prstGeom prst="rect">
                      <a:avLst/>
                    </a:prstGeom>
                    <a:ln>
                      <a:noFill/>
                    </a:ln>
                    <a:extLst>
                      <a:ext uri="{53640926-AAD7-44D8-BBD7-CCE9431645EC}">
                        <a14:shadowObscured xmlns:a14="http://schemas.microsoft.com/office/drawing/2010/main"/>
                      </a:ext>
                    </a:extLst>
                  </pic:spPr>
                </pic:pic>
              </a:graphicData>
            </a:graphic>
          </wp:inline>
        </w:drawing>
      </w:r>
    </w:p>
    <w:p w14:paraId="7EBF4453" w14:textId="1E8C07DA" w:rsidR="00524057" w:rsidRDefault="00524057" w:rsidP="00524057">
      <w:pPr>
        <w:pStyle w:val="Figures"/>
        <w:spacing w:before="0"/>
        <w:sectPr w:rsidR="00524057" w:rsidSect="00BB06E9">
          <w:pgSz w:w="12240" w:h="15840" w:code="1"/>
          <w:pgMar w:top="1440" w:right="1800" w:bottom="1872" w:left="1800" w:header="720" w:footer="1440" w:gutter="0"/>
          <w:cols w:space="720"/>
          <w:noEndnote/>
          <w:docGrid w:linePitch="360"/>
        </w:sectPr>
      </w:pPr>
      <w:bookmarkStart w:id="81" w:name="_Toc72300464"/>
      <w:r w:rsidRPr="001717E0">
        <mc:AlternateContent>
          <mc:Choice Requires="wps">
            <w:drawing>
              <wp:anchor distT="45720" distB="45720" distL="114300" distR="114300" simplePos="0" relativeHeight="251786240" behindDoc="0" locked="0" layoutInCell="1" allowOverlap="1" wp14:anchorId="0AAD15D2" wp14:editId="2D2AE1E5">
                <wp:simplePos x="0" y="0"/>
                <wp:positionH relativeFrom="column">
                  <wp:posOffset>6985</wp:posOffset>
                </wp:positionH>
                <wp:positionV relativeFrom="paragraph">
                  <wp:posOffset>4231005</wp:posOffset>
                </wp:positionV>
                <wp:extent cx="723265" cy="349885"/>
                <wp:effectExtent l="0" t="0" r="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349885"/>
                        </a:xfrm>
                        <a:prstGeom prst="rect">
                          <a:avLst/>
                        </a:prstGeom>
                        <a:noFill/>
                        <a:ln w="9525">
                          <a:noFill/>
                          <a:miter lim="800000"/>
                          <a:headEnd/>
                          <a:tailEnd/>
                        </a:ln>
                      </wps:spPr>
                      <wps:txbx>
                        <w:txbxContent>
                          <w:p w14:paraId="619DD347" w14:textId="77777777" w:rsidR="00524057" w:rsidRPr="00970CE7" w:rsidRDefault="00524057" w:rsidP="00524057">
                            <w:pPr>
                              <w:rPr>
                                <w:sz w:val="36"/>
                                <w:szCs w:val="36"/>
                              </w:rPr>
                            </w:pPr>
                            <w:r>
                              <w:rPr>
                                <w:sz w:val="36"/>
                                <w:szCs w:val="36"/>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AD15D2" id="_x0000_t202" coordsize="21600,21600" o:spt="202" path="m,l,21600r21600,l21600,xe">
                <v:stroke joinstyle="miter"/>
                <v:path gradientshapeok="t" o:connecttype="rect"/>
              </v:shapetype>
              <v:shape id="Text Box 2" o:spid="_x0000_s1026" type="#_x0000_t202" style="position:absolute;margin-left:.55pt;margin-top:333.15pt;width:56.95pt;height:27.55pt;z-index:251786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" filled="f" stroked="f">
                <v:textbox>
                  <w:txbxContent>
                    <w:p w14:paraId="619DD347" w14:textId="77777777" w:rsidR="00524057" w:rsidRPr="00970CE7" w:rsidRDefault="00524057" w:rsidP="00524057">
                      <w:pPr>
                        <w:rPr>
                          <w:sz w:val="36"/>
                          <w:szCs w:val="36"/>
                        </w:rPr>
                      </w:pPr>
                      <w:r>
                        <w:rPr>
                          <w:sz w:val="36"/>
                          <w:szCs w:val="36"/>
                        </w:rPr>
                        <w:t>b</w:t>
                      </w:r>
                    </w:p>
                  </w:txbxContent>
                </v:textbox>
              </v:shape>
            </w:pict>
          </mc:Fallback>
        </mc:AlternateContent>
      </w:r>
      <w:r w:rsidRPr="001717E0">
        <w:t xml:space="preserve">Figure. 1.1.  </w:t>
      </w:r>
      <w:r w:rsidR="00804275">
        <w:t>Field layout of three c</w:t>
      </w:r>
      <w:r w:rsidR="00804275" w:rsidRPr="00A41CAD">
        <w:rPr>
          <w:lang w:val="en"/>
        </w:rPr>
        <w:t xml:space="preserve">ool-season annual </w:t>
      </w:r>
      <w:r w:rsidR="00804275">
        <w:rPr>
          <w:lang w:val="en"/>
        </w:rPr>
        <w:t xml:space="preserve">(CSA) </w:t>
      </w:r>
      <w:r w:rsidR="00804275" w:rsidRPr="00A41CAD">
        <w:rPr>
          <w:lang w:val="en"/>
        </w:rPr>
        <w:t>treatments (</w:t>
      </w:r>
      <w:r w:rsidR="00804275">
        <w:rPr>
          <w:lang w:val="en"/>
        </w:rPr>
        <w:t xml:space="preserve">non-planted control, </w:t>
      </w:r>
      <w:r w:rsidR="00804275" w:rsidRPr="00A41CAD">
        <w:rPr>
          <w:lang w:val="en"/>
        </w:rPr>
        <w:t>cereal rye</w:t>
      </w:r>
      <w:r w:rsidR="00804275">
        <w:rPr>
          <w:lang w:val="en"/>
        </w:rPr>
        <w:t xml:space="preserve"> monoculture</w:t>
      </w:r>
      <w:r w:rsidR="00804275" w:rsidRPr="00A41CAD">
        <w:rPr>
          <w:lang w:val="en"/>
        </w:rPr>
        <w:t>,</w:t>
      </w:r>
      <w:r w:rsidR="00804275">
        <w:rPr>
          <w:lang w:val="en"/>
        </w:rPr>
        <w:t xml:space="preserve"> and CSA polyculture of cereal rye,</w:t>
      </w:r>
      <w:r w:rsidR="00804275" w:rsidRPr="00A41CAD">
        <w:rPr>
          <w:lang w:val="en"/>
        </w:rPr>
        <w:t xml:space="preserve"> ‘Purple Top’ turnip, ‘Trophy’ rape, ‘Frosty’ berseem clover, and ‘Dixie’ crimson clover)</w:t>
      </w:r>
      <w:r w:rsidR="00804275">
        <w:rPr>
          <w:lang w:val="en"/>
        </w:rPr>
        <w:t xml:space="preserve"> coupled with</w:t>
      </w:r>
      <w:r w:rsidR="00804275" w:rsidRPr="00A41CAD">
        <w:rPr>
          <w:lang w:val="en"/>
        </w:rPr>
        <w:t xml:space="preserve"> </w:t>
      </w:r>
      <w:r w:rsidR="00804275">
        <w:rPr>
          <w:lang w:val="en"/>
        </w:rPr>
        <w:t>two w</w:t>
      </w:r>
      <w:r w:rsidR="00804275" w:rsidRPr="00A41CAD">
        <w:t xml:space="preserve">arm-season </w:t>
      </w:r>
      <w:r w:rsidR="00804275" w:rsidRPr="00A41CAD">
        <w:rPr>
          <w:lang w:val="en"/>
        </w:rPr>
        <w:t xml:space="preserve">N fertilization rates </w:t>
      </w:r>
      <w:r w:rsidR="00804275">
        <w:rPr>
          <w:lang w:val="en"/>
        </w:rPr>
        <w:t>(</w:t>
      </w:r>
      <w:r w:rsidR="00804275" w:rsidRPr="00A41CAD">
        <w:rPr>
          <w:lang w:val="en"/>
        </w:rPr>
        <w:t>0 and 67 kg N ha</w:t>
      </w:r>
      <w:r w:rsidR="00804275" w:rsidRPr="00A41CAD">
        <w:rPr>
          <w:vertAlign w:val="superscript"/>
          <w:lang w:val="en"/>
        </w:rPr>
        <w:t>-1</w:t>
      </w:r>
      <w:r w:rsidR="00804275">
        <w:rPr>
          <w:lang w:val="en"/>
        </w:rPr>
        <w:t xml:space="preserve">) </w:t>
      </w:r>
      <w:r w:rsidR="00804275">
        <w:t>within</w:t>
      </w:r>
      <w:r w:rsidR="00804275" w:rsidRPr="000C3632">
        <w:t xml:space="preserve"> </w:t>
      </w:r>
      <w:r w:rsidR="00804275">
        <w:t>14</w:t>
      </w:r>
      <w:r w:rsidR="00804275" w:rsidRPr="000C3632">
        <w:t>, 1.2-ha pastures (</w:t>
      </w:r>
      <w:r w:rsidR="00804275">
        <w:t>eight switchgrass</w:t>
      </w:r>
      <w:r w:rsidR="00804275" w:rsidRPr="000C3632">
        <w:t xml:space="preserve"> and </w:t>
      </w:r>
      <w:r w:rsidR="00804275">
        <w:t>six big bluestem/indiangrass</w:t>
      </w:r>
      <w:r w:rsidR="00804275" w:rsidRPr="000C3632">
        <w:t xml:space="preserve"> mixture) </w:t>
      </w:r>
      <w:r w:rsidR="00804275" w:rsidRPr="00BC2376">
        <w:t>at</w:t>
      </w:r>
      <w:r w:rsidR="00804275">
        <w:t xml:space="preserve"> the</w:t>
      </w:r>
      <w:r w:rsidR="00804275" w:rsidRPr="00BC2376">
        <w:t xml:space="preserve"> </w:t>
      </w:r>
      <w:r w:rsidR="00804275">
        <w:t>University of Tennessee – Middle</w:t>
      </w:r>
      <w:r w:rsidR="00804275" w:rsidRPr="00BC2376">
        <w:t xml:space="preserve"> Tennessee AgResearch and Education Center, </w:t>
      </w:r>
      <w:r w:rsidR="00804275">
        <w:t>Spring Hill</w:t>
      </w:r>
      <w:r w:rsidR="00804275" w:rsidRPr="00BC2376">
        <w:t>, TN</w:t>
      </w:r>
      <w:r w:rsidR="00804275">
        <w:t>, 2018-2020.</w:t>
      </w:r>
      <w:bookmarkEnd w:id="81"/>
    </w:p>
    <w:p w14:paraId="32B9F98D" w14:textId="497064C4" w:rsidR="001717E0" w:rsidRDefault="00112D85" w:rsidP="002D78F0">
      <w:pPr>
        <w:spacing w:after="100" w:afterAutospacing="1" w:line="240" w:lineRule="auto"/>
        <w:rPr>
          <w:noProof/>
        </w:rPr>
      </w:pPr>
      <w:r w:rsidRPr="002B08F4">
        <w:rPr>
          <w:rFonts w:cs="Times New Roman"/>
          <w:noProof/>
        </w:rPr>
        <w:lastRenderedPageBreak/>
        <mc:AlternateContent>
          <mc:Choice Requires="wps">
            <w:drawing>
              <wp:anchor distT="45720" distB="45720" distL="114300" distR="114300" simplePos="0" relativeHeight="251766784" behindDoc="0" locked="0" layoutInCell="1" allowOverlap="1" wp14:anchorId="12444E9A" wp14:editId="037D89FE">
                <wp:simplePos x="0" y="0"/>
                <wp:positionH relativeFrom="margin">
                  <wp:posOffset>7620</wp:posOffset>
                </wp:positionH>
                <wp:positionV relativeFrom="paragraph">
                  <wp:posOffset>5588000</wp:posOffset>
                </wp:positionV>
                <wp:extent cx="457200" cy="457200"/>
                <wp:effectExtent l="0" t="0" r="0" b="0"/>
                <wp:wrapNone/>
                <wp:docPr id="2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7200"/>
                        </a:xfrm>
                        <a:prstGeom prst="rect">
                          <a:avLst/>
                        </a:prstGeom>
                        <a:noFill/>
                        <a:ln w="9525">
                          <a:noFill/>
                          <a:miter lim="800000"/>
                          <a:headEnd/>
                          <a:tailEnd/>
                        </a:ln>
                      </wps:spPr>
                      <wps:txbx>
                        <w:txbxContent>
                          <w:p w14:paraId="4359C632" w14:textId="6D6B5F69" w:rsidR="002503ED" w:rsidRPr="002B08F4" w:rsidRDefault="002503ED" w:rsidP="00A95996">
                            <w:pPr>
                              <w:rPr>
                                <w:sz w:val="40"/>
                                <w:szCs w:val="40"/>
                              </w:rPr>
                            </w:pPr>
                            <w:r>
                              <w:rPr>
                                <w:sz w:val="40"/>
                                <w:szCs w:val="40"/>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444E9A" id="_x0000_s1027" type="#_x0000_t202" style="position:absolute;margin-left:.6pt;margin-top:440pt;width:36pt;height:36pt;z-index:251766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" filled="f" stroked="f">
                <v:textbox>
                  <w:txbxContent>
                    <w:p w14:paraId="4359C632" w14:textId="6D6B5F69" w:rsidR="002503ED" w:rsidRPr="002B08F4" w:rsidRDefault="002503ED" w:rsidP="00A95996">
                      <w:pPr>
                        <w:rPr>
                          <w:sz w:val="40"/>
                          <w:szCs w:val="40"/>
                        </w:rPr>
                      </w:pPr>
                      <w:r>
                        <w:rPr>
                          <w:sz w:val="40"/>
                          <w:szCs w:val="40"/>
                        </w:rPr>
                        <w:t>b</w:t>
                      </w:r>
                    </w:p>
                  </w:txbxContent>
                </v:textbox>
                <w10:wrap anchorx="margin"/>
              </v:shape>
            </w:pict>
          </mc:Fallback>
        </mc:AlternateContent>
      </w:r>
      <w:r w:rsidRPr="002B08F4">
        <w:rPr>
          <w:rFonts w:cs="Times New Roman"/>
          <w:noProof/>
        </w:rPr>
        <mc:AlternateContent>
          <mc:Choice Requires="wps">
            <w:drawing>
              <wp:anchor distT="45720" distB="45720" distL="114300" distR="114300" simplePos="0" relativeHeight="251667456" behindDoc="0" locked="0" layoutInCell="1" allowOverlap="1" wp14:anchorId="28B52E1C" wp14:editId="77D680AD">
                <wp:simplePos x="0" y="0"/>
                <wp:positionH relativeFrom="margin">
                  <wp:posOffset>6985</wp:posOffset>
                </wp:positionH>
                <wp:positionV relativeFrom="paragraph">
                  <wp:posOffset>2573020</wp:posOffset>
                </wp:positionV>
                <wp:extent cx="457200" cy="45720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7200"/>
                        </a:xfrm>
                        <a:prstGeom prst="rect">
                          <a:avLst/>
                        </a:prstGeom>
                        <a:noFill/>
                        <a:ln w="9525">
                          <a:noFill/>
                          <a:miter lim="800000"/>
                          <a:headEnd/>
                          <a:tailEnd/>
                        </a:ln>
                      </wps:spPr>
                      <wps:txbx>
                        <w:txbxContent>
                          <w:p w14:paraId="1581093A" w14:textId="77777777" w:rsidR="002503ED" w:rsidRPr="002B08F4" w:rsidRDefault="002503ED" w:rsidP="00F476D7">
                            <w:pPr>
                              <w:rPr>
                                <w:sz w:val="40"/>
                                <w:szCs w:val="40"/>
                              </w:rPr>
                            </w:pPr>
                            <w:r w:rsidRPr="002B08F4">
                              <w:rPr>
                                <w:sz w:val="40"/>
                                <w:szCs w:val="40"/>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B52E1C" id="_x0000_s1028" type="#_x0000_t202" style="position:absolute;margin-left:.55pt;margin-top:202.6pt;width:36pt;height:36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" filled="f" stroked="f">
                <v:textbox>
                  <w:txbxContent>
                    <w:p w14:paraId="1581093A" w14:textId="77777777" w:rsidR="002503ED" w:rsidRPr="002B08F4" w:rsidRDefault="002503ED" w:rsidP="00F476D7">
                      <w:pPr>
                        <w:rPr>
                          <w:sz w:val="40"/>
                          <w:szCs w:val="40"/>
                        </w:rPr>
                      </w:pPr>
                      <w:r w:rsidRPr="002B08F4">
                        <w:rPr>
                          <w:sz w:val="40"/>
                          <w:szCs w:val="40"/>
                        </w:rPr>
                        <w:t>a</w:t>
                      </w:r>
                    </w:p>
                  </w:txbxContent>
                </v:textbox>
                <w10:wrap anchorx="margin"/>
              </v:shape>
            </w:pict>
          </mc:Fallback>
        </mc:AlternateContent>
      </w:r>
      <w:bookmarkStart w:id="82" w:name="_Hlk67254082"/>
      <w:r w:rsidR="00FA2B4A">
        <w:rPr>
          <w:noProof/>
        </w:rPr>
        <w:drawing>
          <wp:inline distT="0" distB="0" distL="0" distR="0" wp14:anchorId="03327E07" wp14:editId="5E337084">
            <wp:extent cx="5486400" cy="3017520"/>
            <wp:effectExtent l="0" t="0" r="0" b="11430"/>
            <wp:docPr id="14" name="Chart 14">
              <a:extLst xmlns:a="http://schemas.openxmlformats.org/drawingml/2006/main">
                <a:ext uri="{FF2B5EF4-FFF2-40B4-BE49-F238E27FC236}">
                  <a16:creationId xmlns:a16="http://schemas.microsoft.com/office/drawing/2014/main" id="{8DBC1086-2C9E-4AA4-9A69-E337DC65D8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FA2B4A" w:rsidRPr="00FA2B4A">
        <w:rPr>
          <w:noProof/>
        </w:rPr>
        <w:t xml:space="preserve"> </w:t>
      </w:r>
      <w:r w:rsidR="00FA2B4A">
        <w:rPr>
          <w:noProof/>
        </w:rPr>
        <w:drawing>
          <wp:inline distT="0" distB="0" distL="0" distR="0" wp14:anchorId="35E0F9A1" wp14:editId="6537DAF2">
            <wp:extent cx="5486400" cy="3017520"/>
            <wp:effectExtent l="0" t="0" r="0" b="11430"/>
            <wp:docPr id="29" name="Chart 29">
              <a:extLst xmlns:a="http://schemas.openxmlformats.org/drawingml/2006/main">
                <a:ext uri="{FF2B5EF4-FFF2-40B4-BE49-F238E27FC236}">
                  <a16:creationId xmlns:a16="http://schemas.microsoft.com/office/drawing/2014/main" id="{3AE27CFE-922E-42F5-9ED8-856B58E902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55BDC06" w14:textId="3DEC86BA" w:rsidR="000C3632" w:rsidRDefault="00681533" w:rsidP="00B067BB">
      <w:pPr>
        <w:pStyle w:val="Figures"/>
        <w:spacing w:before="0"/>
        <w:sectPr w:rsidR="000C3632" w:rsidSect="00BB06E9">
          <w:pgSz w:w="12240" w:h="15840" w:code="1"/>
          <w:pgMar w:top="1440" w:right="1800" w:bottom="1872" w:left="1800" w:header="720" w:footer="1440" w:gutter="0"/>
          <w:cols w:space="720"/>
          <w:noEndnote/>
          <w:docGrid w:linePitch="360"/>
        </w:sectPr>
      </w:pPr>
      <w:bookmarkStart w:id="83" w:name="_Toc72300465"/>
      <w:bookmarkStart w:id="84" w:name="_Hlk71753530"/>
      <w:r w:rsidRPr="001717E0">
        <mc:AlternateContent>
          <mc:Choice Requires="wps">
            <w:drawing>
              <wp:anchor distT="45720" distB="45720" distL="114300" distR="114300" simplePos="0" relativeHeight="251665408" behindDoc="0" locked="0" layoutInCell="1" allowOverlap="1" wp14:anchorId="792ED331" wp14:editId="78040C08">
                <wp:simplePos x="0" y="0"/>
                <wp:positionH relativeFrom="column">
                  <wp:posOffset>6985</wp:posOffset>
                </wp:positionH>
                <wp:positionV relativeFrom="paragraph">
                  <wp:posOffset>4231005</wp:posOffset>
                </wp:positionV>
                <wp:extent cx="723265" cy="34988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349885"/>
                        </a:xfrm>
                        <a:prstGeom prst="rect">
                          <a:avLst/>
                        </a:prstGeom>
                        <a:noFill/>
                        <a:ln w="9525">
                          <a:noFill/>
                          <a:miter lim="800000"/>
                          <a:headEnd/>
                          <a:tailEnd/>
                        </a:ln>
                      </wps:spPr>
                      <wps:txbx>
                        <w:txbxContent>
                          <w:p w14:paraId="3065982D" w14:textId="77777777" w:rsidR="002503ED" w:rsidRPr="00970CE7" w:rsidRDefault="002503ED" w:rsidP="00681533">
                            <w:pPr>
                              <w:rPr>
                                <w:sz w:val="36"/>
                                <w:szCs w:val="36"/>
                              </w:rPr>
                            </w:pPr>
                            <w:r>
                              <w:rPr>
                                <w:sz w:val="36"/>
                                <w:szCs w:val="36"/>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2ED331" id="_x0000_s1029" type="#_x0000_t202" style="position:absolute;margin-left:.55pt;margin-top:333.15pt;width:56.95pt;height:27.5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" filled="f" stroked="f">
                <v:textbox>
                  <w:txbxContent>
                    <w:p w14:paraId="3065982D" w14:textId="77777777" w:rsidR="002503ED" w:rsidRPr="00970CE7" w:rsidRDefault="002503ED" w:rsidP="00681533">
                      <w:pPr>
                        <w:rPr>
                          <w:sz w:val="36"/>
                          <w:szCs w:val="36"/>
                        </w:rPr>
                      </w:pPr>
                      <w:r>
                        <w:rPr>
                          <w:sz w:val="36"/>
                          <w:szCs w:val="36"/>
                        </w:rPr>
                        <w:t>b</w:t>
                      </w:r>
                    </w:p>
                  </w:txbxContent>
                </v:textbox>
              </v:shape>
            </w:pict>
          </mc:Fallback>
        </mc:AlternateContent>
      </w:r>
      <w:bookmarkStart w:id="85" w:name="_Hlk71735602"/>
      <w:r w:rsidRPr="001717E0">
        <w:t xml:space="preserve">Figure. </w:t>
      </w:r>
      <w:r w:rsidR="00C77105" w:rsidRPr="001717E0">
        <w:t>1</w:t>
      </w:r>
      <w:r w:rsidRPr="001717E0">
        <w:t>.</w:t>
      </w:r>
      <w:r w:rsidR="00112D85">
        <w:t>2</w:t>
      </w:r>
      <w:r w:rsidRPr="001717E0">
        <w:t>.</w:t>
      </w:r>
      <w:r w:rsidR="00AF2C2A" w:rsidRPr="001717E0">
        <w:t xml:space="preserve"> </w:t>
      </w:r>
      <w:r w:rsidRPr="001717E0">
        <w:t xml:space="preserve"> (a) Mean monthly air temperature (°C) and 30-year mean and (b) total monthly precipitation (mm) and 30-year mean for </w:t>
      </w:r>
      <w:r w:rsidR="00F476D7" w:rsidRPr="001717E0">
        <w:t xml:space="preserve">the </w:t>
      </w:r>
      <w:r w:rsidR="00FA2B4A" w:rsidRPr="001717E0">
        <w:t>University of</w:t>
      </w:r>
      <w:r w:rsidR="001419E3">
        <w:t xml:space="preserve"> </w:t>
      </w:r>
      <w:r w:rsidR="00FA2B4A" w:rsidRPr="001717E0">
        <w:t>Tennessee – Mi</w:t>
      </w:r>
      <w:r w:rsidR="00D439BA" w:rsidRPr="001717E0">
        <w:t>ddle Tennessee</w:t>
      </w:r>
      <w:r w:rsidRPr="001717E0">
        <w:t xml:space="preserve"> AgResearch and Education Center</w:t>
      </w:r>
      <w:r w:rsidR="00804275">
        <w:t>,</w:t>
      </w:r>
      <w:r w:rsidRPr="001717E0">
        <w:t xml:space="preserve"> </w:t>
      </w:r>
      <w:r w:rsidR="00D439BA" w:rsidRPr="001717E0">
        <w:t>Spring Hill</w:t>
      </w:r>
      <w:r w:rsidRPr="001717E0">
        <w:t>, TN, 201</w:t>
      </w:r>
      <w:r w:rsidR="00FA2B4A" w:rsidRPr="001717E0">
        <w:t>8</w:t>
      </w:r>
      <w:r w:rsidRPr="001717E0">
        <w:t>-20</w:t>
      </w:r>
      <w:r w:rsidR="00FA2B4A" w:rsidRPr="001717E0">
        <w:t>20</w:t>
      </w:r>
      <w:r w:rsidRPr="001717E0">
        <w:t>. †Some months’ data are missing in overall 30-year mean from 199</w:t>
      </w:r>
      <w:r w:rsidR="00FA2B4A" w:rsidRPr="001717E0">
        <w:t>1</w:t>
      </w:r>
      <w:r w:rsidRPr="001717E0">
        <w:t>-20</w:t>
      </w:r>
      <w:r w:rsidR="00FA2B4A" w:rsidRPr="001717E0">
        <w:t>20</w:t>
      </w:r>
      <w:bookmarkEnd w:id="85"/>
      <w:r w:rsidRPr="001717E0">
        <w:t>.</w:t>
      </w:r>
      <w:bookmarkEnd w:id="83"/>
    </w:p>
    <w:p w14:paraId="0695EE56" w14:textId="619A3916" w:rsidR="00CE3A3E" w:rsidRPr="004F6C28" w:rsidRDefault="00CE3A3E" w:rsidP="005E54E2">
      <w:pPr>
        <w:pStyle w:val="Heading1"/>
        <w:rPr>
          <w:rFonts w:cs="Times New Roman"/>
        </w:rPr>
      </w:pPr>
      <w:bookmarkStart w:id="86" w:name="_Toc289175833"/>
      <w:bookmarkStart w:id="87" w:name="_Toc72026032"/>
      <w:bookmarkStart w:id="88" w:name="_Hlk72270266"/>
      <w:bookmarkStart w:id="89" w:name="_Toc72305393"/>
      <w:bookmarkEnd w:id="82"/>
      <w:bookmarkEnd w:id="84"/>
      <w:r w:rsidRPr="004F6C28">
        <w:rPr>
          <w:rFonts w:cs="Times New Roman"/>
        </w:rPr>
        <w:lastRenderedPageBreak/>
        <w:t>CHAPTER I</w:t>
      </w:r>
      <w:r w:rsidR="00236E6D" w:rsidRPr="004F6C28">
        <w:rPr>
          <w:rFonts w:cs="Times New Roman"/>
        </w:rPr>
        <w:t>I</w:t>
      </w:r>
      <w:r w:rsidR="00E459DC" w:rsidRPr="004F6C28">
        <w:rPr>
          <w:rFonts w:cs="Times New Roman"/>
        </w:rPr>
        <w:br/>
      </w:r>
      <w:bookmarkEnd w:id="86"/>
      <w:r w:rsidR="00E76687">
        <w:t>NATIVE FORB</w:t>
      </w:r>
      <w:r w:rsidR="0019206D">
        <w:t>S</w:t>
      </w:r>
      <w:r w:rsidR="00E76687">
        <w:t xml:space="preserve"> INTERSEEDED INTO NATIVE GRASS PASTURES PERSIST UNDER GRAZING</w:t>
      </w:r>
      <w:bookmarkEnd w:id="87"/>
      <w:bookmarkEnd w:id="89"/>
    </w:p>
    <w:bookmarkEnd w:id="88"/>
    <w:p w14:paraId="40E508BF" w14:textId="77777777" w:rsidR="00F71ADC" w:rsidRPr="004F6C28" w:rsidRDefault="00CE3A3E" w:rsidP="00F71ADC">
      <w:pPr>
        <w:rPr>
          <w:rFonts w:cs="Times New Roman"/>
        </w:rPr>
      </w:pPr>
      <w:r w:rsidRPr="004F6C28">
        <w:rPr>
          <w:rFonts w:cs="Times New Roman"/>
        </w:rPr>
        <w:br w:type="page"/>
      </w:r>
    </w:p>
    <w:p w14:paraId="2D8D675F" w14:textId="7AA81B1B" w:rsidR="00236E6D" w:rsidRPr="004F6C28" w:rsidRDefault="002808D2" w:rsidP="00631CEF">
      <w:pPr>
        <w:pStyle w:val="AgronomyJournalSectionTitles"/>
      </w:pPr>
      <w:bookmarkStart w:id="90" w:name="_Toc72026033"/>
      <w:bookmarkStart w:id="91" w:name="_Toc72305394"/>
      <w:r>
        <w:lastRenderedPageBreak/>
        <w:t>ABSTRACT</w:t>
      </w:r>
      <w:bookmarkEnd w:id="90"/>
      <w:bookmarkEnd w:id="91"/>
    </w:p>
    <w:p w14:paraId="1E0CDCA9" w14:textId="628B654D" w:rsidR="000C247A" w:rsidRDefault="000C247A" w:rsidP="00E77AB6">
      <w:pPr>
        <w:pStyle w:val="Paragraphs"/>
        <w:spacing w:after="100" w:afterAutospacing="1"/>
        <w:ind w:firstLine="0"/>
      </w:pPr>
      <w:bookmarkStart w:id="92" w:name="_Hlk69706012"/>
      <w:r>
        <w:t>Incorporating native forb species with</w:t>
      </w:r>
      <w:r w:rsidR="003728FB">
        <w:t>in</w:t>
      </w:r>
      <w:r>
        <w:t xml:space="preserve"> </w:t>
      </w:r>
      <w:r w:rsidR="003728FB">
        <w:t>native warm-season g</w:t>
      </w:r>
      <w:r>
        <w:t>rass</w:t>
      </w:r>
      <w:r w:rsidR="003728FB">
        <w:t xml:space="preserve"> (NWSG)</w:t>
      </w:r>
      <w:r>
        <w:t xml:space="preserve"> </w:t>
      </w:r>
      <w:r w:rsidR="003728FB">
        <w:t xml:space="preserve">pastures </w:t>
      </w:r>
      <w:r>
        <w:t xml:space="preserve">has the potential to </w:t>
      </w:r>
      <w:r w:rsidR="00D06273">
        <w:t>benefit</w:t>
      </w:r>
      <w:r>
        <w:t xml:space="preserve"> cattle</w:t>
      </w:r>
      <w:r w:rsidR="00D06273">
        <w:t xml:space="preserve">, </w:t>
      </w:r>
      <w:r>
        <w:t>pollinators</w:t>
      </w:r>
      <w:r w:rsidR="00D06273">
        <w:t>, and wildlife</w:t>
      </w:r>
      <w:r>
        <w:t xml:space="preserve"> beyond that of NWSG monocultures</w:t>
      </w:r>
      <w:r w:rsidR="003728FB">
        <w:t>.  However, w</w:t>
      </w:r>
      <w:r>
        <w:t xml:space="preserve">hen grazing NWSG pastures, rotational </w:t>
      </w:r>
      <w:r w:rsidR="00112735">
        <w:t>stocking</w:t>
      </w:r>
      <w:r>
        <w:t xml:space="preserve"> is recommended as opposed to continuous </w:t>
      </w:r>
      <w:r w:rsidR="00112735">
        <w:t>stocking</w:t>
      </w:r>
      <w:r>
        <w:t>.</w:t>
      </w:r>
      <w:r w:rsidR="00E573D7">
        <w:t xml:space="preserve"> </w:t>
      </w:r>
      <w:r>
        <w:t xml:space="preserve"> Therefore, to evaluate whether within-season rest </w:t>
      </w:r>
      <w:r w:rsidR="00E573D7">
        <w:t xml:space="preserve">treatments </w:t>
      </w:r>
      <w:r w:rsidR="00B37097">
        <w:t xml:space="preserve">are </w:t>
      </w:r>
      <w:r>
        <w:t xml:space="preserve">needed for native pasture sustainability, two NWSG grazing </w:t>
      </w:r>
      <w:r w:rsidR="00D930F6">
        <w:t xml:space="preserve">experiments were conducted near Greeneville, TN, 2017-2020, </w:t>
      </w:r>
      <w:r>
        <w:t xml:space="preserve">to assess the persistence of native forbs when an 11-species native forb blend was interseeded into established </w:t>
      </w:r>
      <w:r w:rsidR="003728FB">
        <w:t xml:space="preserve">switchgrass </w:t>
      </w:r>
      <w:r w:rsidR="00E573D7">
        <w:t>[</w:t>
      </w:r>
      <w:r w:rsidR="00C210EF">
        <w:t xml:space="preserve">SG; </w:t>
      </w:r>
      <w:r w:rsidR="00E573D7" w:rsidRPr="00E573D7">
        <w:rPr>
          <w:i/>
          <w:iCs/>
        </w:rPr>
        <w:t>Panicum virgatum</w:t>
      </w:r>
      <w:r w:rsidR="00E573D7">
        <w:t xml:space="preserve"> L.] and big bluestem/indiangrass [</w:t>
      </w:r>
      <w:r w:rsidR="00C210EF">
        <w:t xml:space="preserve">BBIG; </w:t>
      </w:r>
      <w:r w:rsidR="00E573D7" w:rsidRPr="0019407C">
        <w:rPr>
          <w:i/>
        </w:rPr>
        <w:t>Andropogon gerardii</w:t>
      </w:r>
      <w:r w:rsidR="00E573D7" w:rsidRPr="007C08BE">
        <w:t xml:space="preserve"> Vitman</w:t>
      </w:r>
      <w:r w:rsidR="00E573D7">
        <w:t xml:space="preserve"> and </w:t>
      </w:r>
      <w:r w:rsidR="00E573D7" w:rsidRPr="00E573D7">
        <w:rPr>
          <w:i/>
          <w:iCs/>
        </w:rPr>
        <w:t>Sorghastrum nutans</w:t>
      </w:r>
      <w:r w:rsidR="00E573D7" w:rsidRPr="00E573D7">
        <w:t xml:space="preserve"> (L.) Nash</w:t>
      </w:r>
      <w:r w:rsidR="00E573D7">
        <w:t>]</w:t>
      </w:r>
      <w:r>
        <w:t xml:space="preserve"> pastures. </w:t>
      </w:r>
      <w:r w:rsidR="00D930F6">
        <w:t xml:space="preserve"> Each experiment was a completely randomized design with four replicates of each within-season rest treatment</w:t>
      </w:r>
      <w:r w:rsidR="00357962">
        <w:t xml:space="preserve"> (no rest, early rest, middle rest, late rest, and no graze)</w:t>
      </w:r>
      <w:r w:rsidR="00D930F6">
        <w:t xml:space="preserve">.  </w:t>
      </w:r>
      <w:r w:rsidR="00066847">
        <w:t>Within-season rest</w:t>
      </w:r>
      <w:r w:rsidR="00066847" w:rsidRPr="005A302D">
        <w:t xml:space="preserve"> treatment was not influential for </w:t>
      </w:r>
      <w:r w:rsidR="00066847">
        <w:t xml:space="preserve">total </w:t>
      </w:r>
      <w:r w:rsidR="00066847" w:rsidRPr="005A302D">
        <w:t>forb plant density</w:t>
      </w:r>
      <w:r w:rsidR="00066847">
        <w:t xml:space="preserve"> or </w:t>
      </w:r>
      <w:r w:rsidR="00066847" w:rsidRPr="005A302D">
        <w:t>NWSG tiller</w:t>
      </w:r>
      <w:r w:rsidR="00066847">
        <w:t xml:space="preserve"> density thus</w:t>
      </w:r>
      <w:r w:rsidR="00066847" w:rsidRPr="005A302D">
        <w:t xml:space="preserve"> </w:t>
      </w:r>
      <w:r w:rsidR="00357962">
        <w:t xml:space="preserve">indicating </w:t>
      </w:r>
      <w:r w:rsidR="00066847" w:rsidRPr="005A302D">
        <w:t>persistenc</w:t>
      </w:r>
      <w:r w:rsidR="00357962">
        <w:t xml:space="preserve">e of forbs may </w:t>
      </w:r>
      <w:r w:rsidR="00066847" w:rsidRPr="005A302D">
        <w:t xml:space="preserve">not </w:t>
      </w:r>
      <w:r w:rsidR="00357962">
        <w:t>require</w:t>
      </w:r>
      <w:r w:rsidR="00066847" w:rsidRPr="005A302D">
        <w:t xml:space="preserve"> rotational grazing.</w:t>
      </w:r>
      <w:r w:rsidR="002E3246">
        <w:t xml:space="preserve">  </w:t>
      </w:r>
      <w:r w:rsidR="002E3246" w:rsidRPr="005A302D">
        <w:t xml:space="preserve">Based on </w:t>
      </w:r>
      <w:r w:rsidR="002E3246">
        <w:t xml:space="preserve">establishment and flowering during </w:t>
      </w:r>
      <w:r w:rsidR="002E3246" w:rsidRPr="005A302D">
        <w:t>the current stud</w:t>
      </w:r>
      <w:r w:rsidR="00D06273">
        <w:t>ies</w:t>
      </w:r>
      <w:r w:rsidR="002E3246" w:rsidRPr="005A302D">
        <w:t xml:space="preserve">, </w:t>
      </w:r>
      <w:r w:rsidR="002E3246">
        <w:t>purple prairie clover [</w:t>
      </w:r>
      <w:r w:rsidR="002E3246" w:rsidRPr="002E3246">
        <w:rPr>
          <w:i/>
          <w:iCs/>
        </w:rPr>
        <w:t>Dalea purpurea</w:t>
      </w:r>
      <w:r w:rsidR="002E3246" w:rsidRPr="002E3246">
        <w:t xml:space="preserve"> Vent</w:t>
      </w:r>
      <w:r w:rsidR="002E3246">
        <w:t>.] never established while Illinois bundleflower [</w:t>
      </w:r>
      <w:r w:rsidR="002E3246" w:rsidRPr="005F4310">
        <w:rPr>
          <w:i/>
          <w:iCs/>
        </w:rPr>
        <w:t>Desmanthus illinoensis</w:t>
      </w:r>
      <w:r w:rsidR="002E3246">
        <w:t xml:space="preserve"> (Michx.) MacMill. ex B.L. Rob. &amp; Fernald] was only observed flowering once </w:t>
      </w:r>
      <w:r w:rsidR="00770BAF">
        <w:t xml:space="preserve">despite having the greatest </w:t>
      </w:r>
      <w:r w:rsidR="002E3246">
        <w:t>seed</w:t>
      </w:r>
      <w:r w:rsidR="00770BAF">
        <w:t>ing</w:t>
      </w:r>
      <w:r w:rsidR="002E3246">
        <w:t xml:space="preserve"> rate</w:t>
      </w:r>
      <w:r w:rsidR="00770BAF">
        <w:t xml:space="preserve"> among the forbs</w:t>
      </w:r>
      <w:r w:rsidR="002E3246">
        <w:t>.  Of the 11-specie</w:t>
      </w:r>
      <w:r w:rsidR="00C210EF">
        <w:t>s</w:t>
      </w:r>
      <w:r w:rsidR="002E3246">
        <w:t xml:space="preserve"> in the current mixture, interseeding a 6-species polyculture of black-eyed susan [</w:t>
      </w:r>
      <w:r w:rsidR="002E3246" w:rsidRPr="002E3246">
        <w:rPr>
          <w:i/>
          <w:iCs/>
        </w:rPr>
        <w:t>Rudbeckia hirta</w:t>
      </w:r>
      <w:r w:rsidR="002E3246">
        <w:t xml:space="preserve"> L.], </w:t>
      </w:r>
      <w:r w:rsidR="00E527D4">
        <w:t>Dixie ticktrefoil [</w:t>
      </w:r>
      <w:r w:rsidR="00E527D4" w:rsidRPr="00E527D4">
        <w:rPr>
          <w:i/>
          <w:iCs/>
        </w:rPr>
        <w:t>Desmodium tortuosum</w:t>
      </w:r>
      <w:r w:rsidR="00E527D4" w:rsidRPr="00E527D4">
        <w:t xml:space="preserve"> (Sw.) DC.</w:t>
      </w:r>
      <w:r w:rsidR="00E527D4">
        <w:t>]</w:t>
      </w:r>
      <w:r w:rsidR="002E3246">
        <w:t xml:space="preserve">, </w:t>
      </w:r>
      <w:r w:rsidR="00E527D4">
        <w:t>lanceleaf coreopsis [</w:t>
      </w:r>
      <w:r w:rsidR="00E527D4" w:rsidRPr="00E527D4">
        <w:rPr>
          <w:i/>
          <w:iCs/>
        </w:rPr>
        <w:t>Coreopsis lanceolata</w:t>
      </w:r>
      <w:r w:rsidR="00E527D4">
        <w:t xml:space="preserve"> L.]</w:t>
      </w:r>
      <w:r w:rsidR="002E3246">
        <w:t xml:space="preserve">, </w:t>
      </w:r>
      <w:r w:rsidR="00E527D4">
        <w:t>Maximilian sunflower [</w:t>
      </w:r>
      <w:r w:rsidR="00E527D4" w:rsidRPr="00E527D4">
        <w:rPr>
          <w:i/>
          <w:iCs/>
        </w:rPr>
        <w:t xml:space="preserve">Helianthus maximiliani </w:t>
      </w:r>
      <w:r w:rsidR="00E527D4" w:rsidRPr="00E527D4">
        <w:t>Schrad.</w:t>
      </w:r>
      <w:r w:rsidR="00E527D4">
        <w:t>], oxeye sunflower [</w:t>
      </w:r>
      <w:r w:rsidR="00E527D4" w:rsidRPr="00E527D4">
        <w:rPr>
          <w:i/>
          <w:iCs/>
        </w:rPr>
        <w:t>Heliopsis helianthoides</w:t>
      </w:r>
      <w:r w:rsidR="00E527D4" w:rsidRPr="00E527D4">
        <w:t xml:space="preserve"> (L.) Sweet</w:t>
      </w:r>
      <w:r w:rsidR="00D06273">
        <w:t>]</w:t>
      </w:r>
      <w:r w:rsidR="002E3246">
        <w:t xml:space="preserve">, and </w:t>
      </w:r>
      <w:r w:rsidR="00D06273">
        <w:t>purple coneflower [</w:t>
      </w:r>
      <w:r w:rsidR="00D06273" w:rsidRPr="00D06273">
        <w:rPr>
          <w:i/>
          <w:iCs/>
        </w:rPr>
        <w:t>Echinacea purpurea</w:t>
      </w:r>
      <w:r w:rsidR="00D06273" w:rsidRPr="00D06273">
        <w:t xml:space="preserve"> (L.) </w:t>
      </w:r>
      <w:r w:rsidR="00D06273" w:rsidRPr="00D06273">
        <w:lastRenderedPageBreak/>
        <w:t>Moench</w:t>
      </w:r>
      <w:r w:rsidR="00D06273">
        <w:t>]</w:t>
      </w:r>
      <w:r w:rsidR="002E3246">
        <w:t xml:space="preserve"> could allow for plant biodiversity while offering f</w:t>
      </w:r>
      <w:r w:rsidR="00D06273">
        <w:t>loral resources</w:t>
      </w:r>
      <w:r w:rsidR="002E3246">
        <w:t xml:space="preserve"> </w:t>
      </w:r>
      <w:r w:rsidR="00357962">
        <w:t xml:space="preserve">for pollinators </w:t>
      </w:r>
      <w:r w:rsidR="002E3246">
        <w:t>during the NWSG grazing season.</w:t>
      </w:r>
    </w:p>
    <w:p w14:paraId="1725225D" w14:textId="348CF8D5" w:rsidR="00CE4D4B" w:rsidRDefault="002808D2" w:rsidP="002808D2">
      <w:pPr>
        <w:pStyle w:val="AgronomyJournalSectionTitles"/>
      </w:pPr>
      <w:bookmarkStart w:id="93" w:name="_Toc289175835"/>
      <w:bookmarkStart w:id="94" w:name="_Toc72026034"/>
      <w:bookmarkStart w:id="95" w:name="_Toc72305395"/>
      <w:bookmarkEnd w:id="92"/>
      <w:r>
        <w:t>INTRODUCTION</w:t>
      </w:r>
      <w:bookmarkEnd w:id="93"/>
      <w:bookmarkEnd w:id="94"/>
      <w:bookmarkEnd w:id="95"/>
    </w:p>
    <w:p w14:paraId="098CF2EF" w14:textId="5C5A9FAD" w:rsidR="00DC11B8" w:rsidRDefault="00F16138" w:rsidP="00C9242C">
      <w:pPr>
        <w:pStyle w:val="Paragraphs"/>
      </w:pPr>
      <w:r w:rsidRPr="00F16138">
        <w:t>Native WSG are utilized for forage and biomass production, wildlife habitat restoration, riparian buffers, roadside revegetation efforts, and controlling soil erosion.  Some NWSG that have received attention as forage crops include big bluestem [</w:t>
      </w:r>
      <w:r w:rsidR="00531BE2">
        <w:t xml:space="preserve">BB; </w:t>
      </w:r>
      <w:r w:rsidRPr="00531BE2">
        <w:rPr>
          <w:i/>
          <w:iCs/>
        </w:rPr>
        <w:t>Andropogon gerardii</w:t>
      </w:r>
      <w:r w:rsidRPr="00F16138">
        <w:t xml:space="preserve"> Vitman], indiangrass [</w:t>
      </w:r>
      <w:r w:rsidR="00531BE2">
        <w:t xml:space="preserve">IG; </w:t>
      </w:r>
      <w:r w:rsidRPr="00531BE2">
        <w:rPr>
          <w:i/>
          <w:iCs/>
        </w:rPr>
        <w:t>Sorghastrum nutans</w:t>
      </w:r>
      <w:r w:rsidRPr="00F16138">
        <w:t xml:space="preserve"> (L.) Nash], little bluestem [</w:t>
      </w:r>
      <w:r w:rsidR="00531BE2">
        <w:t xml:space="preserve">LB; </w:t>
      </w:r>
      <w:r w:rsidRPr="00531BE2">
        <w:rPr>
          <w:i/>
          <w:iCs/>
        </w:rPr>
        <w:t>Schizachyrium scoparium</w:t>
      </w:r>
      <w:r w:rsidRPr="00F16138">
        <w:t xml:space="preserve"> (Michx.) Nash], and switchgrass [</w:t>
      </w:r>
      <w:r w:rsidR="00531BE2">
        <w:t xml:space="preserve">SG; </w:t>
      </w:r>
      <w:r w:rsidRPr="00531BE2">
        <w:rPr>
          <w:i/>
          <w:iCs/>
        </w:rPr>
        <w:t>Panicum virgatum</w:t>
      </w:r>
      <w:r w:rsidRPr="00F16138">
        <w:t xml:space="preserve"> L.].</w:t>
      </w:r>
      <w:r>
        <w:t xml:space="preserve">  </w:t>
      </w:r>
      <w:r w:rsidR="00C9242C" w:rsidRPr="00EA6B54">
        <w:t>Multiple researchers have evaluated NWSG for cattle grazing (Keyser et al., 2016; Backus et al., 2017; Brazil, Keyser, Bates, Saxton, &amp; Holcomb, 2020) in the Mid-South</w:t>
      </w:r>
      <w:r w:rsidR="005F4310">
        <w:t xml:space="preserve"> U.S</w:t>
      </w:r>
      <w:r w:rsidR="00C9242C" w:rsidRPr="00EA6B54">
        <w:t>.  Backus and others (2017), working with weaned steers, reported season-long average daily gains (ADG) of 0.89 and 0.68 kg d</w:t>
      </w:r>
      <w:r w:rsidR="00C9242C" w:rsidRPr="00EA6B54">
        <w:rPr>
          <w:vertAlign w:val="superscript"/>
        </w:rPr>
        <w:t xml:space="preserve">-1 </w:t>
      </w:r>
      <w:r w:rsidR="00C9242C" w:rsidRPr="00EA6B54">
        <w:t>and total gains of 335.7 and 393.8 kg ha</w:t>
      </w:r>
      <w:r w:rsidR="00C9242C" w:rsidRPr="00EA6B54">
        <w:rPr>
          <w:vertAlign w:val="superscript"/>
        </w:rPr>
        <w:t xml:space="preserve">-1 </w:t>
      </w:r>
      <w:r w:rsidR="00C9242C" w:rsidRPr="00EA6B54">
        <w:t>for a BBIG blend and SG, respectively, across two sites.  Keyser et al. (2016) found greater ADG (1.25 and 1.03 kg ha</w:t>
      </w:r>
      <w:r w:rsidR="00C9242C" w:rsidRPr="00EA6B54">
        <w:rPr>
          <w:vertAlign w:val="superscript"/>
        </w:rPr>
        <w:t xml:space="preserve">-1 </w:t>
      </w:r>
      <w:r w:rsidR="00C9242C" w:rsidRPr="00EA6B54">
        <w:t>for a BBIG blend and SG, respectively) when grazing bred heifers.  Brazil et al. (2020) reported an ADG between the prior researchers (0.98 kg d</w:t>
      </w:r>
      <w:r w:rsidR="00C9242C" w:rsidRPr="00EA6B54">
        <w:rPr>
          <w:vertAlign w:val="superscript"/>
        </w:rPr>
        <w:t>-1</w:t>
      </w:r>
      <w:r w:rsidR="00C9242C" w:rsidRPr="00EA6B54">
        <w:t>) when steers continuously grazed a three-species blend of BB, IG, and LB.  They also reported a total gain of 379 kg ha</w:t>
      </w:r>
      <w:r w:rsidR="00C9242C" w:rsidRPr="00EA6B54">
        <w:rPr>
          <w:vertAlign w:val="superscript"/>
        </w:rPr>
        <w:t>-1</w:t>
      </w:r>
      <w:r w:rsidR="00C9242C" w:rsidRPr="00EA6B54">
        <w:t xml:space="preserve">.  </w:t>
      </w:r>
    </w:p>
    <w:p w14:paraId="152B407F" w14:textId="05FB2CD8" w:rsidR="000C2E29" w:rsidRDefault="00D46052" w:rsidP="00BB51C6">
      <w:pPr>
        <w:pStyle w:val="Paragraphs"/>
      </w:pPr>
      <w:r>
        <w:t>Enhancing established NWSG pastures by i</w:t>
      </w:r>
      <w:r w:rsidR="00470C79">
        <w:t>ncorporating native</w:t>
      </w:r>
      <w:r w:rsidR="0053231F">
        <w:t xml:space="preserve"> </w:t>
      </w:r>
      <w:r w:rsidR="002A3426">
        <w:t xml:space="preserve">forb and </w:t>
      </w:r>
      <w:r w:rsidR="0053231F">
        <w:t>legum</w:t>
      </w:r>
      <w:r w:rsidR="002A3426">
        <w:t>e</w:t>
      </w:r>
      <w:r w:rsidR="0053578F">
        <w:t xml:space="preserve"> speci</w:t>
      </w:r>
      <w:r w:rsidR="0053231F">
        <w:t xml:space="preserve">es </w:t>
      </w:r>
      <w:r>
        <w:t xml:space="preserve">has </w:t>
      </w:r>
      <w:r w:rsidR="002A3426">
        <w:t xml:space="preserve">the potential to </w:t>
      </w:r>
      <w:r w:rsidR="00470C79">
        <w:t xml:space="preserve">increase </w:t>
      </w:r>
      <w:r w:rsidR="000170B2">
        <w:t xml:space="preserve">overall </w:t>
      </w:r>
      <w:r w:rsidR="00586486">
        <w:t>sward forage quality</w:t>
      </w:r>
      <w:r w:rsidR="00D248BE">
        <w:t xml:space="preserve"> (McGraw, Shockley, Thompson, </w:t>
      </w:r>
      <w:r w:rsidR="00AF4771">
        <w:t>&amp;</w:t>
      </w:r>
      <w:r w:rsidR="00D248BE">
        <w:t xml:space="preserve"> Roberts, 2004)</w:t>
      </w:r>
      <w:r w:rsidR="002E7A80">
        <w:t xml:space="preserve"> and benefit</w:t>
      </w:r>
      <w:r w:rsidR="001F602C">
        <w:t xml:space="preserve"> cattle</w:t>
      </w:r>
      <w:r w:rsidR="002E7A80">
        <w:t xml:space="preserve"> (Tracy &amp; Faulkner, 2006),</w:t>
      </w:r>
      <w:r w:rsidR="001F602C">
        <w:t xml:space="preserve"> </w:t>
      </w:r>
      <w:r w:rsidR="002A3426">
        <w:t>pollinators (</w:t>
      </w:r>
      <w:r w:rsidR="001F602C">
        <w:t>Frankie</w:t>
      </w:r>
      <w:r w:rsidR="00553C2E">
        <w:t xml:space="preserve"> et al., 2005; </w:t>
      </w:r>
      <w:r w:rsidR="002A3426">
        <w:t xml:space="preserve">Tuell, Fiedler, Landis, </w:t>
      </w:r>
      <w:r w:rsidR="00AF4771">
        <w:t>&amp;</w:t>
      </w:r>
      <w:r w:rsidR="002A3426">
        <w:t xml:space="preserve"> Isaacs, 2008)</w:t>
      </w:r>
      <w:r w:rsidR="002E7A80">
        <w:t>,</w:t>
      </w:r>
      <w:r w:rsidR="00BB51C6">
        <w:t xml:space="preserve"> </w:t>
      </w:r>
      <w:r w:rsidR="000D3AE3">
        <w:t>and wildlife (</w:t>
      </w:r>
      <w:r w:rsidR="007F5F68">
        <w:t xml:space="preserve">Harper et al., 2007) </w:t>
      </w:r>
      <w:r w:rsidR="00BB51C6">
        <w:t>beyond that of NWSG monocultures.</w:t>
      </w:r>
      <w:r w:rsidR="00586486">
        <w:t xml:space="preserve">  </w:t>
      </w:r>
      <w:r w:rsidR="002B22A8">
        <w:t>Posler</w:t>
      </w:r>
      <w:r w:rsidR="00470C79">
        <w:t>, Lenssen, and Fine</w:t>
      </w:r>
      <w:r w:rsidR="002B22A8">
        <w:t xml:space="preserve"> (1993) working in </w:t>
      </w:r>
      <w:r w:rsidR="002B22A8">
        <w:lastRenderedPageBreak/>
        <w:t xml:space="preserve">Kansas reported greater crude protein (CP) </w:t>
      </w:r>
      <w:r w:rsidR="005F668C">
        <w:t xml:space="preserve">concentrations in four out of five binary mixtures containing native legumes and NWSG when compared to NWSG monocultures.  </w:t>
      </w:r>
      <w:r w:rsidR="00E817C7">
        <w:t>Springer</w:t>
      </w:r>
      <w:r w:rsidR="00BB51C6">
        <w:t xml:space="preserve">, Aiken, and McNew (2001) reported CP values averaged across SG, BB, and IG monocultures were lower than those of SG, BB, and IG in binary mixtures with Illinois bundleflower </w:t>
      </w:r>
      <w:r w:rsidR="002E3246">
        <w:t>(</w:t>
      </w:r>
      <w:r w:rsidR="00BB51C6">
        <w:t>ILBF</w:t>
      </w:r>
      <w:r w:rsidR="002E3246">
        <w:t>)</w:t>
      </w:r>
      <w:r w:rsidR="00BB51C6">
        <w:t>.</w:t>
      </w:r>
      <w:r w:rsidRPr="00D46052">
        <w:t xml:space="preserve"> </w:t>
      </w:r>
      <w:r>
        <w:t xml:space="preserve"> Such enhancements could also qualify for financial and technical assistance under the Conservation Stewardship Program (USDA-NRCS).  </w:t>
      </w:r>
    </w:p>
    <w:p w14:paraId="1E34C676" w14:textId="7C402075" w:rsidR="00466ABE" w:rsidRDefault="0053231F" w:rsidP="00664595">
      <w:pPr>
        <w:pStyle w:val="Paragraphs"/>
      </w:pPr>
      <w:r>
        <w:t xml:space="preserve">When </w:t>
      </w:r>
      <w:r w:rsidR="005F4310">
        <w:t>grazing</w:t>
      </w:r>
      <w:r>
        <w:t xml:space="preserve"> NWSG</w:t>
      </w:r>
      <w:r w:rsidR="0085187E">
        <w:t xml:space="preserve"> pastures</w:t>
      </w:r>
      <w:r>
        <w:t xml:space="preserve">, rotational </w:t>
      </w:r>
      <w:r w:rsidR="00563FFE">
        <w:t>stocking</w:t>
      </w:r>
      <w:r w:rsidR="006822D9">
        <w:t>,</w:t>
      </w:r>
      <w:r w:rsidR="006822D9" w:rsidRPr="006822D9">
        <w:t xml:space="preserve"> </w:t>
      </w:r>
      <w:r w:rsidR="006822D9">
        <w:t>as opposed to continuous</w:t>
      </w:r>
      <w:r w:rsidR="00563FFE">
        <w:t xml:space="preserve"> stocking</w:t>
      </w:r>
      <w:r w:rsidR="006822D9">
        <w:t>,</w:t>
      </w:r>
      <w:r>
        <w:t xml:space="preserve"> </w:t>
      </w:r>
      <w:r w:rsidR="002A3426">
        <w:t xml:space="preserve">is recommended </w:t>
      </w:r>
      <w:r w:rsidR="006822D9">
        <w:t>to help avoid overgrazing</w:t>
      </w:r>
      <w:r>
        <w:t xml:space="preserve"> </w:t>
      </w:r>
      <w:r w:rsidR="00362F25">
        <w:t xml:space="preserve">(Henning, 1993; </w:t>
      </w:r>
      <w:r w:rsidR="00D6751C">
        <w:t>Harper et al., 2007</w:t>
      </w:r>
      <w:r w:rsidR="00362F25">
        <w:t>).</w:t>
      </w:r>
      <w:r w:rsidR="00170FD6">
        <w:t xml:space="preserve">  </w:t>
      </w:r>
      <w:r w:rsidR="00A0793F">
        <w:t xml:space="preserve">However, </w:t>
      </w:r>
      <w:r w:rsidR="00170FD6">
        <w:t xml:space="preserve">Brazil et al. (2020) found </w:t>
      </w:r>
      <w:r w:rsidR="00952A8B">
        <w:t xml:space="preserve">overall </w:t>
      </w:r>
      <w:r w:rsidR="00170FD6">
        <w:t xml:space="preserve">mean tiller density for BB, IG, and LB increased by 14% from year three to the final year when continuously grazed in Tennessee.  Also in Tennessee, Keyser </w:t>
      </w:r>
      <w:r w:rsidR="00563FFE">
        <w:t>et al.</w:t>
      </w:r>
      <w:r w:rsidR="00170FD6">
        <w:t xml:space="preserve"> (2016) reported that NWSG coverage did not decrease while continuously stocking pastures of SG or BBIG </w:t>
      </w:r>
      <w:r w:rsidR="00A0793F">
        <w:t>interseeded</w:t>
      </w:r>
      <w:r w:rsidR="00170FD6">
        <w:t xml:space="preserve"> with red clover.</w:t>
      </w:r>
      <w:r w:rsidR="00362F25">
        <w:t xml:space="preserve">  </w:t>
      </w:r>
      <w:r w:rsidR="00A0793F">
        <w:t>On the other hand,</w:t>
      </w:r>
      <w:r w:rsidR="00170FD6">
        <w:t xml:space="preserve"> </w:t>
      </w:r>
      <w:r w:rsidR="009430CF">
        <w:t xml:space="preserve">Bonin, Lal, and Tracy (2014) rotationally grazed native </w:t>
      </w:r>
      <w:r w:rsidR="00556169">
        <w:t xml:space="preserve">mono- and </w:t>
      </w:r>
      <w:r w:rsidR="009430CF">
        <w:t>polycultures</w:t>
      </w:r>
      <w:r w:rsidR="00CD4896">
        <w:t xml:space="preserve"> </w:t>
      </w:r>
      <w:r w:rsidR="002E6772">
        <w:t xml:space="preserve">for three years </w:t>
      </w:r>
      <w:r w:rsidR="00D6751C">
        <w:t xml:space="preserve">by removing animals when WSG stubble height reached 16 cm and </w:t>
      </w:r>
      <w:r w:rsidR="00CD4896">
        <w:t>utilizing a ~30-d rest period between two grazing events per season</w:t>
      </w:r>
      <w:r w:rsidR="00D6751C">
        <w:t xml:space="preserve"> </w:t>
      </w:r>
      <w:r w:rsidR="002E714D">
        <w:t>as to</w:t>
      </w:r>
      <w:r w:rsidR="00D6751C">
        <w:t xml:space="preserve"> not weaken stands</w:t>
      </w:r>
      <w:r w:rsidR="00170FD6">
        <w:t xml:space="preserve"> in Virginia</w:t>
      </w:r>
      <w:r w:rsidR="009430CF">
        <w:t>.</w:t>
      </w:r>
      <w:r w:rsidR="00556169">
        <w:t xml:space="preserve">  They noted an increase in relative cover of sown species</w:t>
      </w:r>
      <w:r w:rsidR="009430CF">
        <w:t xml:space="preserve"> </w:t>
      </w:r>
      <w:bookmarkStart w:id="96" w:name="_Hlk67234705"/>
      <w:r w:rsidR="008E3C39">
        <w:t>within monocultures and a decrease in weed species in 4-species mixtures.</w:t>
      </w:r>
      <w:r w:rsidR="00FE4A62">
        <w:t xml:space="preserve">  However, all species, including NWSG, were sown simultaneously.  </w:t>
      </w:r>
      <w:r w:rsidR="00952A8B">
        <w:t xml:space="preserve">Hickman, Hartnett, Cochran, and Owensby (2004) reported </w:t>
      </w:r>
      <w:r w:rsidR="0017609B">
        <w:t xml:space="preserve">that </w:t>
      </w:r>
      <w:r w:rsidR="0006270F">
        <w:t xml:space="preserve">after six years of grazing, </w:t>
      </w:r>
      <w:r w:rsidR="0017609B">
        <w:t>perennial forbs failed to be impacted by various stocking densities of cattle in the Tallgrass Prairie region of Ka</w:t>
      </w:r>
      <w:r w:rsidR="00952A8B">
        <w:t>nsas</w:t>
      </w:r>
      <w:r w:rsidR="0017609B">
        <w:t>.  They concluded that perennial forbs exhibited high stability across all grazing treatments.</w:t>
      </w:r>
      <w:r w:rsidR="00D46052">
        <w:t xml:space="preserve">  Fahnestock and Knapp (1993) determined that </w:t>
      </w:r>
      <w:r w:rsidR="0006270F">
        <w:t>N</w:t>
      </w:r>
      <w:r w:rsidR="00D46052">
        <w:t xml:space="preserve">WSG </w:t>
      </w:r>
      <w:r w:rsidR="0006270F">
        <w:t xml:space="preserve">are </w:t>
      </w:r>
      <w:r w:rsidR="00D46052">
        <w:t>more readily</w:t>
      </w:r>
      <w:r w:rsidR="0006270F">
        <w:t xml:space="preserve"> consumed</w:t>
      </w:r>
      <w:r w:rsidR="00D46052">
        <w:t xml:space="preserve"> than perennial forbs thus increasing plant abundance by decreasing competition. </w:t>
      </w:r>
    </w:p>
    <w:p w14:paraId="5B956D4B" w14:textId="0F240FD4" w:rsidR="00586486" w:rsidRDefault="00FE4A62" w:rsidP="00A01E34">
      <w:pPr>
        <w:pStyle w:val="Paragraphs"/>
        <w:spacing w:after="100" w:afterAutospacing="1"/>
      </w:pPr>
      <w:r>
        <w:lastRenderedPageBreak/>
        <w:t>U</w:t>
      </w:r>
      <w:r w:rsidR="00AC79FF">
        <w:t>nfortunately</w:t>
      </w:r>
      <w:r>
        <w:t>, literature focus</w:t>
      </w:r>
      <w:r w:rsidR="001C1F6C">
        <w:t>ed</w:t>
      </w:r>
      <w:r>
        <w:t xml:space="preserve"> on </w:t>
      </w:r>
      <w:r w:rsidR="00D46052">
        <w:t xml:space="preserve">grazing </w:t>
      </w:r>
      <w:r>
        <w:t xml:space="preserve">native forbs </w:t>
      </w:r>
      <w:r w:rsidR="00D46052">
        <w:t xml:space="preserve">interseeded </w:t>
      </w:r>
      <w:r>
        <w:t>into established NWSG pastures</w:t>
      </w:r>
      <w:r w:rsidR="00D46052">
        <w:t xml:space="preserve"> </w:t>
      </w:r>
      <w:r w:rsidR="001C1F6C">
        <w:t>is lacking</w:t>
      </w:r>
      <w:r>
        <w:t>.</w:t>
      </w:r>
      <w:r w:rsidR="00466ABE">
        <w:t xml:space="preserve">  </w:t>
      </w:r>
      <w:r w:rsidR="00CD4896">
        <w:t xml:space="preserve">Therefore, </w:t>
      </w:r>
      <w:r w:rsidR="00563FFE">
        <w:t xml:space="preserve">the objective of the present studies was </w:t>
      </w:r>
      <w:r w:rsidR="004A1D30">
        <w:t>to evaluate whether within-season rest from grazing is needed for</w:t>
      </w:r>
      <w:r w:rsidR="008E3C39">
        <w:t xml:space="preserve"> </w:t>
      </w:r>
      <w:r w:rsidR="004A1D30">
        <w:t>sustainability</w:t>
      </w:r>
      <w:r w:rsidR="001F4E4C" w:rsidRPr="001F4E4C">
        <w:t xml:space="preserve"> </w:t>
      </w:r>
      <w:r w:rsidR="001F4E4C">
        <w:t>of interseeded forbs within</w:t>
      </w:r>
      <w:r w:rsidR="008E3C39">
        <w:t xml:space="preserve"> </w:t>
      </w:r>
      <w:r w:rsidR="001F4E4C">
        <w:t>native pasture</w:t>
      </w:r>
      <w:r w:rsidR="00CD4896">
        <w:t xml:space="preserve">, we </w:t>
      </w:r>
      <w:r w:rsidR="001F4E4C">
        <w:t xml:space="preserve">conducted </w:t>
      </w:r>
      <w:r w:rsidR="00CD4896">
        <w:t xml:space="preserve">two NWSG grazing studies to assess the persistence of native forbs when an 11-species native forb blend was </w:t>
      </w:r>
      <w:r w:rsidR="00E93A88">
        <w:t>sown</w:t>
      </w:r>
      <w:r w:rsidR="00CD4896">
        <w:t xml:space="preserve"> into established NWSG pastures.  Specifically, we evaluated forb plant density per species,</w:t>
      </w:r>
      <w:r w:rsidR="00CD4896" w:rsidRPr="002528F0">
        <w:t xml:space="preserve"> </w:t>
      </w:r>
      <w:r w:rsidR="00CD4896">
        <w:t>NWSG tiller density, forage nutritive value, and forb flowering percentage of these polycultures as affected by grazing treatments implemented throughout the grazing season (May-August).</w:t>
      </w:r>
      <w:bookmarkEnd w:id="96"/>
    </w:p>
    <w:p w14:paraId="29153870" w14:textId="32C3E39B" w:rsidR="002D363C" w:rsidRDefault="002D363C" w:rsidP="002D363C">
      <w:pPr>
        <w:pStyle w:val="AgronomyJournalSectionTitles"/>
      </w:pPr>
      <w:bookmarkStart w:id="97" w:name="_Toc72026035"/>
      <w:bookmarkStart w:id="98" w:name="_Toc72305396"/>
      <w:r>
        <w:t>MATERIALS AND METHODS</w:t>
      </w:r>
      <w:bookmarkEnd w:id="97"/>
      <w:bookmarkEnd w:id="98"/>
    </w:p>
    <w:p w14:paraId="19A919B3" w14:textId="059707F4" w:rsidR="002D363C" w:rsidRPr="002D363C" w:rsidRDefault="002D363C" w:rsidP="00124C0D">
      <w:pPr>
        <w:pStyle w:val="Heading2"/>
      </w:pPr>
      <w:bookmarkStart w:id="99" w:name="_Toc72026036"/>
      <w:bookmarkStart w:id="100" w:name="_Toc72305397"/>
      <w:r w:rsidRPr="002D363C">
        <w:t>Site Description</w:t>
      </w:r>
      <w:bookmarkEnd w:id="99"/>
      <w:bookmarkEnd w:id="100"/>
    </w:p>
    <w:p w14:paraId="3C30CB9C" w14:textId="427877FA" w:rsidR="00C26FD5" w:rsidRPr="005A302D" w:rsidRDefault="008556AE" w:rsidP="006552DA">
      <w:pPr>
        <w:spacing w:after="100" w:afterAutospacing="1"/>
        <w:ind w:firstLine="720"/>
      </w:pPr>
      <w:r>
        <w:t>Grazing studies evaluating t</w:t>
      </w:r>
      <w:r w:rsidR="002D363C" w:rsidRPr="002D363C">
        <w:t>wo NWSG (</w:t>
      </w:r>
      <w:r>
        <w:t>2</w:t>
      </w:r>
      <w:r w:rsidR="00375F07">
        <w:t xml:space="preserve">:1 </w:t>
      </w:r>
      <w:r w:rsidR="002D363C" w:rsidRPr="002D363C">
        <w:t>BBIG</w:t>
      </w:r>
      <w:r w:rsidR="00375F07">
        <w:t xml:space="preserve"> blend </w:t>
      </w:r>
      <w:r w:rsidR="002D363C" w:rsidRPr="002D363C">
        <w:t xml:space="preserve">and SG) </w:t>
      </w:r>
      <w:r>
        <w:t xml:space="preserve">forage options </w:t>
      </w:r>
      <w:r w:rsidR="002D363C" w:rsidRPr="002D363C">
        <w:t xml:space="preserve">were conducted </w:t>
      </w:r>
      <w:r w:rsidR="00BD3913">
        <w:t xml:space="preserve">concurrently </w:t>
      </w:r>
      <w:r w:rsidR="002D363C" w:rsidRPr="002D363C">
        <w:t xml:space="preserve">at the University of Tennessee </w:t>
      </w:r>
      <w:r w:rsidR="00B118B0">
        <w:t xml:space="preserve">Northeast Tennessee </w:t>
      </w:r>
      <w:r w:rsidR="002D363C" w:rsidRPr="002D363C">
        <w:t xml:space="preserve">AgResearch and Education Center </w:t>
      </w:r>
      <w:r w:rsidR="00CB6C29">
        <w:t>(</w:t>
      </w:r>
      <w:r w:rsidR="00B118B0">
        <w:t>NET</w:t>
      </w:r>
      <w:r w:rsidR="00CB6C29">
        <w:t xml:space="preserve">REC; </w:t>
      </w:r>
      <w:r w:rsidR="00CB6C29" w:rsidRPr="002D363C">
        <w:t>36°06'34.6"N, 82°51'41.2"W</w:t>
      </w:r>
      <w:r w:rsidR="00CB6C29">
        <w:t>)</w:t>
      </w:r>
      <w:r w:rsidR="002D363C" w:rsidRPr="002D363C">
        <w:t xml:space="preserve"> in Greeneville, TN</w:t>
      </w:r>
      <w:r w:rsidR="00B27D4A">
        <w:t>, from 2017-20</w:t>
      </w:r>
      <w:r w:rsidR="00451D7F">
        <w:t>20</w:t>
      </w:r>
      <w:r w:rsidR="00B27D4A">
        <w:t>.   The soil at this location was a</w:t>
      </w:r>
      <w:r w:rsidR="002D363C" w:rsidRPr="002D363C">
        <w:t xml:space="preserve"> Dunmore loam (fine, kaolinitic, mesic Typic Paleudults)</w:t>
      </w:r>
      <w:r w:rsidR="00B27D4A">
        <w:t>.</w:t>
      </w:r>
      <w:r w:rsidR="002D363C" w:rsidRPr="002D363C">
        <w:t xml:space="preserve">  This site had previously been utilized as native-warm season grass pasture, </w:t>
      </w:r>
      <w:r w:rsidR="005607DA">
        <w:t xml:space="preserve">SG and </w:t>
      </w:r>
      <w:r w:rsidR="002D363C" w:rsidRPr="002D363C">
        <w:t>BBIG</w:t>
      </w:r>
      <w:r>
        <w:t xml:space="preserve">, </w:t>
      </w:r>
      <w:r w:rsidRPr="005A302D">
        <w:t>established in 2008.</w:t>
      </w:r>
      <w:r w:rsidR="002D363C" w:rsidRPr="005A302D">
        <w:t xml:space="preserve">  </w:t>
      </w:r>
      <w:r w:rsidR="00390DD9" w:rsidRPr="005A302D">
        <w:t>Annual soil tests were conducted from 0-15-cm depth (Mehlich 1</w:t>
      </w:r>
      <w:r w:rsidR="006E29B0">
        <w:t xml:space="preserve">; </w:t>
      </w:r>
      <w:r w:rsidR="006E29B0" w:rsidRPr="00A41CAD">
        <w:t>University of Tennessee Soil, Plant and Pest Center, Nashville, TN</w:t>
      </w:r>
      <w:r w:rsidR="00390DD9" w:rsidRPr="005A302D">
        <w:t>)</w:t>
      </w:r>
      <w:r w:rsidR="005A1D44" w:rsidRPr="005A302D">
        <w:t xml:space="preserve"> (Table 2.1</w:t>
      </w:r>
      <w:r w:rsidR="005A1D44" w:rsidRPr="009B43B3">
        <w:t>)</w:t>
      </w:r>
      <w:r w:rsidR="00390DD9" w:rsidRPr="009B43B3">
        <w:t xml:space="preserve">. </w:t>
      </w:r>
      <w:r w:rsidR="003072D6" w:rsidRPr="009B43B3">
        <w:t xml:space="preserve"> E</w:t>
      </w:r>
      <w:r w:rsidR="005607DA" w:rsidRPr="009B43B3">
        <w:t xml:space="preserve">ach pasture (SG and BBIG) received </w:t>
      </w:r>
      <w:r w:rsidR="00505DF9" w:rsidRPr="009B43B3">
        <w:t>46.4</w:t>
      </w:r>
      <w:r w:rsidR="00F75CA0" w:rsidRPr="009B43B3">
        <w:t xml:space="preserve"> </w:t>
      </w:r>
      <w:r w:rsidR="006E29B0" w:rsidRPr="009B43B3">
        <w:t xml:space="preserve">kg </w:t>
      </w:r>
      <w:r w:rsidR="005607DA" w:rsidRPr="009B43B3">
        <w:t>P</w:t>
      </w:r>
      <w:r w:rsidR="005607DA" w:rsidRPr="009B43B3">
        <w:rPr>
          <w:vertAlign w:val="subscript"/>
        </w:rPr>
        <w:t>2</w:t>
      </w:r>
      <w:r w:rsidR="005607DA" w:rsidRPr="009B43B3">
        <w:t>O</w:t>
      </w:r>
      <w:r w:rsidR="005607DA" w:rsidRPr="009B43B3">
        <w:rPr>
          <w:vertAlign w:val="subscript"/>
        </w:rPr>
        <w:t xml:space="preserve">5 </w:t>
      </w:r>
      <w:r w:rsidR="006E29B0" w:rsidRPr="009B43B3">
        <w:t>ha</w:t>
      </w:r>
      <w:r w:rsidR="006E29B0" w:rsidRPr="009B43B3">
        <w:rPr>
          <w:vertAlign w:val="superscript"/>
        </w:rPr>
        <w:t>-1</w:t>
      </w:r>
      <w:r w:rsidR="006E29B0" w:rsidRPr="009B43B3">
        <w:t xml:space="preserve"> </w:t>
      </w:r>
      <w:r w:rsidR="00F75CA0" w:rsidRPr="009B43B3">
        <w:t xml:space="preserve">and </w:t>
      </w:r>
      <w:r w:rsidR="00505DF9" w:rsidRPr="009B43B3">
        <w:t>60.5</w:t>
      </w:r>
      <w:r w:rsidR="00F75CA0" w:rsidRPr="009B43B3">
        <w:t xml:space="preserve"> kg </w:t>
      </w:r>
      <w:r w:rsidR="005607DA" w:rsidRPr="009B43B3">
        <w:t>K</w:t>
      </w:r>
      <w:r w:rsidR="005607DA" w:rsidRPr="009B43B3">
        <w:rPr>
          <w:vertAlign w:val="subscript"/>
        </w:rPr>
        <w:t>2</w:t>
      </w:r>
      <w:r w:rsidR="005607DA" w:rsidRPr="009B43B3">
        <w:t xml:space="preserve">O </w:t>
      </w:r>
      <w:r w:rsidR="00F75CA0" w:rsidRPr="009B43B3">
        <w:t>ha</w:t>
      </w:r>
      <w:r w:rsidR="00F75CA0" w:rsidRPr="009B43B3">
        <w:rPr>
          <w:vertAlign w:val="superscript"/>
        </w:rPr>
        <w:t>-1</w:t>
      </w:r>
      <w:r w:rsidR="003072D6" w:rsidRPr="009B43B3">
        <w:t xml:space="preserve"> in 2019.  In 2020, each received 100.9 kg P</w:t>
      </w:r>
      <w:r w:rsidR="003072D6" w:rsidRPr="009B43B3">
        <w:rPr>
          <w:vertAlign w:val="subscript"/>
        </w:rPr>
        <w:t>2</w:t>
      </w:r>
      <w:r w:rsidR="003072D6" w:rsidRPr="009B43B3">
        <w:t>O</w:t>
      </w:r>
      <w:r w:rsidR="003072D6" w:rsidRPr="009B43B3">
        <w:rPr>
          <w:vertAlign w:val="subscript"/>
        </w:rPr>
        <w:t xml:space="preserve">5 </w:t>
      </w:r>
      <w:r w:rsidR="003072D6" w:rsidRPr="009B43B3">
        <w:t>ha</w:t>
      </w:r>
      <w:r w:rsidR="003072D6" w:rsidRPr="009B43B3">
        <w:rPr>
          <w:vertAlign w:val="superscript"/>
        </w:rPr>
        <w:t>-1</w:t>
      </w:r>
      <w:r w:rsidR="003072D6" w:rsidRPr="009B43B3">
        <w:t xml:space="preserve"> and 100.9 kg K</w:t>
      </w:r>
      <w:r w:rsidR="003072D6" w:rsidRPr="009B43B3">
        <w:rPr>
          <w:vertAlign w:val="subscript"/>
        </w:rPr>
        <w:t>2</w:t>
      </w:r>
      <w:r w:rsidR="003072D6" w:rsidRPr="009B43B3">
        <w:t>O ha</w:t>
      </w:r>
      <w:r w:rsidR="003072D6" w:rsidRPr="009B43B3">
        <w:rPr>
          <w:vertAlign w:val="superscript"/>
        </w:rPr>
        <w:t>-1</w:t>
      </w:r>
      <w:r w:rsidR="003072D6">
        <w:t xml:space="preserve">. </w:t>
      </w:r>
      <w:r w:rsidR="00F14896">
        <w:t xml:space="preserve"> </w:t>
      </w:r>
      <w:r w:rsidR="00CB6C29" w:rsidRPr="005A302D">
        <w:t xml:space="preserve">Mean monthly air temperature and precipitation were collected at a weather </w:t>
      </w:r>
      <w:r w:rsidR="00CB6C29" w:rsidRPr="005A302D">
        <w:lastRenderedPageBreak/>
        <w:t xml:space="preserve">station located on </w:t>
      </w:r>
      <w:r w:rsidR="00B06341" w:rsidRPr="005A302D">
        <w:t>NETREC</w:t>
      </w:r>
      <w:r w:rsidR="00CB6C29" w:rsidRPr="005A302D">
        <w:t xml:space="preserve"> (</w:t>
      </w:r>
      <w:r w:rsidR="002219FF" w:rsidRPr="005A302D">
        <w:t>1.66 km</w:t>
      </w:r>
      <w:r w:rsidR="00CB6C29" w:rsidRPr="005A302D">
        <w:t xml:space="preserve"> from experiment locations) </w:t>
      </w:r>
      <w:r w:rsidR="002219FF" w:rsidRPr="005A302D">
        <w:t xml:space="preserve">each year </w:t>
      </w:r>
      <w:r w:rsidR="00CB6C29" w:rsidRPr="005A302D">
        <w:t xml:space="preserve">and compared to 30-year means (NOAA, 2020).  </w:t>
      </w:r>
    </w:p>
    <w:p w14:paraId="16C6B3BB" w14:textId="4EF5454B" w:rsidR="00631CEF" w:rsidRPr="005A302D" w:rsidRDefault="00631CEF" w:rsidP="00124C0D">
      <w:pPr>
        <w:pStyle w:val="Heading2"/>
      </w:pPr>
      <w:bookmarkStart w:id="101" w:name="_Toc72026037"/>
      <w:bookmarkStart w:id="102" w:name="_Toc72305398"/>
      <w:r w:rsidRPr="005A302D">
        <w:t>Experimental Design</w:t>
      </w:r>
      <w:bookmarkEnd w:id="101"/>
      <w:bookmarkEnd w:id="102"/>
    </w:p>
    <w:p w14:paraId="59473C6D" w14:textId="09E1A3A1" w:rsidR="00C26FD5" w:rsidRPr="005A302D" w:rsidRDefault="00631CEF" w:rsidP="00C26FD5">
      <w:pPr>
        <w:ind w:firstLine="720"/>
      </w:pPr>
      <w:r w:rsidRPr="005A302D">
        <w:t>Two, 1.2</w:t>
      </w:r>
      <w:r w:rsidR="00451D7F" w:rsidRPr="005A302D">
        <w:t>-</w:t>
      </w:r>
      <w:r w:rsidRPr="005A302D">
        <w:t xml:space="preserve">ha pastures (one pasture per experiment) of established perennial NWSG (one SG and one BB/IG mixture) were interseeded with </w:t>
      </w:r>
      <w:bookmarkStart w:id="103" w:name="_Hlk51801254"/>
      <w:r w:rsidRPr="005A302D">
        <w:t xml:space="preserve">an 11-species biodiversity mixture of native forbs </w:t>
      </w:r>
      <w:bookmarkEnd w:id="103"/>
      <w:r w:rsidR="000A34DE" w:rsidRPr="005A302D">
        <w:t>(</w:t>
      </w:r>
      <w:r w:rsidRPr="005A302D">
        <w:t xml:space="preserve">Table </w:t>
      </w:r>
      <w:r w:rsidR="007E7AF7" w:rsidRPr="005A302D">
        <w:t>2</w:t>
      </w:r>
      <w:r w:rsidRPr="005A302D">
        <w:t>.</w:t>
      </w:r>
      <w:r w:rsidR="003C3710" w:rsidRPr="005A302D">
        <w:t>2</w:t>
      </w:r>
      <w:r w:rsidRPr="005A302D">
        <w:t>).</w:t>
      </w:r>
      <w:r w:rsidR="00C26FD5" w:rsidRPr="005A302D">
        <w:t xml:space="preserve">  Five grazing treatments </w:t>
      </w:r>
      <w:r w:rsidR="00343E58">
        <w:t xml:space="preserve">based on the timing of within-season rest </w:t>
      </w:r>
      <w:r w:rsidR="00C26FD5" w:rsidRPr="005A302D">
        <w:t xml:space="preserve">(no rest, early rest, middle rest, late rest, and no grazing control; </w:t>
      </w:r>
      <w:r w:rsidR="007624D3">
        <w:t xml:space="preserve">Figure 2.1 and </w:t>
      </w:r>
      <w:r w:rsidR="00C26FD5" w:rsidRPr="005A302D">
        <w:t xml:space="preserve">Table </w:t>
      </w:r>
      <w:r w:rsidR="007E7AF7" w:rsidRPr="005A302D">
        <w:t>2</w:t>
      </w:r>
      <w:r w:rsidR="00C26FD5" w:rsidRPr="005A302D">
        <w:t>.</w:t>
      </w:r>
      <w:r w:rsidR="003C3710" w:rsidRPr="005A302D">
        <w:t>3</w:t>
      </w:r>
      <w:r w:rsidR="00C26FD5" w:rsidRPr="005A302D">
        <w:t xml:space="preserve">) were arranged in a completely randomized design with four replicates (n = 20 plots) within each </w:t>
      </w:r>
      <w:r w:rsidR="004A6427">
        <w:t xml:space="preserve">of the two </w:t>
      </w:r>
      <w:r w:rsidR="00C26FD5" w:rsidRPr="005A302D">
        <w:t>NWSG pasture</w:t>
      </w:r>
      <w:r w:rsidR="004A6427">
        <w:t>s</w:t>
      </w:r>
      <w:r w:rsidR="00C26FD5" w:rsidRPr="005A302D">
        <w:t xml:space="preserve">.  Each experimental unit was approximately </w:t>
      </w:r>
      <w:r w:rsidR="00FC3EFF" w:rsidRPr="005A302D">
        <w:t>0.05 ha</w:t>
      </w:r>
      <w:r w:rsidR="00C26FD5" w:rsidRPr="005A302D">
        <w:t xml:space="preserve"> with a 7.6-m </w:t>
      </w:r>
      <w:r w:rsidR="000C3632">
        <w:t xml:space="preserve">wide </w:t>
      </w:r>
      <w:r w:rsidR="00C26FD5" w:rsidRPr="005A302D">
        <w:t>center alley stretching the length of each pasture</w:t>
      </w:r>
      <w:r w:rsidR="004A6427">
        <w:t xml:space="preserve"> that allowed access to each unit as needed through the course of the season</w:t>
      </w:r>
      <w:r w:rsidR="00C26FD5" w:rsidRPr="005A302D">
        <w:t>.</w:t>
      </w:r>
      <w:r w:rsidR="009F37A0">
        <w:t xml:space="preserve"> </w:t>
      </w:r>
      <w:r w:rsidR="00E823F0">
        <w:t xml:space="preserve"> </w:t>
      </w:r>
      <w:r w:rsidR="009F37A0">
        <w:t>Temporary electric fencing was</w:t>
      </w:r>
      <w:r w:rsidR="00E823F0">
        <w:t xml:space="preserve"> used to open and close access to the 20 experimental units based on their assigned rest period.</w:t>
      </w:r>
    </w:p>
    <w:p w14:paraId="419A9EF1" w14:textId="26646C76" w:rsidR="00C26FD5" w:rsidRPr="005A302D" w:rsidRDefault="00C26FD5" w:rsidP="00CE5BBE">
      <w:pPr>
        <w:spacing w:after="100" w:afterAutospacing="1"/>
        <w:ind w:firstLine="720"/>
      </w:pPr>
      <w:r w:rsidRPr="005A302D">
        <w:t xml:space="preserve">Native WSG were existing stands established in </w:t>
      </w:r>
      <w:r w:rsidR="00FC3EFF" w:rsidRPr="005A302D">
        <w:t>2008</w:t>
      </w:r>
      <w:r w:rsidRPr="005A302D">
        <w:t xml:space="preserve">.  In preparation for establishment of </w:t>
      </w:r>
      <w:r w:rsidR="000A34DE" w:rsidRPr="005A302D">
        <w:t>the forbs,</w:t>
      </w:r>
      <w:r w:rsidRPr="005A302D">
        <w:t xml:space="preserve"> pastures were burned in fall 2016, cut to a 20-cm stubble height with </w:t>
      </w:r>
      <w:r w:rsidR="00FC3EFF" w:rsidRPr="005A302D">
        <w:t>harvested</w:t>
      </w:r>
      <w:r w:rsidRPr="005A302D">
        <w:t xml:space="preserve"> material removed in spring 2017, and sprayed with </w:t>
      </w:r>
      <w:r w:rsidR="00F84ACC" w:rsidRPr="005A302D">
        <w:t>PastureGard</w:t>
      </w:r>
      <w:r w:rsidR="00F84ACC" w:rsidRPr="005A302D">
        <w:rPr>
          <w:rFonts w:cs="Times New Roman"/>
          <w:vertAlign w:val="superscript"/>
        </w:rPr>
        <w:t>®</w:t>
      </w:r>
      <w:r w:rsidR="00F84ACC" w:rsidRPr="005A302D">
        <w:t xml:space="preserve"> HL [{triclopyr: 3,5,6-trichloro-2- pyridinyloxyacetic acid, butoxyethyl ester; 45.07%}; {fluroxypyr: [(4-amino-3,5-dichloro-6-fluoropyridin-2-yl)oxy]acetic acid, 1-methylheptyl ester; 15.56%}] </w:t>
      </w:r>
      <w:r w:rsidRPr="005A302D">
        <w:t xml:space="preserve">at </w:t>
      </w:r>
      <w:r w:rsidR="00F84ACC" w:rsidRPr="005A302D">
        <w:t xml:space="preserve">2.34 </w:t>
      </w:r>
      <w:r w:rsidRPr="005A302D">
        <w:t>L product ha</w:t>
      </w:r>
      <w:r w:rsidRPr="005A302D">
        <w:rPr>
          <w:vertAlign w:val="superscript"/>
        </w:rPr>
        <w:t>-1</w:t>
      </w:r>
      <w:r w:rsidR="00F84ACC" w:rsidRPr="005A302D">
        <w:t xml:space="preserve"> and</w:t>
      </w:r>
      <w:r w:rsidR="00F46726" w:rsidRPr="005A302D">
        <w:t xml:space="preserve"> 2,4-D Amine 4 [dimethylamine salt of 2,4-Dichlorophenoxyacetic acid; 47.3%] at 2.34 L product ha</w:t>
      </w:r>
      <w:r w:rsidR="00F46726" w:rsidRPr="005A302D">
        <w:rPr>
          <w:vertAlign w:val="superscript"/>
        </w:rPr>
        <w:t>-1</w:t>
      </w:r>
      <w:r w:rsidR="00F46726" w:rsidRPr="005A302D">
        <w:t>.</w:t>
      </w:r>
      <w:r w:rsidRPr="005A302D">
        <w:t xml:space="preserve">  Following preparation, </w:t>
      </w:r>
      <w:r w:rsidR="000A34DE" w:rsidRPr="005A302D">
        <w:t>the native forb</w:t>
      </w:r>
      <w:r w:rsidRPr="005A302D">
        <w:t xml:space="preserve"> blend was no-till drilled on 12 June 2017 using a 9-row Great Plains</w:t>
      </w:r>
      <w:r w:rsidRPr="005A302D">
        <w:rPr>
          <w:vertAlign w:val="superscript"/>
        </w:rPr>
        <w:t>®</w:t>
      </w:r>
      <w:r w:rsidRPr="005A302D">
        <w:t xml:space="preserve"> (Great Plains Manufacturing, Inc., Salina, KS) no-till drill with 19.1-cm row spacing.  Annual </w:t>
      </w:r>
      <w:r w:rsidRPr="005A302D">
        <w:lastRenderedPageBreak/>
        <w:t xml:space="preserve">forb/legume species (partridge pea and plains coreopsis) were reseeded </w:t>
      </w:r>
      <w:r w:rsidR="00A331C2" w:rsidRPr="005A302D">
        <w:t>on 26 March</w:t>
      </w:r>
      <w:r w:rsidRPr="005A302D">
        <w:t xml:space="preserve"> 2018 to enhance establishment due to the late initial planting date.</w:t>
      </w:r>
    </w:p>
    <w:p w14:paraId="30281144" w14:textId="4D80FB16" w:rsidR="003D63DF" w:rsidRPr="00124C0D" w:rsidRDefault="00EF16AA" w:rsidP="00124C0D">
      <w:pPr>
        <w:pStyle w:val="Heading3"/>
      </w:pPr>
      <w:bookmarkStart w:id="104" w:name="_Toc72026038"/>
      <w:bookmarkStart w:id="105" w:name="_Toc72305399"/>
      <w:r w:rsidRPr="00124C0D">
        <w:rPr>
          <w:rStyle w:val="BookTitle"/>
          <w:b/>
          <w:bCs/>
          <w:i w:val="0"/>
          <w:iCs/>
          <w:spacing w:val="0"/>
        </w:rPr>
        <w:t>Animal Management</w:t>
      </w:r>
      <w:r w:rsidR="00A12467" w:rsidRPr="00124C0D">
        <w:rPr>
          <w:rStyle w:val="BookTitle"/>
          <w:b/>
          <w:bCs/>
          <w:i w:val="0"/>
          <w:iCs/>
          <w:spacing w:val="0"/>
        </w:rPr>
        <w:t xml:space="preserve"> and Measurement</w:t>
      </w:r>
      <w:r w:rsidR="00B33C15" w:rsidRPr="00124C0D">
        <w:rPr>
          <w:rStyle w:val="BookTitle"/>
          <w:b/>
          <w:bCs/>
          <w:i w:val="0"/>
          <w:iCs/>
          <w:spacing w:val="0"/>
        </w:rPr>
        <w:t>s</w:t>
      </w:r>
      <w:bookmarkEnd w:id="104"/>
      <w:bookmarkEnd w:id="105"/>
    </w:p>
    <w:p w14:paraId="6E1359CB" w14:textId="60D93C46" w:rsidR="00236E6D" w:rsidRPr="005A302D" w:rsidRDefault="00306841" w:rsidP="00CE5BBE">
      <w:pPr>
        <w:spacing w:after="100" w:afterAutospacing="1"/>
        <w:ind w:firstLine="720"/>
        <w:rPr>
          <w:rFonts w:cs="Times New Roman"/>
        </w:rPr>
      </w:pPr>
      <w:r w:rsidRPr="005A302D">
        <w:rPr>
          <w:rFonts w:cs="Times New Roman"/>
        </w:rPr>
        <w:t>Weaned beef s</w:t>
      </w:r>
      <w:r w:rsidR="00EF16AA" w:rsidRPr="005A302D">
        <w:rPr>
          <w:rFonts w:cs="Times New Roman"/>
        </w:rPr>
        <w:t xml:space="preserve">teers (Angus </w:t>
      </w:r>
      <w:r w:rsidR="00037BE7">
        <w:rPr>
          <w:rFonts w:cs="Times New Roman"/>
        </w:rPr>
        <w:t>cross</w:t>
      </w:r>
      <w:r w:rsidR="00EF16AA" w:rsidRPr="005A302D">
        <w:rPr>
          <w:rFonts w:cs="Times New Roman"/>
        </w:rPr>
        <w:t>) were purchased at a local stockyard (Knoxville Livestock Auction Center, Inc., Mascot, TN) for both experiments each year</w:t>
      </w:r>
      <w:r w:rsidR="009873D2">
        <w:rPr>
          <w:rFonts w:cs="Times New Roman"/>
        </w:rPr>
        <w:t xml:space="preserve"> of the </w:t>
      </w:r>
      <w:r w:rsidR="001F4E4C">
        <w:rPr>
          <w:rFonts w:cs="Times New Roman"/>
        </w:rPr>
        <w:t>project</w:t>
      </w:r>
      <w:r w:rsidR="00EF16AA" w:rsidRPr="005A302D">
        <w:rPr>
          <w:rFonts w:cs="Times New Roman"/>
        </w:rPr>
        <w:t xml:space="preserve">.  </w:t>
      </w:r>
      <w:r w:rsidR="0047790C" w:rsidRPr="005A302D">
        <w:rPr>
          <w:rFonts w:cs="Times New Roman"/>
        </w:rPr>
        <w:t>S</w:t>
      </w:r>
      <w:r w:rsidR="00EF16AA" w:rsidRPr="005A302D">
        <w:rPr>
          <w:rFonts w:cs="Times New Roman"/>
        </w:rPr>
        <w:t>teers (n = 2</w:t>
      </w:r>
      <w:r w:rsidR="0047790C" w:rsidRPr="005A302D">
        <w:rPr>
          <w:rFonts w:cs="Times New Roman"/>
        </w:rPr>
        <w:t>,</w:t>
      </w:r>
      <w:r w:rsidR="00EF16AA" w:rsidRPr="005A302D">
        <w:rPr>
          <w:rFonts w:cs="Times New Roman"/>
        </w:rPr>
        <w:t xml:space="preserve"> n = 3,</w:t>
      </w:r>
      <w:r w:rsidR="0047790C" w:rsidRPr="005A302D">
        <w:rPr>
          <w:rFonts w:cs="Times New Roman"/>
        </w:rPr>
        <w:t xml:space="preserve"> and n</w:t>
      </w:r>
      <w:r w:rsidR="00A12467" w:rsidRPr="005A302D">
        <w:rPr>
          <w:rFonts w:cs="Times New Roman"/>
        </w:rPr>
        <w:t xml:space="preserve"> </w:t>
      </w:r>
      <w:r w:rsidR="0047790C" w:rsidRPr="005A302D">
        <w:rPr>
          <w:rFonts w:cs="Times New Roman"/>
        </w:rPr>
        <w:t>=</w:t>
      </w:r>
      <w:r w:rsidR="00A12467" w:rsidRPr="005A302D">
        <w:rPr>
          <w:rFonts w:cs="Times New Roman"/>
        </w:rPr>
        <w:t xml:space="preserve"> 3,</w:t>
      </w:r>
      <w:r w:rsidR="00EF16AA" w:rsidRPr="005A302D">
        <w:rPr>
          <w:rFonts w:cs="Times New Roman"/>
        </w:rPr>
        <w:t xml:space="preserve"> respectively</w:t>
      </w:r>
      <w:r w:rsidR="00A12467" w:rsidRPr="005A302D">
        <w:rPr>
          <w:rFonts w:cs="Times New Roman"/>
        </w:rPr>
        <w:t>, 2018-2020</w:t>
      </w:r>
      <w:r w:rsidR="00EF16AA" w:rsidRPr="005A302D">
        <w:rPr>
          <w:rFonts w:cs="Times New Roman"/>
        </w:rPr>
        <w:t xml:space="preserve">) were utilized as “testers” for each NWSG pasture based on similar weights and </w:t>
      </w:r>
      <w:r w:rsidR="002B5CE6" w:rsidRPr="005A302D">
        <w:rPr>
          <w:rFonts w:cs="Times New Roman"/>
        </w:rPr>
        <w:t xml:space="preserve">were </w:t>
      </w:r>
      <w:r w:rsidR="00EF16AA" w:rsidRPr="005A302D">
        <w:rPr>
          <w:rFonts w:cs="Times New Roman"/>
        </w:rPr>
        <w:t xml:space="preserve">randomly assigned to each experiment.  Extra steers (“grazers”) were used via a put-and-take grazing method to </w:t>
      </w:r>
      <w:r w:rsidR="00EF16AA" w:rsidRPr="00037BE7">
        <w:rPr>
          <w:rFonts w:cs="Times New Roman"/>
        </w:rPr>
        <w:t>maintain target grass canopy heights</w:t>
      </w:r>
      <w:r w:rsidR="009E7C7B" w:rsidRPr="00037BE7">
        <w:rPr>
          <w:rFonts w:cs="Times New Roman"/>
        </w:rPr>
        <w:t xml:space="preserve"> of </w:t>
      </w:r>
      <w:r w:rsidR="00037BE7" w:rsidRPr="00037BE7">
        <w:rPr>
          <w:rFonts w:cs="Times New Roman"/>
        </w:rPr>
        <w:t>35-4</w:t>
      </w:r>
      <w:r w:rsidR="009E7C7B" w:rsidRPr="00037BE7">
        <w:rPr>
          <w:rFonts w:cs="Times New Roman"/>
        </w:rPr>
        <w:t xml:space="preserve">0 cm </w:t>
      </w:r>
      <w:r w:rsidR="00037BE7" w:rsidRPr="00037BE7">
        <w:rPr>
          <w:rFonts w:cs="Times New Roman"/>
        </w:rPr>
        <w:t xml:space="preserve">for BBIG and 45-50 cm for SG </w:t>
      </w:r>
      <w:r w:rsidR="009E7C7B" w:rsidRPr="00037BE7">
        <w:rPr>
          <w:rFonts w:cs="Times New Roman"/>
        </w:rPr>
        <w:t>(</w:t>
      </w:r>
      <w:bookmarkStart w:id="106" w:name="_Hlk65707436"/>
      <w:r w:rsidR="00AF4771" w:rsidRPr="00037BE7">
        <w:rPr>
          <w:rFonts w:cs="Times New Roman"/>
        </w:rPr>
        <w:t>Keyser et al., 2016</w:t>
      </w:r>
      <w:r w:rsidR="00AF4771">
        <w:rPr>
          <w:rFonts w:cs="Times New Roman"/>
        </w:rPr>
        <w:t xml:space="preserve">; </w:t>
      </w:r>
      <w:r w:rsidR="009E7C7B" w:rsidRPr="00037BE7">
        <w:rPr>
          <w:rFonts w:cs="Times New Roman"/>
        </w:rPr>
        <w:t>B</w:t>
      </w:r>
      <w:r w:rsidR="00037BE7" w:rsidRPr="00037BE7">
        <w:rPr>
          <w:rFonts w:cs="Times New Roman"/>
        </w:rPr>
        <w:t>ackus et al., 2017</w:t>
      </w:r>
      <w:bookmarkEnd w:id="106"/>
      <w:r w:rsidR="009E7C7B" w:rsidRPr="00037BE7">
        <w:rPr>
          <w:rFonts w:cs="Times New Roman"/>
        </w:rPr>
        <w:t>)</w:t>
      </w:r>
      <w:r w:rsidR="00EF16AA" w:rsidRPr="00037BE7">
        <w:rPr>
          <w:rFonts w:cs="Times New Roman"/>
        </w:rPr>
        <w:t>.</w:t>
      </w:r>
      <w:r w:rsidR="00360350" w:rsidRPr="005A302D">
        <w:rPr>
          <w:rFonts w:cs="Times New Roman"/>
        </w:rPr>
        <w:t xml:space="preserve">  Grazing </w:t>
      </w:r>
      <w:r w:rsidR="002B5CE6" w:rsidRPr="005A302D">
        <w:rPr>
          <w:rFonts w:cs="Times New Roman"/>
        </w:rPr>
        <w:t xml:space="preserve">was </w:t>
      </w:r>
      <w:r w:rsidR="00360350" w:rsidRPr="005A302D">
        <w:rPr>
          <w:rFonts w:cs="Times New Roman"/>
        </w:rPr>
        <w:t xml:space="preserve">initiated </w:t>
      </w:r>
      <w:r w:rsidR="00E329E6" w:rsidRPr="005A302D">
        <w:rPr>
          <w:rFonts w:cs="Times New Roman"/>
        </w:rPr>
        <w:t>i</w:t>
      </w:r>
      <w:r w:rsidR="00360350" w:rsidRPr="005A302D">
        <w:rPr>
          <w:rFonts w:cs="Times New Roman"/>
        </w:rPr>
        <w:t>n May</w:t>
      </w:r>
      <w:r w:rsidR="00E329E6" w:rsidRPr="005A302D">
        <w:rPr>
          <w:rFonts w:cs="Times New Roman"/>
        </w:rPr>
        <w:t xml:space="preserve"> (17, 16, and 28 May, respectively,</w:t>
      </w:r>
      <w:r w:rsidR="00360350" w:rsidRPr="005A302D">
        <w:rPr>
          <w:rFonts w:cs="Times New Roman"/>
        </w:rPr>
        <w:t xml:space="preserve"> 2018</w:t>
      </w:r>
      <w:r w:rsidR="00E329E6" w:rsidRPr="005A302D">
        <w:rPr>
          <w:rFonts w:cs="Times New Roman"/>
        </w:rPr>
        <w:t>-2020)</w:t>
      </w:r>
      <w:r w:rsidR="00FE329E" w:rsidRPr="005A302D">
        <w:rPr>
          <w:rFonts w:cs="Times New Roman"/>
        </w:rPr>
        <w:t xml:space="preserve"> </w:t>
      </w:r>
      <w:r w:rsidR="00E329E6" w:rsidRPr="005A302D">
        <w:rPr>
          <w:rFonts w:cs="Times New Roman"/>
        </w:rPr>
        <w:t xml:space="preserve">and </w:t>
      </w:r>
      <w:r w:rsidR="00AE5D5C" w:rsidRPr="005A302D">
        <w:rPr>
          <w:rFonts w:cs="Times New Roman"/>
        </w:rPr>
        <w:t xml:space="preserve">ended </w:t>
      </w:r>
      <w:r w:rsidR="00E329E6" w:rsidRPr="005A302D">
        <w:rPr>
          <w:rFonts w:cs="Times New Roman"/>
        </w:rPr>
        <w:t>i</w:t>
      </w:r>
      <w:r w:rsidR="00360350" w:rsidRPr="005A302D">
        <w:rPr>
          <w:rFonts w:cs="Times New Roman"/>
        </w:rPr>
        <w:t>n Aug</w:t>
      </w:r>
      <w:r w:rsidR="0047790C" w:rsidRPr="005A302D">
        <w:rPr>
          <w:rFonts w:cs="Times New Roman"/>
        </w:rPr>
        <w:t>ust</w:t>
      </w:r>
      <w:r w:rsidR="00360350" w:rsidRPr="005A302D">
        <w:rPr>
          <w:rFonts w:cs="Times New Roman"/>
        </w:rPr>
        <w:t xml:space="preserve"> </w:t>
      </w:r>
      <w:r w:rsidR="00E329E6" w:rsidRPr="005A302D">
        <w:rPr>
          <w:rFonts w:cs="Times New Roman"/>
        </w:rPr>
        <w:t>(15,</w:t>
      </w:r>
      <w:r w:rsidR="00FE329E" w:rsidRPr="005A302D">
        <w:rPr>
          <w:rFonts w:cs="Times New Roman"/>
        </w:rPr>
        <w:t xml:space="preserve"> </w:t>
      </w:r>
      <w:r w:rsidR="00360350" w:rsidRPr="005A302D">
        <w:rPr>
          <w:rFonts w:cs="Times New Roman"/>
        </w:rPr>
        <w:t>14</w:t>
      </w:r>
      <w:r w:rsidR="00FE329E" w:rsidRPr="005A302D">
        <w:rPr>
          <w:rFonts w:cs="Times New Roman"/>
        </w:rPr>
        <w:t>, and 17 Aug</w:t>
      </w:r>
      <w:r w:rsidR="0047790C" w:rsidRPr="005A302D">
        <w:rPr>
          <w:rFonts w:cs="Times New Roman"/>
        </w:rPr>
        <w:t>ust</w:t>
      </w:r>
      <w:r w:rsidR="00E329E6" w:rsidRPr="005A302D">
        <w:rPr>
          <w:rFonts w:cs="Times New Roman"/>
        </w:rPr>
        <w:t>, respectively, 2018-</w:t>
      </w:r>
      <w:r w:rsidR="00FE329E" w:rsidRPr="005A302D">
        <w:rPr>
          <w:rFonts w:cs="Times New Roman"/>
        </w:rPr>
        <w:t>2020</w:t>
      </w:r>
      <w:r w:rsidR="00E329E6" w:rsidRPr="005A302D">
        <w:rPr>
          <w:rFonts w:cs="Times New Roman"/>
        </w:rPr>
        <w:t>)</w:t>
      </w:r>
      <w:r w:rsidR="00360350" w:rsidRPr="005A302D">
        <w:rPr>
          <w:rFonts w:cs="Times New Roman"/>
        </w:rPr>
        <w:t xml:space="preserve"> for both experiments.  Thus, each pasture was grazed for a total of 91 days </w:t>
      </w:r>
      <w:r w:rsidR="00FE329E" w:rsidRPr="005A302D">
        <w:rPr>
          <w:rFonts w:cs="Times New Roman"/>
        </w:rPr>
        <w:t>in 2018 and 2019 and 82 days in 2020</w:t>
      </w:r>
      <w:r w:rsidR="00360350" w:rsidRPr="005A302D">
        <w:rPr>
          <w:rFonts w:cs="Times New Roman"/>
        </w:rPr>
        <w:t xml:space="preserve">.  All animals were weighed on two consecutive days prior to and at the conclusion of grazing each year.  </w:t>
      </w:r>
      <w:r w:rsidR="00E329E6" w:rsidRPr="005A302D">
        <w:rPr>
          <w:rFonts w:cs="Times New Roman"/>
        </w:rPr>
        <w:t>M</w:t>
      </w:r>
      <w:r w:rsidR="00EF16AA" w:rsidRPr="005A302D">
        <w:rPr>
          <w:rFonts w:cs="Times New Roman"/>
        </w:rPr>
        <w:t>ean initial body weight (</w:t>
      </w:r>
      <w:r w:rsidR="00DF266B" w:rsidRPr="005A302D">
        <w:rPr>
          <w:rFonts w:cs="Times New Roman"/>
        </w:rPr>
        <w:t>I</w:t>
      </w:r>
      <w:r w:rsidR="00EF16AA" w:rsidRPr="005A302D">
        <w:rPr>
          <w:rFonts w:cs="Times New Roman"/>
        </w:rPr>
        <w:t xml:space="preserve">BW) (± SE) </w:t>
      </w:r>
      <w:r w:rsidR="00A12467" w:rsidRPr="005A302D">
        <w:rPr>
          <w:rFonts w:cs="Times New Roman"/>
        </w:rPr>
        <w:t xml:space="preserve">of </w:t>
      </w:r>
      <w:r w:rsidR="00564C1C" w:rsidRPr="005A302D">
        <w:rPr>
          <w:rFonts w:cs="Times New Roman"/>
        </w:rPr>
        <w:t xml:space="preserve">testers </w:t>
      </w:r>
      <w:r w:rsidR="00EF16AA" w:rsidRPr="005A302D">
        <w:rPr>
          <w:rFonts w:cs="Times New Roman"/>
        </w:rPr>
        <w:t xml:space="preserve">on SG was </w:t>
      </w:r>
      <w:r w:rsidR="001D1316">
        <w:rPr>
          <w:rFonts w:cs="Times New Roman"/>
        </w:rPr>
        <w:t>312.5</w:t>
      </w:r>
      <w:r w:rsidR="00EF16AA" w:rsidRPr="005A302D">
        <w:rPr>
          <w:rFonts w:cs="Times New Roman"/>
        </w:rPr>
        <w:t xml:space="preserve"> ± </w:t>
      </w:r>
      <w:r w:rsidR="001D1316">
        <w:rPr>
          <w:rFonts w:cs="Times New Roman"/>
        </w:rPr>
        <w:t>3.6</w:t>
      </w:r>
      <w:r w:rsidR="00EF16AA" w:rsidRPr="005A302D">
        <w:rPr>
          <w:rFonts w:cs="Times New Roman"/>
        </w:rPr>
        <w:t xml:space="preserve"> kg (n = </w:t>
      </w:r>
      <w:r w:rsidR="001D1316">
        <w:rPr>
          <w:rFonts w:cs="Times New Roman"/>
        </w:rPr>
        <w:t>2</w:t>
      </w:r>
      <w:r w:rsidR="00E329E6" w:rsidRPr="005A302D">
        <w:rPr>
          <w:rFonts w:cs="Times New Roman"/>
        </w:rPr>
        <w:t>; 2018</w:t>
      </w:r>
      <w:r w:rsidR="00EF16AA" w:rsidRPr="005A302D">
        <w:rPr>
          <w:rFonts w:cs="Times New Roman"/>
        </w:rPr>
        <w:t>)</w:t>
      </w:r>
      <w:r w:rsidR="00E329E6" w:rsidRPr="005A302D">
        <w:rPr>
          <w:rFonts w:cs="Times New Roman"/>
        </w:rPr>
        <w:t>, 30</w:t>
      </w:r>
      <w:r w:rsidR="001D1316">
        <w:rPr>
          <w:rFonts w:cs="Times New Roman"/>
        </w:rPr>
        <w:t>1.2</w:t>
      </w:r>
      <w:r w:rsidR="00E329E6" w:rsidRPr="005A302D">
        <w:rPr>
          <w:rFonts w:cs="Times New Roman"/>
        </w:rPr>
        <w:t xml:space="preserve"> ± 4.</w:t>
      </w:r>
      <w:r w:rsidR="001D1316">
        <w:rPr>
          <w:rFonts w:cs="Times New Roman"/>
        </w:rPr>
        <w:t>7</w:t>
      </w:r>
      <w:r w:rsidR="00E329E6" w:rsidRPr="005A302D">
        <w:rPr>
          <w:rFonts w:cs="Times New Roman"/>
        </w:rPr>
        <w:t xml:space="preserve"> kg (n = </w:t>
      </w:r>
      <w:r w:rsidR="001D1316">
        <w:rPr>
          <w:rFonts w:cs="Times New Roman"/>
        </w:rPr>
        <w:t>3</w:t>
      </w:r>
      <w:r w:rsidR="00E329E6" w:rsidRPr="005A302D">
        <w:rPr>
          <w:rFonts w:cs="Times New Roman"/>
        </w:rPr>
        <w:t xml:space="preserve">; 2019) </w:t>
      </w:r>
      <w:r w:rsidR="00EF16AA" w:rsidRPr="005A302D">
        <w:rPr>
          <w:rFonts w:cs="Times New Roman"/>
        </w:rPr>
        <w:t xml:space="preserve">and </w:t>
      </w:r>
      <w:r w:rsidR="00E329E6" w:rsidRPr="005A302D">
        <w:rPr>
          <w:rFonts w:cs="Times New Roman"/>
        </w:rPr>
        <w:t>275.</w:t>
      </w:r>
      <w:r w:rsidR="001D1316">
        <w:rPr>
          <w:rFonts w:cs="Times New Roman"/>
        </w:rPr>
        <w:t>5</w:t>
      </w:r>
      <w:r w:rsidR="00E329E6" w:rsidRPr="005A302D">
        <w:rPr>
          <w:rFonts w:cs="Times New Roman"/>
        </w:rPr>
        <w:t xml:space="preserve"> ±</w:t>
      </w:r>
      <w:r w:rsidR="001D1316">
        <w:rPr>
          <w:rFonts w:cs="Times New Roman"/>
        </w:rPr>
        <w:t xml:space="preserve"> 2.0</w:t>
      </w:r>
      <w:r w:rsidR="00E329E6" w:rsidRPr="005A302D">
        <w:rPr>
          <w:rFonts w:cs="Times New Roman"/>
        </w:rPr>
        <w:t xml:space="preserve"> kg (n = </w:t>
      </w:r>
      <w:r w:rsidR="001D1316">
        <w:rPr>
          <w:rFonts w:cs="Times New Roman"/>
        </w:rPr>
        <w:t>3</w:t>
      </w:r>
      <w:r w:rsidR="00E329E6" w:rsidRPr="005A302D">
        <w:rPr>
          <w:rFonts w:cs="Times New Roman"/>
        </w:rPr>
        <w:t xml:space="preserve">; 2020).  Mean IBW (± SE) on BBIG was </w:t>
      </w:r>
      <w:r w:rsidR="001D1316">
        <w:rPr>
          <w:rFonts w:cs="Times New Roman"/>
        </w:rPr>
        <w:t>292.7</w:t>
      </w:r>
      <w:r w:rsidR="00EF16AA" w:rsidRPr="005A302D">
        <w:rPr>
          <w:rFonts w:cs="Times New Roman"/>
        </w:rPr>
        <w:t xml:space="preserve"> ± </w:t>
      </w:r>
      <w:r w:rsidR="00F44AA3" w:rsidRPr="005A302D">
        <w:rPr>
          <w:rFonts w:cs="Times New Roman"/>
        </w:rPr>
        <w:t>1</w:t>
      </w:r>
      <w:r w:rsidR="001D1316">
        <w:rPr>
          <w:rFonts w:cs="Times New Roman"/>
        </w:rPr>
        <w:t>7</w:t>
      </w:r>
      <w:r w:rsidR="00F44AA3" w:rsidRPr="005A302D">
        <w:rPr>
          <w:rFonts w:cs="Times New Roman"/>
        </w:rPr>
        <w:t>.</w:t>
      </w:r>
      <w:r w:rsidR="001D1316">
        <w:rPr>
          <w:rFonts w:cs="Times New Roman"/>
        </w:rPr>
        <w:t>8</w:t>
      </w:r>
      <w:r w:rsidR="00EF16AA" w:rsidRPr="005A302D">
        <w:rPr>
          <w:rFonts w:cs="Times New Roman"/>
        </w:rPr>
        <w:t xml:space="preserve"> kg (n = </w:t>
      </w:r>
      <w:r w:rsidR="001D1316">
        <w:rPr>
          <w:rFonts w:cs="Times New Roman"/>
        </w:rPr>
        <w:t>2</w:t>
      </w:r>
      <w:r w:rsidR="00E329E6" w:rsidRPr="005A302D">
        <w:rPr>
          <w:rFonts w:cs="Times New Roman"/>
        </w:rPr>
        <w:t>; 2018</w:t>
      </w:r>
      <w:r w:rsidR="00EF16AA" w:rsidRPr="005A302D">
        <w:rPr>
          <w:rFonts w:cs="Times New Roman"/>
        </w:rPr>
        <w:t>)</w:t>
      </w:r>
      <w:bookmarkStart w:id="107" w:name="_Hlk64119178"/>
      <w:r w:rsidR="00E329E6" w:rsidRPr="005A302D">
        <w:rPr>
          <w:rFonts w:cs="Times New Roman"/>
        </w:rPr>
        <w:t>,</w:t>
      </w:r>
      <w:r w:rsidR="00EF16AA" w:rsidRPr="005A302D">
        <w:rPr>
          <w:rFonts w:cs="Times New Roman"/>
        </w:rPr>
        <w:t xml:space="preserve"> 26</w:t>
      </w:r>
      <w:r w:rsidR="001D1316">
        <w:rPr>
          <w:rFonts w:cs="Times New Roman"/>
        </w:rPr>
        <w:t>9.2</w:t>
      </w:r>
      <w:r w:rsidR="00EF16AA" w:rsidRPr="005A302D">
        <w:rPr>
          <w:rFonts w:cs="Times New Roman"/>
        </w:rPr>
        <w:t xml:space="preserve"> ± </w:t>
      </w:r>
      <w:r w:rsidR="001D1316">
        <w:rPr>
          <w:rFonts w:cs="Times New Roman"/>
        </w:rPr>
        <w:t>4.6</w:t>
      </w:r>
      <w:r w:rsidR="00EF16AA" w:rsidRPr="005A302D">
        <w:rPr>
          <w:rFonts w:cs="Times New Roman"/>
        </w:rPr>
        <w:t xml:space="preserve"> kg (n = </w:t>
      </w:r>
      <w:r w:rsidR="001D1316">
        <w:rPr>
          <w:rFonts w:cs="Times New Roman"/>
        </w:rPr>
        <w:t>3</w:t>
      </w:r>
      <w:r w:rsidR="00E329E6" w:rsidRPr="005A302D">
        <w:rPr>
          <w:rFonts w:cs="Times New Roman"/>
        </w:rPr>
        <w:t>; 2019</w:t>
      </w:r>
      <w:r w:rsidR="00EF16AA" w:rsidRPr="005A302D">
        <w:rPr>
          <w:rFonts w:cs="Times New Roman"/>
        </w:rPr>
        <w:t>)</w:t>
      </w:r>
      <w:bookmarkEnd w:id="107"/>
      <w:r w:rsidR="00E329E6" w:rsidRPr="005A302D">
        <w:rPr>
          <w:rFonts w:cs="Times New Roman"/>
        </w:rPr>
        <w:t>,</w:t>
      </w:r>
      <w:r w:rsidR="00F44AA3" w:rsidRPr="005A302D">
        <w:rPr>
          <w:rFonts w:cs="Times New Roman"/>
        </w:rPr>
        <w:t xml:space="preserve"> </w:t>
      </w:r>
      <w:r w:rsidR="005660B6" w:rsidRPr="005A302D">
        <w:rPr>
          <w:rFonts w:cs="Times New Roman"/>
        </w:rPr>
        <w:t xml:space="preserve">and </w:t>
      </w:r>
      <w:r w:rsidR="00870B98" w:rsidRPr="005A302D">
        <w:rPr>
          <w:rFonts w:cs="Times New Roman"/>
        </w:rPr>
        <w:t>293.</w:t>
      </w:r>
      <w:r w:rsidR="001D1316">
        <w:rPr>
          <w:rFonts w:cs="Times New Roman"/>
        </w:rPr>
        <w:t>2</w:t>
      </w:r>
      <w:r w:rsidR="005660B6" w:rsidRPr="005A302D">
        <w:rPr>
          <w:rFonts w:cs="Times New Roman"/>
        </w:rPr>
        <w:t xml:space="preserve"> ± </w:t>
      </w:r>
      <w:r w:rsidR="001D1316">
        <w:rPr>
          <w:rFonts w:cs="Times New Roman"/>
        </w:rPr>
        <w:t>8.3</w:t>
      </w:r>
      <w:r w:rsidR="005660B6" w:rsidRPr="005A302D">
        <w:rPr>
          <w:rFonts w:cs="Times New Roman"/>
        </w:rPr>
        <w:t xml:space="preserve"> kg </w:t>
      </w:r>
      <w:bookmarkStart w:id="108" w:name="_Hlk64147187"/>
      <w:r w:rsidR="005660B6" w:rsidRPr="005A302D">
        <w:rPr>
          <w:rFonts w:cs="Times New Roman"/>
        </w:rPr>
        <w:t xml:space="preserve">(n = </w:t>
      </w:r>
      <w:r w:rsidR="001D1316">
        <w:rPr>
          <w:rFonts w:cs="Times New Roman"/>
        </w:rPr>
        <w:t>3</w:t>
      </w:r>
      <w:r w:rsidR="00E329E6" w:rsidRPr="005A302D">
        <w:rPr>
          <w:rFonts w:cs="Times New Roman"/>
        </w:rPr>
        <w:t>; 2020</w:t>
      </w:r>
      <w:r w:rsidR="005660B6" w:rsidRPr="005A302D">
        <w:rPr>
          <w:rFonts w:cs="Times New Roman"/>
        </w:rPr>
        <w:t>)</w:t>
      </w:r>
      <w:bookmarkEnd w:id="108"/>
      <w:r w:rsidR="005660B6" w:rsidRPr="005A302D">
        <w:rPr>
          <w:rFonts w:cs="Times New Roman"/>
        </w:rPr>
        <w:t xml:space="preserve">.  </w:t>
      </w:r>
      <w:r w:rsidR="00360350" w:rsidRPr="005A302D">
        <w:rPr>
          <w:rFonts w:cs="Times New Roman"/>
        </w:rPr>
        <w:t xml:space="preserve">Mean </w:t>
      </w:r>
      <w:r w:rsidR="00306608" w:rsidRPr="005A302D">
        <w:rPr>
          <w:rFonts w:cs="Times New Roman"/>
        </w:rPr>
        <w:t>I</w:t>
      </w:r>
      <w:r w:rsidR="00DF266B" w:rsidRPr="005A302D">
        <w:rPr>
          <w:rFonts w:cs="Times New Roman"/>
        </w:rPr>
        <w:t>BW</w:t>
      </w:r>
      <w:r w:rsidR="00306608" w:rsidRPr="005A302D">
        <w:rPr>
          <w:rFonts w:cs="Times New Roman"/>
        </w:rPr>
        <w:t xml:space="preserve"> </w:t>
      </w:r>
      <w:r w:rsidR="00EF16AA" w:rsidRPr="005A302D">
        <w:rPr>
          <w:rFonts w:cs="Times New Roman"/>
        </w:rPr>
        <w:t xml:space="preserve">and </w:t>
      </w:r>
      <w:r w:rsidR="00DF266B" w:rsidRPr="005A302D">
        <w:rPr>
          <w:rFonts w:cs="Times New Roman"/>
        </w:rPr>
        <w:t xml:space="preserve">mean </w:t>
      </w:r>
      <w:r w:rsidR="00EF16AA" w:rsidRPr="005A302D">
        <w:rPr>
          <w:rFonts w:cs="Times New Roman"/>
        </w:rPr>
        <w:t>ending</w:t>
      </w:r>
      <w:r w:rsidR="00306608" w:rsidRPr="005A302D">
        <w:rPr>
          <w:rFonts w:cs="Times New Roman"/>
        </w:rPr>
        <w:t xml:space="preserve"> (E)</w:t>
      </w:r>
      <w:r w:rsidR="00EF16AA" w:rsidRPr="005A302D">
        <w:rPr>
          <w:rFonts w:cs="Times New Roman"/>
        </w:rPr>
        <w:t xml:space="preserve"> BW </w:t>
      </w:r>
      <w:r w:rsidR="00A12467" w:rsidRPr="005A302D">
        <w:rPr>
          <w:rFonts w:cs="Times New Roman"/>
        </w:rPr>
        <w:t xml:space="preserve">for each tester </w:t>
      </w:r>
      <w:r w:rsidR="00EF16AA" w:rsidRPr="005A302D">
        <w:rPr>
          <w:rFonts w:cs="Times New Roman"/>
        </w:rPr>
        <w:t>w</w:t>
      </w:r>
      <w:r w:rsidR="00A12467" w:rsidRPr="005A302D">
        <w:rPr>
          <w:rFonts w:cs="Times New Roman"/>
        </w:rPr>
        <w:t>as</w:t>
      </w:r>
      <w:r w:rsidR="00EF16AA" w:rsidRPr="005A302D">
        <w:rPr>
          <w:rFonts w:cs="Times New Roman"/>
        </w:rPr>
        <w:t xml:space="preserve"> </w:t>
      </w:r>
      <w:r w:rsidR="006D5FCD" w:rsidRPr="005A302D">
        <w:rPr>
          <w:rFonts w:cs="Times New Roman"/>
        </w:rPr>
        <w:t>used</w:t>
      </w:r>
      <w:r w:rsidR="00EF16AA" w:rsidRPr="005A302D">
        <w:rPr>
          <w:rFonts w:cs="Times New Roman"/>
        </w:rPr>
        <w:t xml:space="preserve"> to calculate average daily gain</w:t>
      </w:r>
      <w:r w:rsidR="007C333D" w:rsidRPr="005A302D">
        <w:rPr>
          <w:rFonts w:cs="Times New Roman"/>
        </w:rPr>
        <w:t xml:space="preserve"> </w:t>
      </w:r>
      <w:r w:rsidR="00EF16AA" w:rsidRPr="005A302D">
        <w:rPr>
          <w:rFonts w:cs="Times New Roman"/>
        </w:rPr>
        <w:t>(ADG</w:t>
      </w:r>
      <w:r w:rsidR="00306608" w:rsidRPr="005A302D">
        <w:rPr>
          <w:rFonts w:cs="Times New Roman"/>
        </w:rPr>
        <w:t xml:space="preserve">; </w:t>
      </w:r>
      <w:r w:rsidR="0047790C" w:rsidRPr="005A302D">
        <w:rPr>
          <w:rFonts w:cs="Times New Roman"/>
        </w:rPr>
        <w:t xml:space="preserve">the difference of </w:t>
      </w:r>
      <w:r w:rsidR="00306608" w:rsidRPr="005A302D">
        <w:rPr>
          <w:rFonts w:cs="Times New Roman"/>
        </w:rPr>
        <w:t xml:space="preserve">EBW </w:t>
      </w:r>
      <w:r w:rsidR="0047790C" w:rsidRPr="005A302D">
        <w:rPr>
          <w:rFonts w:cs="Times New Roman"/>
        </w:rPr>
        <w:t>and</w:t>
      </w:r>
      <w:r w:rsidR="00306608" w:rsidRPr="005A302D">
        <w:rPr>
          <w:rFonts w:cs="Times New Roman"/>
        </w:rPr>
        <w:t xml:space="preserve"> IBW divided by </w:t>
      </w:r>
      <w:r w:rsidR="0047790C" w:rsidRPr="005A302D">
        <w:rPr>
          <w:rFonts w:cs="Times New Roman"/>
        </w:rPr>
        <w:t xml:space="preserve">the total </w:t>
      </w:r>
      <w:r w:rsidR="00306608" w:rsidRPr="005A302D">
        <w:rPr>
          <w:rFonts w:cs="Times New Roman"/>
        </w:rPr>
        <w:t>number of days</w:t>
      </w:r>
      <w:r w:rsidR="00560954" w:rsidRPr="005A302D">
        <w:rPr>
          <w:rFonts w:cs="Times New Roman"/>
        </w:rPr>
        <w:t xml:space="preserve"> grazing</w:t>
      </w:r>
      <w:r w:rsidR="00EF16AA" w:rsidRPr="005A302D">
        <w:rPr>
          <w:rFonts w:cs="Times New Roman"/>
        </w:rPr>
        <w:t xml:space="preserve">).  </w:t>
      </w:r>
      <w:r w:rsidR="00A12467" w:rsidRPr="005A302D">
        <w:rPr>
          <w:rFonts w:cs="Times New Roman"/>
        </w:rPr>
        <w:t xml:space="preserve">Grazing days of all animals, testers and grazers combined, per pasture were recorded </w:t>
      </w:r>
      <w:r w:rsidR="003021AE" w:rsidRPr="005A302D">
        <w:rPr>
          <w:rFonts w:cs="Times New Roman"/>
        </w:rPr>
        <w:t xml:space="preserve">and adjusted for </w:t>
      </w:r>
      <w:r w:rsidR="00E823F0">
        <w:rPr>
          <w:rFonts w:cs="Times New Roman"/>
        </w:rPr>
        <w:t xml:space="preserve">area available for grazing based on closure of rested units during the course of the season </w:t>
      </w:r>
      <w:r w:rsidR="003021AE" w:rsidRPr="005A302D">
        <w:rPr>
          <w:rFonts w:cs="Times New Roman"/>
        </w:rPr>
        <w:t xml:space="preserve">to </w:t>
      </w:r>
      <w:r w:rsidR="00A12467" w:rsidRPr="005A302D">
        <w:rPr>
          <w:rFonts w:cs="Times New Roman"/>
        </w:rPr>
        <w:t>calculate animal grazing days ha</w:t>
      </w:r>
      <w:r w:rsidR="00A12467" w:rsidRPr="005A302D">
        <w:rPr>
          <w:rFonts w:cs="Times New Roman"/>
          <w:vertAlign w:val="superscript"/>
        </w:rPr>
        <w:t>-1</w:t>
      </w:r>
      <w:r w:rsidR="00A12467" w:rsidRPr="005A302D">
        <w:rPr>
          <w:rFonts w:cs="Times New Roman"/>
        </w:rPr>
        <w:t xml:space="preserve"> (AD; the sum of all days each animal grazed</w:t>
      </w:r>
      <w:r w:rsidR="003021AE" w:rsidRPr="005A302D">
        <w:rPr>
          <w:rFonts w:cs="Times New Roman"/>
        </w:rPr>
        <w:t xml:space="preserve"> divided </w:t>
      </w:r>
      <w:r w:rsidR="003021AE" w:rsidRPr="005A302D">
        <w:rPr>
          <w:rFonts w:cs="Times New Roman"/>
        </w:rPr>
        <w:lastRenderedPageBreak/>
        <w:t>by number of grazeable hectares)</w:t>
      </w:r>
      <w:r w:rsidR="00A12467" w:rsidRPr="005A302D">
        <w:rPr>
          <w:rFonts w:cs="Times New Roman"/>
        </w:rPr>
        <w:t xml:space="preserve">.  </w:t>
      </w:r>
      <w:r w:rsidR="00E823F0" w:rsidRPr="005A302D">
        <w:rPr>
          <w:rFonts w:cs="Times New Roman"/>
        </w:rPr>
        <w:t xml:space="preserve">Cattle had access to at least 60% of each pasture during the entire duration of the grazing season.  </w:t>
      </w:r>
      <w:r w:rsidR="00E50915" w:rsidRPr="005A302D">
        <w:rPr>
          <w:rFonts w:cs="Times New Roman"/>
        </w:rPr>
        <w:t xml:space="preserve">Total gain </w:t>
      </w:r>
      <w:r w:rsidR="00306608" w:rsidRPr="005A302D">
        <w:rPr>
          <w:rFonts w:cs="Times New Roman"/>
        </w:rPr>
        <w:t>ha</w:t>
      </w:r>
      <w:r w:rsidR="00306608" w:rsidRPr="005A302D">
        <w:rPr>
          <w:rFonts w:cs="Times New Roman"/>
          <w:vertAlign w:val="superscript"/>
        </w:rPr>
        <w:t>-1</w:t>
      </w:r>
      <w:r w:rsidR="00306608" w:rsidRPr="005A302D">
        <w:rPr>
          <w:rFonts w:cs="Times New Roman"/>
        </w:rPr>
        <w:t xml:space="preserve"> </w:t>
      </w:r>
      <w:r w:rsidR="00C020C3" w:rsidRPr="005A302D">
        <w:rPr>
          <w:rFonts w:cs="Times New Roman"/>
        </w:rPr>
        <w:t xml:space="preserve">(GAIN) </w:t>
      </w:r>
      <w:r w:rsidR="00E50915" w:rsidRPr="005A302D">
        <w:rPr>
          <w:rFonts w:cs="Times New Roman"/>
        </w:rPr>
        <w:t xml:space="preserve">for each pasture was </w:t>
      </w:r>
      <w:r w:rsidR="000C025F" w:rsidRPr="005A302D">
        <w:rPr>
          <w:rFonts w:cs="Times New Roman"/>
        </w:rPr>
        <w:t>the product of</w:t>
      </w:r>
      <w:r w:rsidR="00E50915" w:rsidRPr="005A302D">
        <w:rPr>
          <w:rFonts w:cs="Times New Roman"/>
        </w:rPr>
        <w:t xml:space="preserve"> AD</w:t>
      </w:r>
      <w:r w:rsidR="00A12467" w:rsidRPr="005A302D">
        <w:rPr>
          <w:rFonts w:cs="Times New Roman"/>
        </w:rPr>
        <w:t>G</w:t>
      </w:r>
      <w:r w:rsidR="00E50915" w:rsidRPr="005A302D">
        <w:rPr>
          <w:rFonts w:cs="Times New Roman"/>
        </w:rPr>
        <w:t xml:space="preserve"> </w:t>
      </w:r>
      <w:r w:rsidR="000C025F" w:rsidRPr="005A302D">
        <w:rPr>
          <w:rFonts w:cs="Times New Roman"/>
        </w:rPr>
        <w:t>and</w:t>
      </w:r>
      <w:r w:rsidR="00E50915" w:rsidRPr="005A302D">
        <w:rPr>
          <w:rFonts w:cs="Times New Roman"/>
        </w:rPr>
        <w:t xml:space="preserve"> AD</w:t>
      </w:r>
      <w:r w:rsidR="00C020C3" w:rsidRPr="005A302D">
        <w:rPr>
          <w:rFonts w:cs="Times New Roman"/>
        </w:rPr>
        <w:t xml:space="preserve"> each year</w:t>
      </w:r>
      <w:r w:rsidR="00E50915" w:rsidRPr="005A302D">
        <w:rPr>
          <w:rFonts w:cs="Times New Roman"/>
        </w:rPr>
        <w:t xml:space="preserve">.  </w:t>
      </w:r>
      <w:r w:rsidR="00EF16AA" w:rsidRPr="005A302D">
        <w:rPr>
          <w:rFonts w:cs="Times New Roman"/>
        </w:rPr>
        <w:t xml:space="preserve">Animals had </w:t>
      </w:r>
      <w:r w:rsidR="00EF16AA" w:rsidRPr="005A302D">
        <w:rPr>
          <w:rFonts w:cs="Times New Roman"/>
          <w:i/>
          <w:iCs/>
        </w:rPr>
        <w:t>ad libitum</w:t>
      </w:r>
      <w:r w:rsidR="00EF16AA" w:rsidRPr="005A302D">
        <w:rPr>
          <w:rFonts w:cs="Times New Roman"/>
        </w:rPr>
        <w:t xml:space="preserve"> access to mineral, water, and shade in each NWSG pasture.  Animal care adhered to the UT-Institutional Animal Care and Use protocol</w:t>
      </w:r>
      <w:r w:rsidR="002B5CE6" w:rsidRPr="005A302D">
        <w:rPr>
          <w:rFonts w:cs="Times New Roman"/>
        </w:rPr>
        <w:t>s</w:t>
      </w:r>
      <w:r w:rsidR="00EF16AA" w:rsidRPr="005A302D">
        <w:rPr>
          <w:rFonts w:cs="Times New Roman"/>
        </w:rPr>
        <w:t xml:space="preserve"> </w:t>
      </w:r>
      <w:r w:rsidR="00CC1001" w:rsidRPr="005A302D">
        <w:rPr>
          <w:rFonts w:cs="Times New Roman"/>
        </w:rPr>
        <w:t xml:space="preserve">No. </w:t>
      </w:r>
      <w:r w:rsidR="002B5CE6" w:rsidRPr="005A302D">
        <w:rPr>
          <w:rFonts w:cs="Times New Roman"/>
        </w:rPr>
        <w:t xml:space="preserve">2258-0417 and </w:t>
      </w:r>
      <w:r w:rsidR="00CC1001" w:rsidRPr="005A302D">
        <w:rPr>
          <w:rFonts w:cs="Times New Roman"/>
        </w:rPr>
        <w:t xml:space="preserve">No. </w:t>
      </w:r>
      <w:r w:rsidR="002B5CE6" w:rsidRPr="005A302D">
        <w:rPr>
          <w:rFonts w:cs="Times New Roman"/>
        </w:rPr>
        <w:t>2258-0320</w:t>
      </w:r>
      <w:r w:rsidR="00EF16AA" w:rsidRPr="005A302D">
        <w:rPr>
          <w:rFonts w:cs="Times New Roman"/>
        </w:rPr>
        <w:t>.</w:t>
      </w:r>
    </w:p>
    <w:p w14:paraId="06EA7108" w14:textId="00D6DA4A" w:rsidR="00236E6D" w:rsidRPr="00124C0D" w:rsidRDefault="00E5595B" w:rsidP="00124C0D">
      <w:pPr>
        <w:pStyle w:val="Heading3"/>
        <w:rPr>
          <w:rStyle w:val="BookTitle"/>
          <w:b/>
          <w:bCs/>
          <w:i w:val="0"/>
          <w:iCs/>
          <w:spacing w:val="0"/>
        </w:rPr>
      </w:pPr>
      <w:bookmarkStart w:id="109" w:name="_Toc72026039"/>
      <w:bookmarkStart w:id="110" w:name="_Toc72305400"/>
      <w:r w:rsidRPr="00124C0D">
        <w:rPr>
          <w:rStyle w:val="BookTitle"/>
          <w:b/>
          <w:bCs/>
          <w:i w:val="0"/>
          <w:iCs/>
          <w:spacing w:val="0"/>
        </w:rPr>
        <w:t>Pasture Management</w:t>
      </w:r>
      <w:r w:rsidR="00B33C15" w:rsidRPr="00124C0D">
        <w:rPr>
          <w:rStyle w:val="BookTitle"/>
          <w:b/>
          <w:bCs/>
          <w:i w:val="0"/>
          <w:iCs/>
          <w:spacing w:val="0"/>
        </w:rPr>
        <w:t xml:space="preserve"> and Measurements</w:t>
      </w:r>
      <w:bookmarkEnd w:id="109"/>
      <w:bookmarkEnd w:id="110"/>
    </w:p>
    <w:p w14:paraId="7FCF62A0" w14:textId="460B66CA" w:rsidR="000017F0" w:rsidRPr="005A302D" w:rsidRDefault="00E5595B" w:rsidP="000017F0">
      <w:pPr>
        <w:ind w:firstLine="720"/>
        <w:rPr>
          <w:rFonts w:cs="Times New Roman"/>
        </w:rPr>
      </w:pPr>
      <w:r w:rsidRPr="005A302D">
        <w:rPr>
          <w:rFonts w:cs="Times New Roman"/>
        </w:rPr>
        <w:t xml:space="preserve">Prior to grazing (March/April) each year, pastures were </w:t>
      </w:r>
      <w:r w:rsidR="00BD3913" w:rsidRPr="005A302D">
        <w:rPr>
          <w:rFonts w:cs="Times New Roman"/>
        </w:rPr>
        <w:t>defoliated</w:t>
      </w:r>
      <w:r w:rsidRPr="005A302D">
        <w:rPr>
          <w:rFonts w:cs="Times New Roman"/>
        </w:rPr>
        <w:t xml:space="preserve"> with a rotary mower </w:t>
      </w:r>
      <w:r w:rsidR="00BD3913" w:rsidRPr="005A302D">
        <w:rPr>
          <w:rFonts w:cs="Times New Roman"/>
        </w:rPr>
        <w:t>and fertilized</w:t>
      </w:r>
      <w:r w:rsidR="00764516" w:rsidRPr="005A302D">
        <w:t xml:space="preserve"> to reflect prevailing management recommendations for NWSG pastures</w:t>
      </w:r>
      <w:r w:rsidR="00BD3913" w:rsidRPr="005A302D">
        <w:rPr>
          <w:rFonts w:cs="Times New Roman"/>
        </w:rPr>
        <w:t xml:space="preserve">.  Each NWSG pasture was cut to a 20-cm stubble height </w:t>
      </w:r>
      <w:r w:rsidR="00212984" w:rsidRPr="005A302D">
        <w:rPr>
          <w:rFonts w:cs="Times New Roman"/>
        </w:rPr>
        <w:t>to remove a</w:t>
      </w:r>
      <w:r w:rsidR="00BD3913" w:rsidRPr="005A302D">
        <w:rPr>
          <w:rFonts w:cs="Times New Roman"/>
        </w:rPr>
        <w:t>ll standing, dormant biomass</w:t>
      </w:r>
      <w:r w:rsidR="00212984" w:rsidRPr="005A302D">
        <w:rPr>
          <w:rFonts w:cs="Times New Roman"/>
        </w:rPr>
        <w:t xml:space="preserve"> then fertilized with</w:t>
      </w:r>
      <w:r w:rsidR="00BD3913" w:rsidRPr="005A302D">
        <w:t xml:space="preserve"> 67.3 kg N ha</w:t>
      </w:r>
      <w:r w:rsidR="00BD3913" w:rsidRPr="005A302D">
        <w:rPr>
          <w:vertAlign w:val="superscript"/>
        </w:rPr>
        <w:t>-1</w:t>
      </w:r>
      <w:r w:rsidR="00BD3913" w:rsidRPr="005A302D">
        <w:t xml:space="preserve"> yr</w:t>
      </w:r>
      <w:r w:rsidR="00BD3913" w:rsidRPr="005A302D">
        <w:rPr>
          <w:vertAlign w:val="superscript"/>
        </w:rPr>
        <w:t>-1</w:t>
      </w:r>
      <w:r w:rsidR="00BD3913" w:rsidRPr="005A302D">
        <w:t xml:space="preserve"> in the form of urea </w:t>
      </w:r>
      <w:r w:rsidR="00764516" w:rsidRPr="005A302D">
        <w:rPr>
          <w:rFonts w:cs="Times New Roman"/>
          <w:lang w:val="en"/>
        </w:rPr>
        <w:t>[CO(NH</w:t>
      </w:r>
      <w:r w:rsidR="00764516" w:rsidRPr="005A302D">
        <w:rPr>
          <w:rFonts w:cs="Times New Roman"/>
          <w:vertAlign w:val="subscript"/>
          <w:lang w:val="en"/>
        </w:rPr>
        <w:t>2</w:t>
      </w:r>
      <w:r w:rsidR="00764516" w:rsidRPr="005A302D">
        <w:rPr>
          <w:rFonts w:cs="Times New Roman"/>
          <w:lang w:val="en"/>
        </w:rPr>
        <w:t>)</w:t>
      </w:r>
      <w:r w:rsidR="00764516" w:rsidRPr="005A302D">
        <w:rPr>
          <w:rFonts w:cs="Times New Roman"/>
          <w:vertAlign w:val="subscript"/>
          <w:lang w:val="en"/>
        </w:rPr>
        <w:t>2</w:t>
      </w:r>
      <w:r w:rsidR="00764516" w:rsidRPr="005A302D">
        <w:rPr>
          <w:rFonts w:cs="Times New Roman"/>
          <w:lang w:val="en"/>
        </w:rPr>
        <w:t>] on 27 March 2018 and 26 May 2020</w:t>
      </w:r>
      <w:r w:rsidR="003072D6">
        <w:rPr>
          <w:rFonts w:cs="Times New Roman"/>
          <w:lang w:val="en"/>
        </w:rPr>
        <w:t xml:space="preserve"> and 18.2 </w:t>
      </w:r>
      <w:r w:rsidR="003072D6" w:rsidRPr="005A302D">
        <w:t>kg N ha</w:t>
      </w:r>
      <w:r w:rsidR="003072D6" w:rsidRPr="005A302D">
        <w:rPr>
          <w:vertAlign w:val="superscript"/>
        </w:rPr>
        <w:t>-1</w:t>
      </w:r>
      <w:r w:rsidR="003072D6" w:rsidRPr="005A302D">
        <w:t xml:space="preserve"> yr</w:t>
      </w:r>
      <w:r w:rsidR="003072D6" w:rsidRPr="005A302D">
        <w:rPr>
          <w:vertAlign w:val="superscript"/>
        </w:rPr>
        <w:t>-1</w:t>
      </w:r>
      <w:r w:rsidR="003072D6" w:rsidRPr="005A302D">
        <w:t xml:space="preserve"> </w:t>
      </w:r>
      <w:r w:rsidR="003072D6">
        <w:t>on 7 May 2019</w:t>
      </w:r>
      <w:r w:rsidR="003072D6">
        <w:rPr>
          <w:rFonts w:cs="Times New Roman"/>
          <w:lang w:val="en"/>
        </w:rPr>
        <w:t xml:space="preserve">.  </w:t>
      </w:r>
      <w:r w:rsidR="00D914DE">
        <w:rPr>
          <w:rFonts w:cs="Times New Roman"/>
        </w:rPr>
        <w:t>P</w:t>
      </w:r>
      <w:r w:rsidRPr="005A302D">
        <w:rPr>
          <w:rFonts w:cs="Times New Roman"/>
        </w:rPr>
        <w:t xml:space="preserve">astures were </w:t>
      </w:r>
      <w:r w:rsidR="00D914DE">
        <w:rPr>
          <w:rFonts w:cs="Times New Roman"/>
        </w:rPr>
        <w:t>spot-</w:t>
      </w:r>
      <w:r w:rsidRPr="005A302D">
        <w:rPr>
          <w:rFonts w:cs="Times New Roman"/>
        </w:rPr>
        <w:t>sprayed with glyphosate</w:t>
      </w:r>
      <w:r w:rsidR="00A0661E" w:rsidRPr="005A302D">
        <w:rPr>
          <w:rFonts w:cs="Times New Roman"/>
        </w:rPr>
        <w:t xml:space="preserve"> </w:t>
      </w:r>
      <w:r w:rsidRPr="005A302D">
        <w:rPr>
          <w:rFonts w:cs="Times New Roman"/>
        </w:rPr>
        <w:t xml:space="preserve">{N-[phosphonomethyl] glycine, isopropyl-amine salt; 41%} to remove undesirable </w:t>
      </w:r>
      <w:r w:rsidR="00D914DE">
        <w:rPr>
          <w:rFonts w:cs="Times New Roman"/>
        </w:rPr>
        <w:t>grass</w:t>
      </w:r>
      <w:r w:rsidRPr="005A302D">
        <w:rPr>
          <w:rFonts w:cs="Times New Roman"/>
        </w:rPr>
        <w:t xml:space="preserve"> species</w:t>
      </w:r>
      <w:r w:rsidR="003819DA">
        <w:rPr>
          <w:rFonts w:cs="Times New Roman"/>
        </w:rPr>
        <w:t xml:space="preserve"> following the 2019 grazing season (September) and again in</w:t>
      </w:r>
      <w:r w:rsidR="00D914DE">
        <w:rPr>
          <w:rFonts w:cs="Times New Roman"/>
        </w:rPr>
        <w:t xml:space="preserve"> July 2020.</w:t>
      </w:r>
    </w:p>
    <w:p w14:paraId="6C94ED2F" w14:textId="53EC6DDD" w:rsidR="00A15088" w:rsidRPr="005A302D" w:rsidRDefault="00E5595B" w:rsidP="006552DA">
      <w:pPr>
        <w:spacing w:after="100" w:afterAutospacing="1"/>
        <w:ind w:firstLine="720"/>
      </w:pPr>
      <w:r w:rsidRPr="005A302D">
        <w:rPr>
          <w:rFonts w:cs="Times New Roman"/>
        </w:rPr>
        <w:t xml:space="preserve">Botanical composition </w:t>
      </w:r>
      <w:r w:rsidR="000017F0" w:rsidRPr="005A302D">
        <w:rPr>
          <w:rFonts w:cs="Times New Roman"/>
        </w:rPr>
        <w:t>w</w:t>
      </w:r>
      <w:r w:rsidRPr="005A302D">
        <w:rPr>
          <w:rFonts w:cs="Times New Roman"/>
        </w:rPr>
        <w:t xml:space="preserve">as assessed prior to and at the conclusion of grazing each year by counting </w:t>
      </w:r>
      <w:r w:rsidR="0023263C">
        <w:rPr>
          <w:rFonts w:cs="Times New Roman"/>
        </w:rPr>
        <w:t xml:space="preserve">desired forb plants and all </w:t>
      </w:r>
      <w:r w:rsidR="00B15A5F" w:rsidRPr="005A302D">
        <w:rPr>
          <w:rFonts w:cs="Times New Roman"/>
        </w:rPr>
        <w:t>NWSG tillers</w:t>
      </w:r>
      <w:r w:rsidRPr="005A302D">
        <w:rPr>
          <w:rFonts w:cs="Times New Roman"/>
        </w:rPr>
        <w:t xml:space="preserve"> within four random</w:t>
      </w:r>
      <w:r w:rsidR="00F6144D" w:rsidRPr="005A302D">
        <w:rPr>
          <w:rFonts w:cs="Times New Roman"/>
        </w:rPr>
        <w:t>ly placed</w:t>
      </w:r>
      <w:r w:rsidRPr="005A302D">
        <w:rPr>
          <w:rFonts w:cs="Times New Roman"/>
        </w:rPr>
        <w:t xml:space="preserve"> 0.25</w:t>
      </w:r>
      <w:r w:rsidR="000017F0" w:rsidRPr="005A302D">
        <w:rPr>
          <w:rFonts w:cs="Times New Roman"/>
        </w:rPr>
        <w:t>-</w:t>
      </w:r>
      <w:r w:rsidRPr="005A302D">
        <w:rPr>
          <w:rFonts w:cs="Times New Roman"/>
        </w:rPr>
        <w:t>m</w:t>
      </w:r>
      <w:r w:rsidRPr="005A302D">
        <w:rPr>
          <w:rFonts w:cs="Times New Roman"/>
          <w:vertAlign w:val="superscript"/>
        </w:rPr>
        <w:t>2</w:t>
      </w:r>
      <w:r w:rsidRPr="005A302D">
        <w:rPr>
          <w:rFonts w:cs="Times New Roman"/>
        </w:rPr>
        <w:t xml:space="preserve"> </w:t>
      </w:r>
      <w:r w:rsidR="000017F0" w:rsidRPr="005A302D">
        <w:rPr>
          <w:rFonts w:cs="Times New Roman"/>
        </w:rPr>
        <w:t xml:space="preserve">quadrats </w:t>
      </w:r>
      <w:r w:rsidRPr="005A302D">
        <w:rPr>
          <w:rFonts w:cs="Times New Roman"/>
        </w:rPr>
        <w:t xml:space="preserve">within each </w:t>
      </w:r>
      <w:r w:rsidR="00F6144D" w:rsidRPr="005A302D">
        <w:rPr>
          <w:rFonts w:cs="Times New Roman"/>
        </w:rPr>
        <w:t>experimental unit (</w:t>
      </w:r>
      <w:r w:rsidRPr="005A302D">
        <w:rPr>
          <w:rFonts w:cs="Times New Roman"/>
        </w:rPr>
        <w:t>EU</w:t>
      </w:r>
      <w:r w:rsidR="00F6144D" w:rsidRPr="005A302D">
        <w:rPr>
          <w:rFonts w:cs="Times New Roman"/>
        </w:rPr>
        <w:t>)</w:t>
      </w:r>
      <w:r w:rsidRPr="005A302D">
        <w:rPr>
          <w:rFonts w:cs="Times New Roman"/>
        </w:rPr>
        <w:t xml:space="preserve"> within each </w:t>
      </w:r>
      <w:r w:rsidR="004E5E23" w:rsidRPr="005A302D">
        <w:rPr>
          <w:rFonts w:cs="Times New Roman"/>
        </w:rPr>
        <w:t xml:space="preserve">NWSG </w:t>
      </w:r>
      <w:r w:rsidRPr="005A302D">
        <w:rPr>
          <w:rFonts w:cs="Times New Roman"/>
        </w:rPr>
        <w:t xml:space="preserve">pasture. </w:t>
      </w:r>
      <w:r w:rsidR="00F6144D" w:rsidRPr="005A302D">
        <w:rPr>
          <w:rFonts w:cs="Times New Roman"/>
        </w:rPr>
        <w:t xml:space="preserve"> </w:t>
      </w:r>
      <w:r w:rsidRPr="005A302D">
        <w:rPr>
          <w:rFonts w:cs="Times New Roman"/>
        </w:rPr>
        <w:t xml:space="preserve">Counts were taken at least 1 m from the boundary of another EU, fence, or other heavily traveled area.  </w:t>
      </w:r>
      <w:r w:rsidR="004537E6" w:rsidRPr="00453021">
        <w:rPr>
          <w:rFonts w:cs="Times New Roman"/>
        </w:rPr>
        <w:t>F</w:t>
      </w:r>
      <w:r w:rsidRPr="00453021">
        <w:rPr>
          <w:rFonts w:cs="Times New Roman"/>
        </w:rPr>
        <w:t xml:space="preserve">orage samples were collected </w:t>
      </w:r>
      <w:r w:rsidR="00E50915" w:rsidRPr="00453021">
        <w:rPr>
          <w:rFonts w:cs="Times New Roman"/>
        </w:rPr>
        <w:t xml:space="preserve">to determine </w:t>
      </w:r>
      <w:r w:rsidRPr="00453021">
        <w:rPr>
          <w:rFonts w:cs="Times New Roman"/>
        </w:rPr>
        <w:t>forage nutritive values</w:t>
      </w:r>
      <w:r w:rsidR="00E10048">
        <w:rPr>
          <w:rFonts w:cs="Times New Roman"/>
        </w:rPr>
        <w:t xml:space="preserve"> and forage mass dry matter </w:t>
      </w:r>
      <w:r w:rsidR="0001410B">
        <w:rPr>
          <w:rFonts w:cs="Times New Roman"/>
        </w:rPr>
        <w:t xml:space="preserve">yield and </w:t>
      </w:r>
      <w:r w:rsidR="00E10048">
        <w:rPr>
          <w:rFonts w:cs="Times New Roman"/>
        </w:rPr>
        <w:t>percentage</w:t>
      </w:r>
      <w:r w:rsidR="00E10048" w:rsidRPr="00453021">
        <w:rPr>
          <w:rFonts w:cs="Times New Roman"/>
        </w:rPr>
        <w:t xml:space="preserve"> </w:t>
      </w:r>
      <w:r w:rsidR="00EA54AF">
        <w:rPr>
          <w:rFonts w:cs="Times New Roman"/>
        </w:rPr>
        <w:t>throughout the</w:t>
      </w:r>
      <w:r w:rsidR="00E10048">
        <w:rPr>
          <w:rFonts w:cs="Times New Roman"/>
        </w:rPr>
        <w:t xml:space="preserve"> </w:t>
      </w:r>
      <w:r w:rsidR="00EA54AF">
        <w:rPr>
          <w:rFonts w:cs="Times New Roman"/>
        </w:rPr>
        <w:t xml:space="preserve">growing season </w:t>
      </w:r>
      <w:r w:rsidR="00E10048">
        <w:rPr>
          <w:rFonts w:cs="Times New Roman"/>
        </w:rPr>
        <w:t xml:space="preserve">(only 2019 data were used) </w:t>
      </w:r>
      <w:r w:rsidR="00D17DB7" w:rsidRPr="00453021">
        <w:rPr>
          <w:rFonts w:cs="Times New Roman"/>
        </w:rPr>
        <w:t xml:space="preserve">(Table </w:t>
      </w:r>
      <w:r w:rsidR="0034526C" w:rsidRPr="00453021">
        <w:rPr>
          <w:rFonts w:cs="Times New Roman"/>
        </w:rPr>
        <w:t>2</w:t>
      </w:r>
      <w:r w:rsidR="00D17DB7" w:rsidRPr="00453021">
        <w:rPr>
          <w:rFonts w:cs="Times New Roman"/>
        </w:rPr>
        <w:t>.</w:t>
      </w:r>
      <w:r w:rsidR="003C3710" w:rsidRPr="00453021">
        <w:rPr>
          <w:rFonts w:cs="Times New Roman"/>
        </w:rPr>
        <w:t>4</w:t>
      </w:r>
      <w:r w:rsidR="00D17DB7" w:rsidRPr="00453021">
        <w:rPr>
          <w:rFonts w:cs="Times New Roman"/>
        </w:rPr>
        <w:t>)</w:t>
      </w:r>
      <w:r w:rsidRPr="00453021">
        <w:rPr>
          <w:rFonts w:cs="Times New Roman"/>
        </w:rPr>
        <w:t xml:space="preserve">.  Samples were collected </w:t>
      </w:r>
      <w:r w:rsidR="00BA5D18" w:rsidRPr="00453021">
        <w:rPr>
          <w:rFonts w:cs="Times New Roman"/>
        </w:rPr>
        <w:t xml:space="preserve">by </w:t>
      </w:r>
      <w:r w:rsidR="000128C6" w:rsidRPr="00453021">
        <w:rPr>
          <w:rFonts w:cs="Times New Roman"/>
        </w:rPr>
        <w:t xml:space="preserve">clipping three randomly located </w:t>
      </w:r>
      <w:r w:rsidR="001F0690" w:rsidRPr="00453021">
        <w:rPr>
          <w:rFonts w:cs="Times New Roman"/>
        </w:rPr>
        <w:t>0.25-m</w:t>
      </w:r>
      <w:r w:rsidR="001F0690" w:rsidRPr="00453021">
        <w:rPr>
          <w:rFonts w:cs="Times New Roman"/>
          <w:vertAlign w:val="superscript"/>
        </w:rPr>
        <w:t>2</w:t>
      </w:r>
      <w:r w:rsidR="001F0690" w:rsidRPr="00453021">
        <w:rPr>
          <w:rFonts w:cs="Times New Roman"/>
        </w:rPr>
        <w:t xml:space="preserve"> quadrats </w:t>
      </w:r>
      <w:r w:rsidR="00E10048">
        <w:rPr>
          <w:rFonts w:cs="Times New Roman"/>
        </w:rPr>
        <w:t xml:space="preserve">at ≥20cm for forage nutritive value and ≥5cm for forage mass </w:t>
      </w:r>
      <w:r w:rsidR="001F0690" w:rsidRPr="00453021">
        <w:rPr>
          <w:rFonts w:cs="Times New Roman"/>
        </w:rPr>
        <w:t xml:space="preserve">within </w:t>
      </w:r>
      <w:r w:rsidR="001F0690" w:rsidRPr="00453021">
        <w:rPr>
          <w:rFonts w:cs="Times New Roman"/>
        </w:rPr>
        <w:lastRenderedPageBreak/>
        <w:t>each EU.  Samples were then separated</w:t>
      </w:r>
      <w:r w:rsidR="00E10048">
        <w:rPr>
          <w:rFonts w:cs="Times New Roman"/>
        </w:rPr>
        <w:t xml:space="preserve"> for forage mass</w:t>
      </w:r>
      <w:r w:rsidR="0001410B">
        <w:rPr>
          <w:rFonts w:cs="Times New Roman"/>
        </w:rPr>
        <w:t xml:space="preserve"> </w:t>
      </w:r>
      <w:r w:rsidR="001F0690" w:rsidRPr="00453021">
        <w:rPr>
          <w:rFonts w:cs="Times New Roman"/>
        </w:rPr>
        <w:t>into two categories,</w:t>
      </w:r>
      <w:r w:rsidR="001F0690" w:rsidRPr="005A302D">
        <w:rPr>
          <w:rFonts w:cs="Times New Roman"/>
        </w:rPr>
        <w:t xml:space="preserve"> </w:t>
      </w:r>
      <w:r w:rsidR="00453021">
        <w:rPr>
          <w:rFonts w:cs="Times New Roman"/>
        </w:rPr>
        <w:t>forbs</w:t>
      </w:r>
      <w:r w:rsidR="001F0690" w:rsidRPr="005A302D">
        <w:rPr>
          <w:rFonts w:cs="Times New Roman"/>
        </w:rPr>
        <w:t xml:space="preserve"> and </w:t>
      </w:r>
      <w:r w:rsidR="00453021">
        <w:rPr>
          <w:rFonts w:cs="Times New Roman"/>
        </w:rPr>
        <w:t>NWSG</w:t>
      </w:r>
      <w:r w:rsidR="001F0690" w:rsidRPr="005A302D">
        <w:rPr>
          <w:rFonts w:cs="Times New Roman"/>
        </w:rPr>
        <w:t>, based on target species</w:t>
      </w:r>
      <w:r w:rsidR="00CD29EB">
        <w:rPr>
          <w:rFonts w:cs="Times New Roman"/>
        </w:rPr>
        <w:t>; non-target species (i.e., weeds) were a minor component of the sward and were not analyzed</w:t>
      </w:r>
      <w:r w:rsidR="001F0690" w:rsidRPr="005A302D">
        <w:rPr>
          <w:rFonts w:cs="Times New Roman"/>
        </w:rPr>
        <w:t xml:space="preserve">.  </w:t>
      </w:r>
      <w:r w:rsidR="004537E6" w:rsidRPr="005A302D">
        <w:rPr>
          <w:rFonts w:cs="Times New Roman"/>
        </w:rPr>
        <w:t xml:space="preserve">In 2019, sampling dates </w:t>
      </w:r>
      <w:r w:rsidR="00E35EE1" w:rsidRPr="005A302D">
        <w:rPr>
          <w:rFonts w:cs="Times New Roman"/>
        </w:rPr>
        <w:t xml:space="preserve">during grazing </w:t>
      </w:r>
      <w:r w:rsidR="004537E6" w:rsidRPr="005A302D">
        <w:rPr>
          <w:rFonts w:cs="Times New Roman"/>
        </w:rPr>
        <w:t>coincide</w:t>
      </w:r>
      <w:r w:rsidR="00563FFE">
        <w:rPr>
          <w:rFonts w:cs="Times New Roman"/>
        </w:rPr>
        <w:t>d</w:t>
      </w:r>
      <w:r w:rsidR="004537E6" w:rsidRPr="005A302D">
        <w:rPr>
          <w:rFonts w:cs="Times New Roman"/>
        </w:rPr>
        <w:t xml:space="preserve"> with the</w:t>
      </w:r>
      <w:r w:rsidR="00E35EE1" w:rsidRPr="005A302D">
        <w:rPr>
          <w:rFonts w:cs="Times New Roman"/>
        </w:rPr>
        <w:t xml:space="preserve"> </w:t>
      </w:r>
      <w:r w:rsidR="004537E6" w:rsidRPr="005A302D">
        <w:rPr>
          <w:rFonts w:cs="Times New Roman"/>
        </w:rPr>
        <w:t xml:space="preserve">end date of each </w:t>
      </w:r>
      <w:r w:rsidR="009F786E">
        <w:rPr>
          <w:rFonts w:cs="Times New Roman"/>
        </w:rPr>
        <w:t>grazing</w:t>
      </w:r>
      <w:r w:rsidR="004537E6" w:rsidRPr="005A302D">
        <w:rPr>
          <w:rFonts w:cs="Times New Roman"/>
        </w:rPr>
        <w:t xml:space="preserve"> treatment</w:t>
      </w:r>
      <w:r w:rsidR="00361DFC">
        <w:rPr>
          <w:rFonts w:cs="Times New Roman"/>
        </w:rPr>
        <w:t xml:space="preserve"> to reflect forage dry matter mass </w:t>
      </w:r>
      <w:r w:rsidR="000670C9">
        <w:rPr>
          <w:rFonts w:cs="Times New Roman"/>
        </w:rPr>
        <w:t xml:space="preserve">percentage </w:t>
      </w:r>
      <w:r w:rsidR="00361DFC">
        <w:rPr>
          <w:rFonts w:cs="Times New Roman"/>
        </w:rPr>
        <w:t>and forage nutritive value of regrowth.</w:t>
      </w:r>
      <w:r w:rsidR="004537E6" w:rsidRPr="005A302D">
        <w:rPr>
          <w:rFonts w:cs="Times New Roman"/>
        </w:rPr>
        <w:t xml:space="preserve">  </w:t>
      </w:r>
      <w:r w:rsidR="00A15088" w:rsidRPr="005A302D">
        <w:t xml:space="preserve">Concurrent with forage sample collections, </w:t>
      </w:r>
      <w:r w:rsidR="009F786E">
        <w:t>planted native forbs</w:t>
      </w:r>
      <w:r w:rsidR="00A15088" w:rsidRPr="005A302D">
        <w:t xml:space="preserve"> were categorized as not present, present and not flowering, or present and flowering within each EU.  Only one plant per desired species was </w:t>
      </w:r>
      <w:r w:rsidR="00527EFC" w:rsidRPr="005A302D">
        <w:t xml:space="preserve">needed to have been </w:t>
      </w:r>
      <w:r w:rsidR="000A34DE" w:rsidRPr="005A302D">
        <w:t>observed</w:t>
      </w:r>
      <w:r w:rsidR="00A15088" w:rsidRPr="005A302D">
        <w:t xml:space="preserve"> </w:t>
      </w:r>
      <w:r w:rsidR="00527EFC" w:rsidRPr="005A302D">
        <w:t xml:space="preserve">for that species </w:t>
      </w:r>
      <w:r w:rsidR="00A15088" w:rsidRPr="005A302D">
        <w:t>to</w:t>
      </w:r>
      <w:r w:rsidR="00527EFC" w:rsidRPr="005A302D">
        <w:t xml:space="preserve"> have </w:t>
      </w:r>
      <w:r w:rsidR="00A15088" w:rsidRPr="005A302D">
        <w:t>be</w:t>
      </w:r>
      <w:r w:rsidR="00527EFC" w:rsidRPr="005A302D">
        <w:t>en</w:t>
      </w:r>
      <w:r w:rsidR="00A15088" w:rsidRPr="005A302D">
        <w:t xml:space="preserve"> considered present and not flowering or present and flowering.</w:t>
      </w:r>
    </w:p>
    <w:p w14:paraId="355045E8" w14:textId="1D0AB401" w:rsidR="00BA5D18" w:rsidRPr="005A302D" w:rsidRDefault="00563FFE" w:rsidP="00124C0D">
      <w:pPr>
        <w:pStyle w:val="Heading2"/>
      </w:pPr>
      <w:bookmarkStart w:id="111" w:name="_Toc72026040"/>
      <w:bookmarkStart w:id="112" w:name="_Hlk67166584"/>
      <w:bookmarkStart w:id="113" w:name="_Toc72305401"/>
      <w:r>
        <w:t xml:space="preserve">Nutritive Value </w:t>
      </w:r>
      <w:r w:rsidR="00BA5D18" w:rsidRPr="005A302D">
        <w:t>Analysis</w:t>
      </w:r>
      <w:bookmarkEnd w:id="111"/>
      <w:bookmarkEnd w:id="113"/>
    </w:p>
    <w:p w14:paraId="1D885BF8" w14:textId="7344F7EA" w:rsidR="007E09DE" w:rsidRPr="005A302D" w:rsidRDefault="004919E1" w:rsidP="00797027">
      <w:pPr>
        <w:pStyle w:val="Paragraphs"/>
        <w:spacing w:after="100" w:afterAutospacing="1"/>
      </w:pPr>
      <w:r w:rsidRPr="005A302D">
        <w:t xml:space="preserve">Following </w:t>
      </w:r>
      <w:r w:rsidR="00BA5D18" w:rsidRPr="005A302D">
        <w:t xml:space="preserve">sample </w:t>
      </w:r>
      <w:r w:rsidRPr="005A302D">
        <w:t xml:space="preserve">separations, </w:t>
      </w:r>
      <w:r w:rsidR="00563FFE">
        <w:t>samples were</w:t>
      </w:r>
      <w:r w:rsidR="00E5595B" w:rsidRPr="005A302D">
        <w:t xml:space="preserve"> dried at 5</w:t>
      </w:r>
      <w:r w:rsidR="00604D55" w:rsidRPr="005A302D">
        <w:t>5</w:t>
      </w:r>
      <w:r w:rsidR="00E5595B" w:rsidRPr="005A302D">
        <w:t>°C in a forced-air oven (Wisconsin Oven Corporation, East Troy, WI) for at least 72</w:t>
      </w:r>
      <w:r w:rsidR="00D93DDF" w:rsidRPr="005A302D">
        <w:t xml:space="preserve"> </w:t>
      </w:r>
      <w:r w:rsidR="00E5595B" w:rsidRPr="005A302D">
        <w:t>hours</w:t>
      </w:r>
      <w:r w:rsidR="00932A1B">
        <w:t xml:space="preserve"> and weighed for forage mass </w:t>
      </w:r>
      <w:r w:rsidR="00932A1B" w:rsidRPr="007761A2">
        <w:t xml:space="preserve">dry matter </w:t>
      </w:r>
      <w:r w:rsidR="0001410B" w:rsidRPr="007761A2">
        <w:t xml:space="preserve">yield and </w:t>
      </w:r>
      <w:r w:rsidR="00932A1B" w:rsidRPr="007761A2">
        <w:t>percentage</w:t>
      </w:r>
      <w:r w:rsidR="00932A1B">
        <w:t>.</w:t>
      </w:r>
      <w:r w:rsidR="00E5595B" w:rsidRPr="005A302D">
        <w:t xml:space="preserve">  </w:t>
      </w:r>
      <w:r w:rsidR="00C50F0B" w:rsidRPr="005A302D">
        <w:t>Native WSG and forb spe</w:t>
      </w:r>
      <w:r w:rsidR="00E5595B" w:rsidRPr="005A302D">
        <w:t xml:space="preserve">cies were then recombined and ground to pass a 1-mm screen in a Wiley mill (Thomas Scientific, Swedesboro, NJ) for forage </w:t>
      </w:r>
      <w:r w:rsidR="00A15088" w:rsidRPr="005A302D">
        <w:t xml:space="preserve">nutritive value </w:t>
      </w:r>
      <w:r w:rsidR="00E5595B" w:rsidRPr="005A302D">
        <w:t xml:space="preserve">analysis.  Nutritive value </w:t>
      </w:r>
      <w:r w:rsidRPr="005A302D">
        <w:t>estimates</w:t>
      </w:r>
      <w:r w:rsidR="00E5595B" w:rsidRPr="005A302D">
        <w:t xml:space="preserve"> of acid detergent fiber (ADF), amylase neutral detergent fiber (aNDF), crude protein (CP)</w:t>
      </w:r>
      <w:r w:rsidR="0030141E" w:rsidRPr="005A302D">
        <w:t>, and</w:t>
      </w:r>
      <w:r w:rsidR="0030141E" w:rsidRPr="005A302D">
        <w:rPr>
          <w:i/>
          <w:iCs/>
        </w:rPr>
        <w:t xml:space="preserve"> in vitro</w:t>
      </w:r>
      <w:r w:rsidR="0030141E" w:rsidRPr="005A302D">
        <w:t xml:space="preserve"> true dry matter digestibility following a 48-hour</w:t>
      </w:r>
      <w:r w:rsidR="00E5595B" w:rsidRPr="005A302D">
        <w:t xml:space="preserve"> </w:t>
      </w:r>
      <w:r w:rsidR="0030141E" w:rsidRPr="005A302D">
        <w:t xml:space="preserve">incubation (IVTDMD48h) </w:t>
      </w:r>
      <w:r w:rsidR="00E5595B" w:rsidRPr="005A302D">
        <w:t xml:space="preserve">were </w:t>
      </w:r>
      <w:r w:rsidRPr="005A302D">
        <w:t xml:space="preserve">predicted via </w:t>
      </w:r>
      <w:r w:rsidR="00E5595B" w:rsidRPr="005A302D">
        <w:t>near</w:t>
      </w:r>
      <w:r w:rsidR="00BA5D18" w:rsidRPr="005A302D">
        <w:t>-</w:t>
      </w:r>
      <w:r w:rsidR="00E5595B" w:rsidRPr="005A302D">
        <w:t xml:space="preserve">infrared reflectance spectroscopy </w:t>
      </w:r>
      <w:r w:rsidRPr="005A302D">
        <w:t xml:space="preserve">(NIRS) </w:t>
      </w:r>
      <w:r w:rsidR="00E5595B" w:rsidRPr="005A302D">
        <w:t xml:space="preserve">using a </w:t>
      </w:r>
      <w:r w:rsidRPr="005A302D">
        <w:t>SpectraStar 2600 XT-R using UScan software (Unity Scientific, Milford, MA).</w:t>
      </w:r>
      <w:r w:rsidR="00CE7D17" w:rsidRPr="005A302D">
        <w:t xml:space="preserve">  </w:t>
      </w:r>
      <w:r w:rsidR="007F032C" w:rsidRPr="005A302D">
        <w:t xml:space="preserve">The 2018 Grass Hay and Mixed Hay calibrations provided by the NIRS Forage and Feed Consortium (NIRSC, Hillsboro, WI) were standardized and checked for accuracy by the Global H statistical </w:t>
      </w:r>
      <w:r w:rsidR="007F032C" w:rsidRPr="005A302D">
        <w:lastRenderedPageBreak/>
        <w:t>test comparing the scanned samples against the calibration (</w:t>
      </w:r>
      <w:r w:rsidR="007F032C" w:rsidRPr="005A302D">
        <w:rPr>
          <w:i/>
          <w:iCs/>
        </w:rPr>
        <w:t>H</w:t>
      </w:r>
      <w:r w:rsidR="007F032C" w:rsidRPr="005A302D">
        <w:t xml:space="preserve"> &lt; 3.0) and are reported accordingly (Murray and Cowe, 2004).</w:t>
      </w:r>
      <w:r w:rsidR="00AC6CDC" w:rsidRPr="005A302D">
        <w:t xml:space="preserve">  </w:t>
      </w:r>
      <w:bookmarkEnd w:id="112"/>
      <w:r w:rsidR="007E09DE" w:rsidRPr="005A302D">
        <w:tab/>
      </w:r>
    </w:p>
    <w:p w14:paraId="5838E2FA" w14:textId="75E52C40" w:rsidR="00236E6D" w:rsidRPr="005A302D" w:rsidRDefault="00604D55" w:rsidP="00124C0D">
      <w:pPr>
        <w:pStyle w:val="Heading2"/>
      </w:pPr>
      <w:bookmarkStart w:id="114" w:name="_Toc72026041"/>
      <w:bookmarkStart w:id="115" w:name="_Toc72305402"/>
      <w:r w:rsidRPr="005A302D">
        <w:t>Statistical Analysis</w:t>
      </w:r>
      <w:bookmarkEnd w:id="114"/>
      <w:bookmarkEnd w:id="115"/>
    </w:p>
    <w:p w14:paraId="376E428B" w14:textId="0FFD0797" w:rsidR="00C73844" w:rsidRPr="005A302D" w:rsidRDefault="005A0D6D" w:rsidP="00EF4B18">
      <w:pPr>
        <w:pStyle w:val="Paragraphs"/>
        <w:rPr>
          <w:rFonts w:cs="Times New Roman"/>
        </w:rPr>
      </w:pPr>
      <w:r w:rsidRPr="005A302D">
        <w:t>Response variable</w:t>
      </w:r>
      <w:r w:rsidR="008F0374" w:rsidRPr="005A302D">
        <w:t>s [</w:t>
      </w:r>
      <w:r w:rsidR="00523F62" w:rsidRPr="005A302D">
        <w:t xml:space="preserve">NWSG tiller density, </w:t>
      </w:r>
      <w:r w:rsidR="00A76805" w:rsidRPr="005A302D">
        <w:t>native forb</w:t>
      </w:r>
      <w:r w:rsidR="00523F62" w:rsidRPr="005A302D">
        <w:t xml:space="preserve"> </w:t>
      </w:r>
      <w:r w:rsidRPr="005A302D">
        <w:t xml:space="preserve">plant density, </w:t>
      </w:r>
      <w:r w:rsidR="00780265">
        <w:t xml:space="preserve">forage mass dry matter yield (forbs, NWSG, and total forage), </w:t>
      </w:r>
      <w:r w:rsidR="00A76805" w:rsidRPr="005A302D">
        <w:t xml:space="preserve">and </w:t>
      </w:r>
      <w:r w:rsidRPr="005A302D">
        <w:t>forage nutritive value parameters</w:t>
      </w:r>
      <w:r w:rsidR="007E09DE" w:rsidRPr="005A302D">
        <w:t xml:space="preserve"> (CP, aNDF, ADF, </w:t>
      </w:r>
      <w:r w:rsidR="000A34DE" w:rsidRPr="005A302D">
        <w:t>and IVTDMD48h</w:t>
      </w:r>
      <w:r w:rsidR="007E09DE" w:rsidRPr="005A302D">
        <w:t>)</w:t>
      </w:r>
      <w:r w:rsidR="008F0374" w:rsidRPr="005A302D">
        <w:t>]</w:t>
      </w:r>
      <w:r w:rsidRPr="005A302D">
        <w:t xml:space="preserve"> were analyzed under an ANOVA model usin</w:t>
      </w:r>
      <w:r w:rsidRPr="005A302D">
        <w:rPr>
          <w:rFonts w:cs="Times New Roman"/>
        </w:rPr>
        <w:t xml:space="preserve">g PROC MIXED in </w:t>
      </w:r>
      <w:bookmarkStart w:id="116" w:name="_Hlk64333871"/>
      <w:r w:rsidRPr="005A302D">
        <w:rPr>
          <w:rFonts w:cs="Times New Roman"/>
        </w:rPr>
        <w:t>SAS</w:t>
      </w:r>
      <w:r w:rsidRPr="005A302D">
        <w:rPr>
          <w:rFonts w:cs="Times New Roman"/>
          <w:vertAlign w:val="superscript"/>
        </w:rPr>
        <w:t>®</w:t>
      </w:r>
      <w:r w:rsidRPr="005A302D">
        <w:rPr>
          <w:rFonts w:cs="Times New Roman"/>
        </w:rPr>
        <w:t xml:space="preserve"> software, Version 9.4 (SAS Institute, Cary, NC, 2013) for significant differences (α = 0.05) among fixed effects and </w:t>
      </w:r>
      <w:r w:rsidR="002E6D13" w:rsidRPr="005A302D">
        <w:rPr>
          <w:rFonts w:cs="Times New Roman"/>
        </w:rPr>
        <w:t xml:space="preserve">their </w:t>
      </w:r>
      <w:r w:rsidRPr="005A302D">
        <w:rPr>
          <w:rFonts w:cs="Times New Roman"/>
        </w:rPr>
        <w:t xml:space="preserve">interactions.  </w:t>
      </w:r>
      <w:bookmarkEnd w:id="116"/>
      <w:r w:rsidR="00C73844" w:rsidRPr="005A302D">
        <w:rPr>
          <w:rFonts w:cs="Times New Roman"/>
        </w:rPr>
        <w:t xml:space="preserve">For NWSG tiller and </w:t>
      </w:r>
      <w:r w:rsidR="00A76805" w:rsidRPr="005A302D">
        <w:rPr>
          <w:rFonts w:cs="Times New Roman"/>
        </w:rPr>
        <w:t>forb plant</w:t>
      </w:r>
      <w:r w:rsidR="00C73844" w:rsidRPr="005A302D">
        <w:rPr>
          <w:rFonts w:cs="Times New Roman"/>
        </w:rPr>
        <w:t xml:space="preserve"> density, f</w:t>
      </w:r>
      <w:r w:rsidRPr="005A302D">
        <w:rPr>
          <w:rFonts w:cs="Times New Roman"/>
        </w:rPr>
        <w:t>ixed effect</w:t>
      </w:r>
      <w:r w:rsidR="008F0374" w:rsidRPr="005A302D">
        <w:rPr>
          <w:rFonts w:cs="Times New Roman"/>
        </w:rPr>
        <w:t>s</w:t>
      </w:r>
      <w:r w:rsidRPr="005A302D">
        <w:rPr>
          <w:rFonts w:cs="Times New Roman"/>
        </w:rPr>
        <w:t xml:space="preserve"> </w:t>
      </w:r>
      <w:r w:rsidR="008F0374" w:rsidRPr="005A302D">
        <w:rPr>
          <w:rFonts w:cs="Times New Roman"/>
        </w:rPr>
        <w:t>were</w:t>
      </w:r>
      <w:r w:rsidRPr="005A302D">
        <w:rPr>
          <w:rFonts w:cs="Times New Roman"/>
        </w:rPr>
        <w:t xml:space="preserve"> </w:t>
      </w:r>
      <w:r w:rsidR="002D4422">
        <w:rPr>
          <w:rFonts w:cs="Times New Roman"/>
        </w:rPr>
        <w:t>grazing</w:t>
      </w:r>
      <w:r w:rsidR="008F0374" w:rsidRPr="005A302D">
        <w:rPr>
          <w:rFonts w:cs="Times New Roman"/>
        </w:rPr>
        <w:t xml:space="preserve"> treatment (</w:t>
      </w:r>
      <w:r w:rsidR="002D4422">
        <w:rPr>
          <w:rFonts w:cs="Times New Roman"/>
        </w:rPr>
        <w:t xml:space="preserve">Rest; </w:t>
      </w:r>
      <w:r w:rsidR="008F0374" w:rsidRPr="005A302D">
        <w:rPr>
          <w:rFonts w:cs="Times New Roman"/>
        </w:rPr>
        <w:t>early</w:t>
      </w:r>
      <w:r w:rsidR="002D4422">
        <w:rPr>
          <w:rFonts w:cs="Times New Roman"/>
        </w:rPr>
        <w:t xml:space="preserve"> rest</w:t>
      </w:r>
      <w:r w:rsidR="008F0374" w:rsidRPr="005A302D">
        <w:rPr>
          <w:rFonts w:cs="Times New Roman"/>
        </w:rPr>
        <w:t>, middle</w:t>
      </w:r>
      <w:r w:rsidR="002D4422">
        <w:rPr>
          <w:rFonts w:cs="Times New Roman"/>
        </w:rPr>
        <w:t xml:space="preserve"> rest</w:t>
      </w:r>
      <w:r w:rsidR="008F0374" w:rsidRPr="005A302D">
        <w:rPr>
          <w:rFonts w:cs="Times New Roman"/>
        </w:rPr>
        <w:t>, late</w:t>
      </w:r>
      <w:r w:rsidR="002D4422">
        <w:rPr>
          <w:rFonts w:cs="Times New Roman"/>
        </w:rPr>
        <w:t xml:space="preserve"> rest</w:t>
      </w:r>
      <w:r w:rsidR="008F0374" w:rsidRPr="005A302D">
        <w:rPr>
          <w:rFonts w:cs="Times New Roman"/>
        </w:rPr>
        <w:t>, no rest, or no graze)</w:t>
      </w:r>
      <w:r w:rsidR="0064199C" w:rsidRPr="005A302D">
        <w:rPr>
          <w:rFonts w:cs="Times New Roman"/>
        </w:rPr>
        <w:t>, sampling period</w:t>
      </w:r>
      <w:r w:rsidRPr="005A302D">
        <w:rPr>
          <w:rFonts w:cs="Times New Roman"/>
        </w:rPr>
        <w:t xml:space="preserve"> </w:t>
      </w:r>
      <w:r w:rsidR="008F0374" w:rsidRPr="005A302D">
        <w:rPr>
          <w:rFonts w:cs="Times New Roman"/>
        </w:rPr>
        <w:t>(</w:t>
      </w:r>
      <w:r w:rsidR="002D4422">
        <w:rPr>
          <w:rFonts w:cs="Times New Roman"/>
        </w:rPr>
        <w:t xml:space="preserve">Period; </w:t>
      </w:r>
      <w:r w:rsidR="00A76805" w:rsidRPr="005A302D">
        <w:rPr>
          <w:rFonts w:cs="Times New Roman"/>
        </w:rPr>
        <w:t>May or September</w:t>
      </w:r>
      <w:r w:rsidR="008F0374" w:rsidRPr="005A302D">
        <w:rPr>
          <w:rFonts w:cs="Times New Roman"/>
        </w:rPr>
        <w:t>)</w:t>
      </w:r>
      <w:r w:rsidR="0064199C" w:rsidRPr="005A302D">
        <w:rPr>
          <w:rFonts w:cs="Times New Roman"/>
        </w:rPr>
        <w:t>, and year</w:t>
      </w:r>
      <w:r w:rsidR="00C73844" w:rsidRPr="005A302D">
        <w:rPr>
          <w:rFonts w:cs="Times New Roman"/>
        </w:rPr>
        <w:t xml:space="preserve"> </w:t>
      </w:r>
      <w:r w:rsidR="005A74EE" w:rsidRPr="005A302D">
        <w:rPr>
          <w:rFonts w:cs="Times New Roman"/>
        </w:rPr>
        <w:t>(</w:t>
      </w:r>
      <w:r w:rsidR="002D4422">
        <w:rPr>
          <w:rFonts w:cs="Times New Roman"/>
        </w:rPr>
        <w:t xml:space="preserve">Year; </w:t>
      </w:r>
      <w:r w:rsidR="005A74EE" w:rsidRPr="005A302D">
        <w:rPr>
          <w:rFonts w:cs="Times New Roman"/>
        </w:rPr>
        <w:t xml:space="preserve">2018, 2019, or 2020) </w:t>
      </w:r>
      <w:r w:rsidR="00C73844" w:rsidRPr="005A302D">
        <w:rPr>
          <w:rFonts w:cs="Times New Roman"/>
        </w:rPr>
        <w:t>while r</w:t>
      </w:r>
      <w:r w:rsidR="00EA785C" w:rsidRPr="005A302D">
        <w:rPr>
          <w:rFonts w:cs="Times New Roman"/>
        </w:rPr>
        <w:t xml:space="preserve">eplication was a random effect.  </w:t>
      </w:r>
      <w:r w:rsidR="00A15088" w:rsidRPr="005A302D">
        <w:rPr>
          <w:rFonts w:cs="Times New Roman"/>
        </w:rPr>
        <w:t xml:space="preserve">Year was </w:t>
      </w:r>
      <w:r w:rsidR="002E6D13" w:rsidRPr="005A302D">
        <w:rPr>
          <w:rFonts w:cs="Times New Roman"/>
        </w:rPr>
        <w:t xml:space="preserve">treated </w:t>
      </w:r>
      <w:r w:rsidR="00A15088" w:rsidRPr="005A302D">
        <w:rPr>
          <w:rFonts w:cs="Times New Roman"/>
        </w:rPr>
        <w:t xml:space="preserve">as a repeated </w:t>
      </w:r>
      <w:r w:rsidR="00DB2F78" w:rsidRPr="005A302D">
        <w:rPr>
          <w:rFonts w:cs="Times New Roman"/>
        </w:rPr>
        <w:t>factor</w:t>
      </w:r>
      <w:r w:rsidR="00A15088" w:rsidRPr="005A302D">
        <w:rPr>
          <w:rFonts w:cs="Times New Roman"/>
        </w:rPr>
        <w:t xml:space="preserve">. </w:t>
      </w:r>
      <w:r w:rsidR="00A76805" w:rsidRPr="005A302D">
        <w:rPr>
          <w:rFonts w:cs="Times New Roman"/>
        </w:rPr>
        <w:t xml:space="preserve"> </w:t>
      </w:r>
      <w:r w:rsidR="00C73844" w:rsidRPr="005A302D">
        <w:rPr>
          <w:rFonts w:cs="Times New Roman"/>
        </w:rPr>
        <w:t xml:space="preserve">For forage </w:t>
      </w:r>
      <w:r w:rsidR="00780265">
        <w:rPr>
          <w:rFonts w:cs="Times New Roman"/>
        </w:rPr>
        <w:t xml:space="preserve">mass dry matter yield and </w:t>
      </w:r>
      <w:r w:rsidR="00C73844" w:rsidRPr="005A302D">
        <w:rPr>
          <w:rFonts w:cs="Times New Roman"/>
        </w:rPr>
        <w:t>nutritive value parameters</w:t>
      </w:r>
      <w:r w:rsidR="0059612E" w:rsidRPr="005A302D">
        <w:rPr>
          <w:rFonts w:cs="Times New Roman"/>
        </w:rPr>
        <w:t xml:space="preserve"> in 201</w:t>
      </w:r>
      <w:r w:rsidR="00443EB9">
        <w:rPr>
          <w:rFonts w:cs="Times New Roman"/>
        </w:rPr>
        <w:t>9</w:t>
      </w:r>
      <w:r w:rsidR="0059612E" w:rsidRPr="005A302D">
        <w:rPr>
          <w:rFonts w:cs="Times New Roman"/>
        </w:rPr>
        <w:t xml:space="preserve"> fixed effects were </w:t>
      </w:r>
      <w:r w:rsidR="002D4422">
        <w:rPr>
          <w:rFonts w:cs="Times New Roman"/>
        </w:rPr>
        <w:t>grazing</w:t>
      </w:r>
      <w:r w:rsidR="0059612E" w:rsidRPr="005A302D">
        <w:rPr>
          <w:rFonts w:cs="Times New Roman"/>
        </w:rPr>
        <w:t xml:space="preserve"> treatment per sampling period, and replication was a random effect.</w:t>
      </w:r>
      <w:r w:rsidR="0064199C" w:rsidRPr="005A302D">
        <w:rPr>
          <w:rFonts w:cs="Times New Roman"/>
        </w:rPr>
        <w:t xml:space="preserve">  </w:t>
      </w:r>
      <w:r w:rsidR="00A76805" w:rsidRPr="005A302D">
        <w:rPr>
          <w:rFonts w:cs="Times New Roman"/>
        </w:rPr>
        <w:t>Mean separation was conducted using Fisher’s least significant difference</w:t>
      </w:r>
      <w:r w:rsidR="0088427E" w:rsidRPr="005A302D">
        <w:rPr>
          <w:rFonts w:cs="Times New Roman"/>
        </w:rPr>
        <w:t>.</w:t>
      </w:r>
    </w:p>
    <w:p w14:paraId="54C16C2B" w14:textId="48E7699D" w:rsidR="00CA7FE7" w:rsidRPr="005A302D" w:rsidRDefault="00FB4495" w:rsidP="005B05EC">
      <w:pPr>
        <w:pStyle w:val="Paragraphs"/>
        <w:spacing w:after="100" w:afterAutospacing="1"/>
        <w:rPr>
          <w:rFonts w:cs="Times New Roman"/>
        </w:rPr>
      </w:pPr>
      <w:r w:rsidRPr="005A302D">
        <w:rPr>
          <w:rFonts w:cs="Times New Roman"/>
        </w:rPr>
        <w:t>Native forb f</w:t>
      </w:r>
      <w:r w:rsidR="00EF5072" w:rsidRPr="005A302D">
        <w:rPr>
          <w:rFonts w:cs="Times New Roman"/>
        </w:rPr>
        <w:t>lowering data was analyzed under a Chi-Square test using PROC FREQ in SAS</w:t>
      </w:r>
      <w:r w:rsidR="00EF5072" w:rsidRPr="005A302D">
        <w:rPr>
          <w:rFonts w:cs="Times New Roman"/>
          <w:vertAlign w:val="superscript"/>
        </w:rPr>
        <w:t>®</w:t>
      </w:r>
      <w:r w:rsidR="00EF5072" w:rsidRPr="005A302D">
        <w:rPr>
          <w:rFonts w:cs="Times New Roman"/>
        </w:rPr>
        <w:t xml:space="preserve"> software, Version 9.4 (SAS Institute, Cary, NC, 2013) for significant differences (α = 0.05) among </w:t>
      </w:r>
      <w:r w:rsidR="002D4422">
        <w:rPr>
          <w:rFonts w:cs="Times New Roman"/>
        </w:rPr>
        <w:t>grazing</w:t>
      </w:r>
      <w:r w:rsidR="00EF5072" w:rsidRPr="005A302D">
        <w:rPr>
          <w:rFonts w:cs="Times New Roman"/>
        </w:rPr>
        <w:t xml:space="preserve"> treatments within a given sampling period pooled across years (2019 and 2020).  Flowering of desired species was categorized as </w:t>
      </w:r>
      <w:r w:rsidR="00415E4E" w:rsidRPr="005A302D">
        <w:rPr>
          <w:rFonts w:cs="Times New Roman"/>
        </w:rPr>
        <w:t>“yes”</w:t>
      </w:r>
      <w:r w:rsidR="00EF5072" w:rsidRPr="005A302D">
        <w:rPr>
          <w:rFonts w:cs="Times New Roman"/>
        </w:rPr>
        <w:t xml:space="preserve"> or </w:t>
      </w:r>
      <w:r w:rsidR="00415E4E" w:rsidRPr="005A302D">
        <w:rPr>
          <w:rFonts w:cs="Times New Roman"/>
        </w:rPr>
        <w:t>“no”</w:t>
      </w:r>
      <w:r w:rsidR="00EF5072" w:rsidRPr="005A302D">
        <w:rPr>
          <w:rFonts w:cs="Times New Roman"/>
        </w:rPr>
        <w:t xml:space="preserve"> within a given sampling period.  Only present species were incorporated into totals.  </w:t>
      </w:r>
      <w:r w:rsidR="002F691E" w:rsidRPr="005A302D">
        <w:rPr>
          <w:rFonts w:cs="Times New Roman"/>
        </w:rPr>
        <w:t>Lanceleaf coreopsis was not incorporated into totals since it is characterized as a cool-season forb</w:t>
      </w:r>
      <w:r w:rsidR="009926CC" w:rsidRPr="005A302D">
        <w:rPr>
          <w:rFonts w:cs="Times New Roman"/>
        </w:rPr>
        <w:t xml:space="preserve"> and therefore, would not be expected to be flowering concurrently with the other species.</w:t>
      </w:r>
    </w:p>
    <w:p w14:paraId="2E7D0B81" w14:textId="7EF8D0E1" w:rsidR="009F40C7" w:rsidRPr="005A302D" w:rsidRDefault="00DD3196" w:rsidP="009F40C7">
      <w:pPr>
        <w:pStyle w:val="AgronomyJournalSectionTitles"/>
      </w:pPr>
      <w:bookmarkStart w:id="117" w:name="_Toc72026042"/>
      <w:bookmarkStart w:id="118" w:name="_Toc72305403"/>
      <w:r w:rsidRPr="005A302D">
        <w:lastRenderedPageBreak/>
        <w:t>RESULTS</w:t>
      </w:r>
      <w:bookmarkEnd w:id="117"/>
      <w:bookmarkEnd w:id="118"/>
    </w:p>
    <w:p w14:paraId="0E2F2038" w14:textId="5288B2A5" w:rsidR="009F40C7" w:rsidRPr="005A302D" w:rsidRDefault="009F40C7" w:rsidP="00124C0D">
      <w:pPr>
        <w:pStyle w:val="Heading2"/>
      </w:pPr>
      <w:bookmarkStart w:id="119" w:name="_Toc72026043"/>
      <w:bookmarkStart w:id="120" w:name="_Toc72305404"/>
      <w:r w:rsidRPr="005A302D">
        <w:t>Environmental Conditions</w:t>
      </w:r>
      <w:bookmarkStart w:id="121" w:name="_Hlk52323817"/>
      <w:bookmarkEnd w:id="119"/>
      <w:bookmarkEnd w:id="120"/>
    </w:p>
    <w:p w14:paraId="782BFFF8" w14:textId="3E154B14" w:rsidR="000128C6" w:rsidRPr="005A302D" w:rsidRDefault="009F40C7" w:rsidP="006552DA">
      <w:pPr>
        <w:pStyle w:val="Paragraphs"/>
        <w:spacing w:after="100" w:afterAutospacing="1"/>
      </w:pPr>
      <w:bookmarkStart w:id="122" w:name="_Hlk52359811"/>
      <w:bookmarkEnd w:id="121"/>
      <w:r w:rsidRPr="005A302D">
        <w:t xml:space="preserve">During the </w:t>
      </w:r>
      <w:r w:rsidR="00EF76B0">
        <w:t>study</w:t>
      </w:r>
      <w:r w:rsidRPr="005A302D">
        <w:t xml:space="preserve"> (June 2017</w:t>
      </w:r>
      <w:r w:rsidR="00565D59" w:rsidRPr="005A302D">
        <w:t>-</w:t>
      </w:r>
      <w:r w:rsidRPr="005A302D">
        <w:t>September 20</w:t>
      </w:r>
      <w:r w:rsidR="0059612E" w:rsidRPr="005A302D">
        <w:t>20</w:t>
      </w:r>
      <w:r w:rsidRPr="005A302D">
        <w:t xml:space="preserve">), mean monthly air temperatures were similar </w:t>
      </w:r>
      <w:r w:rsidR="00565D59" w:rsidRPr="005A302D">
        <w:t xml:space="preserve">to </w:t>
      </w:r>
      <w:r w:rsidRPr="005A302D">
        <w:t xml:space="preserve">or above 30-year means </w:t>
      </w:r>
      <w:r w:rsidR="007A0395" w:rsidRPr="005A302D">
        <w:t>(</w:t>
      </w:r>
      <w:r w:rsidR="00EF76B0">
        <w:t xml:space="preserve">25 of 40 months; </w:t>
      </w:r>
      <w:r w:rsidR="007A0395" w:rsidRPr="005A302D">
        <w:t>Figure 2.</w:t>
      </w:r>
      <w:r w:rsidR="00112D85">
        <w:t>2</w:t>
      </w:r>
      <w:r w:rsidR="007A0395" w:rsidRPr="005A302D">
        <w:t>a)</w:t>
      </w:r>
      <w:r w:rsidR="00565D59" w:rsidRPr="005A302D">
        <w:t xml:space="preserve"> as were </w:t>
      </w:r>
      <w:r w:rsidR="00EF76B0">
        <w:t>temperatures during</w:t>
      </w:r>
      <w:r w:rsidR="00565D59" w:rsidRPr="005A302D">
        <w:t xml:space="preserve"> the g</w:t>
      </w:r>
      <w:r w:rsidRPr="005A302D">
        <w:t>rowing season (April</w:t>
      </w:r>
      <w:r w:rsidR="002660EC" w:rsidRPr="005A302D">
        <w:t>-</w:t>
      </w:r>
      <w:r w:rsidRPr="005A302D">
        <w:t>September</w:t>
      </w:r>
      <w:r w:rsidR="002660EC" w:rsidRPr="005A302D">
        <w:t xml:space="preserve">; </w:t>
      </w:r>
      <w:r w:rsidRPr="005A302D">
        <w:t>1</w:t>
      </w:r>
      <w:r w:rsidR="00D43107" w:rsidRPr="005A302D">
        <w:t>3</w:t>
      </w:r>
      <w:r w:rsidRPr="005A302D">
        <w:t xml:space="preserve"> of </w:t>
      </w:r>
      <w:r w:rsidR="007A0395" w:rsidRPr="005A302D">
        <w:t>2</w:t>
      </w:r>
      <w:r w:rsidR="00D43107" w:rsidRPr="005A302D">
        <w:t>2</w:t>
      </w:r>
      <w:r w:rsidRPr="005A302D">
        <w:t xml:space="preserve"> months)</w:t>
      </w:r>
      <w:r w:rsidR="007A0395" w:rsidRPr="005A302D">
        <w:t xml:space="preserve">. </w:t>
      </w:r>
      <w:r w:rsidRPr="005A302D">
        <w:t xml:space="preserve"> Monthly precipitation was similar to mean monthly air temperature in that </w:t>
      </w:r>
      <w:r w:rsidR="007A0395" w:rsidRPr="005A302D">
        <w:t>25</w:t>
      </w:r>
      <w:r w:rsidRPr="005A302D">
        <w:t xml:space="preserve"> out of </w:t>
      </w:r>
      <w:r w:rsidR="007A0395" w:rsidRPr="005A302D">
        <w:t>4</w:t>
      </w:r>
      <w:r w:rsidR="00F55621" w:rsidRPr="005A302D">
        <w:t>0</w:t>
      </w:r>
      <w:r w:rsidRPr="005A302D">
        <w:t xml:space="preserve"> months were greater than 30-year means (Figure </w:t>
      </w:r>
      <w:r w:rsidR="00DB3909" w:rsidRPr="005A302D">
        <w:t>2</w:t>
      </w:r>
      <w:r w:rsidRPr="005A302D">
        <w:t>.</w:t>
      </w:r>
      <w:r w:rsidR="00112D85">
        <w:t>2</w:t>
      </w:r>
      <w:r w:rsidRPr="005A302D">
        <w:t>b).  However, less than half (</w:t>
      </w:r>
      <w:r w:rsidR="007A0395" w:rsidRPr="005A302D">
        <w:t>10</w:t>
      </w:r>
      <w:r w:rsidRPr="005A302D">
        <w:t xml:space="preserve"> of </w:t>
      </w:r>
      <w:r w:rsidR="007A0395" w:rsidRPr="005A302D">
        <w:t>2</w:t>
      </w:r>
      <w:r w:rsidR="00F55621" w:rsidRPr="005A302D">
        <w:t>2</w:t>
      </w:r>
      <w:r w:rsidRPr="005A302D">
        <w:t xml:space="preserve">) of the months during the growing season had greater monthly precipitation.  Following planting in June 2017, the remaining four months (including June) of the growing season were abnormally dry.  While April </w:t>
      </w:r>
      <w:r w:rsidR="00DE0958" w:rsidRPr="005A302D">
        <w:t xml:space="preserve">and August </w:t>
      </w:r>
      <w:r w:rsidRPr="005A302D">
        <w:t>2018 followed this pattern, June, July, and September were uncharacteristically wet (9</w:t>
      </w:r>
      <w:r w:rsidR="00DE0958" w:rsidRPr="005A302D">
        <w:t>7</w:t>
      </w:r>
      <w:r w:rsidRPr="005A302D">
        <w:t>%, 22%, and 43% greater than 30-year mean, respectively)</w:t>
      </w:r>
      <w:r w:rsidR="00406268" w:rsidRPr="005A302D">
        <w:t>.</w:t>
      </w:r>
      <w:r w:rsidRPr="005A302D">
        <w:t xml:space="preserve">  In 2019, June and July had greater than 30-year mean amounts of rainfall while </w:t>
      </w:r>
      <w:r w:rsidR="005A17C1" w:rsidRPr="005A302D">
        <w:t>September</w:t>
      </w:r>
      <w:bookmarkEnd w:id="122"/>
      <w:r w:rsidR="000128C6" w:rsidRPr="005A302D">
        <w:t xml:space="preserve"> had less </w:t>
      </w:r>
      <w:r w:rsidR="005A17C1" w:rsidRPr="005A302D">
        <w:t xml:space="preserve">(92%) </w:t>
      </w:r>
      <w:r w:rsidR="000128C6" w:rsidRPr="005A302D">
        <w:t>rainfall</w:t>
      </w:r>
      <w:r w:rsidR="00CE7D8D" w:rsidRPr="005A302D">
        <w:t xml:space="preserve"> than average</w:t>
      </w:r>
      <w:r w:rsidR="00F55621" w:rsidRPr="005A302D">
        <w:t>.  In 2020, April</w:t>
      </w:r>
      <w:r w:rsidR="009712F3" w:rsidRPr="005A302D">
        <w:t xml:space="preserve"> and September </w:t>
      </w:r>
      <w:r w:rsidR="005A17C1" w:rsidRPr="005A302D">
        <w:t xml:space="preserve">(85% and 47%, respectively) </w:t>
      </w:r>
      <w:r w:rsidR="009712F3" w:rsidRPr="005A302D">
        <w:t>had greater monthly precipitation than 30-year means</w:t>
      </w:r>
      <w:r w:rsidR="00F07128" w:rsidRPr="005A302D">
        <w:t xml:space="preserve"> </w:t>
      </w:r>
      <w:r w:rsidR="000128C6" w:rsidRPr="005A302D">
        <w:t>(NOAA, 202</w:t>
      </w:r>
      <w:r w:rsidR="00126FC4" w:rsidRPr="005A302D">
        <w:t>1</w:t>
      </w:r>
      <w:r w:rsidR="000128C6" w:rsidRPr="005A302D">
        <w:t xml:space="preserve">). </w:t>
      </w:r>
    </w:p>
    <w:p w14:paraId="46040154" w14:textId="4F8DC234" w:rsidR="00EF5C89" w:rsidRPr="005A302D" w:rsidRDefault="00EF5C89" w:rsidP="00124C0D">
      <w:pPr>
        <w:pStyle w:val="Heading2"/>
      </w:pPr>
      <w:bookmarkStart w:id="123" w:name="_Toc72026044"/>
      <w:bookmarkStart w:id="124" w:name="_Toc72305405"/>
      <w:r w:rsidRPr="005A302D">
        <w:t>Tiller and Plant Density</w:t>
      </w:r>
      <w:bookmarkEnd w:id="123"/>
      <w:bookmarkEnd w:id="124"/>
    </w:p>
    <w:p w14:paraId="22B3C6FD" w14:textId="164AEFF5" w:rsidR="00EF5C89" w:rsidRPr="00124C0D" w:rsidRDefault="00EF5C89" w:rsidP="00124C0D">
      <w:pPr>
        <w:pStyle w:val="Heading3"/>
        <w:rPr>
          <w:rStyle w:val="Emphasis"/>
          <w:b/>
          <w:bCs/>
          <w:i w:val="0"/>
          <w:iCs/>
        </w:rPr>
      </w:pPr>
      <w:bookmarkStart w:id="125" w:name="_Toc72026045"/>
      <w:bookmarkStart w:id="126" w:name="_Toc72305406"/>
      <w:r w:rsidRPr="00124C0D">
        <w:rPr>
          <w:rStyle w:val="Emphasis"/>
          <w:b/>
          <w:bCs/>
          <w:i w:val="0"/>
          <w:iCs/>
        </w:rPr>
        <w:t>Switchgrass</w:t>
      </w:r>
      <w:bookmarkStart w:id="127" w:name="_Hlk56549120"/>
      <w:bookmarkEnd w:id="125"/>
      <w:bookmarkEnd w:id="126"/>
    </w:p>
    <w:bookmarkEnd w:id="127"/>
    <w:p w14:paraId="65E598B9" w14:textId="6293165F" w:rsidR="00EF5C89" w:rsidRPr="005A302D" w:rsidRDefault="00EF5C89" w:rsidP="00EF5C89">
      <w:pPr>
        <w:pStyle w:val="Paragraphs"/>
      </w:pPr>
      <w:r w:rsidRPr="005A302D">
        <w:t xml:space="preserve">For SG tiller density, </w:t>
      </w:r>
      <w:r w:rsidR="007576E5">
        <w:t>r</w:t>
      </w:r>
      <w:r w:rsidR="007576E5" w:rsidRPr="005A302D">
        <w:t>est was not influential in any interaction or independently</w:t>
      </w:r>
      <w:r w:rsidR="007576E5">
        <w:t xml:space="preserve"> (Table 2.5)</w:t>
      </w:r>
      <w:r w:rsidR="007576E5" w:rsidRPr="005A302D">
        <w:t>.</w:t>
      </w:r>
      <w:r w:rsidR="007576E5">
        <w:t xml:space="preserve">  T</w:t>
      </w:r>
      <w:r w:rsidRPr="005A302D">
        <w:t>here was a two-way interaction for Year x Period (</w:t>
      </w:r>
      <w:r w:rsidRPr="005A302D">
        <w:rPr>
          <w:i/>
          <w:iCs/>
        </w:rPr>
        <w:t>P</w:t>
      </w:r>
      <w:r w:rsidRPr="005A302D">
        <w:t xml:space="preserve"> &lt; 0.001</w:t>
      </w:r>
      <w:r w:rsidR="007576E5">
        <w:t>)</w:t>
      </w:r>
      <w:r w:rsidRPr="005A302D">
        <w:t xml:space="preserve">.  </w:t>
      </w:r>
      <w:r w:rsidR="00F44AB3" w:rsidRPr="005A302D">
        <w:t>Post-grazing</w:t>
      </w:r>
      <w:r w:rsidRPr="005A302D">
        <w:t xml:space="preserve"> 2020 (505.3 tillers m</w:t>
      </w:r>
      <w:r w:rsidRPr="005A302D">
        <w:rPr>
          <w:vertAlign w:val="superscript"/>
        </w:rPr>
        <w:t>-2</w:t>
      </w:r>
      <w:r w:rsidRPr="005A302D">
        <w:t>) had the greatest mean tiller density (Figure 2.</w:t>
      </w:r>
      <w:r w:rsidR="00112D85">
        <w:t>3</w:t>
      </w:r>
      <w:r w:rsidRPr="005A302D">
        <w:t xml:space="preserve">).  </w:t>
      </w:r>
      <w:r w:rsidR="00B710D0" w:rsidRPr="005A302D">
        <w:t xml:space="preserve">Switchgrass tiller density increased over time from 2017-2020 and generally increased from </w:t>
      </w:r>
      <w:r w:rsidR="00F44AB3" w:rsidRPr="005A302D">
        <w:t xml:space="preserve">pre-grazing </w:t>
      </w:r>
      <w:r w:rsidR="00B710D0" w:rsidRPr="005A302D">
        <w:t xml:space="preserve">to </w:t>
      </w:r>
      <w:r w:rsidR="00F44AB3" w:rsidRPr="005A302D">
        <w:t>post-grazing</w:t>
      </w:r>
      <w:r w:rsidR="00B710D0" w:rsidRPr="005A302D">
        <w:t xml:space="preserve"> each year.  Also, </w:t>
      </w:r>
      <w:r w:rsidR="00F44AB3" w:rsidRPr="005A302D">
        <w:t>pre-grazing</w:t>
      </w:r>
      <w:r w:rsidRPr="005A302D">
        <w:t xml:space="preserve"> tiller density </w:t>
      </w:r>
      <w:r w:rsidR="00F44AB3" w:rsidRPr="005A302D">
        <w:t xml:space="preserve">increased </w:t>
      </w:r>
      <w:r w:rsidR="00F44AB3" w:rsidRPr="005A302D">
        <w:lastRenderedPageBreak/>
        <w:t xml:space="preserve">each year </w:t>
      </w:r>
      <w:r w:rsidRPr="005A302D">
        <w:t xml:space="preserve">from the previous year as did </w:t>
      </w:r>
      <w:r w:rsidR="00F44AB3" w:rsidRPr="005A302D">
        <w:t>post-grazing tiller density</w:t>
      </w:r>
      <w:r w:rsidRPr="005A302D">
        <w:t xml:space="preserve">.  </w:t>
      </w:r>
      <w:r w:rsidR="00CE09F4" w:rsidRPr="00836EC2">
        <w:t>Switchgrass tiller density increased from pre-grazing in 2018 to post-grazing in 2020 (148%) while forb plant density decreased</w:t>
      </w:r>
      <w:r w:rsidR="00CE09F4">
        <w:t xml:space="preserve">. </w:t>
      </w:r>
      <w:r w:rsidR="00864D0F" w:rsidRPr="00864D0F">
        <w:t xml:space="preserve"> </w:t>
      </w:r>
      <w:r w:rsidR="00864D0F">
        <w:t>Forbs forage mass dry matter percentage averaged across no graze and no rest treatments pre-grazing consisted of 42.7% whereas post-grazing was 11.8%.</w:t>
      </w:r>
      <w:r w:rsidRPr="005A302D">
        <w:t xml:space="preserve">  </w:t>
      </w:r>
    </w:p>
    <w:p w14:paraId="3420CF9E" w14:textId="21E959E7" w:rsidR="00EF5C89" w:rsidRPr="00FB662C" w:rsidRDefault="00EF5C89" w:rsidP="00EF5C89">
      <w:pPr>
        <w:pStyle w:val="Paragraphs"/>
      </w:pPr>
      <w:r w:rsidRPr="005A302D">
        <w:t xml:space="preserve">Out of the 11 native forb species analyzed for plant density, </w:t>
      </w:r>
      <w:r w:rsidRPr="008420F4">
        <w:t>seven species were significant for at least one main effect</w:t>
      </w:r>
      <w:r w:rsidRPr="005A302D">
        <w:t xml:space="preserve"> or interaction (Table 2.</w:t>
      </w:r>
      <w:r w:rsidR="00065FF0" w:rsidRPr="005A302D">
        <w:t>5</w:t>
      </w:r>
      <w:r w:rsidRPr="005A302D">
        <w:t xml:space="preserve">).  </w:t>
      </w:r>
      <w:r w:rsidR="00300CC0" w:rsidRPr="005A302D">
        <w:t>The three-way interaction only influenced</w:t>
      </w:r>
      <w:r w:rsidR="00ED0E8E">
        <w:t xml:space="preserve"> black-eyed susan</w:t>
      </w:r>
      <w:r w:rsidR="00300CC0" w:rsidRPr="005A302D">
        <w:t xml:space="preserve"> </w:t>
      </w:r>
      <w:r w:rsidR="00ED0E8E">
        <w:t>(</w:t>
      </w:r>
      <w:r w:rsidR="009F786E">
        <w:t>BESU</w:t>
      </w:r>
      <w:r w:rsidR="00ED0E8E">
        <w:t xml:space="preserve">; </w:t>
      </w:r>
      <w:r w:rsidR="002D4CE3" w:rsidRPr="005A302D">
        <w:rPr>
          <w:i/>
          <w:iCs/>
        </w:rPr>
        <w:t>P</w:t>
      </w:r>
      <w:r w:rsidR="002D4CE3" w:rsidRPr="005A302D">
        <w:t xml:space="preserve"> = 0.007</w:t>
      </w:r>
      <w:r w:rsidR="002D4CE3">
        <w:t>)</w:t>
      </w:r>
      <w:r w:rsidR="0040603C" w:rsidRPr="005A302D">
        <w:t>, while</w:t>
      </w:r>
      <w:r w:rsidR="00300CC0" w:rsidRPr="005A302D">
        <w:t xml:space="preserve"> the two-way interactions of Year x Period and Rest x Year affected five and three species, respectively.  Only </w:t>
      </w:r>
      <w:r w:rsidR="000D2CB4">
        <w:t>PCON</w:t>
      </w:r>
      <w:r w:rsidR="00300CC0" w:rsidRPr="005A302D">
        <w:t xml:space="preserve"> </w:t>
      </w:r>
      <w:r w:rsidR="00172787">
        <w:t>(</w:t>
      </w:r>
      <w:r w:rsidR="00172787" w:rsidRPr="00172787">
        <w:rPr>
          <w:i/>
          <w:iCs/>
        </w:rPr>
        <w:t>P</w:t>
      </w:r>
      <w:r w:rsidR="00172787">
        <w:t xml:space="preserve"> = 0.007) </w:t>
      </w:r>
      <w:r w:rsidR="00300CC0" w:rsidRPr="00FB662C">
        <w:t xml:space="preserve">was influenced by Year while </w:t>
      </w:r>
      <w:r w:rsidR="00300CC0" w:rsidRPr="008420F4">
        <w:t xml:space="preserve">Rest and Period </w:t>
      </w:r>
      <w:r w:rsidR="008B04ED" w:rsidRPr="008420F4">
        <w:t xml:space="preserve">by themselves </w:t>
      </w:r>
      <w:r w:rsidR="00300CC0" w:rsidRPr="008420F4">
        <w:t>did not affect any</w:t>
      </w:r>
      <w:r w:rsidR="00300CC0" w:rsidRPr="00FB662C">
        <w:t xml:space="preserve"> species.  </w:t>
      </w:r>
      <w:r w:rsidR="002F1979" w:rsidRPr="00FB662C">
        <w:t>Illinois bundleflower, M</w:t>
      </w:r>
      <w:r w:rsidR="00762D14" w:rsidRPr="00FB662C">
        <w:t>aximilian sunflower (MAXI)</w:t>
      </w:r>
      <w:r w:rsidR="002F1979" w:rsidRPr="00FB662C">
        <w:t>, and</w:t>
      </w:r>
      <w:r w:rsidR="00762D14" w:rsidRPr="00FB662C">
        <w:t xml:space="preserve"> upright </w:t>
      </w:r>
      <w:r w:rsidR="00012515" w:rsidRPr="00FB662C">
        <w:t>prairie coneflower (</w:t>
      </w:r>
      <w:r w:rsidR="002F1979" w:rsidRPr="00FB662C">
        <w:t>UPRT</w:t>
      </w:r>
      <w:r w:rsidR="00012515" w:rsidRPr="00FB662C">
        <w:t>)</w:t>
      </w:r>
      <w:r w:rsidR="002F1979" w:rsidRPr="00FB662C">
        <w:t xml:space="preserve"> plant densit</w:t>
      </w:r>
      <w:r w:rsidR="0040603C" w:rsidRPr="00FB662C">
        <w:t>ies were</w:t>
      </w:r>
      <w:r w:rsidR="002F1979" w:rsidRPr="00FB662C">
        <w:t xml:space="preserve"> not </w:t>
      </w:r>
      <w:r w:rsidR="003C3B45" w:rsidRPr="00FB662C">
        <w:t>affected</w:t>
      </w:r>
      <w:r w:rsidR="002F1979" w:rsidRPr="00FB662C">
        <w:t xml:space="preserve"> by any fixed effect. </w:t>
      </w:r>
    </w:p>
    <w:p w14:paraId="7CF58411" w14:textId="682F4CA1" w:rsidR="009657B2" w:rsidRDefault="002D4422" w:rsidP="00836EC2">
      <w:pPr>
        <w:pStyle w:val="Paragraphs"/>
      </w:pPr>
      <w:r>
        <w:t>Among a</w:t>
      </w:r>
      <w:r w:rsidR="00EF5C89" w:rsidRPr="00FB662C">
        <w:t xml:space="preserve">ll </w:t>
      </w:r>
      <w:r>
        <w:t xml:space="preserve">grazing </w:t>
      </w:r>
      <w:r w:rsidR="00EF5C89" w:rsidRPr="00FB662C">
        <w:t>treatments</w:t>
      </w:r>
      <w:r>
        <w:t>,</w:t>
      </w:r>
      <w:r w:rsidR="00EF5C89" w:rsidRPr="00FB662C">
        <w:t xml:space="preserve"> </w:t>
      </w:r>
      <w:r w:rsidR="00F44AB3" w:rsidRPr="00FB662C">
        <w:t>pre-grazing</w:t>
      </w:r>
      <w:r w:rsidR="00EF5C89" w:rsidRPr="00FB662C">
        <w:t xml:space="preserve"> 2018 had greater BESU plant density than all other Rest x Year x Period combinations</w:t>
      </w:r>
      <w:r w:rsidR="00172787">
        <w:t xml:space="preserve"> (Table 2.6)</w:t>
      </w:r>
      <w:r w:rsidR="00EF5C89" w:rsidRPr="00FB662C">
        <w:t>.  Early rest and no rest (43.3 and 42.0 plants m</w:t>
      </w:r>
      <w:r w:rsidR="00EF5C89" w:rsidRPr="00FB662C">
        <w:rPr>
          <w:vertAlign w:val="superscript"/>
        </w:rPr>
        <w:t>-2</w:t>
      </w:r>
      <w:r w:rsidR="00EF5C89" w:rsidRPr="00FB662C">
        <w:t xml:space="preserve">, respectively) had the greatest BESU plant density of all </w:t>
      </w:r>
      <w:r>
        <w:t>grazing</w:t>
      </w:r>
      <w:r w:rsidR="00EF5C89" w:rsidRPr="00FB662C">
        <w:t xml:space="preserve"> treatments </w:t>
      </w:r>
      <w:r w:rsidR="00F44AB3" w:rsidRPr="00FB662C">
        <w:t>pre-grazing</w:t>
      </w:r>
      <w:r w:rsidR="00EF5C89" w:rsidRPr="00FB662C">
        <w:t xml:space="preserve"> 2018</w:t>
      </w:r>
      <w:r w:rsidR="008B04ED">
        <w:t>;</w:t>
      </w:r>
      <w:r w:rsidR="0028430D" w:rsidRPr="00FB662C">
        <w:t xml:space="preserve"> however</w:t>
      </w:r>
      <w:r w:rsidR="000D67C5">
        <w:t>,</w:t>
      </w:r>
      <w:r w:rsidR="0028430D" w:rsidRPr="00FB662C">
        <w:t xml:space="preserve"> at this time, grazing had yet to occur on the study.</w:t>
      </w:r>
      <w:r w:rsidR="00EB49DD">
        <w:t xml:space="preserve">  </w:t>
      </w:r>
      <w:r w:rsidR="00EF5C89" w:rsidRPr="00F837DB">
        <w:t>Dixie</w:t>
      </w:r>
      <w:r w:rsidR="00EF5C89" w:rsidRPr="00FB662C">
        <w:t xml:space="preserve"> ticktrefoil (DITI)</w:t>
      </w:r>
      <w:r w:rsidR="00FB662C">
        <w:t>, lanceleaf coreopsis (LANC), and partridge pea (PPEA)</w:t>
      </w:r>
      <w:r w:rsidR="00EF5C89" w:rsidRPr="00FB662C">
        <w:t xml:space="preserve"> plant density </w:t>
      </w:r>
      <w:r w:rsidR="008B04ED">
        <w:t xml:space="preserve">all </w:t>
      </w:r>
      <w:r w:rsidR="00EF5C89" w:rsidRPr="00FB662C">
        <w:t xml:space="preserve">had a two-way interaction for </w:t>
      </w:r>
      <w:r w:rsidR="00EF5C89" w:rsidRPr="00A55538">
        <w:t>Rest x Year (</w:t>
      </w:r>
      <w:r w:rsidR="00EF5C89" w:rsidRPr="00A55538">
        <w:rPr>
          <w:i/>
          <w:iCs/>
        </w:rPr>
        <w:t>P</w:t>
      </w:r>
      <w:r w:rsidR="00EF5C89" w:rsidRPr="00A55538">
        <w:t xml:space="preserve"> &lt; 0.001</w:t>
      </w:r>
      <w:r w:rsidR="00FB662C" w:rsidRPr="00A55538">
        <w:t xml:space="preserve">, </w:t>
      </w:r>
      <w:r w:rsidR="00FB662C" w:rsidRPr="00A55538">
        <w:rPr>
          <w:i/>
          <w:iCs/>
        </w:rPr>
        <w:t>P</w:t>
      </w:r>
      <w:r w:rsidR="00FB662C" w:rsidRPr="00A55538">
        <w:t xml:space="preserve"> = 0.020, and </w:t>
      </w:r>
      <w:r w:rsidR="00FB662C" w:rsidRPr="00A55538">
        <w:rPr>
          <w:i/>
          <w:iCs/>
        </w:rPr>
        <w:t>P</w:t>
      </w:r>
      <w:r w:rsidR="00FB662C" w:rsidRPr="00A55538">
        <w:t xml:space="preserve"> = 0.030,</w:t>
      </w:r>
      <w:r w:rsidR="00FB662C">
        <w:t xml:space="preserve"> respectively</w:t>
      </w:r>
      <w:r w:rsidR="00EF5C89" w:rsidRPr="00FB662C">
        <w:t>).  The Rest x Year interaction showed DITI</w:t>
      </w:r>
      <w:r w:rsidR="007F3B9A">
        <w:t xml:space="preserve"> and PPEA</w:t>
      </w:r>
      <w:r w:rsidR="00EF5C89" w:rsidRPr="00FB662C">
        <w:t xml:space="preserve"> plant density greatest for no graze in 2020 (16.1 plants </w:t>
      </w:r>
      <w:bookmarkStart w:id="128" w:name="_Hlk67702851"/>
      <w:r w:rsidR="00EF5C89" w:rsidRPr="00FB662C">
        <w:t>m</w:t>
      </w:r>
      <w:r w:rsidR="00EF5C89" w:rsidRPr="00FB662C">
        <w:rPr>
          <w:vertAlign w:val="superscript"/>
        </w:rPr>
        <w:t>-2</w:t>
      </w:r>
      <w:bookmarkEnd w:id="128"/>
      <w:r w:rsidR="00EF5C89" w:rsidRPr="00FB662C">
        <w:t>)</w:t>
      </w:r>
      <w:r w:rsidR="007F3B9A">
        <w:t xml:space="preserve"> and early rest in 2019 (1.2 plants </w:t>
      </w:r>
      <w:r w:rsidR="007F3B9A" w:rsidRPr="00FB662C">
        <w:t>m</w:t>
      </w:r>
      <w:r w:rsidR="007F3B9A" w:rsidRPr="00FB662C">
        <w:rPr>
          <w:vertAlign w:val="superscript"/>
        </w:rPr>
        <w:t>-2</w:t>
      </w:r>
      <w:r w:rsidR="007F3B9A">
        <w:t xml:space="preserve">), respectively </w:t>
      </w:r>
      <w:r w:rsidR="007F3B9A" w:rsidRPr="00FB662C">
        <w:t>(Table 2.7)</w:t>
      </w:r>
      <w:r w:rsidR="007F3B9A">
        <w:t>.  For both species,</w:t>
      </w:r>
      <w:r w:rsidR="00EF5C89" w:rsidRPr="00FB662C">
        <w:t xml:space="preserve"> all other values were similar to each other</w:t>
      </w:r>
      <w:r w:rsidR="007F3B9A">
        <w:t xml:space="preserve">. </w:t>
      </w:r>
      <w:r w:rsidR="00EF5C89" w:rsidRPr="00FB662C">
        <w:t xml:space="preserve"> </w:t>
      </w:r>
      <w:r w:rsidR="00FB662C" w:rsidRPr="00FB662C">
        <w:t xml:space="preserve">For </w:t>
      </w:r>
      <w:r w:rsidR="007F3B9A">
        <w:t>LANC</w:t>
      </w:r>
      <w:r w:rsidR="00FB662C" w:rsidRPr="00FB662C">
        <w:t>, early rest and no graze in 2019 (38.4 and 34.2 plants m</w:t>
      </w:r>
      <w:r w:rsidR="00FB662C" w:rsidRPr="00FB662C">
        <w:rPr>
          <w:vertAlign w:val="superscript"/>
        </w:rPr>
        <w:t>-2</w:t>
      </w:r>
      <w:r w:rsidR="00FB662C" w:rsidRPr="00FB662C">
        <w:t xml:space="preserve">, respectively) were </w:t>
      </w:r>
      <w:r w:rsidR="00FB662C" w:rsidRPr="00FB662C">
        <w:lastRenderedPageBreak/>
        <w:t xml:space="preserve">greater than all other combinations for 2018 and 2020. </w:t>
      </w:r>
      <w:r w:rsidR="00FB662C">
        <w:t xml:space="preserve"> </w:t>
      </w:r>
      <w:r w:rsidR="00FB662C" w:rsidRPr="00FB662C">
        <w:t xml:space="preserve">Furthermore, all </w:t>
      </w:r>
      <w:r w:rsidR="007F3B9A">
        <w:t xml:space="preserve">grazing </w:t>
      </w:r>
      <w:r w:rsidR="00FB662C" w:rsidRPr="00FB662C">
        <w:t>treatments in 2020 were lower than 2018 and 2019</w:t>
      </w:r>
      <w:r w:rsidR="007F3B9A">
        <w:t xml:space="preserve"> for LANC plant density, which was not </w:t>
      </w:r>
      <w:r w:rsidR="001A476E">
        <w:t xml:space="preserve">observed </w:t>
      </w:r>
      <w:r w:rsidR="007F3B9A">
        <w:t>for DITI and PPEA</w:t>
      </w:r>
      <w:r w:rsidR="00FB662C" w:rsidRPr="00FB662C">
        <w:t>.</w:t>
      </w:r>
      <w:r w:rsidR="00EB49DD">
        <w:t xml:space="preserve">  </w:t>
      </w:r>
      <w:r w:rsidR="009657B2">
        <w:t>Dixie ticktrefoil, LANC</w:t>
      </w:r>
      <w:r w:rsidR="00FB662C">
        <w:t>, oxeye sunflower (OXEY), plains coreopsis (PLAC), and PPEA</w:t>
      </w:r>
      <w:r w:rsidR="00EF5C89" w:rsidRPr="00FB662C">
        <w:t xml:space="preserve"> plant density had a two-way interaction for Year x Period (</w:t>
      </w:r>
      <w:r w:rsidR="009657B2" w:rsidRPr="00FB662C">
        <w:rPr>
          <w:i/>
          <w:iCs/>
        </w:rPr>
        <w:t>P</w:t>
      </w:r>
      <w:r w:rsidR="009657B2" w:rsidRPr="009657B2">
        <w:t xml:space="preserve"> = 0.026, </w:t>
      </w:r>
      <w:r w:rsidR="00EF5C89" w:rsidRPr="00FB662C">
        <w:rPr>
          <w:i/>
          <w:iCs/>
        </w:rPr>
        <w:t>P</w:t>
      </w:r>
      <w:r w:rsidR="00EF5C89" w:rsidRPr="00FB662C">
        <w:t xml:space="preserve"> &lt; 0.001</w:t>
      </w:r>
      <w:r w:rsidR="00FB662C">
        <w:t xml:space="preserve">, </w:t>
      </w:r>
      <w:r w:rsidR="00FB662C" w:rsidRPr="00FB662C">
        <w:rPr>
          <w:i/>
          <w:iCs/>
        </w:rPr>
        <w:t>P</w:t>
      </w:r>
      <w:r w:rsidR="00FB662C" w:rsidRPr="00FB662C">
        <w:t xml:space="preserve"> = 0.003</w:t>
      </w:r>
      <w:r w:rsidR="00FB662C">
        <w:t xml:space="preserve">, </w:t>
      </w:r>
      <w:r w:rsidR="00FB662C" w:rsidRPr="00FB662C">
        <w:rPr>
          <w:i/>
          <w:iCs/>
        </w:rPr>
        <w:t>P</w:t>
      </w:r>
      <w:r w:rsidR="00FB662C" w:rsidRPr="00FB662C">
        <w:t xml:space="preserve"> &lt; 0.001</w:t>
      </w:r>
      <w:r w:rsidR="009657B2">
        <w:t xml:space="preserve">, </w:t>
      </w:r>
      <w:r w:rsidR="009657B2" w:rsidRPr="009657B2">
        <w:rPr>
          <w:i/>
          <w:iCs/>
        </w:rPr>
        <w:t>P</w:t>
      </w:r>
      <w:r w:rsidR="009657B2" w:rsidRPr="00FB662C">
        <w:t xml:space="preserve"> = 0.036</w:t>
      </w:r>
      <w:r w:rsidR="009657B2">
        <w:t>, respectively</w:t>
      </w:r>
      <w:r w:rsidR="00EF5C89" w:rsidRPr="00FB662C">
        <w:t>)</w:t>
      </w:r>
      <w:r w:rsidR="00FB662C">
        <w:t xml:space="preserve">.  </w:t>
      </w:r>
      <w:r w:rsidR="00077BA1">
        <w:t xml:space="preserve">All five species had the greatest plant density during pre-grazing sampling periods although not all species were greatest in </w:t>
      </w:r>
      <w:r w:rsidR="00077BA1" w:rsidRPr="00836EC2">
        <w:t xml:space="preserve">the same year (Table 2.8).  </w:t>
      </w:r>
      <w:r w:rsidR="00A30B0E" w:rsidRPr="00836EC2">
        <w:t xml:space="preserve">For DITI, PLAC, and PPEA, all other periods had similar plant densities.  Plains coreopsis </w:t>
      </w:r>
      <w:r w:rsidR="00077BA1" w:rsidRPr="00836EC2">
        <w:t xml:space="preserve">was greatest </w:t>
      </w:r>
      <w:r w:rsidR="00A30B0E" w:rsidRPr="00836EC2">
        <w:t xml:space="preserve">for pre-grazing in </w:t>
      </w:r>
      <w:r w:rsidR="00077BA1" w:rsidRPr="00836EC2">
        <w:t>2018 (32.3 plants m</w:t>
      </w:r>
      <w:r w:rsidR="00077BA1" w:rsidRPr="00836EC2">
        <w:rPr>
          <w:vertAlign w:val="superscript"/>
        </w:rPr>
        <w:t>-2</w:t>
      </w:r>
      <w:r w:rsidR="00077BA1" w:rsidRPr="00836EC2">
        <w:t>)</w:t>
      </w:r>
      <w:r w:rsidR="00A30B0E" w:rsidRPr="00836EC2">
        <w:t>, LANC and PPEA (44.8 and 0.7 plants m</w:t>
      </w:r>
      <w:r w:rsidR="00A30B0E" w:rsidRPr="00836EC2">
        <w:rPr>
          <w:vertAlign w:val="superscript"/>
        </w:rPr>
        <w:t>-2</w:t>
      </w:r>
      <w:r w:rsidR="00A30B0E" w:rsidRPr="00836EC2">
        <w:t>, respectively) in 2019, and DITI (6.9 plants m</w:t>
      </w:r>
      <w:r w:rsidR="00A30B0E" w:rsidRPr="00836EC2">
        <w:rPr>
          <w:vertAlign w:val="superscript"/>
        </w:rPr>
        <w:t>-2</w:t>
      </w:r>
      <w:r w:rsidR="00A30B0E" w:rsidRPr="00836EC2">
        <w:t>) in 2020</w:t>
      </w:r>
      <w:r w:rsidR="00077BA1" w:rsidRPr="00836EC2">
        <w:t>.</w:t>
      </w:r>
      <w:r w:rsidR="00A30B0E" w:rsidRPr="00836EC2">
        <w:t xml:space="preserve">  Oxeye sunflower was similar in both 2019 and 2020 (3.7 and 6.1 plants m</w:t>
      </w:r>
      <w:r w:rsidR="00A30B0E" w:rsidRPr="00836EC2">
        <w:rPr>
          <w:vertAlign w:val="superscript"/>
        </w:rPr>
        <w:t>-2</w:t>
      </w:r>
      <w:r w:rsidR="00A30B0E" w:rsidRPr="00836EC2">
        <w:t xml:space="preserve">, respectively).  </w:t>
      </w:r>
      <w:r w:rsidR="009657B2" w:rsidRPr="00836EC2">
        <w:t xml:space="preserve">Purple coneflower (PCON) plant density </w:t>
      </w:r>
      <w:r w:rsidR="00EB49DD" w:rsidRPr="00836EC2">
        <w:t xml:space="preserve">differed by </w:t>
      </w:r>
      <w:r w:rsidR="009657B2" w:rsidRPr="00836EC2">
        <w:t>Year (P = 0.007)</w:t>
      </w:r>
      <w:r w:rsidR="00EB49DD" w:rsidRPr="00836EC2">
        <w:t xml:space="preserve"> with</w:t>
      </w:r>
      <w:r w:rsidR="009657B2" w:rsidRPr="00836EC2">
        <w:t xml:space="preserve"> 2019 and 2020 (5.0 and 3.8 plants m</w:t>
      </w:r>
      <w:r w:rsidR="009657B2" w:rsidRPr="00836EC2">
        <w:rPr>
          <w:vertAlign w:val="superscript"/>
        </w:rPr>
        <w:t>-2</w:t>
      </w:r>
      <w:r w:rsidR="009657B2" w:rsidRPr="00836EC2">
        <w:t>, respectively) greater than 2018 (1.9 plants m</w:t>
      </w:r>
      <w:r w:rsidR="009657B2" w:rsidRPr="00836EC2">
        <w:rPr>
          <w:vertAlign w:val="superscript"/>
        </w:rPr>
        <w:t>-2</w:t>
      </w:r>
      <w:r w:rsidR="009657B2" w:rsidRPr="00836EC2">
        <w:t xml:space="preserve">).  </w:t>
      </w:r>
    </w:p>
    <w:p w14:paraId="799BB9B1" w14:textId="57235641" w:rsidR="00836EC2" w:rsidRDefault="00836EC2" w:rsidP="00657C01">
      <w:pPr>
        <w:pStyle w:val="Paragraphs"/>
        <w:spacing w:after="100" w:afterAutospacing="1"/>
      </w:pPr>
      <w:r>
        <w:t>Forb species were ranked based on abundance (total plants m</w:t>
      </w:r>
      <w:r w:rsidRPr="0092769F">
        <w:rPr>
          <w:vertAlign w:val="superscript"/>
        </w:rPr>
        <w:t>-2</w:t>
      </w:r>
      <w:r>
        <w:t>), persistence (plants m</w:t>
      </w:r>
      <w:r w:rsidRPr="0092769F">
        <w:rPr>
          <w:vertAlign w:val="superscript"/>
        </w:rPr>
        <w:t>-2</w:t>
      </w:r>
      <w:r>
        <w:t xml:space="preserve"> remaining in 2020), </w:t>
      </w:r>
      <w:r w:rsidR="0092769F">
        <w:t>flowering period, and bloom abundance (plant</w:t>
      </w:r>
      <w:r w:rsidR="0092769F" w:rsidRPr="0092769F">
        <w:rPr>
          <w:vertAlign w:val="superscript"/>
        </w:rPr>
        <w:t>-1</w:t>
      </w:r>
      <w:r w:rsidR="0092769F">
        <w:t>)</w:t>
      </w:r>
      <w:r w:rsidR="00657C01">
        <w:t xml:space="preserve"> (Table 2.9).  Lanceleaf coreopsis ranked as the best forb to plant within SG based on these results.  The highest ranked annual/biennial forb was BESU.  Dixie ticktrefoil ranked highest among legumes.  Purple prairie clover ranked last among all forbs.</w:t>
      </w:r>
    </w:p>
    <w:p w14:paraId="1641805E" w14:textId="7BB494EE" w:rsidR="00EF5C89" w:rsidRPr="00124C0D" w:rsidRDefault="00EF5C89" w:rsidP="00124C0D">
      <w:pPr>
        <w:pStyle w:val="Heading3"/>
        <w:rPr>
          <w:rStyle w:val="Emphasis"/>
          <w:b/>
          <w:bCs/>
          <w:i w:val="0"/>
          <w:iCs/>
        </w:rPr>
      </w:pPr>
      <w:bookmarkStart w:id="129" w:name="_Toc72026046"/>
      <w:bookmarkStart w:id="130" w:name="_Toc72305407"/>
      <w:r w:rsidRPr="00124C0D">
        <w:rPr>
          <w:rStyle w:val="Emphasis"/>
          <w:b/>
          <w:bCs/>
          <w:i w:val="0"/>
          <w:iCs/>
        </w:rPr>
        <w:t>Big Bluestem/Indiangrass</w:t>
      </w:r>
      <w:bookmarkStart w:id="131" w:name="_Hlk56551084"/>
      <w:bookmarkEnd w:id="129"/>
      <w:bookmarkEnd w:id="130"/>
    </w:p>
    <w:bookmarkEnd w:id="131"/>
    <w:p w14:paraId="69E6517D" w14:textId="7EC29E48" w:rsidR="00EF5C89" w:rsidRPr="00836EC2" w:rsidRDefault="00EF5C89" w:rsidP="00EF5C89">
      <w:pPr>
        <w:pStyle w:val="Paragraphs"/>
      </w:pPr>
      <w:r w:rsidRPr="00836EC2">
        <w:t xml:space="preserve">For BBIG tiller density, </w:t>
      </w:r>
      <w:r w:rsidR="007576E5">
        <w:t>r</w:t>
      </w:r>
      <w:r w:rsidR="007576E5" w:rsidRPr="00836EC2">
        <w:t>est was not significant independently or in any interaction</w:t>
      </w:r>
      <w:r w:rsidR="007576E5">
        <w:t xml:space="preserve"> (Table 2.10)</w:t>
      </w:r>
      <w:r w:rsidR="007576E5" w:rsidRPr="00836EC2">
        <w:t>.</w:t>
      </w:r>
      <w:r w:rsidR="007576E5">
        <w:t xml:space="preserve">  T</w:t>
      </w:r>
      <w:r w:rsidRPr="00836EC2">
        <w:t>here was a two-way interaction for Year x Period (</w:t>
      </w:r>
      <w:r w:rsidRPr="00836EC2">
        <w:rPr>
          <w:i/>
          <w:iCs/>
        </w:rPr>
        <w:t>P</w:t>
      </w:r>
      <w:r w:rsidRPr="00836EC2">
        <w:t xml:space="preserve"> = 0.002).  </w:t>
      </w:r>
      <w:r w:rsidR="008B5542" w:rsidRPr="00836EC2">
        <w:t xml:space="preserve">In </w:t>
      </w:r>
      <w:r w:rsidRPr="00836EC2">
        <w:t>2019 and 2020</w:t>
      </w:r>
      <w:r w:rsidR="008B5542" w:rsidRPr="00836EC2">
        <w:t>, pre-grazing</w:t>
      </w:r>
      <w:r w:rsidRPr="00836EC2">
        <w:t xml:space="preserve"> (581.6 and 604.5 tillers m</w:t>
      </w:r>
      <w:r w:rsidRPr="00836EC2">
        <w:rPr>
          <w:vertAlign w:val="superscript"/>
        </w:rPr>
        <w:t>-2</w:t>
      </w:r>
      <w:r w:rsidRPr="00836EC2">
        <w:t xml:space="preserve">, respectively) had the greatest </w:t>
      </w:r>
      <w:r w:rsidRPr="00836EC2">
        <w:lastRenderedPageBreak/>
        <w:t xml:space="preserve">mean tiller densities with no difference </w:t>
      </w:r>
      <w:r w:rsidR="008B5542" w:rsidRPr="00836EC2">
        <w:t>between</w:t>
      </w:r>
      <w:r w:rsidRPr="00836EC2">
        <w:t xml:space="preserve"> </w:t>
      </w:r>
      <w:r w:rsidR="008B5542" w:rsidRPr="00836EC2">
        <w:t>post-grazing</w:t>
      </w:r>
      <w:r w:rsidRPr="00836EC2">
        <w:t xml:space="preserve"> </w:t>
      </w:r>
      <w:r w:rsidR="008B5542" w:rsidRPr="00836EC2">
        <w:t xml:space="preserve">in </w:t>
      </w:r>
      <w:r w:rsidRPr="00836EC2">
        <w:t>2019 and 2020 (Figure 2.</w:t>
      </w:r>
      <w:r w:rsidR="00112D85">
        <w:t>4</w:t>
      </w:r>
      <w:r w:rsidRPr="00836EC2">
        <w:t xml:space="preserve">).  </w:t>
      </w:r>
      <w:r w:rsidR="008B5542" w:rsidRPr="00836EC2">
        <w:t>Pre- and post-grazing in</w:t>
      </w:r>
      <w:r w:rsidRPr="00836EC2">
        <w:t xml:space="preserve"> 2018 had the lowest BBIG tiller density (326.1 and 341.1 tillers m</w:t>
      </w:r>
      <w:r w:rsidRPr="00836EC2">
        <w:rPr>
          <w:vertAlign w:val="superscript"/>
        </w:rPr>
        <w:t>-2</w:t>
      </w:r>
      <w:r w:rsidRPr="00836EC2">
        <w:t xml:space="preserve">, respectively), </w:t>
      </w:r>
      <w:r w:rsidR="00C142E4" w:rsidRPr="00836EC2">
        <w:t>and were similar to</w:t>
      </w:r>
      <w:r w:rsidRPr="00836EC2">
        <w:t xml:space="preserve"> </w:t>
      </w:r>
      <w:r w:rsidR="008B5542" w:rsidRPr="00836EC2">
        <w:t xml:space="preserve">post-grazing in </w:t>
      </w:r>
      <w:r w:rsidRPr="00836EC2">
        <w:t>2019 (391.1 tillers m</w:t>
      </w:r>
      <w:r w:rsidRPr="00836EC2">
        <w:rPr>
          <w:vertAlign w:val="superscript"/>
        </w:rPr>
        <w:t>-2</w:t>
      </w:r>
      <w:r w:rsidRPr="00836EC2">
        <w:t xml:space="preserve">).  Tiller density increased numerically each </w:t>
      </w:r>
      <w:r w:rsidR="008B5542" w:rsidRPr="00836EC2">
        <w:t>pre-grazing period</w:t>
      </w:r>
      <w:r w:rsidRPr="00836EC2">
        <w:t xml:space="preserve"> from the previous year</w:t>
      </w:r>
      <w:r w:rsidR="00C142E4" w:rsidRPr="00836EC2">
        <w:t xml:space="preserve">’s post grazing counts. </w:t>
      </w:r>
      <w:r w:rsidR="000D67C5" w:rsidRPr="00836EC2">
        <w:t xml:space="preserve"> </w:t>
      </w:r>
      <w:r w:rsidR="00C142E4" w:rsidRPr="00836EC2">
        <w:t>Each year’s post-grazing densities</w:t>
      </w:r>
      <w:r w:rsidRPr="00836EC2">
        <w:t xml:space="preserve"> </w:t>
      </w:r>
      <w:r w:rsidR="00C142E4" w:rsidRPr="00836EC2">
        <w:t>were numerically greater than the preceding year’s post-grazing density.</w:t>
      </w:r>
      <w:r w:rsidRPr="00836EC2">
        <w:t xml:space="preserve">  </w:t>
      </w:r>
      <w:r w:rsidR="007576E5">
        <w:t xml:space="preserve">Big bluestem/indiangrass </w:t>
      </w:r>
      <w:r w:rsidR="007576E5" w:rsidRPr="007576E5">
        <w:t>tiller density increased from pre-grazing in 2018 to post-grazing in 2020 (4</w:t>
      </w:r>
      <w:r w:rsidR="007576E5">
        <w:t>3</w:t>
      </w:r>
      <w:r w:rsidR="007576E5" w:rsidRPr="007576E5">
        <w:t xml:space="preserve">%) while forb plant density decreased.  </w:t>
      </w:r>
      <w:r w:rsidR="00864D0F">
        <w:t>Forbs</w:t>
      </w:r>
      <w:r w:rsidR="00864D0F" w:rsidRPr="00864D0F">
        <w:t xml:space="preserve"> </w:t>
      </w:r>
      <w:r w:rsidR="00864D0F">
        <w:t xml:space="preserve">forage mass dry matter percentage averaged across no graze and no rest treatments pre-grazing consisted of 42.3% whereas post-grazing was 23.6%.  </w:t>
      </w:r>
      <w:r w:rsidRPr="00836EC2">
        <w:t>Rest was not significant independently or in any interaction.</w:t>
      </w:r>
    </w:p>
    <w:p w14:paraId="1307ECDE" w14:textId="24F0D85E" w:rsidR="00657C01" w:rsidRPr="00836EC2" w:rsidRDefault="00EF5C89" w:rsidP="0080288D">
      <w:pPr>
        <w:pStyle w:val="Paragraphs"/>
        <w:spacing w:after="100" w:afterAutospacing="1"/>
      </w:pPr>
      <w:r w:rsidRPr="00836EC2">
        <w:t>Seven of the 11 native forb species were significant for at least one main effect or interaction analyzed for plant density (Table 2.</w:t>
      </w:r>
      <w:r w:rsidR="00F84C04" w:rsidRPr="00836EC2">
        <w:t>10</w:t>
      </w:r>
      <w:r w:rsidRPr="00836EC2">
        <w:t xml:space="preserve">).  </w:t>
      </w:r>
      <w:r w:rsidR="00215159" w:rsidRPr="00836EC2">
        <w:t>Dixie ticktrefoil, IL</w:t>
      </w:r>
      <w:r w:rsidR="005C4B11" w:rsidRPr="00836EC2">
        <w:t>BF</w:t>
      </w:r>
      <w:r w:rsidR="00215159" w:rsidRPr="00836EC2">
        <w:t xml:space="preserve">, and PPEA plant density was not influenced by any fixed effect.  </w:t>
      </w:r>
      <w:r w:rsidRPr="00836EC2">
        <w:t xml:space="preserve">No species was significant for the three-way interaction of Rest x Year x Period. </w:t>
      </w:r>
      <w:r w:rsidR="00EB303E" w:rsidRPr="00836EC2">
        <w:t xml:space="preserve"> </w:t>
      </w:r>
      <w:r w:rsidR="00D83676" w:rsidRPr="00836EC2">
        <w:t>Rest x Year</w:t>
      </w:r>
      <w:r w:rsidR="00D455B6" w:rsidRPr="00836EC2">
        <w:t xml:space="preserve"> only influenced PCON plant</w:t>
      </w:r>
      <w:r w:rsidR="00A45877" w:rsidRPr="00836EC2">
        <w:t xml:space="preserve"> density (</w:t>
      </w:r>
      <w:r w:rsidR="00A45877" w:rsidRPr="00836EC2">
        <w:rPr>
          <w:i/>
          <w:iCs/>
        </w:rPr>
        <w:t>P</w:t>
      </w:r>
      <w:r w:rsidR="00A45877" w:rsidRPr="00836EC2">
        <w:t xml:space="preserve"> = 0.010).  Numerically, all treatments that had been grazed decreased in plant density from 2019 to 2020 (Table 2.1</w:t>
      </w:r>
      <w:r w:rsidR="00836EC2" w:rsidRPr="00836EC2">
        <w:t>1</w:t>
      </w:r>
      <w:r w:rsidR="00A45877" w:rsidRPr="00836EC2">
        <w:t>).  However, there was not a consistent statistical pattern observed.</w:t>
      </w:r>
      <w:r w:rsidR="00D455B6" w:rsidRPr="00836EC2">
        <w:t xml:space="preserve">  For the Rest x Period interaction, BESU (</w:t>
      </w:r>
      <w:r w:rsidR="00D455B6" w:rsidRPr="00836EC2">
        <w:rPr>
          <w:i/>
          <w:iCs/>
        </w:rPr>
        <w:t>P</w:t>
      </w:r>
      <w:r w:rsidR="00D455B6" w:rsidRPr="00836EC2">
        <w:t xml:space="preserve"> = 0.047) plant density was greater at pre-grazing than post-grazing for all graz</w:t>
      </w:r>
      <w:r w:rsidR="00EB17BB" w:rsidRPr="00836EC2">
        <w:t>ing</w:t>
      </w:r>
      <w:r w:rsidR="00D455B6" w:rsidRPr="00836EC2">
        <w:t xml:space="preserve"> treatments (Table 2.1</w:t>
      </w:r>
      <w:r w:rsidR="00836EC2" w:rsidRPr="00836EC2">
        <w:t>2</w:t>
      </w:r>
      <w:r w:rsidR="00D455B6" w:rsidRPr="00836EC2">
        <w:t>)</w:t>
      </w:r>
      <w:r w:rsidR="00EB17BB" w:rsidRPr="00836EC2">
        <w:t>.  However, MAXI plant density was greatest for l</w:t>
      </w:r>
      <w:r w:rsidR="00D455B6" w:rsidRPr="00836EC2">
        <w:t>ate rest at pre-grazing (1.4 plants m</w:t>
      </w:r>
      <w:r w:rsidR="00D455B6" w:rsidRPr="00836EC2">
        <w:rPr>
          <w:vertAlign w:val="superscript"/>
        </w:rPr>
        <w:t>-2</w:t>
      </w:r>
      <w:r w:rsidR="00D455B6" w:rsidRPr="00836EC2">
        <w:t xml:space="preserve">) </w:t>
      </w:r>
      <w:r w:rsidR="00EB17BB" w:rsidRPr="00836EC2">
        <w:t>with a</w:t>
      </w:r>
      <w:r w:rsidR="00D455B6" w:rsidRPr="00836EC2">
        <w:t xml:space="preserve">ll other combinations </w:t>
      </w:r>
      <w:r w:rsidR="00EB17BB" w:rsidRPr="00836EC2">
        <w:t>similar to</w:t>
      </w:r>
      <w:r w:rsidR="00D455B6" w:rsidRPr="00836EC2">
        <w:t xml:space="preserve"> one another.</w:t>
      </w:r>
      <w:r w:rsidR="00422F7D" w:rsidRPr="00836EC2">
        <w:t xml:space="preserve">  </w:t>
      </w:r>
      <w:r w:rsidR="00A45877" w:rsidRPr="00836EC2">
        <w:t xml:space="preserve">Year x Period </w:t>
      </w:r>
      <w:r w:rsidR="00A05772" w:rsidRPr="00836EC2">
        <w:t>(</w:t>
      </w:r>
      <w:r w:rsidR="00A05772" w:rsidRPr="00836EC2">
        <w:rPr>
          <w:i/>
          <w:iCs/>
        </w:rPr>
        <w:t>P</w:t>
      </w:r>
      <w:r w:rsidR="00A05772" w:rsidRPr="00836EC2">
        <w:t xml:space="preserve"> &lt; 0.001) </w:t>
      </w:r>
      <w:r w:rsidR="00422F7D" w:rsidRPr="00836EC2">
        <w:t>affected BESU, LANC, OXEY, PCON, and PLAC</w:t>
      </w:r>
      <w:r w:rsidR="00A05772" w:rsidRPr="00836EC2">
        <w:t xml:space="preserve"> plant density</w:t>
      </w:r>
      <w:r w:rsidR="00A45877" w:rsidRPr="00836EC2">
        <w:t xml:space="preserve">.  </w:t>
      </w:r>
      <w:r w:rsidR="006B1C1E" w:rsidRPr="00836EC2">
        <w:t xml:space="preserve">For all five species, the greatest plant density </w:t>
      </w:r>
      <w:r w:rsidR="00F9014D" w:rsidRPr="00836EC2">
        <w:t>was observed during pre-grazing sampling periods although not all species were greatest in the same year</w:t>
      </w:r>
      <w:r w:rsidR="003011C9" w:rsidRPr="00836EC2">
        <w:t xml:space="preserve"> (Table 2.1</w:t>
      </w:r>
      <w:r w:rsidR="00836EC2" w:rsidRPr="00836EC2">
        <w:t>3</w:t>
      </w:r>
      <w:r w:rsidR="003011C9" w:rsidRPr="00836EC2">
        <w:t>)</w:t>
      </w:r>
      <w:r w:rsidR="00F9014D" w:rsidRPr="00836EC2">
        <w:t xml:space="preserve">.  </w:t>
      </w:r>
      <w:r w:rsidR="00BC37FD" w:rsidRPr="00836EC2">
        <w:t xml:space="preserve">Plant density for pre-grazing in 2018 was </w:t>
      </w:r>
      <w:r w:rsidR="00BC37FD" w:rsidRPr="00836EC2">
        <w:lastRenderedPageBreak/>
        <w:t>greatest for BESU (10.1 plants m</w:t>
      </w:r>
      <w:r w:rsidR="00BC37FD" w:rsidRPr="00836EC2">
        <w:rPr>
          <w:vertAlign w:val="superscript"/>
        </w:rPr>
        <w:t>-2</w:t>
      </w:r>
      <w:r w:rsidR="00BC37FD" w:rsidRPr="00836EC2">
        <w:t>) and PLAC (13.3 plants m</w:t>
      </w:r>
      <w:r w:rsidR="00BC37FD" w:rsidRPr="00836EC2">
        <w:rPr>
          <w:vertAlign w:val="superscript"/>
        </w:rPr>
        <w:t>-2</w:t>
      </w:r>
      <w:r w:rsidR="00BC37FD" w:rsidRPr="00836EC2">
        <w:t>), whereas LANC (15.0 plants m</w:t>
      </w:r>
      <w:r w:rsidR="00BC37FD" w:rsidRPr="00836EC2">
        <w:rPr>
          <w:vertAlign w:val="superscript"/>
        </w:rPr>
        <w:t>-2</w:t>
      </w:r>
      <w:r w:rsidR="00BC37FD" w:rsidRPr="00836EC2">
        <w:t>)</w:t>
      </w:r>
      <w:r w:rsidR="00A45877" w:rsidRPr="00836EC2">
        <w:t xml:space="preserve"> </w:t>
      </w:r>
      <w:r w:rsidR="00BC37FD" w:rsidRPr="00836EC2">
        <w:t xml:space="preserve">and </w:t>
      </w:r>
      <w:r w:rsidR="00A45877" w:rsidRPr="00836EC2">
        <w:t>PCON (3.8 plants m</w:t>
      </w:r>
      <w:r w:rsidR="00A45877" w:rsidRPr="00836EC2">
        <w:rPr>
          <w:vertAlign w:val="superscript"/>
        </w:rPr>
        <w:t>-2</w:t>
      </w:r>
      <w:r w:rsidR="00A45877" w:rsidRPr="00836EC2">
        <w:t xml:space="preserve">) </w:t>
      </w:r>
      <w:r w:rsidR="00BC37FD" w:rsidRPr="00836EC2">
        <w:t>were gr</w:t>
      </w:r>
      <w:r w:rsidR="00A45877" w:rsidRPr="00836EC2">
        <w:t>eate</w:t>
      </w:r>
      <w:r w:rsidR="00BC37FD" w:rsidRPr="00836EC2">
        <w:t>st in 2019</w:t>
      </w:r>
      <w:r w:rsidR="00A45877" w:rsidRPr="00836EC2">
        <w:t xml:space="preserve">. </w:t>
      </w:r>
      <w:r w:rsidRPr="00836EC2">
        <w:t xml:space="preserve"> </w:t>
      </w:r>
      <w:bookmarkStart w:id="132" w:name="_Hlk63543134"/>
      <w:r w:rsidRPr="00836EC2">
        <w:t xml:space="preserve">Oxeye sunflower plant density </w:t>
      </w:r>
      <w:r w:rsidR="002D6B6E" w:rsidRPr="00836EC2">
        <w:t>was greate</w:t>
      </w:r>
      <w:r w:rsidR="00BC37FD" w:rsidRPr="00836EC2">
        <w:t>st</w:t>
      </w:r>
      <w:r w:rsidR="003011C9" w:rsidRPr="00836EC2">
        <w:t xml:space="preserve"> for pre-grazing</w:t>
      </w:r>
      <w:r w:rsidR="002D6B6E" w:rsidRPr="00836EC2">
        <w:t xml:space="preserve"> </w:t>
      </w:r>
      <w:r w:rsidRPr="00836EC2">
        <w:t>in 2020 (5.5 plants m</w:t>
      </w:r>
      <w:r w:rsidRPr="00836EC2">
        <w:rPr>
          <w:vertAlign w:val="superscript"/>
        </w:rPr>
        <w:t>-2</w:t>
      </w:r>
      <w:bookmarkEnd w:id="132"/>
      <w:r w:rsidRPr="00836EC2">
        <w:t>).</w:t>
      </w:r>
      <w:r w:rsidR="003011C9" w:rsidRPr="00836EC2">
        <w:t xml:space="preserve">  </w:t>
      </w:r>
      <w:r w:rsidR="005E5FE5" w:rsidRPr="00836EC2">
        <w:t xml:space="preserve">Aside from the greatest plant density for OXEY and PLAC, all other combinations were similar to one another although no plants were observed for PLAC in 2020.  </w:t>
      </w:r>
      <w:r w:rsidR="00B572F9" w:rsidRPr="00836EC2">
        <w:t>Upright prairie coneflower was significant for Year (</w:t>
      </w:r>
      <w:r w:rsidR="00B572F9" w:rsidRPr="00836EC2">
        <w:rPr>
          <w:i/>
          <w:iCs/>
        </w:rPr>
        <w:t>P</w:t>
      </w:r>
      <w:r w:rsidR="00B572F9" w:rsidRPr="00836EC2">
        <w:t xml:space="preserve"> = 0.009)</w:t>
      </w:r>
      <w:r w:rsidR="00EF42BC" w:rsidRPr="00836EC2">
        <w:t xml:space="preserve"> with</w:t>
      </w:r>
      <w:r w:rsidR="00B572F9" w:rsidRPr="00836EC2">
        <w:t xml:space="preserve"> 2018 and 2019 (0.9 and 1.0 plants m</w:t>
      </w:r>
      <w:r w:rsidR="00B572F9" w:rsidRPr="00836EC2">
        <w:rPr>
          <w:vertAlign w:val="superscript"/>
        </w:rPr>
        <w:t>-2</w:t>
      </w:r>
      <w:r w:rsidR="00B572F9" w:rsidRPr="00836EC2">
        <w:t xml:space="preserve">, respectively) </w:t>
      </w:r>
      <w:r w:rsidR="00EF42BC" w:rsidRPr="00836EC2">
        <w:t xml:space="preserve">greater </w:t>
      </w:r>
      <w:r w:rsidR="00B572F9" w:rsidRPr="00836EC2">
        <w:t>than 2020 (0.1 plants m</w:t>
      </w:r>
      <w:r w:rsidR="00B572F9" w:rsidRPr="00836EC2">
        <w:rPr>
          <w:vertAlign w:val="superscript"/>
        </w:rPr>
        <w:t>-2</w:t>
      </w:r>
      <w:r w:rsidR="00B572F9" w:rsidRPr="00836EC2">
        <w:t>).</w:t>
      </w:r>
      <w:r w:rsidR="0080288D">
        <w:t xml:space="preserve">  Among the 11 f</w:t>
      </w:r>
      <w:r w:rsidR="00657C01">
        <w:t>orb species ranked within BBIG</w:t>
      </w:r>
      <w:r w:rsidR="0080288D">
        <w:t>, DITI</w:t>
      </w:r>
      <w:r w:rsidR="00657C01">
        <w:t xml:space="preserve"> ranked as the best forb </w:t>
      </w:r>
      <w:r w:rsidR="0080288D">
        <w:t xml:space="preserve">and legume species for abundance, persistence, and flowering.  </w:t>
      </w:r>
      <w:r w:rsidR="00657C01">
        <w:t xml:space="preserve">within SG based on these results.  </w:t>
      </w:r>
      <w:r w:rsidR="0080288D">
        <w:t xml:space="preserve">Black-eyed susan </w:t>
      </w:r>
      <w:r w:rsidR="00657C01">
        <w:t xml:space="preserve">ranked </w:t>
      </w:r>
      <w:r w:rsidR="0080288D">
        <w:t xml:space="preserve">highest among </w:t>
      </w:r>
      <w:r w:rsidR="00657C01">
        <w:t>annual/biennial forb</w:t>
      </w:r>
      <w:r w:rsidR="0080288D">
        <w:t>s</w:t>
      </w:r>
      <w:r w:rsidR="00657C01">
        <w:t>.  Purple prairie clover ranked last among all forbs.</w:t>
      </w:r>
    </w:p>
    <w:p w14:paraId="371911BF" w14:textId="21CEE345" w:rsidR="00B572F9" w:rsidRPr="00836EC2" w:rsidRDefault="00B572F9" w:rsidP="00124C0D">
      <w:pPr>
        <w:pStyle w:val="Heading2"/>
      </w:pPr>
      <w:bookmarkStart w:id="133" w:name="_Toc72026047"/>
      <w:bookmarkStart w:id="134" w:name="_Toc72305408"/>
      <w:r w:rsidRPr="00836EC2">
        <w:t>Forage</w:t>
      </w:r>
      <w:r w:rsidR="00780265">
        <w:t xml:space="preserve"> Mass and</w:t>
      </w:r>
      <w:r w:rsidRPr="00836EC2">
        <w:t xml:space="preserve"> Nutritive Value</w:t>
      </w:r>
      <w:bookmarkEnd w:id="133"/>
      <w:bookmarkEnd w:id="134"/>
    </w:p>
    <w:p w14:paraId="57CA906C" w14:textId="06DD9EAD" w:rsidR="00B572F9" w:rsidRPr="00124C0D" w:rsidRDefault="00B572F9" w:rsidP="00124C0D">
      <w:pPr>
        <w:pStyle w:val="Heading3"/>
        <w:rPr>
          <w:rStyle w:val="Emphasis"/>
          <w:b/>
          <w:bCs/>
          <w:i w:val="0"/>
          <w:iCs/>
        </w:rPr>
      </w:pPr>
      <w:bookmarkStart w:id="135" w:name="_Toc72026048"/>
      <w:bookmarkStart w:id="136" w:name="_Toc72305409"/>
      <w:r w:rsidRPr="00124C0D">
        <w:rPr>
          <w:rStyle w:val="Emphasis"/>
          <w:b/>
          <w:bCs/>
          <w:i w:val="0"/>
          <w:iCs/>
        </w:rPr>
        <w:t>Switchgrass</w:t>
      </w:r>
      <w:bookmarkStart w:id="137" w:name="_Hlk56557583"/>
      <w:bookmarkEnd w:id="135"/>
      <w:bookmarkEnd w:id="136"/>
    </w:p>
    <w:bookmarkEnd w:id="137"/>
    <w:p w14:paraId="11135661" w14:textId="444EA210" w:rsidR="00B572F9" w:rsidRPr="00836EC2" w:rsidRDefault="00780265" w:rsidP="00CE5BBE">
      <w:pPr>
        <w:pStyle w:val="Paragraphs"/>
        <w:spacing w:after="100" w:afterAutospacing="1"/>
      </w:pPr>
      <w:r>
        <w:t>Forage mass dry matter yield varied for forb (</w:t>
      </w:r>
      <w:r w:rsidRPr="0079596C">
        <w:rPr>
          <w:i/>
          <w:iCs/>
        </w:rPr>
        <w:t>P</w:t>
      </w:r>
      <w:r>
        <w:t xml:space="preserve"> = 0.016), SG (</w:t>
      </w:r>
      <w:r w:rsidRPr="0079596C">
        <w:rPr>
          <w:i/>
          <w:iCs/>
        </w:rPr>
        <w:t>P</w:t>
      </w:r>
      <w:r>
        <w:t xml:space="preserve"> = 0.003), and total forage (</w:t>
      </w:r>
      <w:r w:rsidRPr="0079596C">
        <w:rPr>
          <w:i/>
          <w:iCs/>
        </w:rPr>
        <w:t>P</w:t>
      </w:r>
      <w:r>
        <w:t xml:space="preserve"> = </w:t>
      </w:r>
      <w:r w:rsidR="0079596C">
        <w:t xml:space="preserve">0.001) </w:t>
      </w:r>
      <w:r w:rsidR="003D3A24">
        <w:t xml:space="preserve">between within-season rest treatments </w:t>
      </w:r>
      <w:r w:rsidR="0079596C">
        <w:t>at</w:t>
      </w:r>
      <w:r>
        <w:t xml:space="preserve"> the 20 August sampling period</w:t>
      </w:r>
      <w:r w:rsidR="0079596C">
        <w:t xml:space="preserve"> (Table 2.14). </w:t>
      </w:r>
      <w:r>
        <w:t xml:space="preserve"> </w:t>
      </w:r>
      <w:r w:rsidR="0079596C">
        <w:t xml:space="preserve">For all three categories, no graze had greater forage mass dry matter yield than no rest.  </w:t>
      </w:r>
      <w:r w:rsidR="00864D0F">
        <w:t>F</w:t>
      </w:r>
      <w:r w:rsidR="00B572F9" w:rsidRPr="00836EC2">
        <w:t>orage nutritive value</w:t>
      </w:r>
      <w:r w:rsidR="00864D0F">
        <w:t>s were not</w:t>
      </w:r>
      <w:r w:rsidR="00B572F9" w:rsidRPr="00836EC2">
        <w:t xml:space="preserve"> affected by </w:t>
      </w:r>
      <w:r w:rsidR="002D4422" w:rsidRPr="00836EC2">
        <w:t>grazing</w:t>
      </w:r>
      <w:r w:rsidR="00B572F9" w:rsidRPr="00836EC2">
        <w:t xml:space="preserve"> treatments at any sampling period in 2019.</w:t>
      </w:r>
    </w:p>
    <w:p w14:paraId="2DE5843B" w14:textId="45F4A758" w:rsidR="00B572F9" w:rsidRPr="00124C0D" w:rsidRDefault="00B572F9" w:rsidP="00124C0D">
      <w:pPr>
        <w:pStyle w:val="Heading3"/>
        <w:rPr>
          <w:rStyle w:val="Emphasis"/>
          <w:b/>
          <w:bCs/>
          <w:i w:val="0"/>
          <w:iCs/>
        </w:rPr>
      </w:pPr>
      <w:bookmarkStart w:id="138" w:name="_Toc72026049"/>
      <w:bookmarkStart w:id="139" w:name="_Toc72305410"/>
      <w:r w:rsidRPr="00124C0D">
        <w:rPr>
          <w:rStyle w:val="Emphasis"/>
          <w:b/>
          <w:bCs/>
          <w:i w:val="0"/>
          <w:iCs/>
        </w:rPr>
        <w:t>Big Bluestem/Indiangrass</w:t>
      </w:r>
      <w:bookmarkEnd w:id="138"/>
      <w:bookmarkEnd w:id="139"/>
    </w:p>
    <w:p w14:paraId="0B4FC225" w14:textId="3DD9B3F2" w:rsidR="00DB7768" w:rsidRDefault="003D3A24" w:rsidP="007761A2">
      <w:pPr>
        <w:pStyle w:val="Paragraphs"/>
      </w:pPr>
      <w:r>
        <w:t xml:space="preserve">Forage mass dry matter yield only differed for BBIG </w:t>
      </w:r>
      <w:r w:rsidR="00DB7768">
        <w:t xml:space="preserve">with respect to within-season rest treatments </w:t>
      </w:r>
      <w:r>
        <w:t xml:space="preserve">at </w:t>
      </w:r>
      <w:r w:rsidR="00DB7768">
        <w:t xml:space="preserve">every </w:t>
      </w:r>
      <w:r>
        <w:t>sampling period</w:t>
      </w:r>
      <w:r w:rsidR="00DB7768">
        <w:t xml:space="preserve"> (Table 2.15).  On 15 May, 1 August, and 20 August, no graze had the greatest yield among sampled within-season rest treatments (Figure 2.</w:t>
      </w:r>
      <w:r w:rsidR="00CA684B">
        <w:t>7</w:t>
      </w:r>
      <w:r w:rsidR="00DB7768">
        <w:t xml:space="preserve">).  On 19 Jun and 10 July, no graze was only greater than the no rest </w:t>
      </w:r>
      <w:r w:rsidR="00DB7768">
        <w:lastRenderedPageBreak/>
        <w:t xml:space="preserve">treatments.  For total forage, within-season rest treatments varied on 10 Jul, 1 August, and 20 August with no graze having greater forage mass dry matter yield than all other sampled treatments (Table 2.15; Figure 2.6).  </w:t>
      </w:r>
    </w:p>
    <w:p w14:paraId="211289AD" w14:textId="0E1B8E82" w:rsidR="00B572F9" w:rsidRPr="00836EC2" w:rsidRDefault="00DB7768" w:rsidP="00701B33">
      <w:pPr>
        <w:pStyle w:val="Paragraphs"/>
        <w:spacing w:after="100" w:afterAutospacing="1"/>
      </w:pPr>
      <w:r>
        <w:t>For forage nutritive value in</w:t>
      </w:r>
      <w:r w:rsidR="005A27D3" w:rsidRPr="00836EC2">
        <w:t xml:space="preserve"> 2019</w:t>
      </w:r>
      <w:r w:rsidR="00B572F9" w:rsidRPr="00836EC2">
        <w:t>, sampling periods were analyzed independently for the corre</w:t>
      </w:r>
      <w:r w:rsidR="00D065EA" w:rsidRPr="00836EC2">
        <w:t>sponding</w:t>
      </w:r>
      <w:r w:rsidR="00B572F9" w:rsidRPr="00836EC2">
        <w:t xml:space="preserve"> </w:t>
      </w:r>
      <w:r w:rsidR="002D4422" w:rsidRPr="00836EC2">
        <w:t>grazing</w:t>
      </w:r>
      <w:r w:rsidR="00B572F9" w:rsidRPr="00836EC2">
        <w:t xml:space="preserve"> treatment (Table 2</w:t>
      </w:r>
      <w:r w:rsidR="00C80ECB" w:rsidRPr="00836EC2">
        <w:t>.</w:t>
      </w:r>
      <w:r w:rsidR="006F0787" w:rsidRPr="00836EC2">
        <w:t>1</w:t>
      </w:r>
      <w:r w:rsidR="003D3A24">
        <w:t>6</w:t>
      </w:r>
      <w:r w:rsidR="00B572F9" w:rsidRPr="00836EC2">
        <w:t>).  On 15 May, 10 July, 1 August, no nutritive value differe</w:t>
      </w:r>
      <w:r w:rsidR="002B50EF" w:rsidRPr="00836EC2">
        <w:t>d</w:t>
      </w:r>
      <w:r w:rsidR="00B572F9" w:rsidRPr="00836EC2">
        <w:t xml:space="preserve"> among </w:t>
      </w:r>
      <w:r w:rsidR="003D3A24">
        <w:t xml:space="preserve">within-season rest </w:t>
      </w:r>
      <w:r w:rsidR="002D4422" w:rsidRPr="00836EC2">
        <w:t>grazing</w:t>
      </w:r>
      <w:r w:rsidR="00B572F9" w:rsidRPr="00836EC2">
        <w:t xml:space="preserve"> treatments.  Crude protein varied by </w:t>
      </w:r>
      <w:r w:rsidR="002D4422" w:rsidRPr="00836EC2">
        <w:t>grazing</w:t>
      </w:r>
      <w:r w:rsidR="00B572F9" w:rsidRPr="00836EC2">
        <w:t xml:space="preserve"> treatments on 19 June (</w:t>
      </w:r>
      <w:r w:rsidR="00B572F9" w:rsidRPr="00836EC2">
        <w:rPr>
          <w:i/>
          <w:iCs/>
        </w:rPr>
        <w:t>P</w:t>
      </w:r>
      <w:r w:rsidR="00B572F9" w:rsidRPr="00836EC2">
        <w:t xml:space="preserve"> = 0.023) only.  At this sampling period (the end of the early rest), no rest (99.1 g kg</w:t>
      </w:r>
      <w:r w:rsidR="00B572F9" w:rsidRPr="00836EC2">
        <w:rPr>
          <w:vertAlign w:val="superscript"/>
        </w:rPr>
        <w:t>-1</w:t>
      </w:r>
      <w:r w:rsidR="00B572F9" w:rsidRPr="00836EC2">
        <w:t xml:space="preserve">) </w:t>
      </w:r>
      <w:r w:rsidR="005B3EA2" w:rsidRPr="00836EC2">
        <w:t xml:space="preserve">was </w:t>
      </w:r>
      <w:r w:rsidR="00B572F9" w:rsidRPr="00836EC2">
        <w:t>greater than no graze (83.7 g kg</w:t>
      </w:r>
      <w:r w:rsidR="00B572F9" w:rsidRPr="00836EC2">
        <w:rPr>
          <w:vertAlign w:val="superscript"/>
        </w:rPr>
        <w:t>-1</w:t>
      </w:r>
      <w:r w:rsidR="00B572F9" w:rsidRPr="00836EC2">
        <w:t>)</w:t>
      </w:r>
      <w:r w:rsidR="007122C5" w:rsidRPr="00836EC2">
        <w:t xml:space="preserve"> (Figure 2.</w:t>
      </w:r>
      <w:r w:rsidR="00CA684B">
        <w:t>7</w:t>
      </w:r>
      <w:r w:rsidR="007122C5" w:rsidRPr="00836EC2">
        <w:t>)</w:t>
      </w:r>
      <w:r w:rsidR="00B572F9" w:rsidRPr="00836EC2">
        <w:t>.  Early rest (93.5 g kg</w:t>
      </w:r>
      <w:r w:rsidR="00B572F9" w:rsidRPr="00836EC2">
        <w:rPr>
          <w:vertAlign w:val="superscript"/>
        </w:rPr>
        <w:t>-1</w:t>
      </w:r>
      <w:r w:rsidR="00B572F9" w:rsidRPr="00836EC2">
        <w:t>)</w:t>
      </w:r>
      <w:r w:rsidR="00EA28C2" w:rsidRPr="00836EC2">
        <w:t xml:space="preserve"> </w:t>
      </w:r>
      <w:r w:rsidR="00B572F9" w:rsidRPr="00836EC2">
        <w:t>was similar to both.  Amylase NDF was also significant on 19 June (</w:t>
      </w:r>
      <w:r w:rsidR="00B572F9" w:rsidRPr="00836EC2">
        <w:rPr>
          <w:i/>
          <w:iCs/>
        </w:rPr>
        <w:t>P</w:t>
      </w:r>
      <w:r w:rsidR="00B572F9" w:rsidRPr="00836EC2">
        <w:t xml:space="preserve"> = 0.038).  </w:t>
      </w:r>
      <w:r w:rsidR="00C405E9" w:rsidRPr="00836EC2">
        <w:t>N</w:t>
      </w:r>
      <w:r w:rsidR="00B572F9" w:rsidRPr="00836EC2">
        <w:t>o rest</w:t>
      </w:r>
      <w:r w:rsidR="00C405E9" w:rsidRPr="00836EC2">
        <w:t xml:space="preserve"> (</w:t>
      </w:r>
      <w:r w:rsidR="008D68E1" w:rsidRPr="00836EC2">
        <w:t xml:space="preserve">607.4 </w:t>
      </w:r>
      <w:r w:rsidR="00C405E9" w:rsidRPr="00836EC2">
        <w:t>g kg</w:t>
      </w:r>
      <w:r w:rsidR="00C405E9" w:rsidRPr="00836EC2">
        <w:rPr>
          <w:vertAlign w:val="superscript"/>
        </w:rPr>
        <w:t>-1</w:t>
      </w:r>
      <w:r w:rsidR="00C405E9" w:rsidRPr="00836EC2">
        <w:t xml:space="preserve">) </w:t>
      </w:r>
      <w:r w:rsidR="00B572F9" w:rsidRPr="00836EC2">
        <w:t xml:space="preserve">had lower </w:t>
      </w:r>
      <w:r w:rsidR="005B3EA2" w:rsidRPr="00836EC2">
        <w:t>fiber content</w:t>
      </w:r>
      <w:r w:rsidR="00B572F9" w:rsidRPr="00836EC2">
        <w:t xml:space="preserve"> than no graze</w:t>
      </w:r>
      <w:r w:rsidR="00C405E9" w:rsidRPr="00836EC2">
        <w:t xml:space="preserve"> </w:t>
      </w:r>
      <w:r w:rsidR="008D68E1" w:rsidRPr="00836EC2">
        <w:t>(655.3 g kg</w:t>
      </w:r>
      <w:r w:rsidR="008D68E1" w:rsidRPr="00836EC2">
        <w:rPr>
          <w:vertAlign w:val="superscript"/>
        </w:rPr>
        <w:t>-1</w:t>
      </w:r>
      <w:r w:rsidR="008D68E1" w:rsidRPr="00836EC2">
        <w:t xml:space="preserve">) </w:t>
      </w:r>
      <w:r w:rsidR="00C405E9" w:rsidRPr="00836EC2">
        <w:t>and early rest</w:t>
      </w:r>
      <w:r w:rsidR="008D68E1" w:rsidRPr="00836EC2">
        <w:t xml:space="preserve"> (658.1 g kg</w:t>
      </w:r>
      <w:r w:rsidR="008D68E1" w:rsidRPr="00836EC2">
        <w:rPr>
          <w:vertAlign w:val="superscript"/>
        </w:rPr>
        <w:t>-1</w:t>
      </w:r>
      <w:r w:rsidR="008D68E1" w:rsidRPr="00836EC2">
        <w:t>)</w:t>
      </w:r>
      <w:r w:rsidR="007122C5" w:rsidRPr="00836EC2">
        <w:t xml:space="preserve"> (Figure 2.</w:t>
      </w:r>
      <w:r w:rsidR="00CA684B">
        <w:t>8</w:t>
      </w:r>
      <w:r w:rsidR="007122C5" w:rsidRPr="00836EC2">
        <w:t>)</w:t>
      </w:r>
      <w:r w:rsidR="00B572F9" w:rsidRPr="00836EC2">
        <w:t>.  No rest was also lower in ADF (356.7 g kg</w:t>
      </w:r>
      <w:r w:rsidR="00B572F9" w:rsidRPr="00836EC2">
        <w:rPr>
          <w:vertAlign w:val="superscript"/>
        </w:rPr>
        <w:t>-1</w:t>
      </w:r>
      <w:r w:rsidR="00B572F9" w:rsidRPr="00836EC2">
        <w:t>) and greater in IVTDMD48h (756.6 g kg</w:t>
      </w:r>
      <w:r w:rsidR="00B572F9" w:rsidRPr="00836EC2">
        <w:rPr>
          <w:vertAlign w:val="superscript"/>
        </w:rPr>
        <w:t>-1</w:t>
      </w:r>
      <w:r w:rsidR="00B572F9" w:rsidRPr="00836EC2">
        <w:t>) than no graze on August 20 (418.3, 545.9, and 637.6 g kg</w:t>
      </w:r>
      <w:r w:rsidR="00B572F9" w:rsidRPr="00836EC2">
        <w:rPr>
          <w:vertAlign w:val="superscript"/>
        </w:rPr>
        <w:t>-1</w:t>
      </w:r>
      <w:r w:rsidR="00B572F9" w:rsidRPr="00836EC2">
        <w:t>, respectively) at the conclusion of the 2019 grazing season</w:t>
      </w:r>
      <w:r w:rsidR="007122C5" w:rsidRPr="00836EC2">
        <w:t xml:space="preserve"> (Figures 2.</w:t>
      </w:r>
      <w:r w:rsidR="00FA0ADB">
        <w:t>9</w:t>
      </w:r>
      <w:r w:rsidR="004E0557">
        <w:t xml:space="preserve"> and</w:t>
      </w:r>
      <w:r w:rsidR="007122C5" w:rsidRPr="00836EC2">
        <w:t xml:space="preserve"> 2.</w:t>
      </w:r>
      <w:r w:rsidR="00FA0ADB">
        <w:t>10</w:t>
      </w:r>
      <w:r w:rsidR="007122C5" w:rsidRPr="00836EC2">
        <w:t>)</w:t>
      </w:r>
      <w:r w:rsidR="00B572F9" w:rsidRPr="00836EC2">
        <w:t xml:space="preserve">.  </w:t>
      </w:r>
    </w:p>
    <w:p w14:paraId="681F76C0" w14:textId="579F385F" w:rsidR="00701B33" w:rsidRPr="00836EC2" w:rsidRDefault="00FB4495" w:rsidP="00124C0D">
      <w:pPr>
        <w:pStyle w:val="Heading2"/>
      </w:pPr>
      <w:bookmarkStart w:id="140" w:name="_Toc72026050"/>
      <w:bookmarkStart w:id="141" w:name="_Toc72305411"/>
      <w:r w:rsidRPr="00836EC2">
        <w:t xml:space="preserve">Native Forb </w:t>
      </w:r>
      <w:r w:rsidR="00701B33" w:rsidRPr="00836EC2">
        <w:t>Flowering</w:t>
      </w:r>
      <w:bookmarkStart w:id="142" w:name="_Hlk65537169"/>
      <w:bookmarkEnd w:id="140"/>
      <w:bookmarkEnd w:id="141"/>
    </w:p>
    <w:p w14:paraId="1A1B969E" w14:textId="3F7CE8DB" w:rsidR="00701B33" w:rsidRPr="00124C0D" w:rsidRDefault="00701B33" w:rsidP="00124C0D">
      <w:pPr>
        <w:pStyle w:val="Heading3"/>
        <w:rPr>
          <w:rStyle w:val="Emphasis"/>
          <w:b/>
          <w:bCs/>
          <w:i w:val="0"/>
          <w:iCs/>
        </w:rPr>
      </w:pPr>
      <w:bookmarkStart w:id="143" w:name="_Toc72026051"/>
      <w:bookmarkStart w:id="144" w:name="_Toc72305412"/>
      <w:bookmarkEnd w:id="142"/>
      <w:r w:rsidRPr="00124C0D">
        <w:rPr>
          <w:rStyle w:val="Emphasis"/>
          <w:b/>
          <w:bCs/>
          <w:i w:val="0"/>
          <w:iCs/>
        </w:rPr>
        <w:t>Switchgrass</w:t>
      </w:r>
      <w:bookmarkEnd w:id="143"/>
      <w:bookmarkEnd w:id="144"/>
    </w:p>
    <w:p w14:paraId="2F6DF055" w14:textId="3FB9F3A8" w:rsidR="00701B33" w:rsidRPr="00836EC2" w:rsidRDefault="00386487" w:rsidP="00CE5BBE">
      <w:pPr>
        <w:pStyle w:val="Paragraphs"/>
        <w:spacing w:after="100" w:afterAutospacing="1"/>
      </w:pPr>
      <w:r w:rsidRPr="00836EC2">
        <w:t>Native forb f</w:t>
      </w:r>
      <w:r w:rsidR="00A612D9" w:rsidRPr="00836EC2">
        <w:t xml:space="preserve">lowering percentage was only influenced by </w:t>
      </w:r>
      <w:r w:rsidR="002D4422" w:rsidRPr="00836EC2">
        <w:t>grazing</w:t>
      </w:r>
      <w:r w:rsidR="00A612D9" w:rsidRPr="00836EC2">
        <w:t xml:space="preserve"> treatment on the July/August sampling period</w:t>
      </w:r>
      <w:r w:rsidR="00ED7430" w:rsidRPr="00836EC2">
        <w:t xml:space="preserve"> (Table 2.1</w:t>
      </w:r>
      <w:r w:rsidR="003D3A24">
        <w:t>7</w:t>
      </w:r>
      <w:r w:rsidR="00ED7430" w:rsidRPr="00836EC2">
        <w:t>)</w:t>
      </w:r>
      <w:r w:rsidR="00A612D9" w:rsidRPr="00836EC2">
        <w:t xml:space="preserve">. </w:t>
      </w:r>
      <w:r w:rsidR="00134865" w:rsidRPr="00836EC2">
        <w:t xml:space="preserve"> At this sampling period, late rest had 63.9% flowering of observed species while no graze and no rest had 56.3% and 21.6%, respectively</w:t>
      </w:r>
      <w:r w:rsidRPr="00836EC2">
        <w:t xml:space="preserve"> (</w:t>
      </w:r>
      <w:r w:rsidR="00ED7430" w:rsidRPr="00836EC2">
        <w:rPr>
          <w:i/>
          <w:iCs/>
        </w:rPr>
        <w:t>P</w:t>
      </w:r>
      <w:r w:rsidR="00ED7430" w:rsidRPr="00836EC2">
        <w:t xml:space="preserve"> &lt; 0.001, </w:t>
      </w:r>
      <w:r w:rsidR="00ED7430" w:rsidRPr="00836EC2">
        <w:rPr>
          <w:i/>
          <w:iCs/>
        </w:rPr>
        <w:t>x</w:t>
      </w:r>
      <w:r w:rsidR="00ED7430" w:rsidRPr="00836EC2">
        <w:rPr>
          <w:vertAlign w:val="superscript"/>
        </w:rPr>
        <w:t>2</w:t>
      </w:r>
      <w:r w:rsidR="00ED7430" w:rsidRPr="00836EC2">
        <w:t xml:space="preserve"> = 14.80; </w:t>
      </w:r>
      <w:r w:rsidRPr="00836EC2">
        <w:t>Figure 2</w:t>
      </w:r>
      <w:r w:rsidR="00C80ECB" w:rsidRPr="00836EC2">
        <w:t>.</w:t>
      </w:r>
      <w:r w:rsidR="00FA0ADB">
        <w:t>11</w:t>
      </w:r>
      <w:r w:rsidRPr="00836EC2">
        <w:t>)</w:t>
      </w:r>
      <w:r w:rsidR="00134865" w:rsidRPr="00836EC2">
        <w:t xml:space="preserve">.  No graze, early rest, and middle rest flowering percentage of combined species </w:t>
      </w:r>
      <w:r w:rsidR="00B0361A" w:rsidRPr="00836EC2">
        <w:t>went from &lt;5% in</w:t>
      </w:r>
      <w:r w:rsidR="00134865" w:rsidRPr="00836EC2">
        <w:t xml:space="preserve"> May to</w:t>
      </w:r>
      <w:r w:rsidR="00B0361A" w:rsidRPr="00836EC2">
        <w:t xml:space="preserve"> &gt;60% in</w:t>
      </w:r>
      <w:r w:rsidR="00134865" w:rsidRPr="00836EC2">
        <w:t xml:space="preserve"> </w:t>
      </w:r>
      <w:r w:rsidR="00134865" w:rsidRPr="00836EC2">
        <w:lastRenderedPageBreak/>
        <w:t xml:space="preserve">September.  Late rest flowering percentage </w:t>
      </w:r>
      <w:r w:rsidR="00B0361A" w:rsidRPr="00836EC2">
        <w:t>reached 63.9% in</w:t>
      </w:r>
      <w:r w:rsidRPr="00836EC2">
        <w:t xml:space="preserve"> July/August but </w:t>
      </w:r>
      <w:r w:rsidR="00B0361A" w:rsidRPr="00836EC2">
        <w:t>dropped to 61.3%</w:t>
      </w:r>
      <w:r w:rsidRPr="00836EC2">
        <w:t xml:space="preserve"> in September.  No rest flowering percentage </w:t>
      </w:r>
      <w:r w:rsidR="00024BAF" w:rsidRPr="00836EC2">
        <w:t>reached 62.5%</w:t>
      </w:r>
      <w:r w:rsidRPr="00836EC2">
        <w:t xml:space="preserve"> in September.</w:t>
      </w:r>
    </w:p>
    <w:p w14:paraId="27A9CAEA" w14:textId="77777777" w:rsidR="00701B33" w:rsidRPr="00124C0D" w:rsidRDefault="00701B33" w:rsidP="00124C0D">
      <w:pPr>
        <w:pStyle w:val="Heading3"/>
        <w:rPr>
          <w:rStyle w:val="Emphasis"/>
          <w:b/>
          <w:bCs/>
          <w:i w:val="0"/>
          <w:iCs/>
        </w:rPr>
      </w:pPr>
      <w:bookmarkStart w:id="145" w:name="_Toc72026052"/>
      <w:bookmarkStart w:id="146" w:name="_Toc72305413"/>
      <w:r w:rsidRPr="00124C0D">
        <w:rPr>
          <w:rStyle w:val="Emphasis"/>
          <w:b/>
          <w:bCs/>
          <w:i w:val="0"/>
          <w:iCs/>
        </w:rPr>
        <w:t>Big Bluestem/Indiangrass</w:t>
      </w:r>
      <w:bookmarkEnd w:id="145"/>
      <w:bookmarkEnd w:id="146"/>
    </w:p>
    <w:p w14:paraId="4A896230" w14:textId="39D3867F" w:rsidR="00701B33" w:rsidRPr="00836EC2" w:rsidRDefault="00386487" w:rsidP="00864664">
      <w:pPr>
        <w:pStyle w:val="Paragraphs"/>
        <w:spacing w:after="100" w:afterAutospacing="1"/>
      </w:pPr>
      <w:r w:rsidRPr="00836EC2">
        <w:t xml:space="preserve">Native forb flowering percentage did not differ among </w:t>
      </w:r>
      <w:r w:rsidR="00BC7E04" w:rsidRPr="00836EC2">
        <w:t>grazing</w:t>
      </w:r>
      <w:r w:rsidRPr="00836EC2">
        <w:t xml:space="preserve"> treatments within sampling periods</w:t>
      </w:r>
      <w:r w:rsidR="00ED7430" w:rsidRPr="00836EC2">
        <w:t xml:space="preserve"> (Table 2.1</w:t>
      </w:r>
      <w:r w:rsidR="00836EC2" w:rsidRPr="00836EC2">
        <w:t>7</w:t>
      </w:r>
      <w:r w:rsidR="00ED7430" w:rsidRPr="00836EC2">
        <w:t>)</w:t>
      </w:r>
      <w:r w:rsidRPr="00836EC2">
        <w:t xml:space="preserve">.  </w:t>
      </w:r>
      <w:r w:rsidR="003942BA" w:rsidRPr="00836EC2">
        <w:t xml:space="preserve">Flowering percentage for all </w:t>
      </w:r>
      <w:r w:rsidR="00BC7E04" w:rsidRPr="00836EC2">
        <w:t>grazing</w:t>
      </w:r>
      <w:r w:rsidR="003942BA" w:rsidRPr="00836EC2">
        <w:t xml:space="preserve"> treatments </w:t>
      </w:r>
      <w:r w:rsidR="00024BAF" w:rsidRPr="00836EC2">
        <w:t xml:space="preserve">was below 5.7% in </w:t>
      </w:r>
      <w:r w:rsidR="003942BA" w:rsidRPr="00836EC2">
        <w:t xml:space="preserve">May </w:t>
      </w:r>
      <w:r w:rsidR="00024BAF" w:rsidRPr="00836EC2">
        <w:t xml:space="preserve">and reached 88.9% by </w:t>
      </w:r>
      <w:r w:rsidR="003942BA" w:rsidRPr="00836EC2">
        <w:t>September</w:t>
      </w:r>
      <w:r w:rsidR="007A7C85" w:rsidRPr="00836EC2">
        <w:t xml:space="preserve"> (Figure 2</w:t>
      </w:r>
      <w:r w:rsidR="00C80ECB" w:rsidRPr="00836EC2">
        <w:t>.</w:t>
      </w:r>
      <w:r w:rsidR="00112D85">
        <w:t>1</w:t>
      </w:r>
      <w:r w:rsidR="00FA0ADB">
        <w:t>2</w:t>
      </w:r>
      <w:r w:rsidR="007A7C85" w:rsidRPr="00836EC2">
        <w:t>)</w:t>
      </w:r>
      <w:r w:rsidR="003942BA" w:rsidRPr="00836EC2">
        <w:t xml:space="preserve">.  </w:t>
      </w:r>
    </w:p>
    <w:p w14:paraId="556A2FD5" w14:textId="629EEB9D" w:rsidR="00864664" w:rsidRPr="00836EC2" w:rsidRDefault="00864664" w:rsidP="00124C0D">
      <w:pPr>
        <w:pStyle w:val="Heading2"/>
      </w:pPr>
      <w:bookmarkStart w:id="147" w:name="_Toc72026053"/>
      <w:bookmarkStart w:id="148" w:name="_Toc72305414"/>
      <w:r w:rsidRPr="00836EC2">
        <w:t xml:space="preserve">Steer </w:t>
      </w:r>
      <w:r w:rsidR="001D0090" w:rsidRPr="00836EC2">
        <w:t>P</w:t>
      </w:r>
      <w:r w:rsidRPr="00836EC2">
        <w:t>erformance</w:t>
      </w:r>
      <w:r w:rsidR="001D0090" w:rsidRPr="00836EC2">
        <w:t xml:space="preserve"> and Pasture Productivity</w:t>
      </w:r>
      <w:bookmarkEnd w:id="147"/>
      <w:bookmarkEnd w:id="148"/>
    </w:p>
    <w:p w14:paraId="0795DC40" w14:textId="1A3887B8" w:rsidR="00864664" w:rsidRPr="00124C0D" w:rsidRDefault="00864664" w:rsidP="00124C0D">
      <w:pPr>
        <w:pStyle w:val="Heading3"/>
        <w:rPr>
          <w:rStyle w:val="Emphasis"/>
          <w:b/>
          <w:bCs/>
          <w:i w:val="0"/>
          <w:iCs/>
        </w:rPr>
      </w:pPr>
      <w:bookmarkStart w:id="149" w:name="_Toc72026054"/>
      <w:bookmarkStart w:id="150" w:name="_Toc72305415"/>
      <w:r w:rsidRPr="00124C0D">
        <w:rPr>
          <w:rStyle w:val="Emphasis"/>
          <w:b/>
          <w:bCs/>
          <w:i w:val="0"/>
          <w:iCs/>
        </w:rPr>
        <w:t>Switchgrass</w:t>
      </w:r>
      <w:bookmarkEnd w:id="149"/>
      <w:bookmarkEnd w:id="150"/>
    </w:p>
    <w:p w14:paraId="05BB5D3D" w14:textId="5D28F9D4" w:rsidR="00ED7430" w:rsidRPr="00836EC2" w:rsidRDefault="001D0090" w:rsidP="00CE5BBE">
      <w:pPr>
        <w:pStyle w:val="Paragraphs"/>
        <w:spacing w:after="100" w:afterAutospacing="1"/>
      </w:pPr>
      <w:bookmarkStart w:id="151" w:name="_Hlk65971409"/>
      <w:r w:rsidRPr="00836EC2">
        <w:t xml:space="preserve">Due to rest periods within pastures, grazing days varied </w:t>
      </w:r>
      <w:r w:rsidR="00753F67" w:rsidRPr="00836EC2">
        <w:t xml:space="preserve">by grazed treatments </w:t>
      </w:r>
      <w:r w:rsidRPr="00836EC2">
        <w:t xml:space="preserve">and </w:t>
      </w:r>
      <w:r w:rsidR="00753F67" w:rsidRPr="00836EC2">
        <w:t>ranged from</w:t>
      </w:r>
      <w:r w:rsidR="00B94023" w:rsidRPr="00836EC2">
        <w:t xml:space="preserve"> </w:t>
      </w:r>
      <w:r w:rsidR="00753F67" w:rsidRPr="00836EC2">
        <w:t xml:space="preserve">217-334, 336-451, and 391-420 </w:t>
      </w:r>
      <w:r w:rsidR="00DD2190" w:rsidRPr="00836EC2">
        <w:t>d ha</w:t>
      </w:r>
      <w:r w:rsidR="00DD2190" w:rsidRPr="00836EC2">
        <w:rPr>
          <w:vertAlign w:val="superscript"/>
        </w:rPr>
        <w:t>-1</w:t>
      </w:r>
      <w:r w:rsidR="00DD2190" w:rsidRPr="00836EC2">
        <w:t xml:space="preserve"> in 2018, 2019, and 2020, respectively</w:t>
      </w:r>
      <w:r w:rsidRPr="00836EC2">
        <w:t>.</w:t>
      </w:r>
      <w:r w:rsidR="00DD2190" w:rsidRPr="00836EC2">
        <w:t xml:space="preserve">  </w:t>
      </w:r>
      <w:r w:rsidRPr="00836EC2">
        <w:t xml:space="preserve">As expected, </w:t>
      </w:r>
      <w:r w:rsidR="00BC7E04" w:rsidRPr="00836EC2">
        <w:t>n</w:t>
      </w:r>
      <w:r w:rsidR="00DD2190" w:rsidRPr="00836EC2">
        <w:t xml:space="preserve">o rest had </w:t>
      </w:r>
      <w:r w:rsidRPr="00836EC2">
        <w:t xml:space="preserve">the </w:t>
      </w:r>
      <w:r w:rsidR="00820709" w:rsidRPr="00836EC2">
        <w:t>greate</w:t>
      </w:r>
      <w:r w:rsidRPr="00836EC2">
        <w:t>st</w:t>
      </w:r>
      <w:r w:rsidR="00DD2190" w:rsidRPr="00836EC2">
        <w:t xml:space="preserve"> AD </w:t>
      </w:r>
      <w:r w:rsidRPr="00836EC2">
        <w:t xml:space="preserve">among treatments. </w:t>
      </w:r>
      <w:r w:rsidR="00DD2190" w:rsidRPr="00836EC2">
        <w:t xml:space="preserve"> </w:t>
      </w:r>
      <w:r w:rsidR="00E84278" w:rsidRPr="00836EC2">
        <w:t>Average daily gain of steers</w:t>
      </w:r>
      <w:r w:rsidR="0009071D" w:rsidRPr="00836EC2">
        <w:t xml:space="preserve"> </w:t>
      </w:r>
      <w:r w:rsidR="00B94023" w:rsidRPr="00836EC2">
        <w:t>averaged 0.75, 0.96, and 0.97</w:t>
      </w:r>
      <w:r w:rsidR="0009071D" w:rsidRPr="00836EC2">
        <w:t xml:space="preserve"> kg d</w:t>
      </w:r>
      <w:r w:rsidR="0009071D" w:rsidRPr="00836EC2">
        <w:rPr>
          <w:vertAlign w:val="superscript"/>
        </w:rPr>
        <w:t>-1</w:t>
      </w:r>
      <w:r w:rsidR="0009071D" w:rsidRPr="00836EC2">
        <w:t xml:space="preserve"> in </w:t>
      </w:r>
      <w:r w:rsidR="00DD2190" w:rsidRPr="00836EC2">
        <w:t xml:space="preserve">2018, 2019, and </w:t>
      </w:r>
      <w:r w:rsidR="0009071D" w:rsidRPr="00836EC2">
        <w:t>2020</w:t>
      </w:r>
      <w:r w:rsidR="00DD2190" w:rsidRPr="00836EC2">
        <w:t>, respectively.</w:t>
      </w:r>
      <w:r w:rsidR="0009071D" w:rsidRPr="00836EC2">
        <w:t xml:space="preserve">  </w:t>
      </w:r>
      <w:r w:rsidR="00DD2190" w:rsidRPr="00836EC2">
        <w:t>Total gain</w:t>
      </w:r>
      <w:r w:rsidR="003B7DB7" w:rsidRPr="00836EC2">
        <w:t xml:space="preserve"> </w:t>
      </w:r>
      <w:r w:rsidR="00B94023" w:rsidRPr="00836EC2">
        <w:t>averaged 204, 344, and 388</w:t>
      </w:r>
      <w:r w:rsidR="003B7DB7" w:rsidRPr="00836EC2">
        <w:t xml:space="preserve"> kg ha</w:t>
      </w:r>
      <w:r w:rsidR="003B7DB7" w:rsidRPr="00836EC2">
        <w:rPr>
          <w:vertAlign w:val="superscript"/>
        </w:rPr>
        <w:t>-1</w:t>
      </w:r>
      <w:r w:rsidR="003B7DB7" w:rsidRPr="00836EC2">
        <w:t xml:space="preserve"> in 2018, 2019, and 2020, respectively. </w:t>
      </w:r>
    </w:p>
    <w:p w14:paraId="74962BD7" w14:textId="1D6DAC84" w:rsidR="00820709" w:rsidRPr="00124C0D" w:rsidRDefault="00820709" w:rsidP="00124C0D">
      <w:pPr>
        <w:pStyle w:val="Heading3"/>
      </w:pPr>
      <w:bookmarkStart w:id="152" w:name="_Toc72026055"/>
      <w:bookmarkStart w:id="153" w:name="_Toc72305416"/>
      <w:bookmarkEnd w:id="151"/>
      <w:r w:rsidRPr="00124C0D">
        <w:t xml:space="preserve">Big </w:t>
      </w:r>
      <w:r w:rsidR="0019206D" w:rsidRPr="00124C0D">
        <w:t>B</w:t>
      </w:r>
      <w:r w:rsidRPr="00124C0D">
        <w:t>luestem/Indiangrass</w:t>
      </w:r>
      <w:bookmarkEnd w:id="152"/>
      <w:bookmarkEnd w:id="153"/>
    </w:p>
    <w:p w14:paraId="085AD8B5" w14:textId="0D354D86" w:rsidR="00820709" w:rsidRPr="00836EC2" w:rsidRDefault="00820709" w:rsidP="00CE5BBE">
      <w:pPr>
        <w:pStyle w:val="Paragraphs"/>
        <w:spacing w:after="100" w:afterAutospacing="1"/>
      </w:pPr>
      <w:r w:rsidRPr="00836EC2">
        <w:t xml:space="preserve">In 2018-2020, animal grazing days </w:t>
      </w:r>
      <w:r w:rsidR="00753F67" w:rsidRPr="00836EC2">
        <w:t>ranged from</w:t>
      </w:r>
      <w:r w:rsidR="00B94023" w:rsidRPr="00836EC2">
        <w:t xml:space="preserve"> </w:t>
      </w:r>
      <w:r w:rsidR="00753F67" w:rsidRPr="00836EC2">
        <w:t xml:space="preserve">231-349, 336-451, and 391-420 </w:t>
      </w:r>
      <w:r w:rsidRPr="00836EC2">
        <w:t>d ha</w:t>
      </w:r>
      <w:r w:rsidRPr="00836EC2">
        <w:rPr>
          <w:vertAlign w:val="superscript"/>
        </w:rPr>
        <w:t>-1</w:t>
      </w:r>
      <w:r w:rsidRPr="00836EC2">
        <w:t xml:space="preserve">, respectively, across all grazed treatments.  Early, middle, and late rest had </w:t>
      </w:r>
      <w:r w:rsidR="004C61C9" w:rsidRPr="00836EC2">
        <w:t>fewer</w:t>
      </w:r>
      <w:r w:rsidRPr="00836EC2">
        <w:t xml:space="preserve"> AD than no rest.  </w:t>
      </w:r>
      <w:r w:rsidR="00753F67" w:rsidRPr="00836EC2">
        <w:t>A</w:t>
      </w:r>
      <w:r w:rsidRPr="00836EC2">
        <w:t xml:space="preserve">verage daily gain of steers </w:t>
      </w:r>
      <w:r w:rsidR="00753F67" w:rsidRPr="00836EC2">
        <w:t>averaged 0.87, 0.80, and 0.82</w:t>
      </w:r>
      <w:r w:rsidRPr="00836EC2">
        <w:t xml:space="preserve"> kg d</w:t>
      </w:r>
      <w:r w:rsidRPr="00836EC2">
        <w:rPr>
          <w:vertAlign w:val="superscript"/>
        </w:rPr>
        <w:t>-1</w:t>
      </w:r>
      <w:r w:rsidR="00227063">
        <w:t xml:space="preserve"> from 2018-2020</w:t>
      </w:r>
      <w:r w:rsidRPr="00836EC2">
        <w:t xml:space="preserve">, respectively.  Total gain </w:t>
      </w:r>
      <w:r w:rsidR="00753F67" w:rsidRPr="00836EC2">
        <w:t>averaged 248, 288, and 325</w:t>
      </w:r>
      <w:r w:rsidRPr="00836EC2">
        <w:t xml:space="preserve"> kg ha</w:t>
      </w:r>
      <w:r w:rsidRPr="00836EC2">
        <w:rPr>
          <w:vertAlign w:val="superscript"/>
        </w:rPr>
        <w:t>-1</w:t>
      </w:r>
      <w:r w:rsidRPr="00836EC2">
        <w:t xml:space="preserve"> in 2018, 2019, and 2020, respectively. </w:t>
      </w:r>
    </w:p>
    <w:p w14:paraId="2B0A258B" w14:textId="50B9594A" w:rsidR="00B572F9" w:rsidRPr="00836EC2" w:rsidRDefault="00B572F9" w:rsidP="00B572F9">
      <w:pPr>
        <w:pStyle w:val="AgronomyJournalSectionTitles"/>
        <w:rPr>
          <w:rFonts w:eastAsia="Calibri"/>
        </w:rPr>
      </w:pPr>
      <w:bookmarkStart w:id="154" w:name="_Toc72026056"/>
      <w:bookmarkStart w:id="155" w:name="_Toc72305417"/>
      <w:r w:rsidRPr="00836EC2">
        <w:rPr>
          <w:rFonts w:eastAsia="Calibri"/>
        </w:rPr>
        <w:lastRenderedPageBreak/>
        <w:t>DISCUSSION</w:t>
      </w:r>
      <w:bookmarkEnd w:id="154"/>
      <w:bookmarkEnd w:id="155"/>
    </w:p>
    <w:p w14:paraId="17359B58" w14:textId="6434E109" w:rsidR="007F3EC2" w:rsidRPr="00836EC2" w:rsidRDefault="007F3EC2" w:rsidP="00124C0D">
      <w:pPr>
        <w:pStyle w:val="Heading2"/>
        <w:rPr>
          <w:rFonts w:eastAsia="Calibri"/>
        </w:rPr>
      </w:pPr>
      <w:bookmarkStart w:id="156" w:name="_Toc72026057"/>
      <w:bookmarkStart w:id="157" w:name="_Toc72305418"/>
      <w:r w:rsidRPr="00836EC2">
        <w:rPr>
          <w:rFonts w:eastAsia="Calibri"/>
        </w:rPr>
        <w:t>Tiller and Plant Density</w:t>
      </w:r>
      <w:bookmarkEnd w:id="156"/>
      <w:bookmarkEnd w:id="157"/>
    </w:p>
    <w:p w14:paraId="67F37C3C" w14:textId="1479C4C2" w:rsidR="00A27E1D" w:rsidRDefault="00177194" w:rsidP="007576E5">
      <w:pPr>
        <w:pStyle w:val="Paragraphs"/>
        <w:rPr>
          <w:rFonts w:eastAsia="Calibri"/>
        </w:rPr>
      </w:pPr>
      <w:r>
        <w:t>The increase in b</w:t>
      </w:r>
      <w:r w:rsidR="00371FEC">
        <w:t xml:space="preserve">oth SG and BBIG tiller density </w:t>
      </w:r>
      <w:r>
        <w:t xml:space="preserve">from 2018-2020 showed a shift in plant dominance toward the perennial grass species. </w:t>
      </w:r>
      <w:r w:rsidR="004E0557">
        <w:t xml:space="preserve"> </w:t>
      </w:r>
      <w:bookmarkStart w:id="158" w:name="_Hlk72291180"/>
      <w:r w:rsidRPr="00836EC2">
        <w:rPr>
          <w:rFonts w:eastAsia="Calibri"/>
        </w:rPr>
        <w:t xml:space="preserve">Bonin and Tracy (2012) observed a shift in plant species dominance from native forbs to native perennial grasses from 2008-2011 in a 10-species polyculture where half of the mixture consisted of </w:t>
      </w:r>
      <w:r w:rsidR="00A27E1D">
        <w:rPr>
          <w:rFonts w:eastAsia="Calibri"/>
        </w:rPr>
        <w:t>native grasses.</w:t>
      </w:r>
      <w:bookmarkEnd w:id="158"/>
      <w:r w:rsidRPr="00836EC2">
        <w:rPr>
          <w:rFonts w:eastAsia="Calibri"/>
        </w:rPr>
        <w:t xml:space="preserve">  </w:t>
      </w:r>
      <w:r w:rsidR="00A27E1D">
        <w:rPr>
          <w:rFonts w:eastAsia="Calibri"/>
        </w:rPr>
        <w:t xml:space="preserve">However, all species were planted simultaneously </w:t>
      </w:r>
      <w:r w:rsidR="005C2BD5">
        <w:rPr>
          <w:rFonts w:eastAsia="Calibri"/>
        </w:rPr>
        <w:t xml:space="preserve">and never grazed </w:t>
      </w:r>
      <w:r w:rsidR="00A27E1D">
        <w:rPr>
          <w:rFonts w:eastAsia="Calibri"/>
        </w:rPr>
        <w:t>as opposed to interseed</w:t>
      </w:r>
      <w:r w:rsidR="005C2BD5">
        <w:rPr>
          <w:rFonts w:eastAsia="Calibri"/>
        </w:rPr>
        <w:t>ed</w:t>
      </w:r>
      <w:r w:rsidR="00A27E1D">
        <w:rPr>
          <w:rFonts w:eastAsia="Calibri"/>
        </w:rPr>
        <w:t xml:space="preserve"> into established NWSG </w:t>
      </w:r>
      <w:r w:rsidR="005C2BD5">
        <w:rPr>
          <w:rFonts w:eastAsia="Calibri"/>
        </w:rPr>
        <w:t xml:space="preserve">and grazed </w:t>
      </w:r>
      <w:r w:rsidR="00A27E1D">
        <w:rPr>
          <w:rFonts w:eastAsia="Calibri"/>
        </w:rPr>
        <w:t xml:space="preserve">in the current studies.  </w:t>
      </w:r>
    </w:p>
    <w:p w14:paraId="6AA34CCB" w14:textId="41D4BA49" w:rsidR="00371FEC" w:rsidRDefault="00177194" w:rsidP="007576E5">
      <w:pPr>
        <w:pStyle w:val="Paragraphs"/>
      </w:pPr>
      <w:r>
        <w:t xml:space="preserve">Switchgrass tiller density increased more than </w:t>
      </w:r>
      <w:r w:rsidR="007441D8">
        <w:t>three times</w:t>
      </w:r>
      <w:r>
        <w:t xml:space="preserve"> that of BBIG tiller density</w:t>
      </w:r>
      <w:r w:rsidR="00A27E1D">
        <w:t xml:space="preserve"> from 2018-2020</w:t>
      </w:r>
      <w:r>
        <w:t>.</w:t>
      </w:r>
      <w:r w:rsidR="00D817F3">
        <w:t xml:space="preserve">  Big bluestem/</w:t>
      </w:r>
      <w:r w:rsidR="007761A2">
        <w:t>i</w:t>
      </w:r>
      <w:r w:rsidR="003D3A24">
        <w:t>ndiangrass</w:t>
      </w:r>
      <w:r w:rsidR="00D817F3">
        <w:t xml:space="preserve"> </w:t>
      </w:r>
      <w:r w:rsidR="006A6724">
        <w:t>was</w:t>
      </w:r>
      <w:r w:rsidR="00D817F3">
        <w:t xml:space="preserve"> more </w:t>
      </w:r>
      <w:r w:rsidR="007441D8">
        <w:t>h</w:t>
      </w:r>
      <w:r w:rsidR="00D817F3">
        <w:t>ea</w:t>
      </w:r>
      <w:r w:rsidR="007441D8">
        <w:t>v</w:t>
      </w:r>
      <w:r w:rsidR="00D817F3">
        <w:t>ily grazed than SG</w:t>
      </w:r>
      <w:r w:rsidR="009D1779">
        <w:t xml:space="preserve"> </w:t>
      </w:r>
      <w:r w:rsidR="00D817F3">
        <w:t xml:space="preserve">within their respective pastures.  </w:t>
      </w:r>
      <w:r w:rsidR="006A6724">
        <w:t xml:space="preserve">Tomanek, Martin, and Albertson (1958) observed that big bluestem was preferentially grazed </w:t>
      </w:r>
      <w:r w:rsidR="00EC1DB4">
        <w:t xml:space="preserve">over other grasses within a mixed prairie in Kansas.  </w:t>
      </w:r>
      <w:r w:rsidR="009D1779">
        <w:t xml:space="preserve">Dwyer, Sims, and Pope (1964) reported that </w:t>
      </w:r>
      <w:r w:rsidR="003F33E1">
        <w:t xml:space="preserve">steers preferred </w:t>
      </w:r>
      <w:r w:rsidR="009D1779">
        <w:t xml:space="preserve">BB over SG when grazing pure stands in Oklahoma.  </w:t>
      </w:r>
      <w:r w:rsidR="00D817F3">
        <w:t>In 2020, more reproductive tillers were observed in the SG pasture than the BBIG pasture</w:t>
      </w:r>
      <w:r w:rsidR="006A6724">
        <w:t xml:space="preserve"> thus allowing for greater competition with native forbs.</w:t>
      </w:r>
      <w:r w:rsidR="00D817F3">
        <w:t xml:space="preserve">  </w:t>
      </w:r>
      <w:r w:rsidR="006A6724">
        <w:t xml:space="preserve">Lack of grazing pressure on the SG early in the season </w:t>
      </w:r>
      <w:r w:rsidR="00D817F3">
        <w:t>could have influenced</w:t>
      </w:r>
      <w:r w:rsidR="006A6724">
        <w:t xml:space="preserve"> plant maturity</w:t>
      </w:r>
      <w:r w:rsidR="00D817F3">
        <w:t xml:space="preserve">.  </w:t>
      </w:r>
      <w:r w:rsidR="003F33E1">
        <w:t xml:space="preserve">The lower BBIG tiller density in 2020 showed that BBIG may not be as competitive with native forbs </w:t>
      </w:r>
      <w:r w:rsidR="007441D8">
        <w:t xml:space="preserve">as SG </w:t>
      </w:r>
      <w:r w:rsidR="003F33E1">
        <w:t>when being grazed</w:t>
      </w:r>
      <w:r w:rsidR="0008236E">
        <w:t>.</w:t>
      </w:r>
      <w:r w:rsidR="003F33E1">
        <w:t xml:space="preserve"> </w:t>
      </w:r>
    </w:p>
    <w:p w14:paraId="1A58C059" w14:textId="2AC85A5C" w:rsidR="008759EC" w:rsidRPr="00836EC2" w:rsidRDefault="002877E4" w:rsidP="007576E5">
      <w:pPr>
        <w:pStyle w:val="Paragraphs"/>
        <w:rPr>
          <w:rFonts w:eastAsia="Calibri"/>
        </w:rPr>
      </w:pPr>
      <w:r w:rsidRPr="00836EC2">
        <w:t>All forb species in these studies were natives, shared a common seasonality (except LANC), tended to be upright in growth habit</w:t>
      </w:r>
      <w:r w:rsidR="0012546E" w:rsidRPr="00836EC2">
        <w:t>,</w:t>
      </w:r>
      <w:r w:rsidRPr="00836EC2">
        <w:t xml:space="preserve"> and did not present meaningful competition to grasses contrary to what has been reported with interseeding non-natives and/or cool-season species</w:t>
      </w:r>
      <w:r w:rsidR="000F5F19" w:rsidRPr="00836EC2">
        <w:t xml:space="preserve"> (</w:t>
      </w:r>
      <w:r w:rsidR="00BF3C6C" w:rsidRPr="00836EC2">
        <w:t xml:space="preserve">Blanchet et al., 1995; </w:t>
      </w:r>
      <w:r w:rsidR="00B77F4F" w:rsidRPr="00836EC2">
        <w:t>Keyser et al., 2016)</w:t>
      </w:r>
      <w:r w:rsidRPr="00836EC2">
        <w:t xml:space="preserve">.  </w:t>
      </w:r>
      <w:r w:rsidR="00AB1A4D" w:rsidRPr="00836EC2">
        <w:rPr>
          <w:rFonts w:eastAsia="Calibri"/>
        </w:rPr>
        <w:t xml:space="preserve">The decrease in forb plant </w:t>
      </w:r>
      <w:r w:rsidR="00727581" w:rsidRPr="00836EC2">
        <w:rPr>
          <w:rFonts w:eastAsia="Calibri"/>
        </w:rPr>
        <w:t>density</w:t>
      </w:r>
      <w:r w:rsidR="00227063">
        <w:rPr>
          <w:rFonts w:eastAsia="Calibri"/>
        </w:rPr>
        <w:t xml:space="preserve"> </w:t>
      </w:r>
      <w:r w:rsidR="00AB1A4D" w:rsidRPr="00836EC2">
        <w:rPr>
          <w:rFonts w:eastAsia="Calibri"/>
        </w:rPr>
        <w:t xml:space="preserve">could be attributed to competition with NWSG, trampling, or being </w:t>
      </w:r>
      <w:r w:rsidR="00526E0D" w:rsidRPr="00836EC2">
        <w:rPr>
          <w:rFonts w:eastAsia="Calibri"/>
        </w:rPr>
        <w:lastRenderedPageBreak/>
        <w:t>grazed</w:t>
      </w:r>
      <w:r w:rsidR="00AB1A4D" w:rsidRPr="00836EC2">
        <w:rPr>
          <w:rFonts w:eastAsia="Calibri"/>
        </w:rPr>
        <w:t xml:space="preserve"> by steers </w:t>
      </w:r>
      <w:r w:rsidR="00E515F2" w:rsidRPr="00836EC2">
        <w:t xml:space="preserve">(Van Vuren </w:t>
      </w:r>
      <w:r w:rsidR="00AF4771" w:rsidRPr="00836EC2">
        <w:t>&amp;</w:t>
      </w:r>
      <w:r w:rsidR="00E515F2" w:rsidRPr="00836EC2">
        <w:t xml:space="preserve"> Bray, 1983; Hartnett et al., 1997) </w:t>
      </w:r>
      <w:r w:rsidR="00AB1A4D" w:rsidRPr="00836EC2">
        <w:rPr>
          <w:rFonts w:eastAsia="Calibri"/>
        </w:rPr>
        <w:t xml:space="preserve">or wildlife. </w:t>
      </w:r>
      <w:r w:rsidR="009C64EB" w:rsidRPr="00836EC2">
        <w:rPr>
          <w:rFonts w:eastAsia="Calibri"/>
        </w:rPr>
        <w:t xml:space="preserve"> </w:t>
      </w:r>
      <w:r w:rsidR="00670CA4" w:rsidRPr="00836EC2">
        <w:rPr>
          <w:rFonts w:eastAsia="Calibri"/>
        </w:rPr>
        <w:t>Multiple forb plants were observed to have been foraged upon throughout the course of the</w:t>
      </w:r>
      <w:r w:rsidR="005C4B11" w:rsidRPr="00836EC2">
        <w:rPr>
          <w:rFonts w:eastAsia="Calibri"/>
        </w:rPr>
        <w:t xml:space="preserve"> current</w:t>
      </w:r>
      <w:r w:rsidR="00670CA4" w:rsidRPr="00836EC2">
        <w:rPr>
          <w:rFonts w:eastAsia="Calibri"/>
        </w:rPr>
        <w:t xml:space="preserve"> studies.  </w:t>
      </w:r>
      <w:bookmarkStart w:id="159" w:name="_Hlk72112773"/>
      <w:r w:rsidR="00A27E1D">
        <w:rPr>
          <w:rFonts w:eastAsia="Calibri"/>
        </w:rPr>
        <w:t xml:space="preserve">As previously mentioned, </w:t>
      </w:r>
      <w:r w:rsidR="00CC5D85" w:rsidRPr="00836EC2">
        <w:rPr>
          <w:rFonts w:eastAsia="Calibri"/>
        </w:rPr>
        <w:t xml:space="preserve">Bonin and Tracy (2012) </w:t>
      </w:r>
      <w:r w:rsidR="00177194">
        <w:rPr>
          <w:rFonts w:eastAsia="Calibri"/>
        </w:rPr>
        <w:t xml:space="preserve">found a decline in </w:t>
      </w:r>
      <w:r w:rsidR="00526E0D" w:rsidRPr="00836EC2">
        <w:rPr>
          <w:rFonts w:eastAsia="Calibri"/>
        </w:rPr>
        <w:t xml:space="preserve">native </w:t>
      </w:r>
      <w:r w:rsidR="00CC5D85" w:rsidRPr="00836EC2">
        <w:rPr>
          <w:rFonts w:eastAsia="Calibri"/>
        </w:rPr>
        <w:t>forbs</w:t>
      </w:r>
      <w:r w:rsidR="007441D8">
        <w:rPr>
          <w:rFonts w:eastAsia="Calibri"/>
        </w:rPr>
        <w:t xml:space="preserve"> </w:t>
      </w:r>
      <w:r w:rsidR="00526E0D" w:rsidRPr="00836EC2">
        <w:rPr>
          <w:rFonts w:eastAsia="Calibri"/>
        </w:rPr>
        <w:t>in a</w:t>
      </w:r>
      <w:r w:rsidR="00D06E8F" w:rsidRPr="00836EC2">
        <w:rPr>
          <w:rFonts w:eastAsia="Calibri"/>
        </w:rPr>
        <w:t xml:space="preserve"> 10</w:t>
      </w:r>
      <w:r w:rsidR="00526E0D" w:rsidRPr="00836EC2">
        <w:rPr>
          <w:rFonts w:eastAsia="Calibri"/>
        </w:rPr>
        <w:t>-</w:t>
      </w:r>
      <w:r w:rsidR="00D06E8F" w:rsidRPr="00836EC2">
        <w:rPr>
          <w:rFonts w:eastAsia="Calibri"/>
        </w:rPr>
        <w:t>species</w:t>
      </w:r>
      <w:r w:rsidR="00526E0D" w:rsidRPr="00836EC2">
        <w:rPr>
          <w:rFonts w:eastAsia="Calibri"/>
        </w:rPr>
        <w:t xml:space="preserve"> </w:t>
      </w:r>
      <w:r w:rsidR="00D06E8F" w:rsidRPr="00836EC2">
        <w:rPr>
          <w:rFonts w:eastAsia="Calibri"/>
        </w:rPr>
        <w:t>polyculture</w:t>
      </w:r>
      <w:r w:rsidR="007455D4" w:rsidRPr="00836EC2">
        <w:rPr>
          <w:rFonts w:eastAsia="Calibri"/>
        </w:rPr>
        <w:t xml:space="preserve"> </w:t>
      </w:r>
      <w:r w:rsidR="00A27E1D">
        <w:rPr>
          <w:rFonts w:eastAsia="Calibri"/>
        </w:rPr>
        <w:t xml:space="preserve">with native perennial </w:t>
      </w:r>
      <w:r w:rsidR="007441D8">
        <w:rPr>
          <w:rFonts w:eastAsia="Calibri"/>
        </w:rPr>
        <w:t xml:space="preserve">grasses </w:t>
      </w:r>
      <w:r w:rsidR="007455D4" w:rsidRPr="00836EC2">
        <w:rPr>
          <w:rFonts w:eastAsia="Calibri"/>
        </w:rPr>
        <w:t xml:space="preserve">where half of the mixture consisted of native forbs and legumes.  </w:t>
      </w:r>
      <w:bookmarkEnd w:id="159"/>
      <w:r w:rsidR="007455D4" w:rsidRPr="00836EC2">
        <w:rPr>
          <w:rFonts w:eastAsia="Calibri"/>
        </w:rPr>
        <w:t>Four species (ILBF, PPEA, BESU, and OXEY) were the same as those used in the current studies.</w:t>
      </w:r>
      <w:r w:rsidR="00D06E8F" w:rsidRPr="00836EC2">
        <w:rPr>
          <w:rFonts w:eastAsia="Calibri"/>
        </w:rPr>
        <w:t xml:space="preserve"> </w:t>
      </w:r>
      <w:r w:rsidR="00727581" w:rsidRPr="00836EC2">
        <w:rPr>
          <w:rFonts w:eastAsia="Calibri"/>
        </w:rPr>
        <w:t xml:space="preserve"> </w:t>
      </w:r>
      <w:r w:rsidR="005F50D5" w:rsidRPr="00836EC2">
        <w:rPr>
          <w:rFonts w:eastAsia="Calibri"/>
        </w:rPr>
        <w:t>Sanderson et al. (200</w:t>
      </w:r>
      <w:r w:rsidR="00322AFF" w:rsidRPr="00836EC2">
        <w:rPr>
          <w:rFonts w:eastAsia="Calibri"/>
        </w:rPr>
        <w:t>7</w:t>
      </w:r>
      <w:r w:rsidR="005F50D5" w:rsidRPr="00836EC2">
        <w:rPr>
          <w:rFonts w:eastAsia="Calibri"/>
        </w:rPr>
        <w:t xml:space="preserve">) conducted a </w:t>
      </w:r>
      <w:r w:rsidR="00227063">
        <w:rPr>
          <w:rFonts w:eastAsia="Calibri"/>
        </w:rPr>
        <w:t xml:space="preserve">literature review </w:t>
      </w:r>
      <w:r w:rsidR="005F50D5" w:rsidRPr="00836EC2">
        <w:rPr>
          <w:rFonts w:eastAsia="Calibri"/>
        </w:rPr>
        <w:t>on mixed sward pasture management</w:t>
      </w:r>
      <w:r w:rsidR="00033104" w:rsidRPr="00836EC2">
        <w:rPr>
          <w:rFonts w:eastAsia="Calibri"/>
        </w:rPr>
        <w:t xml:space="preserve"> and</w:t>
      </w:r>
      <w:r w:rsidR="005F50D5" w:rsidRPr="00836EC2">
        <w:rPr>
          <w:rFonts w:eastAsia="Calibri"/>
        </w:rPr>
        <w:t xml:space="preserve"> reported that close to half of the species planted within swards of greater than five species failed to persist for more than 3-4 years.</w:t>
      </w:r>
    </w:p>
    <w:p w14:paraId="0E678268" w14:textId="3852B5D9" w:rsidR="006F08CB" w:rsidRPr="00836EC2" w:rsidRDefault="00C67861" w:rsidP="008759EC">
      <w:pPr>
        <w:ind w:firstLine="720"/>
        <w:rPr>
          <w:rFonts w:eastAsia="Calibri"/>
        </w:rPr>
      </w:pPr>
      <w:r w:rsidRPr="00836EC2">
        <w:rPr>
          <w:rFonts w:eastAsia="Calibri"/>
        </w:rPr>
        <w:t>Out of the 11 forb species planted in the SG and BBIG pastures, PPCL was the only forb species that</w:t>
      </w:r>
      <w:r w:rsidR="00BE43FB" w:rsidRPr="00836EC2">
        <w:rPr>
          <w:rFonts w:eastAsia="Calibri"/>
        </w:rPr>
        <w:t xml:space="preserve"> </w:t>
      </w:r>
      <w:r w:rsidRPr="00836EC2">
        <w:rPr>
          <w:rFonts w:eastAsia="Calibri"/>
        </w:rPr>
        <w:t xml:space="preserve">never established.  </w:t>
      </w:r>
      <w:r w:rsidR="001A245F" w:rsidRPr="00836EC2">
        <w:rPr>
          <w:rFonts w:eastAsia="Calibri"/>
        </w:rPr>
        <w:t xml:space="preserve">Contrarily, Berg (1990) </w:t>
      </w:r>
      <w:r w:rsidR="00227063">
        <w:rPr>
          <w:rFonts w:eastAsia="Calibri"/>
        </w:rPr>
        <w:t xml:space="preserve">no-till drilled </w:t>
      </w:r>
      <w:r w:rsidR="001A245F" w:rsidRPr="00836EC2">
        <w:rPr>
          <w:rFonts w:eastAsia="Calibri"/>
        </w:rPr>
        <w:t xml:space="preserve">a five-species forb mixture </w:t>
      </w:r>
      <w:r w:rsidR="00227063">
        <w:rPr>
          <w:rFonts w:eastAsia="Calibri"/>
        </w:rPr>
        <w:t xml:space="preserve">into wheat </w:t>
      </w:r>
      <w:r w:rsidR="00227063" w:rsidRPr="00A41CAD">
        <w:t>[</w:t>
      </w:r>
      <w:r w:rsidR="00227063" w:rsidRPr="00A41CAD">
        <w:rPr>
          <w:i/>
          <w:iCs/>
        </w:rPr>
        <w:t>Triticum aestivum</w:t>
      </w:r>
      <w:r w:rsidR="00227063" w:rsidRPr="00A41CAD">
        <w:t xml:space="preserve"> L.]</w:t>
      </w:r>
      <w:r w:rsidR="00227063">
        <w:t xml:space="preserve"> </w:t>
      </w:r>
      <w:r w:rsidR="00227063">
        <w:rPr>
          <w:rFonts w:eastAsia="Calibri"/>
        </w:rPr>
        <w:t xml:space="preserve">residue </w:t>
      </w:r>
      <w:r w:rsidR="001A245F" w:rsidRPr="00836EC2">
        <w:rPr>
          <w:rFonts w:eastAsia="Calibri"/>
        </w:rPr>
        <w:t>and found PPCL was the most abundant forb species present</w:t>
      </w:r>
      <w:r w:rsidR="0040306F">
        <w:rPr>
          <w:rFonts w:eastAsia="Calibri"/>
        </w:rPr>
        <w:t xml:space="preserve"> in their southern Great Plains</w:t>
      </w:r>
      <w:r w:rsidR="00B24EF2">
        <w:rPr>
          <w:rFonts w:eastAsia="Calibri"/>
        </w:rPr>
        <w:t xml:space="preserve"> study site</w:t>
      </w:r>
      <w:r w:rsidR="001A245F" w:rsidRPr="00836EC2">
        <w:rPr>
          <w:rFonts w:eastAsia="Calibri"/>
        </w:rPr>
        <w:t>.</w:t>
      </w:r>
      <w:r w:rsidR="00B225AC" w:rsidRPr="00836EC2">
        <w:rPr>
          <w:rFonts w:eastAsia="Calibri"/>
        </w:rPr>
        <w:t xml:space="preserve">  </w:t>
      </w:r>
      <w:r w:rsidRPr="00836EC2">
        <w:rPr>
          <w:rFonts w:eastAsia="Calibri"/>
        </w:rPr>
        <w:t>Out of the</w:t>
      </w:r>
      <w:r w:rsidR="00923FA9" w:rsidRPr="00836EC2">
        <w:rPr>
          <w:rFonts w:eastAsia="Calibri"/>
        </w:rPr>
        <w:t xml:space="preserve"> </w:t>
      </w:r>
      <w:r w:rsidR="00F94FA8" w:rsidRPr="00836EC2">
        <w:rPr>
          <w:rFonts w:eastAsia="Calibri"/>
        </w:rPr>
        <w:t xml:space="preserve">10 </w:t>
      </w:r>
      <w:r w:rsidR="00923FA9" w:rsidRPr="00836EC2">
        <w:rPr>
          <w:rFonts w:eastAsia="Calibri"/>
        </w:rPr>
        <w:t xml:space="preserve">species that </w:t>
      </w:r>
      <w:r w:rsidRPr="00836EC2">
        <w:rPr>
          <w:rFonts w:eastAsia="Calibri"/>
        </w:rPr>
        <w:t>established in the SG study, UPRT, IL</w:t>
      </w:r>
      <w:r w:rsidR="005C4B11" w:rsidRPr="00836EC2">
        <w:rPr>
          <w:rFonts w:eastAsia="Calibri"/>
        </w:rPr>
        <w:t>BF</w:t>
      </w:r>
      <w:r w:rsidRPr="00836EC2">
        <w:rPr>
          <w:rFonts w:eastAsia="Calibri"/>
        </w:rPr>
        <w:t xml:space="preserve">, and PPEA were the only forb species that never had </w:t>
      </w:r>
      <w:r w:rsidRPr="00836EC2">
        <w:rPr>
          <w:rFonts w:eastAsia="Calibri" w:cs="Times New Roman"/>
        </w:rPr>
        <w:t>≥</w:t>
      </w:r>
      <w:r w:rsidRPr="00836EC2">
        <w:rPr>
          <w:rFonts w:eastAsia="Calibri"/>
        </w:rPr>
        <w:t xml:space="preserve"> 1.0 plants m</w:t>
      </w:r>
      <w:r w:rsidRPr="00836EC2">
        <w:rPr>
          <w:rFonts w:eastAsia="Calibri"/>
          <w:vertAlign w:val="superscript"/>
        </w:rPr>
        <w:t>-2</w:t>
      </w:r>
      <w:r w:rsidRPr="00836EC2">
        <w:rPr>
          <w:rFonts w:eastAsia="Calibri"/>
        </w:rPr>
        <w:t>.  In the BBIG pasture, MAXI, IL</w:t>
      </w:r>
      <w:r w:rsidR="005C4B11" w:rsidRPr="00836EC2">
        <w:rPr>
          <w:rFonts w:eastAsia="Calibri"/>
        </w:rPr>
        <w:t>BF</w:t>
      </w:r>
      <w:r w:rsidRPr="00836EC2">
        <w:rPr>
          <w:rFonts w:eastAsia="Calibri"/>
        </w:rPr>
        <w:t xml:space="preserve">, and PPEA were the only species to have </w:t>
      </w:r>
      <w:r w:rsidR="0092428C" w:rsidRPr="00836EC2">
        <w:rPr>
          <w:rFonts w:eastAsia="Calibri" w:cs="Times New Roman"/>
        </w:rPr>
        <w:t>≤</w:t>
      </w:r>
      <w:r w:rsidRPr="00836EC2">
        <w:rPr>
          <w:rFonts w:eastAsia="Calibri"/>
        </w:rPr>
        <w:t xml:space="preserve"> 1.0 plant m</w:t>
      </w:r>
      <w:r w:rsidRPr="00836EC2">
        <w:rPr>
          <w:rFonts w:eastAsia="Calibri"/>
          <w:vertAlign w:val="superscript"/>
        </w:rPr>
        <w:t>-2</w:t>
      </w:r>
      <w:r w:rsidRPr="00836EC2">
        <w:rPr>
          <w:rFonts w:eastAsia="Calibri"/>
        </w:rPr>
        <w:t xml:space="preserve"> </w:t>
      </w:r>
      <w:r w:rsidR="0092428C" w:rsidRPr="00836EC2">
        <w:rPr>
          <w:rFonts w:eastAsia="Calibri"/>
        </w:rPr>
        <w:t xml:space="preserve">at each pre- and post-grazing sampling period.  </w:t>
      </w:r>
      <w:r w:rsidR="00F94FA8" w:rsidRPr="00836EC2">
        <w:rPr>
          <w:rFonts w:eastAsia="Calibri"/>
        </w:rPr>
        <w:t>Thus, the only one of the four legumes that was well represented was DITI.</w:t>
      </w:r>
    </w:p>
    <w:p w14:paraId="10E418E8" w14:textId="58E78AC4" w:rsidR="00CE5BBE" w:rsidRPr="00836EC2" w:rsidRDefault="008759EC" w:rsidP="00CE5BBE">
      <w:pPr>
        <w:pStyle w:val="Paragraphs"/>
      </w:pPr>
      <w:r w:rsidRPr="00836EC2">
        <w:t>In the SG and BBIG pastures, annual</w:t>
      </w:r>
      <w:r w:rsidR="0065253E" w:rsidRPr="00836EC2">
        <w:t>/biennial species</w:t>
      </w:r>
      <w:r w:rsidRPr="00836EC2">
        <w:t xml:space="preserve"> represented the majority (73.8 and 61.3%, respectively) of the total forb plant density in 2018 </w:t>
      </w:r>
      <w:r w:rsidR="0055217C" w:rsidRPr="00836EC2">
        <w:t xml:space="preserve">(Year 2 after planting) </w:t>
      </w:r>
      <w:r w:rsidRPr="00836EC2">
        <w:t>and declined to 11.6 and 4.9% at the conclusion of grazing in 2020</w:t>
      </w:r>
      <w:r w:rsidR="00BE43FB" w:rsidRPr="00836EC2">
        <w:t xml:space="preserve">. </w:t>
      </w:r>
      <w:r w:rsidRPr="00836EC2">
        <w:t xml:space="preserve"> </w:t>
      </w:r>
      <w:r w:rsidR="00BD0DC2" w:rsidRPr="00836EC2">
        <w:t>Tracy and Bonin (2013) observed a</w:t>
      </w:r>
      <w:r w:rsidR="000C5680">
        <w:t xml:space="preserve"> similar</w:t>
      </w:r>
      <w:r w:rsidR="00BD0DC2" w:rsidRPr="00836EC2">
        <w:t xml:space="preserve"> species shift in six- and ten-species mixtures </w:t>
      </w:r>
      <w:r w:rsidR="003A6C15" w:rsidRPr="00836EC2">
        <w:t>that were initially dominated by</w:t>
      </w:r>
      <w:r w:rsidR="00BD0DC2" w:rsidRPr="00836EC2">
        <w:t xml:space="preserve"> </w:t>
      </w:r>
      <w:r w:rsidR="00ED0E8E" w:rsidRPr="00836EC2">
        <w:t>BESU</w:t>
      </w:r>
      <w:r w:rsidR="00A63AA1" w:rsidRPr="00836EC2">
        <w:t xml:space="preserve"> (annual/biennial; USDA-NRCS 2019)</w:t>
      </w:r>
      <w:r w:rsidR="00292804" w:rsidRPr="00836EC2">
        <w:t xml:space="preserve"> </w:t>
      </w:r>
      <w:r w:rsidR="00BD0DC2" w:rsidRPr="00836EC2">
        <w:t xml:space="preserve">to shared dominance </w:t>
      </w:r>
      <w:r w:rsidR="00EF2B2A" w:rsidRPr="00836EC2">
        <w:t xml:space="preserve">of BESU </w:t>
      </w:r>
      <w:r w:rsidR="00BD0DC2" w:rsidRPr="00836EC2">
        <w:t xml:space="preserve">with perennial grasses after </w:t>
      </w:r>
      <w:r w:rsidR="0055217C" w:rsidRPr="00836EC2">
        <w:t>the first two years</w:t>
      </w:r>
      <w:r w:rsidR="00BD0DC2" w:rsidRPr="00836EC2">
        <w:t xml:space="preserve"> when seeded together</w:t>
      </w:r>
      <w:r w:rsidR="0055217C" w:rsidRPr="00836EC2">
        <w:t>.</w:t>
      </w:r>
      <w:r w:rsidR="00C545C9" w:rsidRPr="00836EC2">
        <w:t xml:space="preserve"> </w:t>
      </w:r>
      <w:r w:rsidR="001F3F90" w:rsidRPr="00836EC2">
        <w:t xml:space="preserve"> </w:t>
      </w:r>
      <w:r w:rsidR="00BD0DC2" w:rsidRPr="00836EC2">
        <w:t xml:space="preserve">They </w:t>
      </w:r>
      <w:r w:rsidR="00BD0DC2" w:rsidRPr="00836EC2">
        <w:lastRenderedPageBreak/>
        <w:t xml:space="preserve">hypothesized this shift was due to the slower establishment of native grasses when compared to the short-lived </w:t>
      </w:r>
      <w:r w:rsidR="003A6C15" w:rsidRPr="00836EC2">
        <w:t>bi</w:t>
      </w:r>
      <w:r w:rsidR="00BD0DC2" w:rsidRPr="00836EC2">
        <w:t>ennial</w:t>
      </w:r>
      <w:r w:rsidR="005B0E77" w:rsidRPr="00836EC2">
        <w:t>,</w:t>
      </w:r>
      <w:r w:rsidR="00BD0DC2" w:rsidRPr="00836EC2">
        <w:t xml:space="preserve"> </w:t>
      </w:r>
      <w:r w:rsidR="00EF2B2A" w:rsidRPr="00836EC2">
        <w:t>BESU</w:t>
      </w:r>
      <w:r w:rsidR="00BD0DC2" w:rsidRPr="00836EC2">
        <w:t xml:space="preserve">.  Similarly, in the current studies, a </w:t>
      </w:r>
      <w:r w:rsidR="001F3F90" w:rsidRPr="00836EC2">
        <w:t xml:space="preserve">decline </w:t>
      </w:r>
      <w:r w:rsidR="00BD0DC2" w:rsidRPr="00836EC2">
        <w:t xml:space="preserve">in BESU plant density </w:t>
      </w:r>
      <w:r w:rsidR="001F3F90" w:rsidRPr="00836EC2">
        <w:t>was observed</w:t>
      </w:r>
      <w:r w:rsidR="000C5680">
        <w:t xml:space="preserve"> but </w:t>
      </w:r>
      <w:r w:rsidR="00B24EF2">
        <w:t xml:space="preserve">this species </w:t>
      </w:r>
      <w:r w:rsidR="000C5680">
        <w:t>ranked highest among annual/biennial species for abundance</w:t>
      </w:r>
      <w:r w:rsidR="001F3F90" w:rsidRPr="00836EC2">
        <w:t xml:space="preserve">.  </w:t>
      </w:r>
      <w:r w:rsidR="002A30DB" w:rsidRPr="00836EC2">
        <w:t xml:space="preserve">Annual </w:t>
      </w:r>
      <w:r w:rsidR="00D67ACD" w:rsidRPr="00836EC2">
        <w:t xml:space="preserve">(PLAC and PPEA) </w:t>
      </w:r>
      <w:r w:rsidR="0065253E" w:rsidRPr="00836EC2">
        <w:t xml:space="preserve">species </w:t>
      </w:r>
      <w:r w:rsidR="00D67ACD" w:rsidRPr="00836EC2">
        <w:t xml:space="preserve">were unable to consistently reseed from year-to-year and </w:t>
      </w:r>
      <w:r w:rsidR="003A6C15" w:rsidRPr="00836EC2">
        <w:t xml:space="preserve">therefore, did not </w:t>
      </w:r>
      <w:r w:rsidR="00D67ACD" w:rsidRPr="00836EC2">
        <w:t>persist</w:t>
      </w:r>
      <w:r w:rsidR="00EF2B2A" w:rsidRPr="00836EC2">
        <w:t>.</w:t>
      </w:r>
      <w:r w:rsidR="00D67ACD" w:rsidRPr="00836EC2">
        <w:t xml:space="preserve">  </w:t>
      </w:r>
      <w:r w:rsidR="00BF4173" w:rsidRPr="00836EC2">
        <w:t xml:space="preserve">De Cauwer and others (2005) also observed a shift in the plant community from annuals to perennials </w:t>
      </w:r>
      <w:r w:rsidR="002E12B2" w:rsidRPr="00836EC2">
        <w:t xml:space="preserve">after three years </w:t>
      </w:r>
      <w:r w:rsidR="00BF4173" w:rsidRPr="00836EC2">
        <w:t xml:space="preserve">when sowing seed mixtures of </w:t>
      </w:r>
      <w:r w:rsidR="00BF4173" w:rsidRPr="00836EC2">
        <w:rPr>
          <w:rFonts w:cs="Times New Roman"/>
        </w:rPr>
        <w:t>≥ 63 species</w:t>
      </w:r>
      <w:r w:rsidR="00BF4173" w:rsidRPr="00836EC2">
        <w:t xml:space="preserve">.  </w:t>
      </w:r>
      <w:r w:rsidRPr="00836EC2">
        <w:t xml:space="preserve">Partridge pea was the only annual to increase in plant density from 2018 to 2020 </w:t>
      </w:r>
      <w:r w:rsidR="00BE43FB" w:rsidRPr="00836EC2">
        <w:t xml:space="preserve">in the SG study.  However, this increase was </w:t>
      </w:r>
      <w:r w:rsidRPr="00836EC2">
        <w:t>negligible (0.05-0.13 plants m</w:t>
      </w:r>
      <w:r w:rsidRPr="00836EC2">
        <w:rPr>
          <w:vertAlign w:val="superscript"/>
        </w:rPr>
        <w:t>-2</w:t>
      </w:r>
      <w:r w:rsidRPr="00836EC2">
        <w:t>)</w:t>
      </w:r>
      <w:r w:rsidR="006B6C16" w:rsidRPr="00836EC2">
        <w:t xml:space="preserve"> in terms of total abundance</w:t>
      </w:r>
      <w:r w:rsidRPr="00836EC2">
        <w:t xml:space="preserve">.  </w:t>
      </w:r>
      <w:r w:rsidR="00BE43FB" w:rsidRPr="00836EC2">
        <w:t xml:space="preserve">The greatest plant density for PPEA in SG was at pre-grazing in 2019, </w:t>
      </w:r>
      <w:r w:rsidR="00411728" w:rsidRPr="00836EC2">
        <w:t>the beginning of the third</w:t>
      </w:r>
      <w:r w:rsidR="0065253E" w:rsidRPr="00836EC2">
        <w:t xml:space="preserve"> year after the initial planting</w:t>
      </w:r>
      <w:r w:rsidR="002647AC" w:rsidRPr="00836EC2">
        <w:t xml:space="preserve"> (2017).</w:t>
      </w:r>
      <w:r w:rsidR="00411728" w:rsidRPr="00836EC2">
        <w:t xml:space="preserve">  </w:t>
      </w:r>
      <w:r w:rsidR="00B42FFF" w:rsidRPr="00836EC2">
        <w:t xml:space="preserve">This could have </w:t>
      </w:r>
      <w:r w:rsidR="001A245F" w:rsidRPr="00836EC2">
        <w:t>resulted from hard or dormant seed germination.</w:t>
      </w:r>
      <w:r w:rsidR="00B42FFF" w:rsidRPr="00836EC2">
        <w:t xml:space="preserve"> </w:t>
      </w:r>
      <w:r w:rsidR="001A245F" w:rsidRPr="00836EC2">
        <w:t xml:space="preserve"> </w:t>
      </w:r>
      <w:r w:rsidR="00411728" w:rsidRPr="00836EC2">
        <w:t xml:space="preserve">This </w:t>
      </w:r>
      <w:r w:rsidR="00B42FFF" w:rsidRPr="00836EC2">
        <w:t xml:space="preserve">is not </w:t>
      </w:r>
      <w:r w:rsidR="00411728" w:rsidRPr="00836EC2">
        <w:t>consistent with results from Ashworth et al. (2015)</w:t>
      </w:r>
      <w:r w:rsidR="004B5CB6" w:rsidRPr="00836EC2">
        <w:t xml:space="preserve"> where PPEA</w:t>
      </w:r>
      <w:r w:rsidR="00B42FFF" w:rsidRPr="00836EC2">
        <w:t xml:space="preserve"> was greatest in the first year of their study.  </w:t>
      </w:r>
      <w:r w:rsidR="006E0ED8" w:rsidRPr="00836EC2">
        <w:t>Following</w:t>
      </w:r>
      <w:r w:rsidR="00B42FFF" w:rsidRPr="00836EC2">
        <w:t xml:space="preserve"> year 1</w:t>
      </w:r>
      <w:r w:rsidR="006E0ED8" w:rsidRPr="00836EC2">
        <w:t>, PPEA declined in</w:t>
      </w:r>
      <w:r w:rsidR="00B42FFF" w:rsidRPr="00836EC2">
        <w:t xml:space="preserve"> year 2 but increased from year 2 to year 3.  </w:t>
      </w:r>
      <w:r w:rsidR="00411728" w:rsidRPr="00836EC2">
        <w:t xml:space="preserve">They </w:t>
      </w:r>
      <w:r w:rsidR="00B42FFF" w:rsidRPr="00836EC2">
        <w:t>hypothesized th</w:t>
      </w:r>
      <w:r w:rsidR="00411728" w:rsidRPr="00836EC2">
        <w:t xml:space="preserve">is increase could have been </w:t>
      </w:r>
      <w:r w:rsidR="00B42FFF" w:rsidRPr="00836EC2">
        <w:t>caused by</w:t>
      </w:r>
      <w:r w:rsidR="00411728" w:rsidRPr="00836EC2">
        <w:t xml:space="preserve"> reseeding</w:t>
      </w:r>
      <w:r w:rsidR="00B42FFF" w:rsidRPr="00836EC2">
        <w:t xml:space="preserve">.  </w:t>
      </w:r>
      <w:r w:rsidRPr="00836EC2">
        <w:t>Plains coreopsis was absent in SG and b</w:t>
      </w:r>
      <w:r w:rsidR="00BA5579" w:rsidRPr="00836EC2">
        <w:t xml:space="preserve">oth </w:t>
      </w:r>
      <w:r w:rsidRPr="00836EC2">
        <w:t>PLAC and PPEA</w:t>
      </w:r>
      <w:r w:rsidR="00BA5579" w:rsidRPr="00836EC2">
        <w:t xml:space="preserve"> </w:t>
      </w:r>
      <w:r w:rsidRPr="00836EC2">
        <w:t>were absent in BBIG at the end of 2020.</w:t>
      </w:r>
    </w:p>
    <w:p w14:paraId="26C82965" w14:textId="2D9E8237" w:rsidR="00B2079A" w:rsidRPr="00836EC2" w:rsidRDefault="007C6511" w:rsidP="00CE5BBE">
      <w:pPr>
        <w:pStyle w:val="Paragraphs"/>
        <w:spacing w:after="100" w:afterAutospacing="1"/>
      </w:pPr>
      <w:r w:rsidRPr="00836EC2">
        <w:t xml:space="preserve">Out of the seven forb species that established in both </w:t>
      </w:r>
      <w:r w:rsidR="006B6C16" w:rsidRPr="00836EC2">
        <w:t>experiments</w:t>
      </w:r>
      <w:r w:rsidRPr="00836EC2">
        <w:t xml:space="preserve">, the majority </w:t>
      </w:r>
      <w:r w:rsidR="006B6C16" w:rsidRPr="00836EC2">
        <w:t>were</w:t>
      </w:r>
      <w:r w:rsidRPr="00836EC2">
        <w:t xml:space="preserve"> perennial forb species</w:t>
      </w:r>
      <w:r w:rsidR="00843CFE">
        <w:t>.</w:t>
      </w:r>
      <w:r w:rsidR="00EA17A0" w:rsidRPr="00836EC2">
        <w:t xml:space="preserve">  Dixie ticktrefoil, LANC, and OXEY were the only perennial forbs that had </w:t>
      </w:r>
      <w:r w:rsidR="00FA346C" w:rsidRPr="00836EC2">
        <w:t xml:space="preserve">a mean </w:t>
      </w:r>
      <w:r w:rsidR="00EA17A0" w:rsidRPr="00836EC2">
        <w:t>plant density &gt;5 plants m</w:t>
      </w:r>
      <w:r w:rsidR="00EA17A0" w:rsidRPr="00836EC2">
        <w:rPr>
          <w:vertAlign w:val="superscript"/>
        </w:rPr>
        <w:t>-2</w:t>
      </w:r>
      <w:r w:rsidR="00FA346C" w:rsidRPr="00836EC2">
        <w:t xml:space="preserve"> in both NWSG pastures</w:t>
      </w:r>
      <w:r w:rsidR="00EA17A0" w:rsidRPr="00836EC2">
        <w:t>.</w:t>
      </w:r>
      <w:r w:rsidR="00FA346C" w:rsidRPr="00836EC2">
        <w:t xml:space="preserve">  </w:t>
      </w:r>
      <w:r w:rsidR="000C5680">
        <w:t xml:space="preserve">Lanceleaf coreopsis ranked highest for abundance in SG and BBIG </w:t>
      </w:r>
      <w:r w:rsidR="0017317B">
        <w:t>while</w:t>
      </w:r>
      <w:r w:rsidR="000C5680">
        <w:t xml:space="preserve"> DITI </w:t>
      </w:r>
      <w:r w:rsidR="0017317B">
        <w:t xml:space="preserve">ranked second in BBIG.  </w:t>
      </w:r>
      <w:r w:rsidR="00FA346C" w:rsidRPr="00836EC2">
        <w:t xml:space="preserve">Additionally, DITI and OXEY plant densities were greatest at pre-grazing 2020. </w:t>
      </w:r>
      <w:r w:rsidR="00670CA4" w:rsidRPr="00836EC2">
        <w:t xml:space="preserve"> However, this increase in forb plant density did not overwhelm SG and BBIG.  This may be due to interseeding forbs into established NWSG stands as opposed to seeding both </w:t>
      </w:r>
      <w:r w:rsidR="00670CA4" w:rsidRPr="00836EC2">
        <w:lastRenderedPageBreak/>
        <w:t xml:space="preserve">forbs and grasses simultaneously.  Wagner (2020) </w:t>
      </w:r>
      <w:r w:rsidR="004B3001" w:rsidRPr="00836EC2">
        <w:t xml:space="preserve">reported that three NWSG species accounted for &lt; 5% of the flora at the end of the first two years following </w:t>
      </w:r>
      <w:r w:rsidR="006B6C16" w:rsidRPr="00836EC2">
        <w:t xml:space="preserve">a combined grass-forb </w:t>
      </w:r>
      <w:r w:rsidR="004B3001" w:rsidRPr="00836EC2">
        <w:t>planting</w:t>
      </w:r>
      <w:r w:rsidR="006B6C16" w:rsidRPr="00836EC2">
        <w:t xml:space="preserve"> despite</w:t>
      </w:r>
      <w:r w:rsidR="004B3001" w:rsidRPr="00836EC2">
        <w:t xml:space="preserve"> NWSG </w:t>
      </w:r>
      <w:r w:rsidR="0039361E" w:rsidRPr="00836EC2">
        <w:t>consist</w:t>
      </w:r>
      <w:r w:rsidR="006B6C16" w:rsidRPr="00836EC2">
        <w:t>ing</w:t>
      </w:r>
      <w:r w:rsidR="0039361E" w:rsidRPr="00836EC2">
        <w:t xml:space="preserve"> of </w:t>
      </w:r>
      <w:r w:rsidR="004B3001" w:rsidRPr="00836EC2">
        <w:t>70% of the 18-species seed mix.</w:t>
      </w:r>
      <w:r w:rsidR="0017317B">
        <w:t xml:space="preserve">  In both NWSG pastures, DITI, OXEY, and PCON ranked highest for persistence </w:t>
      </w:r>
      <w:r w:rsidR="00B24EF2">
        <w:t xml:space="preserve">as </w:t>
      </w:r>
      <w:r w:rsidR="0017317B">
        <w:t xml:space="preserve">they had the greatest plants at the conclusion of the studies in 2020.  Upright prairie coneflower was the only perennial that established but failed to persist through 2020. </w:t>
      </w:r>
    </w:p>
    <w:p w14:paraId="36FD587E" w14:textId="31B9F270" w:rsidR="005A27D3" w:rsidRPr="00836EC2" w:rsidRDefault="005A27D3" w:rsidP="00124C0D">
      <w:pPr>
        <w:pStyle w:val="Heading2"/>
        <w:rPr>
          <w:rFonts w:eastAsia="Calibri"/>
        </w:rPr>
      </w:pPr>
      <w:bookmarkStart w:id="160" w:name="_Toc72026058"/>
      <w:bookmarkStart w:id="161" w:name="_Toc72269029"/>
      <w:bookmarkStart w:id="162" w:name="_Toc72305419"/>
      <w:r w:rsidRPr="00836EC2">
        <w:rPr>
          <w:rFonts w:eastAsia="Calibri"/>
        </w:rPr>
        <w:t xml:space="preserve">Forage </w:t>
      </w:r>
      <w:r w:rsidR="00B22078">
        <w:rPr>
          <w:rFonts w:eastAsia="Calibri"/>
        </w:rPr>
        <w:t xml:space="preserve">Mass and </w:t>
      </w:r>
      <w:r w:rsidRPr="00836EC2">
        <w:rPr>
          <w:rFonts w:eastAsia="Calibri"/>
        </w:rPr>
        <w:t>Nutritive Value</w:t>
      </w:r>
      <w:bookmarkEnd w:id="160"/>
      <w:bookmarkEnd w:id="161"/>
      <w:bookmarkEnd w:id="162"/>
    </w:p>
    <w:p w14:paraId="74A64AAA" w14:textId="18C933F7" w:rsidR="009715A2" w:rsidRDefault="00B22078" w:rsidP="004862F5">
      <w:pPr>
        <w:pStyle w:val="Paragraphs"/>
      </w:pPr>
      <w:r>
        <w:t>When there was a difference for f</w:t>
      </w:r>
      <w:r w:rsidR="00166380" w:rsidRPr="00836EC2">
        <w:t xml:space="preserve">orage </w:t>
      </w:r>
      <w:r>
        <w:t xml:space="preserve">mass dry matter yield for </w:t>
      </w:r>
      <w:r w:rsidR="007D700E">
        <w:t>either</w:t>
      </w:r>
      <w:r w:rsidR="009715A2">
        <w:t xml:space="preserve"> forb,</w:t>
      </w:r>
      <w:r w:rsidR="007D700E">
        <w:t xml:space="preserve"> NWSG</w:t>
      </w:r>
      <w:r w:rsidR="009715A2">
        <w:t xml:space="preserve">, or total forage, no graze was always greater than no rest.  Also, because BBIG dry matter yield varied among within-season rest treatments at every sampling period, BBIG appeared to be more heavily grazed than SG.  Stocking proportional to carrying capacity was lower for SG than for BBIG.  Evidence for this </w:t>
      </w:r>
      <w:r w:rsidR="00F11F00">
        <w:t xml:space="preserve">is borne out from the fact </w:t>
      </w:r>
      <w:r w:rsidR="009715A2">
        <w:t xml:space="preserve"> that within-season rest treatments </w:t>
      </w:r>
      <w:r w:rsidR="00F11F00">
        <w:t xml:space="preserve">only </w:t>
      </w:r>
      <w:r w:rsidR="009715A2">
        <w:t>differed for SG on 20 August</w:t>
      </w:r>
      <w:r w:rsidR="00F11F00">
        <w:t>, the final sampling period which followed the grazing season.</w:t>
      </w:r>
      <w:r w:rsidR="009715A2">
        <w:t xml:space="preserve">  </w:t>
      </w:r>
    </w:p>
    <w:p w14:paraId="6DB365C8" w14:textId="57B277AF" w:rsidR="00A068E5" w:rsidRPr="00836EC2" w:rsidRDefault="002B6D24" w:rsidP="004862F5">
      <w:pPr>
        <w:pStyle w:val="Paragraphs"/>
      </w:pPr>
      <w:r w:rsidRPr="00836EC2">
        <w:t>In 2019, when there was a difference for nutritive value estimates at a specific sampling period, no graze was always worse than no rest.</w:t>
      </w:r>
      <w:r w:rsidR="00444682" w:rsidRPr="00836EC2">
        <w:t xml:space="preserve">  McIntosh </w:t>
      </w:r>
      <w:r w:rsidR="00943234">
        <w:t>et al.</w:t>
      </w:r>
      <w:r w:rsidR="00444682" w:rsidRPr="00836EC2">
        <w:t xml:space="preserve"> </w:t>
      </w:r>
      <w:r w:rsidR="00D47A8C" w:rsidRPr="00836EC2">
        <w:t>(</w:t>
      </w:r>
      <w:r w:rsidR="00444682" w:rsidRPr="00836EC2">
        <w:t>2016</w:t>
      </w:r>
      <w:r w:rsidR="00D47A8C" w:rsidRPr="00836EC2">
        <w:t>)</w:t>
      </w:r>
      <w:r w:rsidR="00444682" w:rsidRPr="00836EC2">
        <w:t xml:space="preserve"> reported greater ADF and NDF </w:t>
      </w:r>
      <w:r w:rsidR="0000324A" w:rsidRPr="00836EC2">
        <w:t>when SG was harvested at the end of the growing season for biomass v</w:t>
      </w:r>
      <w:r w:rsidR="0012546E" w:rsidRPr="00836EC2">
        <w:t>s</w:t>
      </w:r>
      <w:r w:rsidR="0000324A" w:rsidRPr="00836EC2">
        <w:t xml:space="preserve">. </w:t>
      </w:r>
      <w:r w:rsidR="00444682" w:rsidRPr="00836EC2">
        <w:t xml:space="preserve">plots harvested </w:t>
      </w:r>
      <w:r w:rsidR="0012546E" w:rsidRPr="00836EC2">
        <w:t xml:space="preserve">previously during </w:t>
      </w:r>
      <w:r w:rsidR="0000324A" w:rsidRPr="00836EC2">
        <w:t xml:space="preserve">the growing </w:t>
      </w:r>
      <w:r w:rsidR="00D47A8C" w:rsidRPr="00836EC2">
        <w:t xml:space="preserve">season.  This </w:t>
      </w:r>
      <w:r w:rsidR="0094614A" w:rsidRPr="00836EC2">
        <w:t>contrast in</w:t>
      </w:r>
      <w:r w:rsidR="00D47A8C" w:rsidRPr="00836EC2">
        <w:t xml:space="preserve"> maturity is comparable to not grazing v</w:t>
      </w:r>
      <w:r w:rsidR="0012546E" w:rsidRPr="00836EC2">
        <w:t>s</w:t>
      </w:r>
      <w:r w:rsidR="00D47A8C" w:rsidRPr="00836EC2">
        <w:t>. grazing.</w:t>
      </w:r>
    </w:p>
    <w:p w14:paraId="424E4E33" w14:textId="34F654D1" w:rsidR="00166380" w:rsidRPr="00836EC2" w:rsidRDefault="00166380" w:rsidP="005B05EC">
      <w:pPr>
        <w:pStyle w:val="Paragraphs"/>
        <w:spacing w:after="100" w:afterAutospacing="1"/>
      </w:pPr>
      <w:r w:rsidRPr="00836EC2">
        <w:t>Literature on forage nutritive value of native forb</w:t>
      </w:r>
      <w:r w:rsidR="00E81204" w:rsidRPr="00836EC2">
        <w:t>:</w:t>
      </w:r>
      <w:r w:rsidRPr="00836EC2">
        <w:t xml:space="preserve">grass mixtures </w:t>
      </w:r>
      <w:r w:rsidR="00E81204" w:rsidRPr="00836EC2">
        <w:t xml:space="preserve">in the Eastern U.S. </w:t>
      </w:r>
      <w:r w:rsidRPr="00836EC2">
        <w:t xml:space="preserve">is lacking.  </w:t>
      </w:r>
      <w:r w:rsidR="00FC1A39" w:rsidRPr="00836EC2">
        <w:t xml:space="preserve">Bonin and Tracy (2011) broadcast seeded a 10-native prairie species (five perennial grasses and five forbs, three of which were legumes) mixture into a small </w:t>
      </w:r>
      <w:r w:rsidR="00FC1A39" w:rsidRPr="00836EC2">
        <w:lastRenderedPageBreak/>
        <w:t>plot study for forage nutritive value analysis in Virginia.  Four out of five of the forbs used were also utilized in the current study.  When analyzing species separately, the</w:t>
      </w:r>
      <w:r w:rsidR="006C5226">
        <w:t xml:space="preserve">y </w:t>
      </w:r>
      <w:r w:rsidR="00FC1A39" w:rsidRPr="00836EC2">
        <w:t xml:space="preserve">reported CP for all ten species </w:t>
      </w:r>
      <w:r w:rsidR="006002CB" w:rsidRPr="00836EC2">
        <w:t xml:space="preserve">was similar or above 6 to 7%, noting this as the minimum for non-lactating beef cattle.  However, all </w:t>
      </w:r>
      <w:r w:rsidR="006C5226">
        <w:t xml:space="preserve">of their </w:t>
      </w:r>
      <w:r w:rsidR="006002CB" w:rsidRPr="00836EC2">
        <w:t>samples were harvested in August at mature growth stage</w:t>
      </w:r>
      <w:r w:rsidR="000A7EE3" w:rsidRPr="00836EC2">
        <w:t>s.</w:t>
      </w:r>
      <w:r w:rsidR="006002CB" w:rsidRPr="00836EC2">
        <w:t xml:space="preserve">  </w:t>
      </w:r>
      <w:r w:rsidR="006B60AC" w:rsidRPr="00836EC2">
        <w:t xml:space="preserve">All CP values </w:t>
      </w:r>
      <w:r w:rsidR="0094614A" w:rsidRPr="00836EC2">
        <w:t xml:space="preserve">of mixed swards </w:t>
      </w:r>
      <w:r w:rsidR="006B60AC" w:rsidRPr="00836EC2">
        <w:t xml:space="preserve">in the current </w:t>
      </w:r>
      <w:r w:rsidR="0094614A" w:rsidRPr="00836EC2">
        <w:t xml:space="preserve">experiments </w:t>
      </w:r>
      <w:r w:rsidR="00CC79B6" w:rsidRPr="00836EC2">
        <w:t>exceeded</w:t>
      </w:r>
      <w:r w:rsidR="006B60AC" w:rsidRPr="00836EC2">
        <w:t xml:space="preserve"> this minimum requirement.  </w:t>
      </w:r>
    </w:p>
    <w:p w14:paraId="11A621ED" w14:textId="52C54A38" w:rsidR="00A068E5" w:rsidRPr="00836EC2" w:rsidRDefault="00A068E5" w:rsidP="00124C0D">
      <w:pPr>
        <w:pStyle w:val="Heading2"/>
        <w:rPr>
          <w:rFonts w:eastAsia="Calibri"/>
        </w:rPr>
      </w:pPr>
      <w:bookmarkStart w:id="163" w:name="_Toc72026059"/>
      <w:bookmarkStart w:id="164" w:name="_Toc72305420"/>
      <w:r w:rsidRPr="00836EC2">
        <w:rPr>
          <w:rFonts w:eastAsia="Calibri"/>
        </w:rPr>
        <w:t>Native Forb Flowering</w:t>
      </w:r>
      <w:bookmarkEnd w:id="163"/>
      <w:bookmarkEnd w:id="164"/>
    </w:p>
    <w:p w14:paraId="1F29DFEA" w14:textId="68C43C7C" w:rsidR="00EE0879" w:rsidRPr="005A302D" w:rsidRDefault="006D75AA" w:rsidP="005B05EC">
      <w:pPr>
        <w:pStyle w:val="Paragraphs"/>
        <w:spacing w:after="100" w:afterAutospacing="1"/>
      </w:pPr>
      <w:r w:rsidRPr="00836EC2">
        <w:t xml:space="preserve">Native forbs flowered throughout the duration of the grazing season.  </w:t>
      </w:r>
      <w:r w:rsidR="005E42C8" w:rsidRPr="00836EC2">
        <w:t xml:space="preserve">Native forb flowering percentage was not influenced </w:t>
      </w:r>
      <w:r w:rsidR="00AE57E2" w:rsidRPr="00836EC2">
        <w:t xml:space="preserve">by grazing </w:t>
      </w:r>
      <w:r w:rsidR="00BC7E04" w:rsidRPr="00836EC2">
        <w:t>t</w:t>
      </w:r>
      <w:r w:rsidR="00AE57E2" w:rsidRPr="00836EC2">
        <w:t>reatments in BBIG.</w:t>
      </w:r>
      <w:r w:rsidR="000718A1" w:rsidRPr="00836EC2">
        <w:t xml:space="preserve">  For SG, July/August was the only sampling period where flowering percentage was affected by grazing treatments</w:t>
      </w:r>
      <w:r w:rsidRPr="00836EC2">
        <w:t xml:space="preserve"> with no rest having the lowest flowering percentage.</w:t>
      </w:r>
      <w:r w:rsidR="000718A1" w:rsidRPr="00836EC2">
        <w:t xml:space="preserve">  </w:t>
      </w:r>
      <w:r w:rsidR="00B24EF2">
        <w:t>With the exception of</w:t>
      </w:r>
      <w:r w:rsidR="000718A1" w:rsidRPr="00836EC2">
        <w:t xml:space="preserve"> this sampling period, both SG and BBIG pastures had similar flowering percentages for all other periods.  May had</w:t>
      </w:r>
      <w:r w:rsidR="00104770" w:rsidRPr="00836EC2">
        <w:t xml:space="preserve"> a</w:t>
      </w:r>
      <w:r w:rsidR="000718A1" w:rsidRPr="00836EC2">
        <w:t xml:space="preserve"> low percentage of flowering warm-season forbs in both pastures (&lt;6.8% SG and &lt;5.7% BBIG).  At this period LANC </w:t>
      </w:r>
      <w:r w:rsidR="00526B04" w:rsidRPr="00836EC2">
        <w:t>was the most prolific flowering</w:t>
      </w:r>
      <w:r w:rsidR="00635AC1" w:rsidRPr="00836EC2">
        <w:t xml:space="preserve"> </w:t>
      </w:r>
      <w:r w:rsidR="005E42C8" w:rsidRPr="00836EC2">
        <w:t>forb</w:t>
      </w:r>
      <w:r w:rsidR="00635AC1" w:rsidRPr="00836EC2">
        <w:t xml:space="preserve">.  This was expected since LANC flowers from April-June (USDA-NRCS, 2002).  </w:t>
      </w:r>
      <w:r w:rsidRPr="00836EC2">
        <w:t xml:space="preserve">Between June and post-grazing sampling periods, flowering percentage ranged from 40.4-88.9% for BBIG and 33.3-76.9% for SG (excluding no rest in July/August for SG).  </w:t>
      </w:r>
      <w:r w:rsidR="00270C62" w:rsidRPr="00836EC2">
        <w:t>Flowering during this</w:t>
      </w:r>
      <w:r w:rsidR="00F002BF" w:rsidRPr="00836EC2">
        <w:t xml:space="preserve"> time </w:t>
      </w:r>
      <w:r w:rsidR="00270C62" w:rsidRPr="00836EC2">
        <w:t>of year</w:t>
      </w:r>
      <w:r w:rsidR="00F002BF" w:rsidRPr="00836EC2">
        <w:t xml:space="preserve"> is important for pollinator species since other sources of nectar and pollen are deficient (Wagner, 2020).  </w:t>
      </w:r>
      <w:r w:rsidR="004A1D30" w:rsidRPr="00836EC2">
        <w:t>Tuell et al. (200</w:t>
      </w:r>
      <w:r w:rsidR="004A296D" w:rsidRPr="00836EC2">
        <w:t>8</w:t>
      </w:r>
      <w:r w:rsidR="004A1D30" w:rsidRPr="00836EC2">
        <w:t>) note</w:t>
      </w:r>
      <w:r w:rsidR="004A296D" w:rsidRPr="00836EC2">
        <w:t>d that bees could benefit from pollinator conservation projects</w:t>
      </w:r>
      <w:r w:rsidR="004A296D">
        <w:t xml:space="preserve"> </w:t>
      </w:r>
      <w:r w:rsidR="00002C33">
        <w:t>that include</w:t>
      </w:r>
      <w:r w:rsidR="004A296D">
        <w:t xml:space="preserve"> native perennial species with multiple bloom periods.  </w:t>
      </w:r>
      <w:r w:rsidR="00090B9A" w:rsidRPr="005A302D">
        <w:t xml:space="preserve">Besides PPCL, which never established, </w:t>
      </w:r>
      <w:r w:rsidR="005C4B11">
        <w:t xml:space="preserve">ILBF </w:t>
      </w:r>
      <w:r w:rsidR="00FA0DA2">
        <w:t>had</w:t>
      </w:r>
      <w:r w:rsidR="00090B9A" w:rsidRPr="005A302D">
        <w:t xml:space="preserve"> the l</w:t>
      </w:r>
      <w:r w:rsidR="00FA0DA2">
        <w:t>east frequent</w:t>
      </w:r>
      <w:r w:rsidR="00090B9A" w:rsidRPr="005A302D">
        <w:t xml:space="preserve"> flowering.  Illinois bundleflower was only </w:t>
      </w:r>
      <w:r w:rsidR="00090B9A" w:rsidRPr="005A302D">
        <w:lastRenderedPageBreak/>
        <w:t>observed flowering once within either study across both years.</w:t>
      </w:r>
      <w:r w:rsidR="005C4B11">
        <w:t xml:space="preserve">  Also, </w:t>
      </w:r>
      <w:r w:rsidR="001B1C6F">
        <w:t xml:space="preserve">this low flowering observation could have been </w:t>
      </w:r>
      <w:r w:rsidR="00002C33">
        <w:t>due to the fact that</w:t>
      </w:r>
      <w:r w:rsidR="001B1C6F">
        <w:t xml:space="preserve"> </w:t>
      </w:r>
      <w:r w:rsidR="005C4B11">
        <w:t>ILBF had</w:t>
      </w:r>
      <w:r w:rsidR="001B1C6F">
        <w:t xml:space="preserve"> an average of </w:t>
      </w:r>
      <w:r w:rsidR="00002C33">
        <w:t xml:space="preserve">only </w:t>
      </w:r>
      <w:r w:rsidR="001B1C6F">
        <w:t>0.08 plants m</w:t>
      </w:r>
      <w:r w:rsidR="001B1C6F" w:rsidRPr="001B1C6F">
        <w:rPr>
          <w:vertAlign w:val="superscript"/>
        </w:rPr>
        <w:t>-2</w:t>
      </w:r>
      <w:r w:rsidR="001B1C6F">
        <w:t xml:space="preserve"> across pre- and post-grazing sampling periods and both NWSG grasses.  Berg (1990) reported that ILBF was heavily grazed by cattle in Oklahoma.  Cattle may preferentially graze ILBF thus decreasing plant density and ultimately flowering percentage.</w:t>
      </w:r>
      <w:r w:rsidR="0017317B">
        <w:t xml:space="preserve">  Based on bloom observations, LANC and PCON had the longest flowering period in SG and while PCON had the longest in BBIG. However, MAXI ranked highest in both SG and BBIG for bloom abundance.</w:t>
      </w:r>
      <w:r w:rsidR="001B1C6F">
        <w:t xml:space="preserve"> </w:t>
      </w:r>
    </w:p>
    <w:p w14:paraId="631D22BE" w14:textId="07C2C685" w:rsidR="007F3EC2" w:rsidRPr="005A302D" w:rsidRDefault="0053739A" w:rsidP="00124C0D">
      <w:pPr>
        <w:pStyle w:val="Heading2"/>
      </w:pPr>
      <w:bookmarkStart w:id="165" w:name="_Toc72026060"/>
      <w:bookmarkStart w:id="166" w:name="_Toc72305421"/>
      <w:r w:rsidRPr="005A302D">
        <w:t>Steer performance</w:t>
      </w:r>
      <w:bookmarkEnd w:id="165"/>
      <w:bookmarkEnd w:id="166"/>
    </w:p>
    <w:p w14:paraId="5838B383" w14:textId="0B6BAD2B" w:rsidR="007F3EC2" w:rsidRPr="005A302D" w:rsidRDefault="004E6C65" w:rsidP="005B0E77">
      <w:pPr>
        <w:pStyle w:val="Paragraphs"/>
        <w:spacing w:after="100" w:afterAutospacing="1"/>
      </w:pPr>
      <w:r>
        <w:t>S</w:t>
      </w:r>
      <w:r w:rsidR="0053739A" w:rsidRPr="005A302D">
        <w:t>teer ADG</w:t>
      </w:r>
      <w:r>
        <w:t xml:space="preserve"> and pasture productivity (</w:t>
      </w:r>
      <w:r w:rsidR="0053739A" w:rsidRPr="005A302D">
        <w:t>AD and GAIN</w:t>
      </w:r>
      <w:r>
        <w:t xml:space="preserve">) appeared to be comparable </w:t>
      </w:r>
      <w:r w:rsidR="0053739A" w:rsidRPr="005A302D">
        <w:t xml:space="preserve">to </w:t>
      </w:r>
      <w:r>
        <w:t xml:space="preserve">those </w:t>
      </w:r>
      <w:r w:rsidR="0053739A" w:rsidRPr="005A302D">
        <w:t>re</w:t>
      </w:r>
      <w:r>
        <w:t xml:space="preserve">ported </w:t>
      </w:r>
      <w:r w:rsidR="006B1A2B" w:rsidRPr="005A302D">
        <w:t xml:space="preserve">by </w:t>
      </w:r>
      <w:r w:rsidR="0053739A" w:rsidRPr="005A302D">
        <w:t>other</w:t>
      </w:r>
      <w:r w:rsidR="006B1A2B" w:rsidRPr="005A302D">
        <w:t xml:space="preserve"> researchers.</w:t>
      </w:r>
      <w:r w:rsidR="0053739A" w:rsidRPr="005A302D">
        <w:t xml:space="preserve">  </w:t>
      </w:r>
      <w:r w:rsidR="00E3734E" w:rsidRPr="005A302D">
        <w:t>Average daily gain of steers (0.89 kg d</w:t>
      </w:r>
      <w:r w:rsidR="00E3734E" w:rsidRPr="005A302D">
        <w:rPr>
          <w:vertAlign w:val="superscript"/>
        </w:rPr>
        <w:t>-1</w:t>
      </w:r>
      <w:r w:rsidR="00E3734E" w:rsidRPr="005A302D">
        <w:t xml:space="preserve"> for SG</w:t>
      </w:r>
      <w:r w:rsidR="00E3734E">
        <w:t xml:space="preserve"> </w:t>
      </w:r>
      <w:r w:rsidR="00E3734E" w:rsidRPr="005A302D">
        <w:t>across all treatments and all years</w:t>
      </w:r>
      <w:r w:rsidR="00E3734E">
        <w:t xml:space="preserve">) was comparable to those from </w:t>
      </w:r>
      <w:r w:rsidR="00E3734E" w:rsidRPr="005A302D">
        <w:t>past studies</w:t>
      </w:r>
      <w:r w:rsidR="00E3734E">
        <w:t>,</w:t>
      </w:r>
      <w:r w:rsidR="00E3734E" w:rsidRPr="005A302D">
        <w:t xml:space="preserve"> 0.83-1.05 (Mosali et al., 2013), 0.91 (Burns </w:t>
      </w:r>
      <w:r w:rsidR="00E3734E">
        <w:t>&amp;</w:t>
      </w:r>
      <w:r w:rsidR="00E3734E" w:rsidRPr="005A302D">
        <w:t xml:space="preserve"> Fisher, 2013), 0.93 (Krueger </w:t>
      </w:r>
      <w:r w:rsidR="00E3734E">
        <w:t>&amp;</w:t>
      </w:r>
      <w:r w:rsidR="00E3734E" w:rsidRPr="005A302D">
        <w:t xml:space="preserve"> Curtis, 1979) and 0.96-1.07 (Burns et al., 1984) kg d</w:t>
      </w:r>
      <w:r w:rsidR="00E3734E" w:rsidRPr="005A302D">
        <w:rPr>
          <w:vertAlign w:val="superscript"/>
        </w:rPr>
        <w:t>-1</w:t>
      </w:r>
      <w:r w:rsidR="00E3734E" w:rsidRPr="005A302D">
        <w:t>.  In Tennessee</w:t>
      </w:r>
      <w:r w:rsidR="00E3734E">
        <w:t>,</w:t>
      </w:r>
      <w:r w:rsidR="00E3734E" w:rsidRPr="005A302D">
        <w:t xml:space="preserve"> researchers found ADG of 0.82 and 0.96 kg d</w:t>
      </w:r>
      <w:r w:rsidR="00E3734E" w:rsidRPr="005A302D">
        <w:rPr>
          <w:vertAlign w:val="superscript"/>
        </w:rPr>
        <w:t>-1</w:t>
      </w:r>
      <w:r w:rsidR="00E3734E" w:rsidRPr="005A302D">
        <w:t xml:space="preserve"> (Backus et al., 2017) for steers grazing BBIG blend pastures at two different sites</w:t>
      </w:r>
      <w:r w:rsidR="00E3734E">
        <w:t>, generally similar to the 0.83 kg d</w:t>
      </w:r>
      <w:r w:rsidR="00E3734E" w:rsidRPr="00001125">
        <w:rPr>
          <w:vertAlign w:val="superscript"/>
        </w:rPr>
        <w:t>-1</w:t>
      </w:r>
      <w:r w:rsidR="00E3734E">
        <w:t xml:space="preserve"> for BBIG in the current study</w:t>
      </w:r>
      <w:r w:rsidR="00E3734E" w:rsidRPr="005A302D">
        <w:t>.</w:t>
      </w:r>
      <w:r w:rsidR="00E3734E">
        <w:t xml:space="preserve">  </w:t>
      </w:r>
      <w:r w:rsidR="0053739A" w:rsidRPr="005A302D">
        <w:t>Animal grazing days</w:t>
      </w:r>
      <w:r w:rsidR="006B1A2B" w:rsidRPr="005A302D">
        <w:t xml:space="preserve"> </w:t>
      </w:r>
      <w:r>
        <w:t>ha</w:t>
      </w:r>
      <w:r w:rsidRPr="004E6C65">
        <w:rPr>
          <w:vertAlign w:val="superscript"/>
        </w:rPr>
        <w:t>-1</w:t>
      </w:r>
      <w:r>
        <w:t xml:space="preserve"> </w:t>
      </w:r>
      <w:r w:rsidR="006B1A2B" w:rsidRPr="005A302D">
        <w:t>for SG</w:t>
      </w:r>
      <w:r w:rsidR="00E3734E">
        <w:t xml:space="preserve"> and BBIG </w:t>
      </w:r>
      <w:r w:rsidR="006B1A2B" w:rsidRPr="005A302D">
        <w:t xml:space="preserve"> </w:t>
      </w:r>
      <w:r w:rsidR="005656B2" w:rsidRPr="005A302D">
        <w:t>average</w:t>
      </w:r>
      <w:r>
        <w:t>d</w:t>
      </w:r>
      <w:r w:rsidR="005656B2" w:rsidRPr="005A302D">
        <w:t xml:space="preserve"> 346</w:t>
      </w:r>
      <w:r w:rsidR="00E3734E">
        <w:t xml:space="preserve"> and 351d ha</w:t>
      </w:r>
      <w:r w:rsidR="00E3734E" w:rsidRPr="009412BF">
        <w:rPr>
          <w:vertAlign w:val="superscript"/>
        </w:rPr>
        <w:t>-1</w:t>
      </w:r>
      <w:r w:rsidR="00E3734E">
        <w:t>, respectively,</w:t>
      </w:r>
      <w:r w:rsidR="005656B2" w:rsidRPr="005A302D">
        <w:t xml:space="preserve"> </w:t>
      </w:r>
      <w:r w:rsidR="0053739A" w:rsidRPr="005A302D">
        <w:t>across all treatments and all three years.  Keyser and others (2016</w:t>
      </w:r>
      <w:r w:rsidR="00254B1F" w:rsidRPr="005A302D">
        <w:t xml:space="preserve">) reported </w:t>
      </w:r>
      <w:r w:rsidR="00E3734E">
        <w:t xml:space="preserve">lower </w:t>
      </w:r>
      <w:r w:rsidR="00254B1F" w:rsidRPr="005A302D">
        <w:t xml:space="preserve">AD </w:t>
      </w:r>
      <w:r w:rsidR="00002C33">
        <w:t>for</w:t>
      </w:r>
      <w:r>
        <w:t xml:space="preserve"> heifers </w:t>
      </w:r>
      <w:r w:rsidR="00254B1F" w:rsidRPr="005A302D">
        <w:t>ranging from 222-330 d ha</w:t>
      </w:r>
      <w:r w:rsidR="00254B1F" w:rsidRPr="005A302D">
        <w:rPr>
          <w:vertAlign w:val="superscript"/>
        </w:rPr>
        <w:t>-1</w:t>
      </w:r>
      <w:r w:rsidR="00254B1F" w:rsidRPr="005A302D">
        <w:t xml:space="preserve"> when grazing SG </w:t>
      </w:r>
      <w:r w:rsidR="00E3734E">
        <w:t>with</w:t>
      </w:r>
      <w:r w:rsidR="00254B1F" w:rsidRPr="005A302D">
        <w:t xml:space="preserve"> red clover </w:t>
      </w:r>
      <w:r w:rsidR="00E3734E">
        <w:t>and 162-240 d ha</w:t>
      </w:r>
      <w:r w:rsidR="00E3734E" w:rsidRPr="00E3734E">
        <w:rPr>
          <w:vertAlign w:val="superscript"/>
        </w:rPr>
        <w:t>-1</w:t>
      </w:r>
      <w:r w:rsidR="00E3734E">
        <w:t xml:space="preserve"> BBIG with red clover </w:t>
      </w:r>
      <w:r w:rsidR="00254B1F" w:rsidRPr="005A302D">
        <w:t xml:space="preserve">for three years.  </w:t>
      </w:r>
      <w:r w:rsidR="00E3734E" w:rsidRPr="005A302D">
        <w:t xml:space="preserve">Total gain of steers grazing SG </w:t>
      </w:r>
      <w:r w:rsidR="00E3734E">
        <w:t xml:space="preserve">and BBIG </w:t>
      </w:r>
      <w:r w:rsidR="00E3734E" w:rsidRPr="005A302D">
        <w:t>average</w:t>
      </w:r>
      <w:r w:rsidR="00E3734E">
        <w:t>d</w:t>
      </w:r>
      <w:r w:rsidR="00E3734E" w:rsidRPr="005A302D">
        <w:t xml:space="preserve"> 312 </w:t>
      </w:r>
      <w:r w:rsidR="00E3734E">
        <w:t xml:space="preserve">and 287 </w:t>
      </w:r>
      <w:r w:rsidR="00E3734E" w:rsidRPr="005A302D">
        <w:t>kg ha</w:t>
      </w:r>
      <w:r w:rsidR="00E3734E" w:rsidRPr="005A302D">
        <w:rPr>
          <w:vertAlign w:val="superscript"/>
        </w:rPr>
        <w:t>-1</w:t>
      </w:r>
      <w:r w:rsidR="00E3734E">
        <w:t>, respectively,</w:t>
      </w:r>
      <w:r w:rsidR="00E3734E" w:rsidRPr="005A302D">
        <w:t xml:space="preserve"> across all grazing treatments and three years of the studies.  Backus et al. (2017) reported GAIN of steers to be 299 and 489 kg ha</w:t>
      </w:r>
      <w:r w:rsidR="00E3734E" w:rsidRPr="005A302D">
        <w:rPr>
          <w:vertAlign w:val="superscript"/>
        </w:rPr>
        <w:t>-1</w:t>
      </w:r>
      <w:r w:rsidR="00E3734E" w:rsidRPr="005A302D">
        <w:t xml:space="preserve"> for SG and 257 </w:t>
      </w:r>
      <w:r w:rsidR="00E3734E" w:rsidRPr="005A302D">
        <w:lastRenderedPageBreak/>
        <w:t>and 415 kg ha</w:t>
      </w:r>
      <w:r w:rsidR="00E3734E" w:rsidRPr="005A302D">
        <w:rPr>
          <w:vertAlign w:val="superscript"/>
        </w:rPr>
        <w:t>-1</w:t>
      </w:r>
      <w:r w:rsidR="00E3734E" w:rsidRPr="005A302D">
        <w:t xml:space="preserve"> for BBIG at two different sites.  Other researchers reported GAIN of 146 (Krueger </w:t>
      </w:r>
      <w:r w:rsidR="00E3734E">
        <w:t>&amp;</w:t>
      </w:r>
      <w:r w:rsidR="00E3734E" w:rsidRPr="005A302D">
        <w:t xml:space="preserve"> Curtis, 1979) and 839 kg ha</w:t>
      </w:r>
      <w:r w:rsidR="00E3734E" w:rsidRPr="005A302D">
        <w:rPr>
          <w:vertAlign w:val="superscript"/>
        </w:rPr>
        <w:t>-1</w:t>
      </w:r>
      <w:r w:rsidR="00E3734E" w:rsidRPr="005A302D">
        <w:t xml:space="preserve"> (Burns </w:t>
      </w:r>
      <w:r w:rsidR="00E3734E">
        <w:t>&amp;</w:t>
      </w:r>
      <w:r w:rsidR="00E3734E" w:rsidRPr="005A302D">
        <w:t xml:space="preserve"> Fisher, 2013).</w:t>
      </w:r>
      <w:r w:rsidR="00E3734E">
        <w:t xml:space="preserve">  Based on these results, </w:t>
      </w:r>
      <w:r w:rsidR="009412BF">
        <w:t>incorporating forbs had no apparent detrimental effect on animal performance or pasture productivity.</w:t>
      </w:r>
    </w:p>
    <w:p w14:paraId="19601DA7" w14:textId="48B07227" w:rsidR="002D4AC3" w:rsidRPr="005A302D" w:rsidRDefault="0082228A" w:rsidP="002D4AC3">
      <w:pPr>
        <w:pStyle w:val="AgronomyJournalSectionTitles"/>
      </w:pPr>
      <w:bookmarkStart w:id="167" w:name="_Toc72026061"/>
      <w:bookmarkStart w:id="168" w:name="_Toc72305422"/>
      <w:r>
        <w:t>CONCLUSION</w:t>
      </w:r>
      <w:bookmarkEnd w:id="167"/>
      <w:r w:rsidR="00943A28">
        <w:t>S</w:t>
      </w:r>
      <w:bookmarkEnd w:id="168"/>
    </w:p>
    <w:p w14:paraId="14B619F4" w14:textId="3CDEFE3F" w:rsidR="00474824" w:rsidRDefault="002D4AC3" w:rsidP="002D4AC3">
      <w:pPr>
        <w:pStyle w:val="Paragraphs"/>
      </w:pPr>
      <w:r w:rsidRPr="005A302D">
        <w:t xml:space="preserve">Planting native forbs into a SG or BBIG pasture is a viable option for increasing </w:t>
      </w:r>
      <w:r w:rsidR="001D586B" w:rsidRPr="005A302D">
        <w:t xml:space="preserve">plant biodiversity.  </w:t>
      </w:r>
      <w:bookmarkStart w:id="169" w:name="_Hlk68648223"/>
      <w:r w:rsidR="00362D7F">
        <w:t>D</w:t>
      </w:r>
      <w:r w:rsidR="004B5CB6">
        <w:t xml:space="preserve">uring </w:t>
      </w:r>
      <w:r w:rsidR="001D586B" w:rsidRPr="005A302D">
        <w:t xml:space="preserve">the current study, PPCL </w:t>
      </w:r>
      <w:r w:rsidR="004B5CB6">
        <w:t>never established while ILB</w:t>
      </w:r>
      <w:r w:rsidR="005C4B11">
        <w:t>F</w:t>
      </w:r>
      <w:r w:rsidR="004B5CB6">
        <w:t xml:space="preserve"> was </w:t>
      </w:r>
      <w:r w:rsidR="00DC2294">
        <w:t>only</w:t>
      </w:r>
      <w:r w:rsidR="004B5CB6">
        <w:t xml:space="preserve"> observed flowering</w:t>
      </w:r>
      <w:r w:rsidR="00DC2294">
        <w:t xml:space="preserve"> once</w:t>
      </w:r>
      <w:r w:rsidR="00D71EC1">
        <w:t xml:space="preserve"> </w:t>
      </w:r>
      <w:r w:rsidR="00362D7F">
        <w:t>despite having been</w:t>
      </w:r>
      <w:r w:rsidR="00D71EC1">
        <w:t xml:space="preserve"> seeded at the highest rate</w:t>
      </w:r>
      <w:r w:rsidR="00362D7F">
        <w:t xml:space="preserve"> of any of the 11 forbs</w:t>
      </w:r>
      <w:r w:rsidR="004B5CB6">
        <w:t xml:space="preserve">.  </w:t>
      </w:r>
      <w:bookmarkEnd w:id="169"/>
      <w:r w:rsidR="00F5568D" w:rsidRPr="005A302D">
        <w:t>Utilizing the</w:t>
      </w:r>
      <w:r w:rsidR="001D586B" w:rsidRPr="005A302D">
        <w:t xml:space="preserve"> other </w:t>
      </w:r>
      <w:r w:rsidR="00474824">
        <w:t>nine</w:t>
      </w:r>
      <w:r w:rsidR="001D586B" w:rsidRPr="005A302D">
        <w:t xml:space="preserve"> species would </w:t>
      </w:r>
      <w:r w:rsidR="00F5568D" w:rsidRPr="005A302D">
        <w:t>allow for flowering throughout the NWSG grazing season</w:t>
      </w:r>
      <w:r w:rsidR="00DC2294">
        <w:t xml:space="preserve">. </w:t>
      </w:r>
      <w:r w:rsidR="004B5CB6">
        <w:t xml:space="preserve"> </w:t>
      </w:r>
      <w:r w:rsidR="00237100">
        <w:t>If annuals</w:t>
      </w:r>
      <w:r w:rsidR="005B0E77">
        <w:t>/biennials</w:t>
      </w:r>
      <w:r w:rsidR="00237100">
        <w:t xml:space="preserve"> are used in mixtures, incorporating PPEA and BESU would be preferable to using PLAC</w:t>
      </w:r>
      <w:r w:rsidR="002F528C">
        <w:t xml:space="preserve">.  </w:t>
      </w:r>
      <w:r w:rsidR="00DA0917">
        <w:t xml:space="preserve">Out of the legume species used, DITI had the greatest density and should be prioritized </w:t>
      </w:r>
      <w:r w:rsidR="00362D7F">
        <w:t xml:space="preserve">for diversity plantings </w:t>
      </w:r>
      <w:r w:rsidR="00DA0917">
        <w:t xml:space="preserve">based on these </w:t>
      </w:r>
      <w:r w:rsidR="0087204F">
        <w:t>experiments</w:t>
      </w:r>
      <w:r w:rsidR="00DA0917">
        <w:t>.</w:t>
      </w:r>
      <w:r w:rsidR="002F528C">
        <w:t xml:space="preserve">  Although MAXI plant density was not as </w:t>
      </w:r>
      <w:r w:rsidR="00002C33">
        <w:t xml:space="preserve">great </w:t>
      </w:r>
      <w:r w:rsidR="002F528C">
        <w:t xml:space="preserve">as other species, multiple </w:t>
      </w:r>
      <w:r w:rsidR="00BB152B">
        <w:t>blooms</w:t>
      </w:r>
      <w:r w:rsidR="002F528C">
        <w:t xml:space="preserve"> plant</w:t>
      </w:r>
      <w:r w:rsidR="002F528C" w:rsidRPr="002F528C">
        <w:rPr>
          <w:vertAlign w:val="superscript"/>
        </w:rPr>
        <w:t>-1</w:t>
      </w:r>
      <w:r w:rsidR="002F528C">
        <w:t xml:space="preserve"> were observed on a consistent basis. </w:t>
      </w:r>
      <w:r w:rsidR="005E4EAE">
        <w:t xml:space="preserve"> </w:t>
      </w:r>
      <w:r w:rsidR="00362D7F">
        <w:t xml:space="preserve">Based on </w:t>
      </w:r>
      <w:r w:rsidR="00487CBE">
        <w:t>plant abundance, persistence,</w:t>
      </w:r>
      <w:r w:rsidR="00E43975">
        <w:t xml:space="preserve"> </w:t>
      </w:r>
      <w:r w:rsidR="00AB3B9A">
        <w:t>observ</w:t>
      </w:r>
      <w:r w:rsidR="00362D7F">
        <w:t xml:space="preserve">ed </w:t>
      </w:r>
      <w:r w:rsidR="005E4EAE">
        <w:t>flowering</w:t>
      </w:r>
      <w:r w:rsidR="00AB3B9A">
        <w:t xml:space="preserve"> </w:t>
      </w:r>
      <w:r w:rsidR="001B1C6F">
        <w:t>periods</w:t>
      </w:r>
      <w:r w:rsidR="00E43975">
        <w:t>, and bloom</w:t>
      </w:r>
      <w:r w:rsidR="00AB3B9A">
        <w:t xml:space="preserve"> abundance, </w:t>
      </w:r>
      <w:bookmarkStart w:id="170" w:name="_Hlk68648568"/>
      <w:r w:rsidR="00AB3B9A">
        <w:t xml:space="preserve">interseeding a </w:t>
      </w:r>
      <w:r w:rsidR="00170D49">
        <w:t xml:space="preserve">6-species </w:t>
      </w:r>
      <w:r w:rsidR="00AB3B9A">
        <w:t xml:space="preserve">polyculture of BESU, DITI, LANC, MAXI, OXEY, and PCON </w:t>
      </w:r>
      <w:r w:rsidR="004A1D30">
        <w:t>c</w:t>
      </w:r>
      <w:r w:rsidR="00AB3B9A">
        <w:t xml:space="preserve">ould allow for plant biodiversity while </w:t>
      </w:r>
      <w:r w:rsidR="0087204F">
        <w:t>providing ample blooms</w:t>
      </w:r>
      <w:r w:rsidR="00170D49">
        <w:t xml:space="preserve"> during the NWSG grazing season.</w:t>
      </w:r>
      <w:r w:rsidR="00AB3B9A">
        <w:t xml:space="preserve"> </w:t>
      </w:r>
      <w:bookmarkEnd w:id="170"/>
    </w:p>
    <w:p w14:paraId="67C08110" w14:textId="3F7C59F7" w:rsidR="005C228F" w:rsidRDefault="00F5568D" w:rsidP="002D4AC3">
      <w:pPr>
        <w:pStyle w:val="Paragraphs"/>
        <w:sectPr w:rsidR="005C228F" w:rsidSect="00BB06E9">
          <w:pgSz w:w="12240" w:h="15840" w:code="1"/>
          <w:pgMar w:top="1440" w:right="1800" w:bottom="1872" w:left="1800" w:header="720" w:footer="1440" w:gutter="0"/>
          <w:cols w:space="720"/>
          <w:noEndnote/>
          <w:docGrid w:linePitch="360"/>
        </w:sectPr>
      </w:pPr>
      <w:r w:rsidRPr="005A302D">
        <w:t>Native WSG and forbs persisted after three years of grazing.  Increasing the number of grazers early in the grazing season</w:t>
      </w:r>
      <w:r w:rsidR="00002C33">
        <w:t>, particularly for SG,</w:t>
      </w:r>
      <w:r w:rsidRPr="005A302D">
        <w:t xml:space="preserve"> would aid in </w:t>
      </w:r>
      <w:r w:rsidR="00E30DAC" w:rsidRPr="005A302D">
        <w:t xml:space="preserve">keeping the NWSG at a manageable height that may aid in forb persistence.  However, adding grazers would also increase hoof traffic that could increase forb mortality.  Since grazing </w:t>
      </w:r>
      <w:r w:rsidR="00E30DAC" w:rsidRPr="005A302D">
        <w:lastRenderedPageBreak/>
        <w:t>treatment was not influential for forb plant density</w:t>
      </w:r>
      <w:r w:rsidR="00396E01">
        <w:t xml:space="preserve"> or </w:t>
      </w:r>
      <w:r w:rsidR="00396E01" w:rsidRPr="005A302D">
        <w:t>NWSG tiller</w:t>
      </w:r>
      <w:r w:rsidR="00066847">
        <w:t xml:space="preserve"> density</w:t>
      </w:r>
      <w:r w:rsidR="00E30DAC" w:rsidRPr="005A302D">
        <w:t>, persistenc</w:t>
      </w:r>
      <w:r w:rsidR="0087204F">
        <w:t>e of these species does not appear to require</w:t>
      </w:r>
      <w:r w:rsidR="00E30DAC" w:rsidRPr="005A302D">
        <w:t xml:space="preserve"> rotational grazing.</w:t>
      </w:r>
      <w:r w:rsidR="00E30DAC">
        <w:t xml:space="preserve">    </w:t>
      </w:r>
      <w:r>
        <w:t xml:space="preserve">  </w:t>
      </w:r>
    </w:p>
    <w:p w14:paraId="2EA1E1EE" w14:textId="77777777" w:rsidR="00012992" w:rsidRDefault="00012992" w:rsidP="00012992">
      <w:pPr>
        <w:pStyle w:val="AgronomyJournalSectionTitles"/>
      </w:pPr>
      <w:bookmarkStart w:id="171" w:name="_Toc72026062"/>
      <w:bookmarkStart w:id="172" w:name="_Hlk67416992"/>
      <w:bookmarkStart w:id="173" w:name="_Toc72305423"/>
      <w:r>
        <w:lastRenderedPageBreak/>
        <w:t>REFERENCES</w:t>
      </w:r>
      <w:bookmarkEnd w:id="171"/>
      <w:bookmarkEnd w:id="173"/>
    </w:p>
    <w:p w14:paraId="136524D5" w14:textId="77777777" w:rsidR="00012992" w:rsidRPr="006322A8" w:rsidRDefault="00012992" w:rsidP="00012992">
      <w:pPr>
        <w:pStyle w:val="ListParagraph"/>
      </w:pPr>
      <w:r w:rsidRPr="006322A8">
        <w:t>Ashworth, A.J., F.L. Allen, P.D. Keyser, D.D. Tyler, A.M. Saxton, and A.M. Taylor. 2015. Switchgrass yield and stand dynamics from legume intercropping based on seeding rate and harvest management. J. Soil Water Conserv. 70:374-384.</w:t>
      </w:r>
    </w:p>
    <w:p w14:paraId="2A42A9CA" w14:textId="77777777" w:rsidR="00012992" w:rsidRDefault="00012992" w:rsidP="00012992">
      <w:pPr>
        <w:pStyle w:val="ListParagraph"/>
      </w:pPr>
    </w:p>
    <w:p w14:paraId="5A787CE1" w14:textId="77777777" w:rsidR="00012992" w:rsidRDefault="00012992" w:rsidP="00012992">
      <w:pPr>
        <w:pStyle w:val="ListParagraph"/>
      </w:pPr>
      <w:r w:rsidRPr="006D1464">
        <w:t>Backus, W. M., J.C. Waller, G.E. Bates, C.A. Harper, A. Saxton, D.W. McIntosh, J. Birckhead, and P.D. Keyser. 2017. Management of native warm-season grasses for beef cattle and biomass production in the Mid-South USA. J. Anim. Sci. 95:3143</w:t>
      </w:r>
      <w:r>
        <w:t>-</w:t>
      </w:r>
      <w:r w:rsidRPr="006D1464">
        <w:t>3153.</w:t>
      </w:r>
    </w:p>
    <w:p w14:paraId="5B5B9D0D" w14:textId="77777777" w:rsidR="00012992" w:rsidRDefault="00012992" w:rsidP="00012992">
      <w:pPr>
        <w:pStyle w:val="ListParagraph"/>
      </w:pPr>
    </w:p>
    <w:p w14:paraId="64A4E957" w14:textId="77777777" w:rsidR="00012992" w:rsidRPr="006322A8" w:rsidRDefault="00012992" w:rsidP="00012992">
      <w:pPr>
        <w:pStyle w:val="ListParagraph"/>
      </w:pPr>
      <w:r w:rsidRPr="006322A8">
        <w:t>Ball, D.M., C.S. Hoveland, and G.D. Lacefield. 2015. Southern forages: Modern concepts for forage crop management. 5</w:t>
      </w:r>
      <w:r w:rsidRPr="007761A2">
        <w:rPr>
          <w:vertAlign w:val="superscript"/>
        </w:rPr>
        <w:t>th</w:t>
      </w:r>
      <w:r w:rsidRPr="006322A8">
        <w:t xml:space="preserve"> ed. International Plant Nutrition Institute, Peachtree Corners, GA.</w:t>
      </w:r>
    </w:p>
    <w:p w14:paraId="2598A4D8" w14:textId="77777777" w:rsidR="00012992" w:rsidRDefault="00012992" w:rsidP="00012992">
      <w:pPr>
        <w:pStyle w:val="ListParagraph"/>
      </w:pPr>
    </w:p>
    <w:p w14:paraId="6BF8BE12" w14:textId="77777777" w:rsidR="00012992" w:rsidRDefault="00012992" w:rsidP="00012992">
      <w:pPr>
        <w:pStyle w:val="ListParagraph"/>
      </w:pPr>
      <w:r w:rsidRPr="006322A8">
        <w:t>Bates, G. 1997. Tall fescue: Endophyte-infected or endophyte-free? Univ. of Tenn. Agric. Ext. Serv., Knoxville, TN. PB SP439-A.</w:t>
      </w:r>
    </w:p>
    <w:p w14:paraId="40A09CF1" w14:textId="77777777" w:rsidR="00012992" w:rsidRDefault="00012992" w:rsidP="00012992">
      <w:pPr>
        <w:pStyle w:val="ListParagraph"/>
      </w:pPr>
    </w:p>
    <w:p w14:paraId="6CB1B2AC" w14:textId="7EFBDCA9" w:rsidR="00012992" w:rsidRDefault="00012992" w:rsidP="00012992">
      <w:pPr>
        <w:pStyle w:val="ListParagraph"/>
      </w:pPr>
      <w:r>
        <w:t xml:space="preserve">Berg, W.A. 1990. Native forb establishment and persistence in a grass-forb seeding in the southern plains.  </w:t>
      </w:r>
      <w:r w:rsidRPr="001A245F">
        <w:rPr>
          <w:i/>
          <w:iCs/>
        </w:rPr>
        <w:t>In</w:t>
      </w:r>
      <w:r w:rsidRPr="001A245F">
        <w:t xml:space="preserve"> Proceedings of the 12</w:t>
      </w:r>
      <w:r w:rsidRPr="007761A2">
        <w:rPr>
          <w:vertAlign w:val="superscript"/>
        </w:rPr>
        <w:t>th</w:t>
      </w:r>
      <w:r w:rsidRPr="001A245F">
        <w:t xml:space="preserve"> North American Prairie Conference: Recapturing a Vanishing Heritage. Univ</w:t>
      </w:r>
      <w:r>
        <w:t>.</w:t>
      </w:r>
      <w:r w:rsidRPr="001A245F">
        <w:t xml:space="preserve"> N</w:t>
      </w:r>
      <w:r>
        <w:t>.</w:t>
      </w:r>
      <w:r w:rsidRPr="001A245F">
        <w:t xml:space="preserve"> Iowa, Cedar Falls, IA</w:t>
      </w:r>
      <w:r>
        <w:t xml:space="preserve">. </w:t>
      </w:r>
      <w:r w:rsidR="003D3A24" w:rsidRPr="001A245F">
        <w:t>P</w:t>
      </w:r>
      <w:r w:rsidRPr="001A245F">
        <w:t>. 179-181.</w:t>
      </w:r>
    </w:p>
    <w:p w14:paraId="6A3FFFF2" w14:textId="344AC8C5" w:rsidR="00BF3C6C" w:rsidRDefault="00BF3C6C" w:rsidP="00012992">
      <w:pPr>
        <w:pStyle w:val="ListParagraph"/>
      </w:pPr>
    </w:p>
    <w:p w14:paraId="34050FF3" w14:textId="7F5E9CA2" w:rsidR="00BF3C6C" w:rsidRPr="006322A8" w:rsidRDefault="00BF3C6C" w:rsidP="00012992">
      <w:pPr>
        <w:pStyle w:val="ListParagraph"/>
      </w:pPr>
      <w:r>
        <w:t>Blanchet, K.M., J.R. George, R.M. Gettle, D.R. Buxton, and K.J. Moore. 1995. Establishment and persistence of legumes interseeded into switchgrass. Agron. J. 87:935-941.</w:t>
      </w:r>
    </w:p>
    <w:p w14:paraId="78206A9D" w14:textId="777BE8F0" w:rsidR="00012992" w:rsidRDefault="00012992" w:rsidP="00012992">
      <w:pPr>
        <w:pStyle w:val="ListParagraph"/>
      </w:pPr>
    </w:p>
    <w:p w14:paraId="67A43559" w14:textId="655F9210" w:rsidR="009D3375" w:rsidRDefault="009D3375" w:rsidP="00012992">
      <w:pPr>
        <w:pStyle w:val="ListParagraph"/>
      </w:pPr>
      <w:r w:rsidRPr="009D3375">
        <w:t xml:space="preserve">Bonin, C.L. and Tracy, B.F. 2011. Forage yield, nutritive value, and elemental composition of ten native prairie plant species. Forage </w:t>
      </w:r>
      <w:r w:rsidR="000A7EE3">
        <w:t>and</w:t>
      </w:r>
      <w:r w:rsidRPr="009D3375">
        <w:t xml:space="preserve"> Grazinglands, 9</w:t>
      </w:r>
      <w:r>
        <w:t>:</w:t>
      </w:r>
      <w:r w:rsidRPr="009D3375">
        <w:t>1-7.</w:t>
      </w:r>
    </w:p>
    <w:p w14:paraId="1E734DB3" w14:textId="77777777" w:rsidR="00A35300" w:rsidRDefault="00A35300" w:rsidP="00012992">
      <w:pPr>
        <w:pStyle w:val="ListParagraph"/>
      </w:pPr>
    </w:p>
    <w:p w14:paraId="0EA70C3D" w14:textId="77777777" w:rsidR="00012992" w:rsidRDefault="00012992" w:rsidP="004512BF">
      <w:pPr>
        <w:pStyle w:val="ListParagraph"/>
        <w:rPr>
          <w:rStyle w:val="Hyperlink"/>
        </w:rPr>
      </w:pPr>
      <w:r>
        <w:t xml:space="preserve">Brazil, K.A., P.D. Keyser, G.E. Bates, A.M. Saxton, and E.D. Holcomb. 2020. Continuous grazing of mixed native warm-season grass in the fescue belt.  Agron. J. 1-14. Online. </w:t>
      </w:r>
      <w:hyperlink r:id="rId22" w:history="1">
        <w:r w:rsidRPr="00005863">
          <w:rPr>
            <w:rStyle w:val="Hyperlink"/>
          </w:rPr>
          <w:t>https://doi.org/10.1002/agj2.20426</w:t>
        </w:r>
      </w:hyperlink>
    </w:p>
    <w:p w14:paraId="398D35BC" w14:textId="77777777" w:rsidR="00012992" w:rsidRDefault="00012992" w:rsidP="00012992">
      <w:pPr>
        <w:pStyle w:val="ListParagraph"/>
      </w:pPr>
    </w:p>
    <w:p w14:paraId="79534243" w14:textId="77777777" w:rsidR="00012992" w:rsidRDefault="00012992" w:rsidP="00012992">
      <w:pPr>
        <w:pStyle w:val="ListParagraph"/>
      </w:pPr>
      <w:r>
        <w:t xml:space="preserve">Burns, J.C., and D.S. Fisher. 2010a. Eastern gamagrass management in the mid-Atlantic region: I. Animal performance and pasture production. Agron. J. 102:171-178. </w:t>
      </w:r>
      <w:hyperlink r:id="rId23" w:history="1">
        <w:r w:rsidRPr="00CD677A">
          <w:rPr>
            <w:rStyle w:val="Hyperlink"/>
          </w:rPr>
          <w:t>https://doi.org/10.2134/agronj2009.0265</w:t>
        </w:r>
      </w:hyperlink>
    </w:p>
    <w:p w14:paraId="0A2203CC" w14:textId="77777777" w:rsidR="00012992" w:rsidRDefault="00012992" w:rsidP="00012992">
      <w:pPr>
        <w:pStyle w:val="ListParagraph"/>
      </w:pPr>
    </w:p>
    <w:p w14:paraId="55F85B89" w14:textId="77777777" w:rsidR="00012992" w:rsidRDefault="00012992" w:rsidP="00012992">
      <w:pPr>
        <w:pStyle w:val="ListParagraph"/>
      </w:pPr>
      <w:r>
        <w:t xml:space="preserve">Burns, J.C., and D.S. Fisher. 2010b. Steer performance and pasture productivity of Caucasian bluestem at three forage masses. Agron. J. 102:834-842. </w:t>
      </w:r>
      <w:hyperlink r:id="rId24" w:history="1">
        <w:r w:rsidRPr="00916FD2">
          <w:rPr>
            <w:rStyle w:val="Hyperlink"/>
          </w:rPr>
          <w:t>https://doi.org/10.2134/agronj2009.0468</w:t>
        </w:r>
      </w:hyperlink>
    </w:p>
    <w:p w14:paraId="33DC79FA" w14:textId="77777777" w:rsidR="00012992" w:rsidRDefault="00012992" w:rsidP="00012992">
      <w:pPr>
        <w:pStyle w:val="ListParagraph"/>
      </w:pPr>
    </w:p>
    <w:p w14:paraId="2C40322E" w14:textId="77777777" w:rsidR="00012992" w:rsidRDefault="00012992" w:rsidP="00012992">
      <w:pPr>
        <w:pStyle w:val="ListParagraph"/>
      </w:pPr>
      <w:r>
        <w:t xml:space="preserve">Burns, J.C., and D.S. Fisher. 2013. Steer performance and pasture productivity among five perennial warm-season grasses. Agron. J. 105:113-123. </w:t>
      </w:r>
      <w:hyperlink r:id="rId25" w:history="1">
        <w:r w:rsidRPr="00916FD2">
          <w:rPr>
            <w:rStyle w:val="Hyperlink"/>
          </w:rPr>
          <w:t>https://doi.org/10.2134/agronj2009.0468</w:t>
        </w:r>
      </w:hyperlink>
    </w:p>
    <w:p w14:paraId="4E4C77FE" w14:textId="77777777" w:rsidR="00012992" w:rsidRPr="006322A8" w:rsidRDefault="00012992" w:rsidP="00012992">
      <w:pPr>
        <w:pStyle w:val="ListParagraph"/>
      </w:pPr>
      <w:r w:rsidRPr="006322A8">
        <w:lastRenderedPageBreak/>
        <w:t xml:space="preserve">Burns, J.C., R.D. </w:t>
      </w:r>
      <w:bookmarkStart w:id="174" w:name="_Hlk65200372"/>
      <w:r w:rsidRPr="006322A8">
        <w:t>Mochrie, and D.H. Timothy</w:t>
      </w:r>
      <w:bookmarkEnd w:id="174"/>
      <w:r w:rsidRPr="006322A8">
        <w:t>. 1984. Steer performance form two perennial Pennisetum species, switchgrass, and a fescue-‘Coastal’ bermudagrass system. Agron. J. 76:795-800.</w:t>
      </w:r>
      <w:r w:rsidRPr="00CD677A">
        <w:t xml:space="preserve"> </w:t>
      </w:r>
      <w:hyperlink r:id="rId26" w:history="1">
        <w:r w:rsidRPr="00916FD2">
          <w:rPr>
            <w:rStyle w:val="Hyperlink"/>
          </w:rPr>
          <w:t>https://doi.org/10.2134/agronj1984.00021962007600050020x</w:t>
        </w:r>
      </w:hyperlink>
    </w:p>
    <w:p w14:paraId="66A42B2E" w14:textId="77777777" w:rsidR="00012992" w:rsidRDefault="00012992" w:rsidP="00012992">
      <w:pPr>
        <w:pStyle w:val="ListParagraph"/>
      </w:pPr>
    </w:p>
    <w:p w14:paraId="431970BB" w14:textId="00A07106" w:rsidR="00012992" w:rsidRDefault="00012992" w:rsidP="00012992">
      <w:pPr>
        <w:pStyle w:val="ListParagraph"/>
      </w:pPr>
      <w:r w:rsidRPr="00590ECC">
        <w:t>Buttrey, E.K., B.W. Bean, F.T. McCollum III, R.E. Brandon, Q. Xue, and T.H. Marek. 2011. Yield, water use efficiency, and nutritive value of six warm-season perennial grasses in response to irrigation level. Online. Forage and Grazinglands. doi:10.1094/FG-2011-1021-01-RS.</w:t>
      </w:r>
    </w:p>
    <w:p w14:paraId="261C9413" w14:textId="31696CC7" w:rsidR="002E12B2" w:rsidRDefault="002E12B2" w:rsidP="00012992">
      <w:pPr>
        <w:pStyle w:val="ListParagraph"/>
      </w:pPr>
    </w:p>
    <w:p w14:paraId="347EE566" w14:textId="386D9CD3" w:rsidR="002E12B2" w:rsidRDefault="002E12B2" w:rsidP="00012992">
      <w:pPr>
        <w:pStyle w:val="ListParagraph"/>
      </w:pPr>
      <w:r w:rsidRPr="002E12B2">
        <w:t>De Cauwer, B., D. Reheul, K. D’hooghe, I. Nijs, and A. Milbau. 2005. Evolution of the vegetation of mown field margins over their first 3 years. Agric. Ecosyst. Environ.</w:t>
      </w:r>
      <w:r w:rsidR="007943B3">
        <w:t xml:space="preserve"> </w:t>
      </w:r>
      <w:r w:rsidRPr="002E12B2">
        <w:t>109:87</w:t>
      </w:r>
      <w:r>
        <w:t>-</w:t>
      </w:r>
      <w:r w:rsidRPr="002E12B2">
        <w:t>96.</w:t>
      </w:r>
    </w:p>
    <w:p w14:paraId="60261ECC" w14:textId="31785146" w:rsidR="009D1779" w:rsidRDefault="009D1779" w:rsidP="00012992">
      <w:pPr>
        <w:pStyle w:val="ListParagraph"/>
      </w:pPr>
    </w:p>
    <w:p w14:paraId="6FD2CA1C" w14:textId="1C70D090" w:rsidR="009D1779" w:rsidRDefault="009D1779" w:rsidP="00012992">
      <w:pPr>
        <w:pStyle w:val="ListParagraph"/>
      </w:pPr>
      <w:r>
        <w:t>Dwyer, D.D., P.L. Sims, and L.S. Pope. 1964. Preferences of steers for certain native and introduced forage plants. J. Range Manage. 17:83-85.</w:t>
      </w:r>
    </w:p>
    <w:p w14:paraId="759CDA17" w14:textId="30F0DFE8" w:rsidR="00553C2E" w:rsidRDefault="00553C2E" w:rsidP="00012992">
      <w:pPr>
        <w:pStyle w:val="ListParagraph"/>
      </w:pPr>
    </w:p>
    <w:p w14:paraId="6A1A0A3D" w14:textId="5C5597C5" w:rsidR="0006270F" w:rsidRDefault="0006270F" w:rsidP="0006270F">
      <w:pPr>
        <w:pStyle w:val="ListParagraph"/>
      </w:pPr>
      <w:r>
        <w:t>Fahnestock, J.T., and A.K. Knapp. 1993. Water relations and growth of tallgrass prairie forbs in response to selective herbivory by bison. Intl. J. Plant Sci. 154:432–440.</w:t>
      </w:r>
    </w:p>
    <w:p w14:paraId="3729C84A" w14:textId="77777777" w:rsidR="0006270F" w:rsidRDefault="0006270F" w:rsidP="00012992">
      <w:pPr>
        <w:pStyle w:val="ListParagraph"/>
      </w:pPr>
    </w:p>
    <w:p w14:paraId="42069ACA" w14:textId="0407B7FB" w:rsidR="00012992" w:rsidRDefault="00553C2E" w:rsidP="00012992">
      <w:pPr>
        <w:pStyle w:val="ListParagraph"/>
      </w:pPr>
      <w:r w:rsidRPr="00553C2E">
        <w:t xml:space="preserve">Frankie, G.W., R.W. Thorp, M. Schindler, J. Hernandez, B. Ertter, and M. Rizzardi. 2005. Ecological </w:t>
      </w:r>
      <w:r>
        <w:t>p</w:t>
      </w:r>
      <w:r w:rsidRPr="00553C2E">
        <w:t xml:space="preserve">atterns of </w:t>
      </w:r>
      <w:r>
        <w:t>b</w:t>
      </w:r>
      <w:r w:rsidRPr="00553C2E">
        <w:t xml:space="preserve">ees and </w:t>
      </w:r>
      <w:r>
        <w:t>t</w:t>
      </w:r>
      <w:r w:rsidRPr="00553C2E">
        <w:t xml:space="preserve">heir </w:t>
      </w:r>
      <w:r>
        <w:t>h</w:t>
      </w:r>
      <w:r w:rsidRPr="00553C2E">
        <w:t xml:space="preserve">ost </w:t>
      </w:r>
      <w:r>
        <w:t>o</w:t>
      </w:r>
      <w:r w:rsidRPr="00553C2E">
        <w:t xml:space="preserve">rnamental </w:t>
      </w:r>
      <w:r>
        <w:t>f</w:t>
      </w:r>
      <w:r w:rsidRPr="00553C2E">
        <w:t xml:space="preserve">lowers in </w:t>
      </w:r>
      <w:r>
        <w:t>t</w:t>
      </w:r>
      <w:r w:rsidRPr="00553C2E">
        <w:t>wo Northern California</w:t>
      </w:r>
      <w:r>
        <w:t xml:space="preserve"> cities</w:t>
      </w:r>
      <w:r w:rsidRPr="00553C2E">
        <w:t>. J</w:t>
      </w:r>
      <w:r>
        <w:t>.</w:t>
      </w:r>
      <w:r w:rsidRPr="00553C2E">
        <w:t xml:space="preserve"> Kansas Ento</w:t>
      </w:r>
      <w:r>
        <w:t>mol.</w:t>
      </w:r>
      <w:r w:rsidRPr="00553C2E">
        <w:t xml:space="preserve"> Soc</w:t>
      </w:r>
      <w:r>
        <w:t>. 78:227-246.</w:t>
      </w:r>
    </w:p>
    <w:p w14:paraId="3AB60ED0" w14:textId="77777777" w:rsidR="00A35300" w:rsidRDefault="00A35300" w:rsidP="00012992">
      <w:pPr>
        <w:pStyle w:val="ListParagraph"/>
      </w:pPr>
    </w:p>
    <w:p w14:paraId="126CFD98" w14:textId="77777777" w:rsidR="00012992" w:rsidRDefault="00012992" w:rsidP="00012992">
      <w:pPr>
        <w:pStyle w:val="ListParagraph"/>
      </w:pPr>
      <w:r w:rsidRPr="0083486D">
        <w:t xml:space="preserve">Harper, C.A., G.E. Bates, M.P. Hansbrough, M.J. Gudlin, J.P. Gruchy, and P.D. Keyser. 2007. </w:t>
      </w:r>
      <w:r w:rsidRPr="0083486D">
        <w:rPr>
          <w:iCs/>
        </w:rPr>
        <w:t>Native warm season grasses: Identification, establishment, and management for wildlife and forage production in the Mid-South</w:t>
      </w:r>
      <w:r w:rsidRPr="0083486D">
        <w:t>. Univ. of Tenn. Ext. Inst. of Agric., Knoxville, TN. PB 1752.</w:t>
      </w:r>
    </w:p>
    <w:p w14:paraId="7A496B42" w14:textId="77777777" w:rsidR="00012992" w:rsidRDefault="00012992" w:rsidP="00012992">
      <w:pPr>
        <w:pStyle w:val="ListParagraph"/>
      </w:pPr>
    </w:p>
    <w:p w14:paraId="6E6AFC9F" w14:textId="6F34DD6E" w:rsidR="000F5F19" w:rsidRDefault="00012992" w:rsidP="00B77F4F">
      <w:pPr>
        <w:pStyle w:val="ListParagraph"/>
      </w:pPr>
      <w:r w:rsidRPr="00E515F2">
        <w:t xml:space="preserve">Hartnett, D.C., A.A. Steuter, and K.R. Hickman. 1997. Comparative ecology of native versus introduced ungulates. </w:t>
      </w:r>
      <w:r w:rsidRPr="00E515F2">
        <w:rPr>
          <w:i/>
          <w:iCs/>
        </w:rPr>
        <w:t>In</w:t>
      </w:r>
      <w:r w:rsidRPr="00E515F2">
        <w:t xml:space="preserve"> F. Knopf et al., eds. Ecology and Conservation of Great Plains Vertebrates. </w:t>
      </w:r>
      <w:r w:rsidR="003D3A24">
        <w:t>P</w:t>
      </w:r>
      <w:r w:rsidRPr="00E515F2">
        <w:t>. 72-101</w:t>
      </w:r>
      <w:r>
        <w:t>.</w:t>
      </w:r>
      <w:r w:rsidRPr="00E515F2">
        <w:t xml:space="preserve"> New York: Springer-Verlag.</w:t>
      </w:r>
      <w:r w:rsidR="000F5F19">
        <w:t xml:space="preserve"> </w:t>
      </w:r>
    </w:p>
    <w:p w14:paraId="38D7A926" w14:textId="4480E5EE" w:rsidR="005E6D02" w:rsidRDefault="005E6D02" w:rsidP="00B77F4F">
      <w:pPr>
        <w:pStyle w:val="ListParagraph"/>
      </w:pPr>
    </w:p>
    <w:p w14:paraId="2001AE1C" w14:textId="467DEC9D" w:rsidR="005E6D02" w:rsidRDefault="005E6D02" w:rsidP="005E6D02">
      <w:pPr>
        <w:pStyle w:val="ListParagraph"/>
      </w:pPr>
      <w:r>
        <w:t xml:space="preserve">Henning, J.C. 1993. Big bluestem, </w:t>
      </w:r>
      <w:r w:rsidR="007761A2">
        <w:t>i</w:t>
      </w:r>
      <w:r w:rsidR="003D3A24">
        <w:t>ndiangrass</w:t>
      </w:r>
      <w:r>
        <w:t>, and switchgrass</w:t>
      </w:r>
      <w:r w:rsidR="00DF3D0B">
        <w:t xml:space="preserve">. </w:t>
      </w:r>
      <w:r>
        <w:t>Univ. of Missouri Ext. Publi. G4673. Columbia: Univ. of Missouri.</w:t>
      </w:r>
    </w:p>
    <w:p w14:paraId="424215CF" w14:textId="7C4B6B34" w:rsidR="0006270F" w:rsidRDefault="0006270F" w:rsidP="005E6D02">
      <w:pPr>
        <w:pStyle w:val="ListParagraph"/>
      </w:pPr>
    </w:p>
    <w:p w14:paraId="745CB541" w14:textId="1456DDA9" w:rsidR="0006270F" w:rsidRDefault="0006270F" w:rsidP="005E6D02">
      <w:pPr>
        <w:pStyle w:val="ListParagraph"/>
      </w:pPr>
      <w:r>
        <w:t xml:space="preserve">Hickman, K.R., D.C. Hartnett, R.C. Cochran, and C.E. Owensby. 2004. Grazing management effects on plant species diversity in tall grass prairie. J. Range Manage. 57:58-65. </w:t>
      </w:r>
      <w:hyperlink r:id="rId27" w:history="1">
        <w:r w:rsidRPr="00FD2225">
          <w:rPr>
            <w:rStyle w:val="Hyperlink"/>
          </w:rPr>
          <w:t>https://doi.org/10.2111/1551-5028(2004)057[0058:GMEOPS]2.0.CO;2</w:t>
        </w:r>
      </w:hyperlink>
      <w:r>
        <w:t xml:space="preserve">. </w:t>
      </w:r>
    </w:p>
    <w:p w14:paraId="65A404A9" w14:textId="77777777" w:rsidR="00012992" w:rsidRDefault="00012992" w:rsidP="00012992">
      <w:pPr>
        <w:pStyle w:val="ListParagraph"/>
      </w:pPr>
    </w:p>
    <w:p w14:paraId="6053C280" w14:textId="1714250C" w:rsidR="00012992" w:rsidRPr="006322A8" w:rsidRDefault="00012992" w:rsidP="00012992">
      <w:pPr>
        <w:pStyle w:val="ListParagraph"/>
      </w:pPr>
      <w:bookmarkStart w:id="175" w:name="_Hlk68746461"/>
      <w:r w:rsidRPr="006322A8">
        <w:t xml:space="preserve">Keyser, P., G. Bates, J. Waller, C. Harper, and E. </w:t>
      </w:r>
      <w:r w:rsidR="0085483D">
        <w:t>Holcomb.</w:t>
      </w:r>
      <w:r w:rsidRPr="006322A8">
        <w:t xml:space="preserve"> 2011. Grazing native warm-season grasses in the Mid-South. </w:t>
      </w:r>
      <w:bookmarkStart w:id="176" w:name="_Hlk66147350"/>
      <w:r w:rsidRPr="006322A8">
        <w:t xml:space="preserve">Univ. of Tenn. Ext. </w:t>
      </w:r>
      <w:r>
        <w:t xml:space="preserve">Pub. </w:t>
      </w:r>
      <w:r w:rsidRPr="006322A8">
        <w:t xml:space="preserve">SP731-C, Knoxville, TN. </w:t>
      </w:r>
    </w:p>
    <w:bookmarkEnd w:id="175"/>
    <w:bookmarkEnd w:id="176"/>
    <w:p w14:paraId="0859930D" w14:textId="77777777" w:rsidR="00012992" w:rsidRDefault="00012992" w:rsidP="00012992">
      <w:pPr>
        <w:pStyle w:val="ListParagraph"/>
      </w:pPr>
    </w:p>
    <w:p w14:paraId="6F6B186F" w14:textId="220706D2" w:rsidR="00012992" w:rsidRDefault="00012992" w:rsidP="00012992">
      <w:pPr>
        <w:pStyle w:val="ListParagraph"/>
      </w:pPr>
      <w:r>
        <w:lastRenderedPageBreak/>
        <w:t>Keyser, P.D., E.D. Holcomb, C.M. Lituma, G.E. Bates, J.C. Waller, C.N. Boyer, and J.T. Mulliniks. 2016. Forage attributes and animal performance from native grass inter-seeded with red clover. Agron. J. 108:373-383.</w:t>
      </w:r>
    </w:p>
    <w:p w14:paraId="029D592B" w14:textId="77777777" w:rsidR="00E91B86" w:rsidRDefault="00E91B86" w:rsidP="00012992">
      <w:pPr>
        <w:pStyle w:val="ListParagraph"/>
      </w:pPr>
    </w:p>
    <w:p w14:paraId="4EEF9C84" w14:textId="12E2BB37" w:rsidR="00012992" w:rsidRDefault="00012992" w:rsidP="00012992">
      <w:pPr>
        <w:pStyle w:val="ListParagraph"/>
        <w:rPr>
          <w:rStyle w:val="Hyperlink"/>
        </w:rPr>
      </w:pPr>
      <w:r>
        <w:t xml:space="preserve">Krueger, C.R., and D.C. Curtis. 1979. Evaluation of big bluestem, </w:t>
      </w:r>
      <w:r w:rsidR="007761A2">
        <w:t>indiangrass</w:t>
      </w:r>
      <w:r>
        <w:t xml:space="preserve">, sideoats grama, and switchgrass pastures with yearling steers. Agron. J. 71:480-482. </w:t>
      </w:r>
      <w:hyperlink r:id="rId28" w:history="1">
        <w:r w:rsidRPr="005B6A2F">
          <w:rPr>
            <w:rStyle w:val="Hyperlink"/>
          </w:rPr>
          <w:t>https://doi.org/10.2134/agronj1979.00021962007100030024x</w:t>
        </w:r>
      </w:hyperlink>
    </w:p>
    <w:p w14:paraId="7B334A7B" w14:textId="567DFF72" w:rsidR="005E6D02" w:rsidRDefault="005E6D02" w:rsidP="00012992">
      <w:pPr>
        <w:pStyle w:val="ListParagraph"/>
        <w:rPr>
          <w:rStyle w:val="Hyperlink"/>
        </w:rPr>
      </w:pPr>
    </w:p>
    <w:p w14:paraId="132AAB8F" w14:textId="2243EF93" w:rsidR="00012992" w:rsidRDefault="00012992" w:rsidP="00012992">
      <w:pPr>
        <w:pStyle w:val="ListParagraph"/>
      </w:pPr>
      <w:r>
        <w:t>Lowe, J.K., II, C.N. Boyer, A.P. Griffith, G.E. Bates, P.D. Keyser, J.C. Waller, J.A. Larson, and W.M. Backus. 2015. Profitability of beef and biomass production from native warm-season grasses in Tennessee. Agron. J. 107:1733-1740.</w:t>
      </w:r>
    </w:p>
    <w:p w14:paraId="6AD0AB84" w14:textId="143CF6FA" w:rsidR="00D248BE" w:rsidRDefault="00D248BE" w:rsidP="00012992">
      <w:pPr>
        <w:pStyle w:val="ListParagraph"/>
      </w:pPr>
      <w:r>
        <w:t>McGraw, R.L., F.W. Shockley, J.F. Thompson, and C.A. Roberts. 2004. Evaluation of native legume species for forage yield, quality, and seed production. Native Plants J. 5:152-159.</w:t>
      </w:r>
    </w:p>
    <w:p w14:paraId="67043F13" w14:textId="77777777" w:rsidR="00012992" w:rsidRDefault="00012992" w:rsidP="00012992">
      <w:pPr>
        <w:pStyle w:val="ListParagraph"/>
      </w:pPr>
    </w:p>
    <w:p w14:paraId="28F4A999" w14:textId="77777777" w:rsidR="00012992" w:rsidRDefault="00012992" w:rsidP="00012992">
      <w:pPr>
        <w:pStyle w:val="ListParagraph"/>
      </w:pPr>
      <w:r w:rsidRPr="006D1464">
        <w:t xml:space="preserve">McIntosh, D.W., G.E. Bates, P.D. Keyser, F.L. Allen, C.A. Harper, J.C. Waller, J.L. Birckhead, </w:t>
      </w:r>
      <w:r>
        <w:t xml:space="preserve">and </w:t>
      </w:r>
      <w:r w:rsidRPr="006D1464">
        <w:t>W.M. Backus. 201</w:t>
      </w:r>
      <w:r>
        <w:t>6</w:t>
      </w:r>
      <w:r w:rsidRPr="006D1464">
        <w:t xml:space="preserve">. </w:t>
      </w:r>
      <w:r>
        <w:t>Forage harvest timing impact on biomass quality from native w</w:t>
      </w:r>
      <w:r w:rsidRPr="006D1464">
        <w:t>arm-season grass mixtures. Agron. J. 10</w:t>
      </w:r>
      <w:r>
        <w:t>8</w:t>
      </w:r>
      <w:r w:rsidRPr="006D1464">
        <w:t>:</w:t>
      </w:r>
      <w:r>
        <w:t>1-7</w:t>
      </w:r>
      <w:r w:rsidRPr="006D1464">
        <w:t>.</w:t>
      </w:r>
    </w:p>
    <w:p w14:paraId="4D1B296C" w14:textId="77777777" w:rsidR="00012992" w:rsidRDefault="00012992" w:rsidP="00012992">
      <w:pPr>
        <w:pStyle w:val="ListParagraph"/>
      </w:pPr>
    </w:p>
    <w:p w14:paraId="26110215" w14:textId="77777777" w:rsidR="00012992" w:rsidRDefault="00012992" w:rsidP="00012992">
      <w:pPr>
        <w:pStyle w:val="ListParagraph"/>
      </w:pPr>
      <w:r w:rsidRPr="006D1464">
        <w:t>McIntosh, D.W., G.E. Bates, P.D. Keyser, F.L. Allen, C.A. Harper, J.C. Waller, J.L. Birckhead, W.M. Backus, and J.E. Beeler. 2015. The impact of harvest timing on biomass yield from native warm-season grass mixtures. Agron. J. 107:2321</w:t>
      </w:r>
      <w:r>
        <w:t>-</w:t>
      </w:r>
      <w:r w:rsidRPr="006D1464">
        <w:t>2326.</w:t>
      </w:r>
    </w:p>
    <w:p w14:paraId="75899E0B" w14:textId="77777777" w:rsidR="00012992" w:rsidRDefault="00012992" w:rsidP="00012992">
      <w:pPr>
        <w:pStyle w:val="ListParagraph"/>
      </w:pPr>
    </w:p>
    <w:p w14:paraId="3B80F199" w14:textId="77777777" w:rsidR="00012992" w:rsidRDefault="00012992" w:rsidP="00012992">
      <w:pPr>
        <w:pStyle w:val="ListParagraph"/>
      </w:pPr>
      <w:r>
        <w:t xml:space="preserve">Mosali, J., J.T. Biermacher, B. Cook, and J. Blanton. 2013. Bioenergy for cattle and cars: A switchgrass production system that engages cattle producers. Agron. J. 105:960-966. </w:t>
      </w:r>
      <w:hyperlink r:id="rId29" w:history="1">
        <w:r w:rsidRPr="00A84F68">
          <w:rPr>
            <w:rStyle w:val="Hyperlink"/>
          </w:rPr>
          <w:t>https://doi.org/10.2134/agronj2012.0384</w:t>
        </w:r>
      </w:hyperlink>
    </w:p>
    <w:p w14:paraId="5CC1601C" w14:textId="77777777" w:rsidR="00012992" w:rsidRDefault="00012992" w:rsidP="00012992">
      <w:pPr>
        <w:pStyle w:val="ListParagraph"/>
      </w:pPr>
    </w:p>
    <w:p w14:paraId="0190F0BC" w14:textId="77777777" w:rsidR="00012992" w:rsidRDefault="00012992" w:rsidP="00012992">
      <w:pPr>
        <w:pStyle w:val="ListParagraph"/>
      </w:pPr>
      <w:bookmarkStart w:id="177" w:name="_Hlk67167033"/>
      <w:r w:rsidRPr="007F032C">
        <w:t xml:space="preserve">Murray, I., </w:t>
      </w:r>
      <w:r>
        <w:t xml:space="preserve">and I. </w:t>
      </w:r>
      <w:r w:rsidRPr="007F032C">
        <w:t xml:space="preserve">Cowe. </w:t>
      </w:r>
      <w:r>
        <w:t xml:space="preserve">2004. </w:t>
      </w:r>
      <w:r w:rsidRPr="007F032C">
        <w:t xml:space="preserve">Sample preparation. </w:t>
      </w:r>
      <w:r w:rsidRPr="007F032C">
        <w:rPr>
          <w:i/>
          <w:iCs/>
        </w:rPr>
        <w:t>In</w:t>
      </w:r>
      <w:r w:rsidRPr="007F032C">
        <w:t xml:space="preserve"> C</w:t>
      </w:r>
      <w:r>
        <w:t>.</w:t>
      </w:r>
      <w:r w:rsidRPr="007F032C">
        <w:t>A.</w:t>
      </w:r>
      <w:r>
        <w:t xml:space="preserve"> Roberts, J.J. Workman, and J.B. Reeves (eds.)</w:t>
      </w:r>
      <w:r w:rsidRPr="007F032C">
        <w:t xml:space="preserve"> Near infrared spectroscopy in agriculture</w:t>
      </w:r>
      <w:r>
        <w:t>. p. 75-112.</w:t>
      </w:r>
      <w:r w:rsidRPr="007F032C">
        <w:t xml:space="preserve"> ASA, CSSA, and SSSA</w:t>
      </w:r>
      <w:r>
        <w:t>.</w:t>
      </w:r>
      <w:r w:rsidRPr="007F032C">
        <w:t xml:space="preserve"> Madison, WI</w:t>
      </w:r>
      <w:r>
        <w:t>.</w:t>
      </w:r>
      <w:r w:rsidRPr="007F032C">
        <w:t xml:space="preserve"> </w:t>
      </w:r>
    </w:p>
    <w:bookmarkEnd w:id="177"/>
    <w:p w14:paraId="3070189E" w14:textId="77777777" w:rsidR="00012992" w:rsidRDefault="00012992" w:rsidP="00012992">
      <w:pPr>
        <w:pStyle w:val="ListParagraph"/>
      </w:pPr>
    </w:p>
    <w:p w14:paraId="576D2157" w14:textId="77777777" w:rsidR="00012992" w:rsidRPr="00262A6E" w:rsidRDefault="00012992" w:rsidP="00012992">
      <w:pPr>
        <w:pStyle w:val="ListParagraph"/>
        <w:rPr>
          <w:color w:val="111111"/>
        </w:rPr>
      </w:pPr>
      <w:r w:rsidRPr="00262A6E">
        <w:t xml:space="preserve">NOAA. </w:t>
      </w:r>
      <w:r>
        <w:t>2021</w:t>
      </w:r>
      <w:r w:rsidRPr="00044D25">
        <w:t xml:space="preserve">. NOWData – NOAA Online Weather Data, </w:t>
      </w:r>
      <w:r>
        <w:t>Greeneville</w:t>
      </w:r>
      <w:r w:rsidRPr="00044D25">
        <w:t xml:space="preserve"> Ex </w:t>
      </w:r>
      <w:r>
        <w:t xml:space="preserve">St, TN. Retrieved from </w:t>
      </w:r>
      <w:hyperlink r:id="rId30" w:history="1">
        <w:r w:rsidRPr="004A4CD9">
          <w:rPr>
            <w:rStyle w:val="Hyperlink"/>
          </w:rPr>
          <w:t>https://w2.weather.gov/climate/xmacis.php?wfo=mrx</w:t>
        </w:r>
      </w:hyperlink>
      <w:r>
        <w:t xml:space="preserve"> (accessed 2</w:t>
      </w:r>
      <w:r w:rsidRPr="00262A6E">
        <w:t xml:space="preserve"> </w:t>
      </w:r>
      <w:r>
        <w:t>February</w:t>
      </w:r>
      <w:r w:rsidRPr="00262A6E">
        <w:t xml:space="preserve"> 202</w:t>
      </w:r>
      <w:r>
        <w:t>1</w:t>
      </w:r>
      <w:r w:rsidRPr="00044D25">
        <w:t>)</w:t>
      </w:r>
      <w:r>
        <w:t>.</w:t>
      </w:r>
    </w:p>
    <w:p w14:paraId="10A4F7F0" w14:textId="77777777" w:rsidR="00012992" w:rsidRDefault="00012992" w:rsidP="00012992">
      <w:pPr>
        <w:pStyle w:val="ListParagraph"/>
      </w:pPr>
    </w:p>
    <w:p w14:paraId="23C86E95" w14:textId="1F04C494" w:rsidR="00012992" w:rsidRDefault="00012992" w:rsidP="00012992">
      <w:pPr>
        <w:pStyle w:val="ListParagraph"/>
      </w:pPr>
      <w:r w:rsidRPr="006322A8">
        <w:t>Pendulum, L.C., J.A. Boling, L.P. Bush, and R.C. Buckner. 1980. Digestibility and metabolism of Kenhy tall fescue harvested at three stages of physiological maturity. J. Anim. Sci. 51:704-711.</w:t>
      </w:r>
    </w:p>
    <w:p w14:paraId="14F630D1" w14:textId="43BB8D9A" w:rsidR="005C384A" w:rsidRDefault="005C384A" w:rsidP="00012992">
      <w:pPr>
        <w:pStyle w:val="ListParagraph"/>
      </w:pPr>
    </w:p>
    <w:p w14:paraId="2761606E" w14:textId="77777777" w:rsidR="005C384A" w:rsidRDefault="005C384A" w:rsidP="005C384A">
      <w:pPr>
        <w:pStyle w:val="ListParagraph"/>
      </w:pPr>
      <w:r w:rsidRPr="006322A8">
        <w:t>Posler, G.L., A.W. Lenssen, and G.L. Fine. 1993. Forage yield, quality, compatibility, and persistence of warm-season grass-legume mixtures. Agron. J. 85:554-560.</w:t>
      </w:r>
    </w:p>
    <w:p w14:paraId="5B470D0A" w14:textId="77777777" w:rsidR="00012992" w:rsidRDefault="00012992" w:rsidP="00012992">
      <w:pPr>
        <w:pStyle w:val="ListParagraph"/>
      </w:pPr>
    </w:p>
    <w:p w14:paraId="4FCC1A57" w14:textId="77777777" w:rsidR="00012992" w:rsidRPr="006322A8" w:rsidRDefault="00012992" w:rsidP="00012992">
      <w:pPr>
        <w:pStyle w:val="ListParagraph"/>
      </w:pPr>
      <w:r>
        <w:t xml:space="preserve">Rushing, J.B., J.G. Maples, J.D. Rivera, and J.C. Lyles. 2020. Early-season grazing of native grasses offers potential profitable benefit. Agron. J. 112:1057-1067. </w:t>
      </w:r>
      <w:hyperlink r:id="rId31" w:history="1">
        <w:r w:rsidRPr="002F1295">
          <w:rPr>
            <w:rStyle w:val="Hyperlink"/>
          </w:rPr>
          <w:t>https://doi.org/10.1002/agj2.20130</w:t>
        </w:r>
      </w:hyperlink>
    </w:p>
    <w:p w14:paraId="06DAD167" w14:textId="77777777" w:rsidR="00012992" w:rsidRDefault="00012992" w:rsidP="00012992">
      <w:pPr>
        <w:pStyle w:val="ListParagraph"/>
      </w:pPr>
      <w:r w:rsidRPr="00590ECC">
        <w:lastRenderedPageBreak/>
        <w:t>Sanderson, M.A., and R.L. Reed. 2000. Switchgrass growth and development: Water, nitrogen, and plant density effects.  J. Range Manage. 53:221</w:t>
      </w:r>
      <w:r>
        <w:t>-</w:t>
      </w:r>
      <w:r w:rsidRPr="00590ECC">
        <w:t>227.</w:t>
      </w:r>
    </w:p>
    <w:p w14:paraId="13A00542" w14:textId="77777777" w:rsidR="00012992" w:rsidRDefault="00012992" w:rsidP="00012992">
      <w:pPr>
        <w:pStyle w:val="ListParagraph"/>
      </w:pPr>
    </w:p>
    <w:p w14:paraId="7CF66839" w14:textId="4E71891C" w:rsidR="00012992" w:rsidRDefault="00012992" w:rsidP="00012992">
      <w:pPr>
        <w:pStyle w:val="ListParagraph"/>
      </w:pPr>
      <w:r>
        <w:t>Sanderson, M.A., S.C. Goslee, K.J. Soder, R.H. Skinner, B.F. Tracy, and A. Deak. 2007. Plant species diversity, ecosystem function, and pasture management—A perspective. Can. J. Plant Sci. 87:479-487.</w:t>
      </w:r>
    </w:p>
    <w:p w14:paraId="74A5D7C0" w14:textId="1952E620" w:rsidR="005E6D02" w:rsidRDefault="005E6D02" w:rsidP="00012992">
      <w:pPr>
        <w:pStyle w:val="ListParagraph"/>
      </w:pPr>
    </w:p>
    <w:p w14:paraId="601FD617" w14:textId="2CF44F26" w:rsidR="0053578F" w:rsidRDefault="0053578F" w:rsidP="005E6D02">
      <w:pPr>
        <w:pStyle w:val="ListParagraph"/>
      </w:pPr>
      <w:r w:rsidRPr="0053578F">
        <w:t xml:space="preserve">Springer, T.L., </w:t>
      </w:r>
      <w:r>
        <w:t xml:space="preserve">G.E. </w:t>
      </w:r>
      <w:r w:rsidRPr="0053578F">
        <w:t xml:space="preserve">Aiken, and </w:t>
      </w:r>
      <w:r>
        <w:t xml:space="preserve">R.W. </w:t>
      </w:r>
      <w:r w:rsidRPr="0053578F">
        <w:t>McNew. 2001. Combining ability of binary mixtures of native, warm‐season grasses and legumes. Crop Sci</w:t>
      </w:r>
      <w:r>
        <w:t>.</w:t>
      </w:r>
      <w:r w:rsidRPr="0053578F">
        <w:t xml:space="preserve"> 41</w:t>
      </w:r>
      <w:r>
        <w:t>:</w:t>
      </w:r>
      <w:r w:rsidRPr="0053578F">
        <w:t>818-823.</w:t>
      </w:r>
    </w:p>
    <w:p w14:paraId="14095C34" w14:textId="77777777" w:rsidR="00012992" w:rsidRDefault="00012992" w:rsidP="00012992">
      <w:pPr>
        <w:pStyle w:val="ListParagraph"/>
      </w:pPr>
    </w:p>
    <w:p w14:paraId="4622F65B" w14:textId="68C93689" w:rsidR="00012992" w:rsidRDefault="00012992" w:rsidP="00012992">
      <w:pPr>
        <w:pStyle w:val="ListParagraph"/>
      </w:pPr>
      <w:r w:rsidRPr="006322A8">
        <w:t>Steen, W.W., N. Gay, J.A. Boling, R.C. Buckner, L.P. Bush, and G. Lacefield. 1979. Evaluation of Kentucky 31, G1-306, G1-307 and Kenhy tall fescue as pasture for yearling steers. II. Growth, physiological response and plasma constituents for yearling steers. J. Anim. Sci. 48:618-623.</w:t>
      </w:r>
    </w:p>
    <w:p w14:paraId="0A3E13EB" w14:textId="0A8ED24D" w:rsidR="00EC1DB4" w:rsidRDefault="00EC1DB4" w:rsidP="00012992">
      <w:pPr>
        <w:pStyle w:val="ListParagraph"/>
      </w:pPr>
    </w:p>
    <w:p w14:paraId="242682BB" w14:textId="0FEBEDEE" w:rsidR="00EC1DB4" w:rsidRPr="009D1779" w:rsidRDefault="00EC1DB4" w:rsidP="00012992">
      <w:pPr>
        <w:pStyle w:val="ListParagraph"/>
      </w:pPr>
      <w:r w:rsidRPr="00EC1DB4">
        <w:rPr>
          <w:color w:val="222222"/>
          <w:shd w:val="clear" w:color="auto" w:fill="FFFFFF"/>
        </w:rPr>
        <w:t>Tomanek, G.</w:t>
      </w:r>
      <w:r w:rsidRPr="009D1779">
        <w:rPr>
          <w:color w:val="222222"/>
          <w:shd w:val="clear" w:color="auto" w:fill="FFFFFF"/>
        </w:rPr>
        <w:t xml:space="preserve">W., </w:t>
      </w:r>
      <w:r w:rsidRPr="003F33E1">
        <w:rPr>
          <w:color w:val="222222"/>
          <w:shd w:val="clear" w:color="auto" w:fill="FFFFFF"/>
        </w:rPr>
        <w:t>E.P. Martin, and</w:t>
      </w:r>
      <w:r w:rsidRPr="0008236E">
        <w:rPr>
          <w:color w:val="222222"/>
          <w:shd w:val="clear" w:color="auto" w:fill="FFFFFF"/>
        </w:rPr>
        <w:t xml:space="preserve"> F.W.</w:t>
      </w:r>
      <w:r w:rsidRPr="008922E5">
        <w:rPr>
          <w:color w:val="222222"/>
          <w:shd w:val="clear" w:color="auto" w:fill="FFFFFF"/>
        </w:rPr>
        <w:t xml:space="preserve"> Albertson. 1958. Grazing p</w:t>
      </w:r>
      <w:r w:rsidRPr="005E4082">
        <w:rPr>
          <w:color w:val="222222"/>
          <w:shd w:val="clear" w:color="auto" w:fill="FFFFFF"/>
        </w:rPr>
        <w:t xml:space="preserve">reference </w:t>
      </w:r>
      <w:r w:rsidRPr="0070273B">
        <w:rPr>
          <w:color w:val="222222"/>
          <w:shd w:val="clear" w:color="auto" w:fill="FFFFFF"/>
        </w:rPr>
        <w:t>comparisons of s</w:t>
      </w:r>
      <w:r w:rsidRPr="009D1779">
        <w:rPr>
          <w:color w:val="222222"/>
          <w:shd w:val="clear" w:color="auto" w:fill="FFFFFF"/>
        </w:rPr>
        <w:t>ix native grasses in the Mixed Prairie. J. Range Manage. 11:191-193.</w:t>
      </w:r>
    </w:p>
    <w:p w14:paraId="4651D521" w14:textId="77777777" w:rsidR="00012992" w:rsidRDefault="00012992" w:rsidP="00012992">
      <w:pPr>
        <w:pStyle w:val="ListParagraph"/>
      </w:pPr>
    </w:p>
    <w:p w14:paraId="4C6A252F" w14:textId="33834AA4" w:rsidR="00012992" w:rsidRDefault="00012992" w:rsidP="00012992">
      <w:pPr>
        <w:pStyle w:val="ListParagraph"/>
      </w:pPr>
      <w:r>
        <w:t>Tracy, B., and C. Bonin. 2013. Yield potential of native warm-season grasses grown in mixture. VA Coop. Ext. Pub. CSES</w:t>
      </w:r>
      <w:r w:rsidRPr="006322A8">
        <w:t>-</w:t>
      </w:r>
      <w:r>
        <w:t>55P.</w:t>
      </w:r>
      <w:r w:rsidRPr="006322A8">
        <w:t xml:space="preserve"> </w:t>
      </w:r>
    </w:p>
    <w:p w14:paraId="4ED33E42" w14:textId="19084B29" w:rsidR="00D136A9" w:rsidRDefault="00D136A9" w:rsidP="00012992">
      <w:pPr>
        <w:pStyle w:val="ListParagraph"/>
      </w:pPr>
    </w:p>
    <w:p w14:paraId="6E382DEC" w14:textId="5895EB3C" w:rsidR="00D136A9" w:rsidRDefault="00D136A9" w:rsidP="00012992">
      <w:pPr>
        <w:pStyle w:val="ListParagraph"/>
      </w:pPr>
      <w:r>
        <w:t>Tracy, B.F., and D.B. Faulkner. 2006. Pasture and cattle responses in rotationally stocked grazing systems sown with differing levels of species richness. Crop Sci. 46:2062-2068.</w:t>
      </w:r>
    </w:p>
    <w:p w14:paraId="620AAC0C" w14:textId="4E7733E2" w:rsidR="00553C2E" w:rsidRDefault="00553C2E" w:rsidP="00012992">
      <w:pPr>
        <w:pStyle w:val="ListParagraph"/>
      </w:pPr>
    </w:p>
    <w:p w14:paraId="4E0E31AE" w14:textId="2FBDDFEA" w:rsidR="00553C2E" w:rsidRDefault="00553C2E" w:rsidP="00012992">
      <w:pPr>
        <w:pStyle w:val="ListParagraph"/>
      </w:pPr>
      <w:r w:rsidRPr="00553C2E">
        <w:t xml:space="preserve">Tuell, J.K., A.K. Fiedler, D. Landis, and R. Isaacs. 2008. Visitation by </w:t>
      </w:r>
      <w:r>
        <w:t>w</w:t>
      </w:r>
      <w:r w:rsidRPr="00553C2E">
        <w:t xml:space="preserve">ild and </w:t>
      </w:r>
      <w:r>
        <w:t>m</w:t>
      </w:r>
      <w:r w:rsidRPr="00553C2E">
        <w:t xml:space="preserve">anaged </w:t>
      </w:r>
      <w:r>
        <w:t>b</w:t>
      </w:r>
      <w:r w:rsidRPr="00553C2E">
        <w:t xml:space="preserve">ees (Hymenoptera: Apoidea) to Eastern U.S. </w:t>
      </w:r>
      <w:r>
        <w:t>n</w:t>
      </w:r>
      <w:r w:rsidRPr="00553C2E">
        <w:t xml:space="preserve">ative </w:t>
      </w:r>
      <w:r>
        <w:t>p</w:t>
      </w:r>
      <w:r w:rsidRPr="00553C2E">
        <w:t xml:space="preserve">lants for </w:t>
      </w:r>
      <w:r>
        <w:t>u</w:t>
      </w:r>
      <w:r w:rsidRPr="00553C2E">
        <w:t xml:space="preserve">se in </w:t>
      </w:r>
      <w:r>
        <w:t>c</w:t>
      </w:r>
      <w:r w:rsidRPr="00553C2E">
        <w:t xml:space="preserve">onservation </w:t>
      </w:r>
      <w:r>
        <w:t>p</w:t>
      </w:r>
      <w:r w:rsidRPr="00553C2E">
        <w:t>rograms. Environ</w:t>
      </w:r>
      <w:r>
        <w:t>.</w:t>
      </w:r>
      <w:r w:rsidRPr="00553C2E">
        <w:t xml:space="preserve"> Entomol</w:t>
      </w:r>
      <w:r>
        <w:t>.</w:t>
      </w:r>
      <w:r w:rsidRPr="00553C2E">
        <w:t xml:space="preserve"> 37:707</w:t>
      </w:r>
      <w:r>
        <w:t>-</w:t>
      </w:r>
      <w:r w:rsidRPr="00553C2E">
        <w:t>718.</w:t>
      </w:r>
    </w:p>
    <w:p w14:paraId="1F215FE2" w14:textId="77777777" w:rsidR="00012992" w:rsidRDefault="00012992" w:rsidP="00012992">
      <w:pPr>
        <w:pStyle w:val="ListParagraph"/>
      </w:pPr>
    </w:p>
    <w:p w14:paraId="5E68127A" w14:textId="77777777" w:rsidR="00012992" w:rsidRDefault="00012992" w:rsidP="00012992">
      <w:pPr>
        <w:pStyle w:val="ListParagraph"/>
      </w:pPr>
      <w:r>
        <w:t xml:space="preserve">USDA-NRCS. 2002. Lance-leaf coreopsis plant fact sheet. </w:t>
      </w:r>
      <w:hyperlink r:id="rId32" w:history="1">
        <w:r w:rsidRPr="00DE4B1E">
          <w:rPr>
            <w:rStyle w:val="Hyperlink"/>
          </w:rPr>
          <w:t>https://plants.usda.gov/factsheet/pdf/fs_cola5.pdf</w:t>
        </w:r>
      </w:hyperlink>
      <w:r>
        <w:t xml:space="preserve"> (accessed 9 March 2021).</w:t>
      </w:r>
    </w:p>
    <w:p w14:paraId="5999C70F" w14:textId="77777777" w:rsidR="00012992" w:rsidRDefault="00012992" w:rsidP="00012992">
      <w:pPr>
        <w:pStyle w:val="ListParagraph"/>
      </w:pPr>
    </w:p>
    <w:p w14:paraId="7B766423" w14:textId="77777777" w:rsidR="00012992" w:rsidRDefault="00012992" w:rsidP="00012992">
      <w:pPr>
        <w:pStyle w:val="ListParagraph"/>
      </w:pPr>
      <w:bookmarkStart w:id="178" w:name="_Hlk66222683"/>
      <w:r>
        <w:t xml:space="preserve">USDA-NRCS. 2019. Black-eyed susan plant guide. </w:t>
      </w:r>
      <w:hyperlink r:id="rId33" w:history="1">
        <w:r w:rsidRPr="00AC59DD">
          <w:rPr>
            <w:rStyle w:val="Hyperlink"/>
          </w:rPr>
          <w:t>https://plants.sc.egov.usda.gov/plantguide/pdf/pg_ruhi2.pdf</w:t>
        </w:r>
      </w:hyperlink>
      <w:r>
        <w:t xml:space="preserve"> (accessed 9 March 2021).</w:t>
      </w:r>
    </w:p>
    <w:bookmarkEnd w:id="178"/>
    <w:p w14:paraId="07EC7CD1" w14:textId="77777777" w:rsidR="00012992" w:rsidRDefault="00012992" w:rsidP="00012992">
      <w:pPr>
        <w:pStyle w:val="ListParagraph"/>
      </w:pPr>
    </w:p>
    <w:p w14:paraId="167D1932" w14:textId="3A7FA83A" w:rsidR="00012992" w:rsidRDefault="00012992" w:rsidP="00012992">
      <w:pPr>
        <w:pStyle w:val="ListParagraph"/>
      </w:pPr>
      <w:r>
        <w:t>Van Vuren, D., and M.P. Bray. 1983. Diets of bison and cattle on a seeded range in southern Utah. J. Range Manage. 36: 499-500.</w:t>
      </w:r>
    </w:p>
    <w:p w14:paraId="4E658D4A" w14:textId="4B14656A" w:rsidR="00F002BF" w:rsidRDefault="00F002BF" w:rsidP="00012992">
      <w:pPr>
        <w:pStyle w:val="ListParagraph"/>
      </w:pPr>
    </w:p>
    <w:p w14:paraId="7A817E4D" w14:textId="3A3E7632" w:rsidR="00F002BF" w:rsidRPr="001055EB" w:rsidRDefault="00F002BF" w:rsidP="00F002BF">
      <w:pPr>
        <w:pStyle w:val="ListParagraph"/>
      </w:pPr>
      <w:bookmarkStart w:id="179" w:name="_Hlk72293092"/>
      <w:r>
        <w:t xml:space="preserve">Wagner, J.F. 2020. Can beef be bee-friendly? Using native warm-season grasses and wildflowers in pastures to conserve bees. </w:t>
      </w:r>
      <w:r w:rsidRPr="001055EB">
        <w:t xml:space="preserve">M.S. Thesis. </w:t>
      </w:r>
      <w:r>
        <w:t xml:space="preserve">VA Polytech. Inst. and State </w:t>
      </w:r>
      <w:r w:rsidRPr="001055EB">
        <w:t xml:space="preserve">Univ., </w:t>
      </w:r>
      <w:r>
        <w:t>Blacksburg, VA.</w:t>
      </w:r>
      <w:r w:rsidRPr="001055EB">
        <w:t xml:space="preserve"> </w:t>
      </w:r>
    </w:p>
    <w:bookmarkEnd w:id="172"/>
    <w:bookmarkEnd w:id="179"/>
    <w:p w14:paraId="031F0243" w14:textId="77777777" w:rsidR="00F5568D" w:rsidRDefault="00F5568D" w:rsidP="002D4AC3">
      <w:pPr>
        <w:pStyle w:val="Paragraphs"/>
      </w:pPr>
    </w:p>
    <w:p w14:paraId="35AF381C" w14:textId="4375392B" w:rsidR="00F5568D" w:rsidRPr="002D4AC3" w:rsidRDefault="00F5568D" w:rsidP="002D4AC3">
      <w:pPr>
        <w:pStyle w:val="Paragraphs"/>
        <w:sectPr w:rsidR="00F5568D" w:rsidRPr="002D4AC3" w:rsidSect="00BB06E9">
          <w:pgSz w:w="12240" w:h="15840" w:code="1"/>
          <w:pgMar w:top="1440" w:right="1800" w:bottom="1872" w:left="1800" w:header="720" w:footer="1440" w:gutter="0"/>
          <w:cols w:space="720"/>
          <w:noEndnote/>
          <w:docGrid w:linePitch="360"/>
        </w:sectPr>
      </w:pPr>
    </w:p>
    <w:p w14:paraId="38BC010E" w14:textId="6B98F56D" w:rsidR="00B572F9" w:rsidRPr="00942433" w:rsidRDefault="00E76687" w:rsidP="00942433">
      <w:pPr>
        <w:pStyle w:val="AgronomyJournalSectionTitles"/>
      </w:pPr>
      <w:bookmarkStart w:id="180" w:name="_Toc72026063"/>
      <w:bookmarkStart w:id="181" w:name="_Toc72305424"/>
      <w:r>
        <w:lastRenderedPageBreak/>
        <w:t>APPENDIX II</w:t>
      </w:r>
      <w:bookmarkEnd w:id="180"/>
      <w:bookmarkEnd w:id="181"/>
    </w:p>
    <w:p w14:paraId="6AADBAEE" w14:textId="3488B67D" w:rsidR="005A1D44" w:rsidRPr="00005219" w:rsidRDefault="005A1D44" w:rsidP="00A97504">
      <w:pPr>
        <w:pStyle w:val="Tables"/>
        <w:spacing w:before="0" w:after="60"/>
        <w:rPr>
          <w:rStyle w:val="Strong"/>
          <w:b w:val="0"/>
          <w:bCs/>
        </w:rPr>
      </w:pPr>
      <w:bookmarkStart w:id="182" w:name="_Toc72300401"/>
      <w:r w:rsidRPr="00005219">
        <w:rPr>
          <w:rStyle w:val="Strong"/>
          <w:b w:val="0"/>
          <w:bCs/>
        </w:rPr>
        <w:t xml:space="preserve">Table 2.1.  </w:t>
      </w:r>
      <w:r w:rsidR="000D7ABF" w:rsidRPr="00005219">
        <w:rPr>
          <w:rStyle w:val="Strong"/>
          <w:b w:val="0"/>
          <w:bCs/>
        </w:rPr>
        <w:t xml:space="preserve">Annual soil tests (0-15 cm; Mehlich 1) </w:t>
      </w:r>
      <w:r w:rsidRPr="00005219">
        <w:rPr>
          <w:rStyle w:val="Strong"/>
          <w:b w:val="0"/>
          <w:bCs/>
        </w:rPr>
        <w:t>for switchgrass and big bluestem/</w:t>
      </w:r>
      <w:r w:rsidR="007761A2">
        <w:rPr>
          <w:rStyle w:val="Strong"/>
          <w:b w:val="0"/>
          <w:bCs/>
        </w:rPr>
        <w:t>indiangrass</w:t>
      </w:r>
      <w:r w:rsidRPr="00005219">
        <w:rPr>
          <w:rStyle w:val="Strong"/>
          <w:b w:val="0"/>
          <w:bCs/>
        </w:rPr>
        <w:t xml:space="preserve"> pastures planted with an 11-species forb blend at the University of Tennessee – Northeast Tennessee AgResearch and Education Center, Greeneville, TN, in 2018</w:t>
      </w:r>
      <w:r w:rsidR="000D7ABF" w:rsidRPr="00005219">
        <w:rPr>
          <w:rStyle w:val="Strong"/>
          <w:b w:val="0"/>
          <w:bCs/>
        </w:rPr>
        <w:t>-2020.</w:t>
      </w:r>
      <w:bookmarkEnd w:id="182"/>
    </w:p>
    <w:tbl>
      <w:tblPr>
        <w:tblW w:w="7175" w:type="dxa"/>
        <w:tblLook w:val="04A0" w:firstRow="1" w:lastRow="0" w:firstColumn="1" w:lastColumn="0" w:noHBand="0" w:noVBand="1"/>
      </w:tblPr>
      <w:tblGrid>
        <w:gridCol w:w="1480"/>
        <w:gridCol w:w="1047"/>
        <w:gridCol w:w="874"/>
        <w:gridCol w:w="874"/>
        <w:gridCol w:w="962"/>
        <w:gridCol w:w="969"/>
        <w:gridCol w:w="904"/>
        <w:gridCol w:w="65"/>
      </w:tblGrid>
      <w:tr w:rsidR="005A1D44" w:rsidRPr="003A44E9" w14:paraId="5D2BBD4C" w14:textId="77777777" w:rsidTr="005A1D44">
        <w:trPr>
          <w:gridAfter w:val="1"/>
          <w:wAfter w:w="65" w:type="dxa"/>
          <w:trHeight w:val="288"/>
        </w:trPr>
        <w:tc>
          <w:tcPr>
            <w:tcW w:w="1480" w:type="dxa"/>
            <w:tcBorders>
              <w:top w:val="single" w:sz="12" w:space="0" w:color="auto"/>
              <w:left w:val="nil"/>
              <w:bottom w:val="nil"/>
              <w:right w:val="single" w:sz="36" w:space="0" w:color="FFFFFF" w:themeColor="background1"/>
            </w:tcBorders>
            <w:shd w:val="clear" w:color="auto" w:fill="auto"/>
            <w:noWrap/>
            <w:vAlign w:val="center"/>
            <w:hideMark/>
          </w:tcPr>
          <w:p w14:paraId="25E92BCE" w14:textId="77777777" w:rsidR="005A1D44" w:rsidRPr="003A44E9" w:rsidRDefault="005A1D44" w:rsidP="00971541">
            <w:pPr>
              <w:spacing w:line="240" w:lineRule="auto"/>
              <w:rPr>
                <w:rFonts w:cs="Times New Roman"/>
                <w:sz w:val="20"/>
                <w:szCs w:val="20"/>
              </w:rPr>
            </w:pPr>
          </w:p>
        </w:tc>
        <w:tc>
          <w:tcPr>
            <w:tcW w:w="2795" w:type="dxa"/>
            <w:gridSpan w:val="3"/>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7D425486" w14:textId="77777777" w:rsidR="005A1D44" w:rsidRPr="003A44E9" w:rsidRDefault="005A1D44" w:rsidP="00971541">
            <w:pPr>
              <w:spacing w:line="240" w:lineRule="auto"/>
              <w:jc w:val="center"/>
              <w:rPr>
                <w:rFonts w:cs="Times New Roman"/>
                <w:color w:val="000000"/>
                <w:sz w:val="20"/>
                <w:szCs w:val="20"/>
              </w:rPr>
            </w:pPr>
            <w:r w:rsidRPr="003A44E9">
              <w:rPr>
                <w:rFonts w:cs="Times New Roman"/>
                <w:color w:val="000000"/>
                <w:sz w:val="20"/>
                <w:szCs w:val="20"/>
              </w:rPr>
              <w:t>Switchgrass</w:t>
            </w:r>
          </w:p>
        </w:tc>
        <w:tc>
          <w:tcPr>
            <w:tcW w:w="2835" w:type="dxa"/>
            <w:gridSpan w:val="3"/>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tcPr>
          <w:p w14:paraId="74B19EF3" w14:textId="77777777" w:rsidR="005A1D44" w:rsidRPr="003A44E9" w:rsidRDefault="005A1D44" w:rsidP="00971541">
            <w:pPr>
              <w:spacing w:line="240" w:lineRule="auto"/>
              <w:jc w:val="center"/>
              <w:rPr>
                <w:rFonts w:cs="Times New Roman"/>
                <w:color w:val="000000"/>
                <w:sz w:val="20"/>
                <w:szCs w:val="20"/>
              </w:rPr>
            </w:pPr>
            <w:r w:rsidRPr="003A44E9">
              <w:rPr>
                <w:rFonts w:cs="Times New Roman"/>
                <w:color w:val="000000"/>
                <w:sz w:val="20"/>
                <w:szCs w:val="20"/>
              </w:rPr>
              <w:t>Big bluestem/Indiangrass</w:t>
            </w:r>
          </w:p>
        </w:tc>
      </w:tr>
      <w:tr w:rsidR="005A1D44" w:rsidRPr="003A44E9" w14:paraId="1659C319" w14:textId="77777777" w:rsidTr="005A1D44">
        <w:trPr>
          <w:trHeight w:val="288"/>
        </w:trPr>
        <w:tc>
          <w:tcPr>
            <w:tcW w:w="1480" w:type="dxa"/>
            <w:tcBorders>
              <w:top w:val="nil"/>
              <w:left w:val="nil"/>
              <w:bottom w:val="single" w:sz="12" w:space="0" w:color="auto"/>
              <w:right w:val="single" w:sz="36" w:space="0" w:color="FFFFFF" w:themeColor="background1"/>
            </w:tcBorders>
            <w:shd w:val="clear" w:color="auto" w:fill="auto"/>
            <w:noWrap/>
            <w:vAlign w:val="center"/>
            <w:hideMark/>
          </w:tcPr>
          <w:p w14:paraId="7209F189" w14:textId="7597B97E" w:rsidR="005A1D44" w:rsidRPr="003A44E9" w:rsidRDefault="005A1D44" w:rsidP="00971541">
            <w:pPr>
              <w:spacing w:line="240" w:lineRule="auto"/>
              <w:rPr>
                <w:rFonts w:cs="Times New Roman"/>
                <w:sz w:val="20"/>
                <w:szCs w:val="20"/>
              </w:rPr>
            </w:pPr>
            <w:r>
              <w:rPr>
                <w:rFonts w:cs="Times New Roman"/>
                <w:sz w:val="20"/>
                <w:szCs w:val="20"/>
              </w:rPr>
              <w:t>Year</w:t>
            </w:r>
          </w:p>
        </w:tc>
        <w:tc>
          <w:tcPr>
            <w:tcW w:w="1047"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02840850" w14:textId="677EB5AB" w:rsidR="005A1D44" w:rsidRPr="003A44E9" w:rsidRDefault="005A1D44" w:rsidP="005A1D44">
            <w:pPr>
              <w:spacing w:line="240" w:lineRule="auto"/>
              <w:jc w:val="center"/>
              <w:rPr>
                <w:rFonts w:cs="Times New Roman"/>
                <w:color w:val="000000"/>
                <w:sz w:val="20"/>
                <w:szCs w:val="20"/>
              </w:rPr>
            </w:pPr>
            <w:r w:rsidRPr="003A44E9">
              <w:rPr>
                <w:rFonts w:cs="Times New Roman"/>
                <w:color w:val="000000"/>
                <w:sz w:val="20"/>
                <w:szCs w:val="20"/>
              </w:rPr>
              <w:t>P</w:t>
            </w:r>
          </w:p>
        </w:tc>
        <w:tc>
          <w:tcPr>
            <w:tcW w:w="874"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1E3F9C23" w14:textId="030C60CE" w:rsidR="005A1D44" w:rsidRPr="003A44E9" w:rsidRDefault="005A1D44" w:rsidP="005A1D44">
            <w:pPr>
              <w:spacing w:line="240" w:lineRule="auto"/>
              <w:jc w:val="center"/>
              <w:rPr>
                <w:rFonts w:cs="Times New Roman"/>
                <w:color w:val="000000"/>
                <w:sz w:val="20"/>
                <w:szCs w:val="20"/>
              </w:rPr>
            </w:pPr>
            <w:r>
              <w:rPr>
                <w:rFonts w:cs="Times New Roman"/>
                <w:color w:val="000000"/>
                <w:sz w:val="20"/>
                <w:szCs w:val="20"/>
              </w:rPr>
              <w:t>K</w:t>
            </w:r>
          </w:p>
        </w:tc>
        <w:tc>
          <w:tcPr>
            <w:tcW w:w="874"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tcPr>
          <w:p w14:paraId="0955B19A" w14:textId="4B825510" w:rsidR="005A1D44" w:rsidRPr="003A44E9" w:rsidRDefault="005A1D44" w:rsidP="005A1D44">
            <w:pPr>
              <w:spacing w:line="240" w:lineRule="auto"/>
              <w:jc w:val="center"/>
              <w:rPr>
                <w:rFonts w:cs="Times New Roman"/>
                <w:color w:val="000000"/>
                <w:sz w:val="20"/>
                <w:szCs w:val="20"/>
              </w:rPr>
            </w:pPr>
            <w:r>
              <w:rPr>
                <w:rFonts w:cs="Times New Roman"/>
                <w:color w:val="000000"/>
                <w:sz w:val="20"/>
                <w:szCs w:val="20"/>
              </w:rPr>
              <w:t>pH</w:t>
            </w:r>
          </w:p>
        </w:tc>
        <w:tc>
          <w:tcPr>
            <w:tcW w:w="962"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70168853" w14:textId="6E2AF5B1" w:rsidR="005A1D44" w:rsidRPr="003A44E9" w:rsidRDefault="005A1D44" w:rsidP="005A1D44">
            <w:pPr>
              <w:spacing w:line="240" w:lineRule="auto"/>
              <w:jc w:val="center"/>
              <w:rPr>
                <w:rFonts w:cs="Times New Roman"/>
                <w:color w:val="000000"/>
                <w:sz w:val="20"/>
                <w:szCs w:val="20"/>
              </w:rPr>
            </w:pPr>
            <w:r>
              <w:rPr>
                <w:rFonts w:cs="Times New Roman"/>
                <w:color w:val="000000"/>
                <w:sz w:val="20"/>
                <w:szCs w:val="20"/>
              </w:rPr>
              <w:t>P</w:t>
            </w:r>
          </w:p>
        </w:tc>
        <w:tc>
          <w:tcPr>
            <w:tcW w:w="969"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2B78BB82" w14:textId="3691B9AE" w:rsidR="005A1D44" w:rsidRPr="003A44E9" w:rsidRDefault="005A1D44" w:rsidP="005A1D44">
            <w:pPr>
              <w:spacing w:line="240" w:lineRule="auto"/>
              <w:jc w:val="center"/>
              <w:rPr>
                <w:rFonts w:cs="Times New Roman"/>
                <w:color w:val="000000"/>
                <w:sz w:val="20"/>
                <w:szCs w:val="20"/>
              </w:rPr>
            </w:pPr>
            <w:r>
              <w:rPr>
                <w:rFonts w:cs="Times New Roman"/>
                <w:color w:val="000000"/>
                <w:sz w:val="20"/>
                <w:szCs w:val="20"/>
              </w:rPr>
              <w:t>K</w:t>
            </w:r>
          </w:p>
        </w:tc>
        <w:tc>
          <w:tcPr>
            <w:tcW w:w="969"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51BE3EAC" w14:textId="0DAAD7F1" w:rsidR="005A1D44" w:rsidRPr="003A44E9" w:rsidRDefault="005A1D44" w:rsidP="005A1D44">
            <w:pPr>
              <w:spacing w:line="240" w:lineRule="auto"/>
              <w:jc w:val="center"/>
              <w:rPr>
                <w:rFonts w:cs="Times New Roman"/>
                <w:color w:val="000000"/>
                <w:sz w:val="20"/>
                <w:szCs w:val="20"/>
              </w:rPr>
            </w:pPr>
            <w:r>
              <w:rPr>
                <w:rFonts w:cs="Times New Roman"/>
                <w:color w:val="000000"/>
                <w:sz w:val="20"/>
                <w:szCs w:val="20"/>
              </w:rPr>
              <w:t>pH</w:t>
            </w:r>
          </w:p>
        </w:tc>
      </w:tr>
      <w:tr w:rsidR="005A1D44" w:rsidRPr="003A44E9" w14:paraId="7C48A37A" w14:textId="77777777" w:rsidTr="005A1D44">
        <w:trPr>
          <w:trHeight w:val="288"/>
        </w:trPr>
        <w:tc>
          <w:tcPr>
            <w:tcW w:w="1480" w:type="dxa"/>
            <w:tcBorders>
              <w:top w:val="single" w:sz="12" w:space="0" w:color="auto"/>
              <w:left w:val="nil"/>
              <w:right w:val="single" w:sz="36" w:space="0" w:color="FFFFFF" w:themeColor="background1"/>
            </w:tcBorders>
            <w:shd w:val="clear" w:color="auto" w:fill="auto"/>
            <w:noWrap/>
            <w:vAlign w:val="bottom"/>
          </w:tcPr>
          <w:p w14:paraId="0C9E4956" w14:textId="77777777" w:rsidR="005A1D44" w:rsidRPr="003A44E9" w:rsidRDefault="005A1D44" w:rsidP="00971541">
            <w:pPr>
              <w:spacing w:line="240" w:lineRule="auto"/>
              <w:rPr>
                <w:rFonts w:cs="Times New Roman"/>
                <w:color w:val="000000"/>
                <w:sz w:val="20"/>
                <w:szCs w:val="20"/>
              </w:rPr>
            </w:pPr>
          </w:p>
        </w:tc>
        <w:tc>
          <w:tcPr>
            <w:tcW w:w="5695" w:type="dxa"/>
            <w:gridSpan w:val="7"/>
            <w:tcBorders>
              <w:top w:val="single" w:sz="12" w:space="0" w:color="auto"/>
              <w:left w:val="single" w:sz="36" w:space="0" w:color="FFFFFF" w:themeColor="background1"/>
              <w:right w:val="single" w:sz="36" w:space="0" w:color="FFFFFF" w:themeColor="background1"/>
            </w:tcBorders>
            <w:shd w:val="clear" w:color="auto" w:fill="auto"/>
            <w:noWrap/>
            <w:vAlign w:val="center"/>
          </w:tcPr>
          <w:p w14:paraId="2F702503" w14:textId="2F8FD100" w:rsidR="005A1D44" w:rsidRPr="003A44E9" w:rsidRDefault="005A1D44" w:rsidP="00971541">
            <w:pPr>
              <w:spacing w:line="240" w:lineRule="auto"/>
              <w:jc w:val="center"/>
              <w:rPr>
                <w:sz w:val="20"/>
                <w:szCs w:val="20"/>
              </w:rPr>
            </w:pPr>
            <w:r w:rsidRPr="003A44E9">
              <w:rPr>
                <w:sz w:val="20"/>
                <w:szCs w:val="20"/>
              </w:rPr>
              <w:t>-----------------------------------</w:t>
            </w:r>
            <w:r>
              <w:rPr>
                <w:sz w:val="20"/>
                <w:szCs w:val="20"/>
              </w:rPr>
              <w:t>kg ha</w:t>
            </w:r>
            <w:r w:rsidRPr="0053607C">
              <w:rPr>
                <w:sz w:val="20"/>
                <w:szCs w:val="20"/>
                <w:vertAlign w:val="superscript"/>
              </w:rPr>
              <w:t>-1</w:t>
            </w:r>
            <w:r w:rsidRPr="003A44E9">
              <w:rPr>
                <w:sz w:val="20"/>
                <w:szCs w:val="20"/>
              </w:rPr>
              <w:t>-----------------------------------</w:t>
            </w:r>
          </w:p>
        </w:tc>
      </w:tr>
      <w:tr w:rsidR="005A1D44" w:rsidRPr="003A44E9" w14:paraId="54A14615" w14:textId="77777777" w:rsidTr="005A1D44">
        <w:trPr>
          <w:trHeight w:val="288"/>
        </w:trPr>
        <w:tc>
          <w:tcPr>
            <w:tcW w:w="1480" w:type="dxa"/>
            <w:tcBorders>
              <w:left w:val="nil"/>
            </w:tcBorders>
            <w:shd w:val="clear" w:color="auto" w:fill="auto"/>
            <w:noWrap/>
            <w:vAlign w:val="center"/>
            <w:hideMark/>
          </w:tcPr>
          <w:p w14:paraId="09B472CA" w14:textId="67D6BD7B" w:rsidR="005A1D44" w:rsidRPr="003A44E9" w:rsidRDefault="005A1D44" w:rsidP="00971541">
            <w:pPr>
              <w:spacing w:line="240" w:lineRule="auto"/>
              <w:rPr>
                <w:rFonts w:cs="Times New Roman"/>
                <w:color w:val="000000"/>
                <w:sz w:val="20"/>
                <w:szCs w:val="20"/>
              </w:rPr>
            </w:pPr>
            <w:r>
              <w:rPr>
                <w:rFonts w:cs="Times New Roman"/>
                <w:color w:val="000000"/>
                <w:sz w:val="20"/>
                <w:szCs w:val="20"/>
              </w:rPr>
              <w:t>2018</w:t>
            </w:r>
          </w:p>
        </w:tc>
        <w:tc>
          <w:tcPr>
            <w:tcW w:w="1047" w:type="dxa"/>
            <w:shd w:val="clear" w:color="auto" w:fill="auto"/>
            <w:noWrap/>
            <w:vAlign w:val="center"/>
          </w:tcPr>
          <w:p w14:paraId="6AA45F69" w14:textId="1714658E" w:rsidR="005A1D44" w:rsidRPr="000D7ABF" w:rsidRDefault="000D7ABF" w:rsidP="000D7ABF">
            <w:pPr>
              <w:spacing w:line="240" w:lineRule="auto"/>
              <w:jc w:val="center"/>
              <w:rPr>
                <w:rFonts w:cs="Times New Roman"/>
                <w:color w:val="000000"/>
                <w:sz w:val="20"/>
                <w:szCs w:val="20"/>
              </w:rPr>
            </w:pPr>
            <w:r w:rsidRPr="000D7ABF">
              <w:rPr>
                <w:rFonts w:cs="Times New Roman"/>
                <w:color w:val="000000"/>
                <w:sz w:val="20"/>
                <w:szCs w:val="20"/>
              </w:rPr>
              <w:t>12.7</w:t>
            </w:r>
          </w:p>
        </w:tc>
        <w:tc>
          <w:tcPr>
            <w:tcW w:w="874" w:type="dxa"/>
            <w:shd w:val="clear" w:color="auto" w:fill="auto"/>
            <w:noWrap/>
            <w:vAlign w:val="center"/>
          </w:tcPr>
          <w:p w14:paraId="3EED298B" w14:textId="26E6B5E8" w:rsidR="005A1D44" w:rsidRPr="000D7ABF" w:rsidRDefault="000D7ABF" w:rsidP="000D7ABF">
            <w:pPr>
              <w:spacing w:line="240" w:lineRule="auto"/>
              <w:jc w:val="center"/>
              <w:rPr>
                <w:rFonts w:cs="Times New Roman"/>
                <w:color w:val="000000"/>
                <w:sz w:val="20"/>
                <w:szCs w:val="20"/>
              </w:rPr>
            </w:pPr>
            <w:r w:rsidRPr="000D7ABF">
              <w:rPr>
                <w:rFonts w:cs="Times New Roman"/>
                <w:color w:val="000000"/>
                <w:sz w:val="20"/>
                <w:szCs w:val="20"/>
              </w:rPr>
              <w:t>58.1</w:t>
            </w:r>
          </w:p>
        </w:tc>
        <w:tc>
          <w:tcPr>
            <w:tcW w:w="874" w:type="dxa"/>
            <w:shd w:val="clear" w:color="auto" w:fill="auto"/>
            <w:noWrap/>
            <w:vAlign w:val="center"/>
          </w:tcPr>
          <w:p w14:paraId="2B5F90A4" w14:textId="754215D3" w:rsidR="005A1D44" w:rsidRPr="000D7ABF" w:rsidRDefault="000D7ABF" w:rsidP="000D7ABF">
            <w:pPr>
              <w:spacing w:line="240" w:lineRule="auto"/>
              <w:jc w:val="center"/>
              <w:rPr>
                <w:rFonts w:cs="Times New Roman"/>
                <w:color w:val="000000"/>
                <w:sz w:val="20"/>
                <w:szCs w:val="20"/>
              </w:rPr>
            </w:pPr>
            <w:r w:rsidRPr="000D7ABF">
              <w:rPr>
                <w:rFonts w:cs="Times New Roman"/>
                <w:color w:val="000000"/>
                <w:sz w:val="20"/>
                <w:szCs w:val="20"/>
              </w:rPr>
              <w:t>6.4</w:t>
            </w:r>
          </w:p>
        </w:tc>
        <w:tc>
          <w:tcPr>
            <w:tcW w:w="962" w:type="dxa"/>
            <w:shd w:val="clear" w:color="auto" w:fill="auto"/>
            <w:noWrap/>
            <w:vAlign w:val="center"/>
          </w:tcPr>
          <w:p w14:paraId="0CE8D556" w14:textId="10475F4B" w:rsidR="000D7ABF" w:rsidRPr="000D7ABF" w:rsidRDefault="000D7ABF" w:rsidP="000D7ABF">
            <w:pPr>
              <w:spacing w:line="240" w:lineRule="auto"/>
              <w:jc w:val="center"/>
              <w:rPr>
                <w:rFonts w:cs="Times New Roman"/>
                <w:color w:val="000000"/>
                <w:sz w:val="20"/>
                <w:szCs w:val="20"/>
              </w:rPr>
            </w:pPr>
            <w:r w:rsidRPr="000D7ABF">
              <w:rPr>
                <w:rFonts w:cs="Times New Roman"/>
                <w:color w:val="000000"/>
                <w:sz w:val="20"/>
                <w:szCs w:val="20"/>
              </w:rPr>
              <w:t>14.0</w:t>
            </w:r>
          </w:p>
        </w:tc>
        <w:tc>
          <w:tcPr>
            <w:tcW w:w="969" w:type="dxa"/>
            <w:shd w:val="clear" w:color="auto" w:fill="auto"/>
            <w:noWrap/>
            <w:vAlign w:val="center"/>
          </w:tcPr>
          <w:p w14:paraId="5B4D04FB" w14:textId="1AFC145D" w:rsidR="005A1D44" w:rsidRPr="000D7ABF" w:rsidRDefault="000D7ABF" w:rsidP="000D7ABF">
            <w:pPr>
              <w:spacing w:line="240" w:lineRule="auto"/>
              <w:jc w:val="center"/>
              <w:rPr>
                <w:rFonts w:cs="Times New Roman"/>
                <w:color w:val="000000"/>
                <w:sz w:val="20"/>
                <w:szCs w:val="20"/>
              </w:rPr>
            </w:pPr>
            <w:r w:rsidRPr="000D7ABF">
              <w:rPr>
                <w:rFonts w:cs="Times New Roman"/>
                <w:color w:val="000000"/>
                <w:sz w:val="20"/>
                <w:szCs w:val="20"/>
              </w:rPr>
              <w:t>78.7</w:t>
            </w:r>
          </w:p>
        </w:tc>
        <w:tc>
          <w:tcPr>
            <w:tcW w:w="969" w:type="dxa"/>
            <w:gridSpan w:val="2"/>
            <w:shd w:val="clear" w:color="auto" w:fill="auto"/>
            <w:noWrap/>
            <w:vAlign w:val="center"/>
          </w:tcPr>
          <w:p w14:paraId="34C4E8A0" w14:textId="6CA6C50A" w:rsidR="005A1D44" w:rsidRPr="000D7ABF" w:rsidRDefault="000D7ABF" w:rsidP="000D7ABF">
            <w:pPr>
              <w:spacing w:line="240" w:lineRule="auto"/>
              <w:jc w:val="center"/>
              <w:rPr>
                <w:rFonts w:cs="Times New Roman"/>
                <w:color w:val="000000"/>
                <w:sz w:val="20"/>
                <w:szCs w:val="20"/>
              </w:rPr>
            </w:pPr>
            <w:r w:rsidRPr="000D7ABF">
              <w:rPr>
                <w:rFonts w:cs="Times New Roman"/>
                <w:color w:val="000000"/>
                <w:sz w:val="20"/>
                <w:szCs w:val="20"/>
              </w:rPr>
              <w:t>6.4</w:t>
            </w:r>
          </w:p>
        </w:tc>
      </w:tr>
      <w:tr w:rsidR="005A1D44" w:rsidRPr="003A44E9" w14:paraId="7277B56D" w14:textId="77777777" w:rsidTr="005A1D44">
        <w:trPr>
          <w:trHeight w:val="288"/>
        </w:trPr>
        <w:tc>
          <w:tcPr>
            <w:tcW w:w="1480" w:type="dxa"/>
            <w:tcBorders>
              <w:left w:val="nil"/>
              <w:right w:val="nil"/>
            </w:tcBorders>
            <w:shd w:val="clear" w:color="auto" w:fill="D9D9D9" w:themeFill="background1" w:themeFillShade="D9"/>
            <w:noWrap/>
            <w:vAlign w:val="center"/>
            <w:hideMark/>
          </w:tcPr>
          <w:p w14:paraId="4A0A7C3B" w14:textId="07F4C40C" w:rsidR="005A1D44" w:rsidRPr="003A44E9" w:rsidRDefault="005A1D44" w:rsidP="00971541">
            <w:pPr>
              <w:spacing w:line="240" w:lineRule="auto"/>
              <w:rPr>
                <w:rFonts w:cs="Times New Roman"/>
                <w:color w:val="000000"/>
                <w:sz w:val="20"/>
                <w:szCs w:val="20"/>
              </w:rPr>
            </w:pPr>
            <w:r>
              <w:rPr>
                <w:rFonts w:cs="Times New Roman"/>
                <w:color w:val="000000"/>
                <w:sz w:val="20"/>
                <w:szCs w:val="20"/>
              </w:rPr>
              <w:t>2019</w:t>
            </w:r>
          </w:p>
        </w:tc>
        <w:tc>
          <w:tcPr>
            <w:tcW w:w="1047" w:type="dxa"/>
            <w:tcBorders>
              <w:left w:val="nil"/>
              <w:bottom w:val="nil"/>
              <w:right w:val="nil"/>
            </w:tcBorders>
            <w:shd w:val="clear" w:color="auto" w:fill="D9D9D9" w:themeFill="background1" w:themeFillShade="D9"/>
            <w:noWrap/>
            <w:vAlign w:val="center"/>
          </w:tcPr>
          <w:p w14:paraId="0F4CB841" w14:textId="4836675C" w:rsidR="005A1D44" w:rsidRPr="000D7ABF" w:rsidRDefault="000D7ABF" w:rsidP="000D7ABF">
            <w:pPr>
              <w:spacing w:line="240" w:lineRule="auto"/>
              <w:jc w:val="center"/>
              <w:rPr>
                <w:rFonts w:cs="Times New Roman"/>
                <w:color w:val="000000"/>
                <w:sz w:val="20"/>
                <w:szCs w:val="20"/>
              </w:rPr>
            </w:pPr>
            <w:r w:rsidRPr="000D7ABF">
              <w:rPr>
                <w:rFonts w:cs="Times New Roman"/>
                <w:color w:val="000000"/>
                <w:sz w:val="20"/>
                <w:szCs w:val="20"/>
              </w:rPr>
              <w:t>12.3</w:t>
            </w:r>
          </w:p>
        </w:tc>
        <w:tc>
          <w:tcPr>
            <w:tcW w:w="874" w:type="dxa"/>
            <w:tcBorders>
              <w:left w:val="nil"/>
              <w:bottom w:val="nil"/>
              <w:right w:val="nil"/>
            </w:tcBorders>
            <w:shd w:val="clear" w:color="auto" w:fill="D9D9D9" w:themeFill="background1" w:themeFillShade="D9"/>
            <w:noWrap/>
            <w:vAlign w:val="center"/>
          </w:tcPr>
          <w:p w14:paraId="0D4560C5" w14:textId="49D5EBF7" w:rsidR="005A1D44" w:rsidRPr="000D7ABF" w:rsidRDefault="000D7ABF" w:rsidP="000D7ABF">
            <w:pPr>
              <w:spacing w:line="240" w:lineRule="auto"/>
              <w:jc w:val="center"/>
              <w:rPr>
                <w:rFonts w:cs="Times New Roman"/>
                <w:color w:val="000000"/>
                <w:sz w:val="20"/>
                <w:szCs w:val="20"/>
              </w:rPr>
            </w:pPr>
            <w:r w:rsidRPr="000D7ABF">
              <w:rPr>
                <w:rFonts w:cs="Times New Roman"/>
                <w:color w:val="000000"/>
                <w:sz w:val="20"/>
                <w:szCs w:val="20"/>
              </w:rPr>
              <w:t>111.0</w:t>
            </w:r>
          </w:p>
        </w:tc>
        <w:tc>
          <w:tcPr>
            <w:tcW w:w="874" w:type="dxa"/>
            <w:tcBorders>
              <w:left w:val="nil"/>
              <w:bottom w:val="nil"/>
              <w:right w:val="nil"/>
            </w:tcBorders>
            <w:shd w:val="clear" w:color="auto" w:fill="D9D9D9" w:themeFill="background1" w:themeFillShade="D9"/>
            <w:noWrap/>
            <w:vAlign w:val="center"/>
          </w:tcPr>
          <w:p w14:paraId="399E2029" w14:textId="1C6626E6" w:rsidR="005A1D44" w:rsidRPr="000D7ABF" w:rsidRDefault="000D7ABF" w:rsidP="000D7ABF">
            <w:pPr>
              <w:spacing w:line="240" w:lineRule="auto"/>
              <w:jc w:val="center"/>
              <w:rPr>
                <w:rFonts w:cs="Times New Roman"/>
                <w:color w:val="000000"/>
                <w:sz w:val="20"/>
                <w:szCs w:val="20"/>
              </w:rPr>
            </w:pPr>
            <w:r w:rsidRPr="000D7ABF">
              <w:rPr>
                <w:rFonts w:cs="Times New Roman"/>
                <w:color w:val="000000"/>
                <w:sz w:val="20"/>
                <w:szCs w:val="20"/>
              </w:rPr>
              <w:t>6.4</w:t>
            </w:r>
          </w:p>
        </w:tc>
        <w:tc>
          <w:tcPr>
            <w:tcW w:w="962" w:type="dxa"/>
            <w:tcBorders>
              <w:left w:val="nil"/>
              <w:bottom w:val="nil"/>
              <w:right w:val="nil"/>
            </w:tcBorders>
            <w:shd w:val="clear" w:color="auto" w:fill="D9D9D9" w:themeFill="background1" w:themeFillShade="D9"/>
            <w:noWrap/>
            <w:vAlign w:val="center"/>
          </w:tcPr>
          <w:p w14:paraId="1DC9A120" w14:textId="5011B203" w:rsidR="005A1D44" w:rsidRPr="000D7ABF" w:rsidRDefault="000D7ABF" w:rsidP="000D7ABF">
            <w:pPr>
              <w:spacing w:line="240" w:lineRule="auto"/>
              <w:jc w:val="center"/>
              <w:rPr>
                <w:rFonts w:cs="Times New Roman"/>
                <w:color w:val="000000"/>
                <w:sz w:val="20"/>
                <w:szCs w:val="20"/>
              </w:rPr>
            </w:pPr>
            <w:r w:rsidRPr="000D7ABF">
              <w:rPr>
                <w:rFonts w:cs="Times New Roman"/>
                <w:color w:val="000000"/>
                <w:sz w:val="20"/>
                <w:szCs w:val="20"/>
              </w:rPr>
              <w:t>12.3</w:t>
            </w:r>
          </w:p>
        </w:tc>
        <w:tc>
          <w:tcPr>
            <w:tcW w:w="969" w:type="dxa"/>
            <w:tcBorders>
              <w:left w:val="nil"/>
              <w:bottom w:val="nil"/>
              <w:right w:val="nil"/>
            </w:tcBorders>
            <w:shd w:val="clear" w:color="auto" w:fill="D9D9D9" w:themeFill="background1" w:themeFillShade="D9"/>
            <w:noWrap/>
            <w:vAlign w:val="center"/>
          </w:tcPr>
          <w:p w14:paraId="5B371414" w14:textId="5A7D0FD5" w:rsidR="005A1D44" w:rsidRPr="000D7ABF" w:rsidRDefault="000D7ABF" w:rsidP="000D7ABF">
            <w:pPr>
              <w:spacing w:line="240" w:lineRule="auto"/>
              <w:jc w:val="center"/>
              <w:rPr>
                <w:rFonts w:cs="Times New Roman"/>
                <w:color w:val="000000"/>
                <w:sz w:val="20"/>
                <w:szCs w:val="20"/>
              </w:rPr>
            </w:pPr>
            <w:r w:rsidRPr="000D7ABF">
              <w:rPr>
                <w:rFonts w:cs="Times New Roman"/>
                <w:color w:val="000000"/>
                <w:sz w:val="20"/>
                <w:szCs w:val="20"/>
              </w:rPr>
              <w:t>85.1</w:t>
            </w:r>
          </w:p>
        </w:tc>
        <w:tc>
          <w:tcPr>
            <w:tcW w:w="969" w:type="dxa"/>
            <w:gridSpan w:val="2"/>
            <w:tcBorders>
              <w:left w:val="nil"/>
              <w:bottom w:val="nil"/>
              <w:right w:val="nil"/>
            </w:tcBorders>
            <w:shd w:val="clear" w:color="auto" w:fill="D9D9D9" w:themeFill="background1" w:themeFillShade="D9"/>
            <w:noWrap/>
            <w:vAlign w:val="center"/>
          </w:tcPr>
          <w:p w14:paraId="6B0A30BC" w14:textId="0C0F42AF" w:rsidR="005A1D44" w:rsidRPr="000D7ABF" w:rsidRDefault="000D7ABF" w:rsidP="000D7ABF">
            <w:pPr>
              <w:spacing w:line="240" w:lineRule="auto"/>
              <w:jc w:val="center"/>
              <w:rPr>
                <w:rFonts w:cs="Times New Roman"/>
                <w:color w:val="000000"/>
                <w:sz w:val="20"/>
                <w:szCs w:val="20"/>
              </w:rPr>
            </w:pPr>
            <w:r w:rsidRPr="000D7ABF">
              <w:rPr>
                <w:rFonts w:cs="Times New Roman"/>
                <w:color w:val="000000"/>
                <w:sz w:val="20"/>
                <w:szCs w:val="20"/>
              </w:rPr>
              <w:t>6.6</w:t>
            </w:r>
          </w:p>
        </w:tc>
      </w:tr>
      <w:tr w:rsidR="005A1D44" w:rsidRPr="003A44E9" w14:paraId="25ACC76F" w14:textId="77777777" w:rsidTr="005A1D44">
        <w:trPr>
          <w:trHeight w:val="288"/>
        </w:trPr>
        <w:tc>
          <w:tcPr>
            <w:tcW w:w="1480" w:type="dxa"/>
            <w:tcBorders>
              <w:top w:val="nil"/>
              <w:left w:val="nil"/>
              <w:bottom w:val="single" w:sz="12" w:space="0" w:color="auto"/>
              <w:right w:val="nil"/>
            </w:tcBorders>
            <w:shd w:val="clear" w:color="auto" w:fill="auto"/>
            <w:noWrap/>
            <w:vAlign w:val="center"/>
            <w:hideMark/>
          </w:tcPr>
          <w:p w14:paraId="7577FA40" w14:textId="07FB23CF" w:rsidR="005A1D44" w:rsidRPr="003A44E9" w:rsidRDefault="005A1D44" w:rsidP="00971541">
            <w:pPr>
              <w:spacing w:line="240" w:lineRule="auto"/>
              <w:rPr>
                <w:rFonts w:cs="Times New Roman"/>
                <w:color w:val="000000"/>
                <w:sz w:val="20"/>
                <w:szCs w:val="20"/>
              </w:rPr>
            </w:pPr>
            <w:r>
              <w:rPr>
                <w:rFonts w:cs="Times New Roman"/>
                <w:color w:val="000000"/>
                <w:sz w:val="20"/>
                <w:szCs w:val="20"/>
              </w:rPr>
              <w:t>2020</w:t>
            </w:r>
          </w:p>
        </w:tc>
        <w:tc>
          <w:tcPr>
            <w:tcW w:w="1047" w:type="dxa"/>
            <w:tcBorders>
              <w:top w:val="nil"/>
              <w:left w:val="nil"/>
              <w:bottom w:val="single" w:sz="12" w:space="0" w:color="auto"/>
              <w:right w:val="nil"/>
            </w:tcBorders>
            <w:shd w:val="clear" w:color="auto" w:fill="auto"/>
            <w:noWrap/>
            <w:vAlign w:val="center"/>
          </w:tcPr>
          <w:p w14:paraId="16C864F6" w14:textId="1A934ABA" w:rsidR="005A1D44" w:rsidRPr="000D7ABF" w:rsidRDefault="000D7ABF" w:rsidP="000D7ABF">
            <w:pPr>
              <w:spacing w:line="240" w:lineRule="auto"/>
              <w:jc w:val="center"/>
              <w:rPr>
                <w:rFonts w:cs="Times New Roman"/>
                <w:color w:val="000000"/>
                <w:sz w:val="20"/>
                <w:szCs w:val="20"/>
              </w:rPr>
            </w:pPr>
            <w:r w:rsidRPr="000D7ABF">
              <w:rPr>
                <w:rFonts w:cs="Times New Roman"/>
                <w:color w:val="000000"/>
                <w:sz w:val="20"/>
                <w:szCs w:val="20"/>
              </w:rPr>
              <w:t>16.8</w:t>
            </w:r>
          </w:p>
        </w:tc>
        <w:tc>
          <w:tcPr>
            <w:tcW w:w="874" w:type="dxa"/>
            <w:tcBorders>
              <w:top w:val="nil"/>
              <w:left w:val="nil"/>
              <w:bottom w:val="single" w:sz="12" w:space="0" w:color="auto"/>
              <w:right w:val="nil"/>
            </w:tcBorders>
            <w:shd w:val="clear" w:color="auto" w:fill="auto"/>
            <w:noWrap/>
            <w:vAlign w:val="center"/>
          </w:tcPr>
          <w:p w14:paraId="20D5E0A6" w14:textId="315F0D26" w:rsidR="005A1D44" w:rsidRPr="000D7ABF" w:rsidRDefault="000D7ABF" w:rsidP="000D7ABF">
            <w:pPr>
              <w:spacing w:line="240" w:lineRule="auto"/>
              <w:jc w:val="center"/>
              <w:rPr>
                <w:rFonts w:cs="Times New Roman"/>
                <w:color w:val="000000"/>
                <w:sz w:val="20"/>
                <w:szCs w:val="20"/>
              </w:rPr>
            </w:pPr>
            <w:r w:rsidRPr="000D7ABF">
              <w:rPr>
                <w:rFonts w:cs="Times New Roman"/>
                <w:color w:val="000000"/>
                <w:sz w:val="20"/>
                <w:szCs w:val="20"/>
              </w:rPr>
              <w:t>68.4</w:t>
            </w:r>
          </w:p>
        </w:tc>
        <w:tc>
          <w:tcPr>
            <w:tcW w:w="874" w:type="dxa"/>
            <w:tcBorders>
              <w:top w:val="nil"/>
              <w:left w:val="nil"/>
              <w:bottom w:val="single" w:sz="12" w:space="0" w:color="auto"/>
              <w:right w:val="nil"/>
            </w:tcBorders>
            <w:shd w:val="clear" w:color="auto" w:fill="auto"/>
            <w:noWrap/>
            <w:vAlign w:val="center"/>
          </w:tcPr>
          <w:p w14:paraId="48180B62" w14:textId="0DD21CF5" w:rsidR="005A1D44" w:rsidRPr="000D7ABF" w:rsidRDefault="000D7ABF" w:rsidP="000D7ABF">
            <w:pPr>
              <w:spacing w:line="240" w:lineRule="auto"/>
              <w:jc w:val="center"/>
              <w:rPr>
                <w:rFonts w:cs="Times New Roman"/>
                <w:color w:val="000000"/>
                <w:sz w:val="20"/>
                <w:szCs w:val="20"/>
              </w:rPr>
            </w:pPr>
            <w:r w:rsidRPr="000D7ABF">
              <w:rPr>
                <w:rFonts w:cs="Times New Roman"/>
                <w:color w:val="000000"/>
                <w:sz w:val="20"/>
                <w:szCs w:val="20"/>
              </w:rPr>
              <w:t>6.4</w:t>
            </w:r>
          </w:p>
        </w:tc>
        <w:tc>
          <w:tcPr>
            <w:tcW w:w="962" w:type="dxa"/>
            <w:tcBorders>
              <w:top w:val="nil"/>
              <w:left w:val="nil"/>
              <w:bottom w:val="single" w:sz="12" w:space="0" w:color="auto"/>
              <w:right w:val="nil"/>
            </w:tcBorders>
            <w:shd w:val="clear" w:color="auto" w:fill="auto"/>
            <w:noWrap/>
            <w:vAlign w:val="center"/>
          </w:tcPr>
          <w:p w14:paraId="1A79E877" w14:textId="44F4A9F9" w:rsidR="005A1D44" w:rsidRPr="000D7ABF" w:rsidRDefault="000D7ABF" w:rsidP="000D7ABF">
            <w:pPr>
              <w:spacing w:line="240" w:lineRule="auto"/>
              <w:jc w:val="center"/>
              <w:rPr>
                <w:rFonts w:cs="Times New Roman"/>
                <w:color w:val="000000"/>
                <w:sz w:val="20"/>
                <w:szCs w:val="20"/>
              </w:rPr>
            </w:pPr>
            <w:r w:rsidRPr="000D7ABF">
              <w:rPr>
                <w:rFonts w:cs="Times New Roman"/>
                <w:color w:val="000000"/>
                <w:sz w:val="20"/>
                <w:szCs w:val="20"/>
              </w:rPr>
              <w:t>12.3</w:t>
            </w:r>
          </w:p>
        </w:tc>
        <w:tc>
          <w:tcPr>
            <w:tcW w:w="969" w:type="dxa"/>
            <w:tcBorders>
              <w:top w:val="nil"/>
              <w:left w:val="nil"/>
              <w:bottom w:val="single" w:sz="12" w:space="0" w:color="auto"/>
              <w:right w:val="nil"/>
            </w:tcBorders>
            <w:shd w:val="clear" w:color="auto" w:fill="auto"/>
            <w:noWrap/>
            <w:vAlign w:val="center"/>
          </w:tcPr>
          <w:p w14:paraId="51D7EE61" w14:textId="5EA387D4" w:rsidR="005A1D44" w:rsidRPr="000D7ABF" w:rsidRDefault="000D7ABF" w:rsidP="000D7ABF">
            <w:pPr>
              <w:spacing w:line="240" w:lineRule="auto"/>
              <w:jc w:val="center"/>
              <w:rPr>
                <w:rFonts w:cs="Times New Roman"/>
                <w:color w:val="000000"/>
                <w:sz w:val="20"/>
                <w:szCs w:val="20"/>
              </w:rPr>
            </w:pPr>
            <w:r w:rsidRPr="000D7ABF">
              <w:rPr>
                <w:rFonts w:cs="Times New Roman"/>
                <w:color w:val="000000"/>
                <w:sz w:val="20"/>
                <w:szCs w:val="20"/>
              </w:rPr>
              <w:t>70.6</w:t>
            </w:r>
          </w:p>
        </w:tc>
        <w:tc>
          <w:tcPr>
            <w:tcW w:w="969" w:type="dxa"/>
            <w:gridSpan w:val="2"/>
            <w:tcBorders>
              <w:top w:val="nil"/>
              <w:left w:val="nil"/>
              <w:bottom w:val="single" w:sz="12" w:space="0" w:color="auto"/>
              <w:right w:val="nil"/>
            </w:tcBorders>
            <w:shd w:val="clear" w:color="auto" w:fill="auto"/>
            <w:noWrap/>
            <w:vAlign w:val="center"/>
          </w:tcPr>
          <w:p w14:paraId="63E0CE36" w14:textId="7E5C1613" w:rsidR="005A1D44" w:rsidRPr="000D7ABF" w:rsidRDefault="000D7ABF" w:rsidP="000D7ABF">
            <w:pPr>
              <w:spacing w:line="240" w:lineRule="auto"/>
              <w:jc w:val="center"/>
              <w:rPr>
                <w:rFonts w:cs="Times New Roman"/>
                <w:color w:val="000000"/>
                <w:sz w:val="20"/>
                <w:szCs w:val="20"/>
              </w:rPr>
            </w:pPr>
            <w:r w:rsidRPr="000D7ABF">
              <w:rPr>
                <w:rFonts w:cs="Times New Roman"/>
                <w:color w:val="000000"/>
                <w:sz w:val="20"/>
                <w:szCs w:val="20"/>
              </w:rPr>
              <w:t>6.5</w:t>
            </w:r>
          </w:p>
        </w:tc>
      </w:tr>
    </w:tbl>
    <w:p w14:paraId="298C8B39" w14:textId="77777777" w:rsidR="00A01E34" w:rsidRDefault="00A01E34" w:rsidP="005A1D44">
      <w:pPr>
        <w:pStyle w:val="AgronomyJournalSectionTitles"/>
        <w:jc w:val="left"/>
      </w:pPr>
    </w:p>
    <w:p w14:paraId="4D27B89B" w14:textId="77777777" w:rsidR="005A1D44" w:rsidRPr="00BC2376" w:rsidRDefault="005A1D44" w:rsidP="00B572F9">
      <w:pPr>
        <w:pStyle w:val="AgronomyJournalSectionTitles"/>
        <w:rPr>
          <w:b w:val="0"/>
          <w:bCs w:val="0"/>
        </w:rPr>
      </w:pPr>
    </w:p>
    <w:p w14:paraId="1F814417" w14:textId="2614D471" w:rsidR="00B572F9" w:rsidRPr="00BC2376" w:rsidRDefault="00B572F9" w:rsidP="00A97504">
      <w:pPr>
        <w:pStyle w:val="Tables"/>
        <w:spacing w:before="0" w:after="60"/>
        <w:rPr>
          <w:b/>
        </w:rPr>
      </w:pPr>
      <w:bookmarkStart w:id="183" w:name="_Toc72300402"/>
      <w:bookmarkStart w:id="184" w:name="_Hlk51801639"/>
      <w:r w:rsidRPr="00BC2376">
        <w:t>Table 2.</w:t>
      </w:r>
      <w:r w:rsidR="003C3710">
        <w:t>2</w:t>
      </w:r>
      <w:r w:rsidRPr="00BC2376">
        <w:t xml:space="preserve">.  </w:t>
      </w:r>
      <w:bookmarkStart w:id="185" w:name="_Hlk65363302"/>
      <w:r w:rsidR="00A45150" w:rsidRPr="00BC2376">
        <w:t>N</w:t>
      </w:r>
      <w:r w:rsidRPr="00BC2376">
        <w:t>ative warm-season forb</w:t>
      </w:r>
      <w:r w:rsidR="00A45150" w:rsidRPr="00BC2376">
        <w:t>s</w:t>
      </w:r>
      <w:r w:rsidRPr="00BC2376">
        <w:t xml:space="preserve"> species planted in</w:t>
      </w:r>
      <w:r w:rsidR="00A45150" w:rsidRPr="00BC2376">
        <w:t xml:space="preserve"> a mixture for native </w:t>
      </w:r>
      <w:r w:rsidR="00706798">
        <w:t xml:space="preserve">grass </w:t>
      </w:r>
      <w:r w:rsidR="00A45150" w:rsidRPr="00BC2376">
        <w:t>pasture grazing experiments,</w:t>
      </w:r>
      <w:r w:rsidRPr="00BC2376">
        <w:t xml:space="preserve"> </w:t>
      </w:r>
      <w:r w:rsidR="009F3ECA">
        <w:t xml:space="preserve">June </w:t>
      </w:r>
      <w:r w:rsidRPr="00BC2376">
        <w:t>2017</w:t>
      </w:r>
      <w:r w:rsidR="00A45150" w:rsidRPr="00BC2376">
        <w:t>,</w:t>
      </w:r>
      <w:r w:rsidRPr="00BC2376">
        <w:t xml:space="preserve"> </w:t>
      </w:r>
      <w:r w:rsidR="007D4FBA" w:rsidRPr="00BC2376">
        <w:t>University of Tennessee – Northeast Tennessee AgResearch and Education Center, Greeneville, TN.</w:t>
      </w:r>
      <w:bookmarkEnd w:id="183"/>
      <w:bookmarkEnd w:id="185"/>
    </w:p>
    <w:tbl>
      <w:tblPr>
        <w:tblW w:w="8443" w:type="dxa"/>
        <w:tblLook w:val="04A0" w:firstRow="1" w:lastRow="0" w:firstColumn="1" w:lastColumn="0" w:noHBand="0" w:noVBand="1"/>
      </w:tblPr>
      <w:tblGrid>
        <w:gridCol w:w="3904"/>
        <w:gridCol w:w="2360"/>
        <w:gridCol w:w="1271"/>
        <w:gridCol w:w="908"/>
      </w:tblGrid>
      <w:tr w:rsidR="00B572F9" w:rsidRPr="00500D8E" w14:paraId="4FBDB445" w14:textId="77777777" w:rsidTr="004A496B">
        <w:trPr>
          <w:trHeight w:val="295"/>
        </w:trPr>
        <w:tc>
          <w:tcPr>
            <w:tcW w:w="3904" w:type="dxa"/>
            <w:tcBorders>
              <w:top w:val="single" w:sz="12" w:space="0" w:color="auto"/>
              <w:left w:val="nil"/>
              <w:bottom w:val="nil"/>
              <w:right w:val="single" w:sz="36" w:space="0" w:color="FFFFFF" w:themeColor="background1"/>
            </w:tcBorders>
            <w:shd w:val="clear" w:color="auto" w:fill="auto"/>
            <w:noWrap/>
            <w:vAlign w:val="center"/>
            <w:hideMark/>
          </w:tcPr>
          <w:p w14:paraId="3D1DDD34" w14:textId="77777777" w:rsidR="00B572F9" w:rsidRPr="00500D8E" w:rsidRDefault="00B572F9" w:rsidP="00CD16CE">
            <w:pPr>
              <w:spacing w:line="240" w:lineRule="auto"/>
              <w:rPr>
                <w:rFonts w:cs="Times New Roman"/>
                <w:sz w:val="20"/>
                <w:szCs w:val="20"/>
              </w:rPr>
            </w:pPr>
            <w:r w:rsidRPr="00500D8E">
              <w:rPr>
                <w:rFonts w:cs="Times New Roman"/>
                <w:sz w:val="20"/>
                <w:szCs w:val="20"/>
              </w:rPr>
              <w:t>Common Name</w:t>
            </w:r>
            <w:r w:rsidRPr="00F9270C">
              <w:rPr>
                <w:rFonts w:cs="Times New Roman"/>
                <w:sz w:val="20"/>
                <w:szCs w:val="20"/>
                <w:vertAlign w:val="superscript"/>
              </w:rPr>
              <w:t>†</w:t>
            </w:r>
          </w:p>
        </w:tc>
        <w:tc>
          <w:tcPr>
            <w:tcW w:w="2360"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tcPr>
          <w:p w14:paraId="3DBBEC3B" w14:textId="77777777" w:rsidR="00B572F9" w:rsidRPr="00500D8E" w:rsidRDefault="00B572F9" w:rsidP="00CD16CE">
            <w:pPr>
              <w:spacing w:line="240" w:lineRule="auto"/>
              <w:rPr>
                <w:rFonts w:cs="Times New Roman"/>
                <w:color w:val="000000"/>
                <w:sz w:val="20"/>
                <w:szCs w:val="20"/>
              </w:rPr>
            </w:pPr>
            <w:r w:rsidRPr="00500D8E">
              <w:rPr>
                <w:rFonts w:cs="Times New Roman"/>
                <w:color w:val="000000"/>
                <w:sz w:val="20"/>
                <w:szCs w:val="20"/>
              </w:rPr>
              <w:t>Latin Name</w:t>
            </w:r>
          </w:p>
        </w:tc>
        <w:tc>
          <w:tcPr>
            <w:tcW w:w="1271" w:type="dxa"/>
            <w:tcBorders>
              <w:top w:val="single" w:sz="12" w:space="0" w:color="auto"/>
              <w:left w:val="single" w:sz="36" w:space="0" w:color="FFFFFF" w:themeColor="background1"/>
              <w:bottom w:val="single" w:sz="12" w:space="0" w:color="auto"/>
            </w:tcBorders>
            <w:vAlign w:val="center"/>
          </w:tcPr>
          <w:p w14:paraId="6D627331" w14:textId="42223DD0" w:rsidR="00B572F9" w:rsidRPr="00500D8E" w:rsidRDefault="00B572F9" w:rsidP="00CD16CE">
            <w:pPr>
              <w:spacing w:line="240" w:lineRule="auto"/>
              <w:jc w:val="center"/>
              <w:rPr>
                <w:rFonts w:cs="Times New Roman"/>
                <w:color w:val="000000"/>
                <w:sz w:val="20"/>
                <w:szCs w:val="20"/>
              </w:rPr>
            </w:pPr>
            <w:r w:rsidRPr="00500D8E">
              <w:rPr>
                <w:rFonts w:cs="Times New Roman"/>
                <w:color w:val="000000"/>
                <w:sz w:val="20"/>
                <w:szCs w:val="20"/>
              </w:rPr>
              <w:t xml:space="preserve">Total </w:t>
            </w:r>
            <w:r w:rsidR="004443D3">
              <w:rPr>
                <w:rFonts w:cs="Times New Roman"/>
                <w:color w:val="000000"/>
                <w:sz w:val="20"/>
                <w:szCs w:val="20"/>
              </w:rPr>
              <w:t>k</w:t>
            </w:r>
            <w:r w:rsidRPr="00500D8E">
              <w:rPr>
                <w:rFonts w:cs="Times New Roman"/>
                <w:color w:val="000000"/>
                <w:sz w:val="20"/>
                <w:szCs w:val="20"/>
              </w:rPr>
              <w:t>g ha</w:t>
            </w:r>
            <w:r w:rsidRPr="00500D8E">
              <w:rPr>
                <w:rFonts w:cs="Times New Roman"/>
                <w:color w:val="000000"/>
                <w:sz w:val="20"/>
                <w:szCs w:val="20"/>
                <w:vertAlign w:val="superscript"/>
              </w:rPr>
              <w:t>-1</w:t>
            </w:r>
          </w:p>
        </w:tc>
        <w:tc>
          <w:tcPr>
            <w:tcW w:w="908" w:type="dxa"/>
            <w:tcBorders>
              <w:top w:val="single" w:sz="12" w:space="0" w:color="auto"/>
              <w:left w:val="single" w:sz="36" w:space="0" w:color="FFFFFF" w:themeColor="background1"/>
              <w:bottom w:val="single" w:sz="12" w:space="0" w:color="auto"/>
            </w:tcBorders>
            <w:vAlign w:val="center"/>
          </w:tcPr>
          <w:p w14:paraId="74E9FDE2" w14:textId="77777777" w:rsidR="00B572F9" w:rsidRPr="00500D8E" w:rsidRDefault="00B572F9" w:rsidP="00CD16CE">
            <w:pPr>
              <w:spacing w:line="240" w:lineRule="auto"/>
              <w:jc w:val="center"/>
              <w:rPr>
                <w:rFonts w:cs="Times New Roman"/>
                <w:color w:val="000000"/>
                <w:sz w:val="20"/>
                <w:szCs w:val="20"/>
              </w:rPr>
            </w:pPr>
            <w:r>
              <w:rPr>
                <w:rFonts w:cs="Times New Roman"/>
                <w:color w:val="000000"/>
                <w:sz w:val="20"/>
                <w:szCs w:val="20"/>
              </w:rPr>
              <w:t>A/B/P</w:t>
            </w:r>
            <w:r w:rsidRPr="00CC4CAC">
              <w:rPr>
                <w:rFonts w:cs="Times New Roman"/>
                <w:color w:val="000000"/>
                <w:sz w:val="20"/>
                <w:szCs w:val="20"/>
                <w:vertAlign w:val="superscript"/>
              </w:rPr>
              <w:t>‡</w:t>
            </w:r>
          </w:p>
        </w:tc>
      </w:tr>
      <w:tr w:rsidR="00B572F9" w:rsidRPr="00500D8E" w14:paraId="0499355A" w14:textId="77777777" w:rsidTr="004A496B">
        <w:trPr>
          <w:trHeight w:val="295"/>
        </w:trPr>
        <w:tc>
          <w:tcPr>
            <w:tcW w:w="3904" w:type="dxa"/>
            <w:tcBorders>
              <w:top w:val="single" w:sz="12" w:space="0" w:color="auto"/>
              <w:left w:val="nil"/>
              <w:bottom w:val="nil"/>
              <w:right w:val="single" w:sz="36" w:space="0" w:color="FFFFFF" w:themeColor="background1"/>
            </w:tcBorders>
            <w:shd w:val="clear" w:color="auto" w:fill="auto"/>
            <w:noWrap/>
            <w:vAlign w:val="center"/>
          </w:tcPr>
          <w:p w14:paraId="3BB9ADEF" w14:textId="53F6CD5D" w:rsidR="00B572F9" w:rsidRPr="00500D8E" w:rsidRDefault="00B572F9" w:rsidP="00CD16CE">
            <w:pPr>
              <w:spacing w:line="240" w:lineRule="auto"/>
              <w:rPr>
                <w:rFonts w:cs="Times New Roman"/>
                <w:sz w:val="20"/>
                <w:szCs w:val="20"/>
              </w:rPr>
            </w:pPr>
            <w:r w:rsidRPr="00500D8E">
              <w:rPr>
                <w:rFonts w:cs="Times New Roman"/>
                <w:sz w:val="20"/>
                <w:szCs w:val="20"/>
              </w:rPr>
              <w:t>Partridge pea</w:t>
            </w:r>
            <w:r w:rsidR="00DA0917" w:rsidRPr="00DA0917">
              <w:rPr>
                <w:rFonts w:cs="Times New Roman"/>
                <w:sz w:val="20"/>
                <w:szCs w:val="20"/>
                <w:vertAlign w:val="superscript"/>
              </w:rPr>
              <w:t>§</w:t>
            </w:r>
          </w:p>
        </w:tc>
        <w:tc>
          <w:tcPr>
            <w:tcW w:w="2360"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tcPr>
          <w:p w14:paraId="5D526EC2" w14:textId="77777777" w:rsidR="00B572F9" w:rsidRPr="00500D8E" w:rsidRDefault="00B572F9" w:rsidP="00CD16CE">
            <w:pPr>
              <w:spacing w:line="240" w:lineRule="auto"/>
              <w:rPr>
                <w:rFonts w:cs="Times New Roman"/>
                <w:i/>
                <w:iCs/>
                <w:color w:val="000000"/>
                <w:sz w:val="20"/>
                <w:szCs w:val="20"/>
              </w:rPr>
            </w:pPr>
            <w:r w:rsidRPr="00500D8E">
              <w:rPr>
                <w:rFonts w:cs="Times New Roman"/>
                <w:i/>
                <w:iCs/>
                <w:sz w:val="20"/>
                <w:szCs w:val="20"/>
              </w:rPr>
              <w:t>Chamaecrista fasciculata</w:t>
            </w:r>
          </w:p>
        </w:tc>
        <w:tc>
          <w:tcPr>
            <w:tcW w:w="1271" w:type="dxa"/>
            <w:tcBorders>
              <w:top w:val="single" w:sz="12" w:space="0" w:color="auto"/>
              <w:left w:val="single" w:sz="36" w:space="0" w:color="FFFFFF" w:themeColor="background1"/>
              <w:bottom w:val="nil"/>
            </w:tcBorders>
            <w:vAlign w:val="center"/>
          </w:tcPr>
          <w:p w14:paraId="3E6FE683" w14:textId="2D0F7D40" w:rsidR="00B572F9" w:rsidRPr="00500D8E" w:rsidRDefault="004443D3" w:rsidP="00CD16CE">
            <w:pPr>
              <w:spacing w:line="240" w:lineRule="auto"/>
              <w:jc w:val="center"/>
              <w:rPr>
                <w:rFonts w:cs="Times New Roman"/>
                <w:color w:val="000000"/>
                <w:sz w:val="20"/>
                <w:szCs w:val="20"/>
              </w:rPr>
            </w:pPr>
            <w:r>
              <w:rPr>
                <w:rFonts w:cs="Times New Roman"/>
                <w:sz w:val="20"/>
                <w:szCs w:val="20"/>
              </w:rPr>
              <w:t>0.</w:t>
            </w:r>
            <w:r w:rsidR="00B572F9" w:rsidRPr="00500D8E">
              <w:rPr>
                <w:rFonts w:cs="Times New Roman"/>
                <w:sz w:val="20"/>
                <w:szCs w:val="20"/>
              </w:rPr>
              <w:t>56</w:t>
            </w:r>
          </w:p>
        </w:tc>
        <w:tc>
          <w:tcPr>
            <w:tcW w:w="908" w:type="dxa"/>
            <w:tcBorders>
              <w:top w:val="single" w:sz="12" w:space="0" w:color="auto"/>
              <w:left w:val="single" w:sz="36" w:space="0" w:color="FFFFFF" w:themeColor="background1"/>
              <w:bottom w:val="nil"/>
            </w:tcBorders>
            <w:vAlign w:val="center"/>
          </w:tcPr>
          <w:p w14:paraId="65EB07DA" w14:textId="77777777" w:rsidR="00B572F9" w:rsidRPr="00500D8E" w:rsidRDefault="00B572F9" w:rsidP="00CD16CE">
            <w:pPr>
              <w:spacing w:line="240" w:lineRule="auto"/>
              <w:jc w:val="center"/>
              <w:rPr>
                <w:rFonts w:cs="Times New Roman"/>
                <w:sz w:val="20"/>
                <w:szCs w:val="20"/>
              </w:rPr>
            </w:pPr>
            <w:r>
              <w:rPr>
                <w:rFonts w:cs="Times New Roman"/>
                <w:sz w:val="20"/>
                <w:szCs w:val="20"/>
              </w:rPr>
              <w:t>A</w:t>
            </w:r>
          </w:p>
        </w:tc>
      </w:tr>
      <w:tr w:rsidR="00B572F9" w:rsidRPr="00500D8E" w14:paraId="0CE290BF" w14:textId="77777777" w:rsidTr="004A496B">
        <w:trPr>
          <w:trHeight w:val="295"/>
        </w:trPr>
        <w:tc>
          <w:tcPr>
            <w:tcW w:w="3904" w:type="dxa"/>
            <w:tcBorders>
              <w:top w:val="nil"/>
              <w:left w:val="nil"/>
              <w:bottom w:val="nil"/>
              <w:right w:val="nil"/>
            </w:tcBorders>
            <w:shd w:val="clear" w:color="auto" w:fill="D9D9D9" w:themeFill="background1" w:themeFillShade="D9"/>
            <w:noWrap/>
            <w:vAlign w:val="center"/>
          </w:tcPr>
          <w:p w14:paraId="04A07A8B" w14:textId="77777777" w:rsidR="00B572F9" w:rsidRPr="00500D8E" w:rsidRDefault="00B572F9" w:rsidP="00CD16CE">
            <w:pPr>
              <w:spacing w:line="240" w:lineRule="auto"/>
              <w:rPr>
                <w:rFonts w:cs="Times New Roman"/>
                <w:color w:val="000000"/>
                <w:sz w:val="20"/>
                <w:szCs w:val="20"/>
              </w:rPr>
            </w:pPr>
            <w:r w:rsidRPr="00500D8E">
              <w:rPr>
                <w:rFonts w:cs="Times New Roman"/>
                <w:color w:val="000000"/>
                <w:sz w:val="20"/>
                <w:szCs w:val="20"/>
              </w:rPr>
              <w:t>Lanceleaf coreopsis</w:t>
            </w:r>
          </w:p>
        </w:tc>
        <w:tc>
          <w:tcPr>
            <w:tcW w:w="2360" w:type="dxa"/>
            <w:tcBorders>
              <w:top w:val="nil"/>
              <w:left w:val="nil"/>
              <w:bottom w:val="nil"/>
              <w:right w:val="nil"/>
            </w:tcBorders>
            <w:shd w:val="clear" w:color="auto" w:fill="D9D9D9" w:themeFill="background1" w:themeFillShade="D9"/>
            <w:noWrap/>
            <w:vAlign w:val="center"/>
          </w:tcPr>
          <w:p w14:paraId="1B89C67E" w14:textId="77777777" w:rsidR="00B572F9" w:rsidRPr="00500D8E" w:rsidRDefault="00B572F9" w:rsidP="00CD16CE">
            <w:pPr>
              <w:spacing w:line="240" w:lineRule="auto"/>
              <w:rPr>
                <w:rFonts w:cs="Times New Roman"/>
                <w:i/>
                <w:iCs/>
                <w:color w:val="000000"/>
                <w:sz w:val="20"/>
                <w:szCs w:val="20"/>
              </w:rPr>
            </w:pPr>
            <w:r w:rsidRPr="00500D8E">
              <w:rPr>
                <w:rFonts w:cs="Times New Roman"/>
                <w:i/>
                <w:iCs/>
                <w:sz w:val="20"/>
                <w:szCs w:val="20"/>
              </w:rPr>
              <w:t>Coreopsis lanceolata</w:t>
            </w:r>
          </w:p>
        </w:tc>
        <w:tc>
          <w:tcPr>
            <w:tcW w:w="1271" w:type="dxa"/>
            <w:tcBorders>
              <w:top w:val="nil"/>
              <w:left w:val="nil"/>
              <w:bottom w:val="nil"/>
              <w:right w:val="nil"/>
            </w:tcBorders>
            <w:shd w:val="clear" w:color="auto" w:fill="D9D9D9" w:themeFill="background1" w:themeFillShade="D9"/>
            <w:vAlign w:val="center"/>
          </w:tcPr>
          <w:p w14:paraId="0F9098C2" w14:textId="79622216" w:rsidR="00B572F9" w:rsidRPr="00500D8E" w:rsidRDefault="00B572F9" w:rsidP="00CD16CE">
            <w:pPr>
              <w:spacing w:line="240" w:lineRule="auto"/>
              <w:jc w:val="center"/>
              <w:rPr>
                <w:rFonts w:cs="Times New Roman"/>
                <w:color w:val="000000"/>
                <w:sz w:val="20"/>
                <w:szCs w:val="20"/>
              </w:rPr>
            </w:pPr>
            <w:r w:rsidRPr="00500D8E">
              <w:rPr>
                <w:rFonts w:cs="Times New Roman"/>
                <w:sz w:val="20"/>
                <w:szCs w:val="20"/>
              </w:rPr>
              <w:t>1</w:t>
            </w:r>
            <w:r w:rsidR="004443D3">
              <w:rPr>
                <w:rFonts w:cs="Times New Roman"/>
                <w:sz w:val="20"/>
                <w:szCs w:val="20"/>
              </w:rPr>
              <w:t>.</w:t>
            </w:r>
            <w:r w:rsidRPr="00500D8E">
              <w:rPr>
                <w:rFonts w:cs="Times New Roman"/>
                <w:sz w:val="20"/>
                <w:szCs w:val="20"/>
              </w:rPr>
              <w:t>12</w:t>
            </w:r>
          </w:p>
        </w:tc>
        <w:tc>
          <w:tcPr>
            <w:tcW w:w="908" w:type="dxa"/>
            <w:tcBorders>
              <w:top w:val="nil"/>
              <w:left w:val="nil"/>
              <w:bottom w:val="nil"/>
              <w:right w:val="nil"/>
            </w:tcBorders>
            <w:shd w:val="clear" w:color="auto" w:fill="D9D9D9" w:themeFill="background1" w:themeFillShade="D9"/>
            <w:vAlign w:val="center"/>
          </w:tcPr>
          <w:p w14:paraId="3940FACE" w14:textId="77777777" w:rsidR="00B572F9" w:rsidRPr="00500D8E" w:rsidRDefault="00B572F9" w:rsidP="00CD16CE">
            <w:pPr>
              <w:spacing w:line="240" w:lineRule="auto"/>
              <w:jc w:val="center"/>
              <w:rPr>
                <w:rFonts w:cs="Times New Roman"/>
                <w:sz w:val="20"/>
                <w:szCs w:val="20"/>
              </w:rPr>
            </w:pPr>
            <w:r>
              <w:rPr>
                <w:rFonts w:cs="Times New Roman"/>
                <w:sz w:val="20"/>
                <w:szCs w:val="20"/>
              </w:rPr>
              <w:t>P</w:t>
            </w:r>
          </w:p>
        </w:tc>
      </w:tr>
      <w:tr w:rsidR="00B572F9" w:rsidRPr="00500D8E" w14:paraId="1C6E423E" w14:textId="77777777" w:rsidTr="004A496B">
        <w:trPr>
          <w:trHeight w:val="295"/>
        </w:trPr>
        <w:tc>
          <w:tcPr>
            <w:tcW w:w="3904" w:type="dxa"/>
            <w:tcBorders>
              <w:top w:val="nil"/>
              <w:left w:val="nil"/>
              <w:bottom w:val="nil"/>
              <w:right w:val="nil"/>
            </w:tcBorders>
            <w:shd w:val="clear" w:color="auto" w:fill="auto"/>
            <w:noWrap/>
            <w:vAlign w:val="center"/>
          </w:tcPr>
          <w:p w14:paraId="6AD7B60B" w14:textId="77777777" w:rsidR="00B572F9" w:rsidRPr="00500D8E" w:rsidRDefault="00B572F9" w:rsidP="00CD16CE">
            <w:pPr>
              <w:spacing w:line="240" w:lineRule="auto"/>
              <w:rPr>
                <w:rFonts w:cs="Times New Roman"/>
                <w:color w:val="000000"/>
                <w:sz w:val="20"/>
                <w:szCs w:val="20"/>
              </w:rPr>
            </w:pPr>
            <w:r w:rsidRPr="00500D8E">
              <w:rPr>
                <w:rFonts w:cs="Times New Roman"/>
                <w:sz w:val="20"/>
                <w:szCs w:val="20"/>
              </w:rPr>
              <w:t>Plains Coreopsis</w:t>
            </w:r>
          </w:p>
        </w:tc>
        <w:tc>
          <w:tcPr>
            <w:tcW w:w="2360" w:type="dxa"/>
            <w:tcBorders>
              <w:top w:val="nil"/>
              <w:left w:val="nil"/>
              <w:bottom w:val="nil"/>
              <w:right w:val="nil"/>
            </w:tcBorders>
            <w:shd w:val="clear" w:color="auto" w:fill="auto"/>
            <w:noWrap/>
            <w:vAlign w:val="center"/>
          </w:tcPr>
          <w:p w14:paraId="706FA8D9" w14:textId="77777777" w:rsidR="00B572F9" w:rsidRPr="00500D8E" w:rsidRDefault="00B572F9" w:rsidP="00CD16CE">
            <w:pPr>
              <w:spacing w:line="240" w:lineRule="auto"/>
              <w:rPr>
                <w:rFonts w:cs="Times New Roman"/>
                <w:b/>
                <w:bCs/>
                <w:i/>
                <w:iCs/>
                <w:color w:val="000000"/>
                <w:sz w:val="20"/>
                <w:szCs w:val="20"/>
              </w:rPr>
            </w:pPr>
            <w:r w:rsidRPr="00500D8E">
              <w:rPr>
                <w:rFonts w:cs="Times New Roman"/>
                <w:i/>
                <w:iCs/>
                <w:sz w:val="20"/>
                <w:szCs w:val="20"/>
              </w:rPr>
              <w:t>Coreopsis tinctoria</w:t>
            </w:r>
          </w:p>
        </w:tc>
        <w:tc>
          <w:tcPr>
            <w:tcW w:w="1271" w:type="dxa"/>
            <w:tcBorders>
              <w:top w:val="nil"/>
              <w:left w:val="nil"/>
              <w:bottom w:val="nil"/>
              <w:right w:val="nil"/>
            </w:tcBorders>
            <w:vAlign w:val="center"/>
          </w:tcPr>
          <w:p w14:paraId="06AD798F" w14:textId="060E7AAB" w:rsidR="00B572F9" w:rsidRPr="00500D8E" w:rsidRDefault="004443D3" w:rsidP="00CD16CE">
            <w:pPr>
              <w:spacing w:line="240" w:lineRule="auto"/>
              <w:jc w:val="center"/>
              <w:rPr>
                <w:rFonts w:cs="Times New Roman"/>
                <w:b/>
                <w:bCs/>
                <w:color w:val="000000"/>
                <w:sz w:val="20"/>
                <w:szCs w:val="20"/>
              </w:rPr>
            </w:pPr>
            <w:r>
              <w:rPr>
                <w:rFonts w:cs="Times New Roman"/>
                <w:sz w:val="20"/>
                <w:szCs w:val="20"/>
              </w:rPr>
              <w:t>0.</w:t>
            </w:r>
            <w:r w:rsidR="00B572F9" w:rsidRPr="00500D8E">
              <w:rPr>
                <w:rFonts w:cs="Times New Roman"/>
                <w:sz w:val="20"/>
                <w:szCs w:val="20"/>
              </w:rPr>
              <w:t>56</w:t>
            </w:r>
          </w:p>
        </w:tc>
        <w:tc>
          <w:tcPr>
            <w:tcW w:w="908" w:type="dxa"/>
            <w:tcBorders>
              <w:top w:val="nil"/>
              <w:left w:val="nil"/>
              <w:bottom w:val="nil"/>
              <w:right w:val="nil"/>
            </w:tcBorders>
            <w:vAlign w:val="center"/>
          </w:tcPr>
          <w:p w14:paraId="481D05A4" w14:textId="77777777" w:rsidR="00B572F9" w:rsidRPr="00500D8E" w:rsidRDefault="00B572F9" w:rsidP="00CD16CE">
            <w:pPr>
              <w:spacing w:line="240" w:lineRule="auto"/>
              <w:jc w:val="center"/>
              <w:rPr>
                <w:rFonts w:cs="Times New Roman"/>
                <w:sz w:val="20"/>
                <w:szCs w:val="20"/>
              </w:rPr>
            </w:pPr>
            <w:r>
              <w:rPr>
                <w:rFonts w:cs="Times New Roman"/>
                <w:sz w:val="20"/>
                <w:szCs w:val="20"/>
              </w:rPr>
              <w:t>A</w:t>
            </w:r>
          </w:p>
        </w:tc>
      </w:tr>
      <w:tr w:rsidR="00B572F9" w:rsidRPr="00500D8E" w14:paraId="295BA64B" w14:textId="77777777" w:rsidTr="004A496B">
        <w:trPr>
          <w:trHeight w:val="295"/>
        </w:trPr>
        <w:tc>
          <w:tcPr>
            <w:tcW w:w="3904" w:type="dxa"/>
            <w:tcBorders>
              <w:top w:val="nil"/>
              <w:left w:val="nil"/>
              <w:bottom w:val="nil"/>
              <w:right w:val="nil"/>
            </w:tcBorders>
            <w:shd w:val="clear" w:color="auto" w:fill="D9D9D9" w:themeFill="background1" w:themeFillShade="D9"/>
            <w:noWrap/>
            <w:vAlign w:val="center"/>
          </w:tcPr>
          <w:p w14:paraId="4CEFF9F2" w14:textId="77777777" w:rsidR="00B572F9" w:rsidRPr="00500D8E" w:rsidRDefault="00B572F9" w:rsidP="00CD16CE">
            <w:pPr>
              <w:spacing w:line="240" w:lineRule="auto"/>
              <w:rPr>
                <w:rFonts w:cs="Times New Roman"/>
                <w:color w:val="000000"/>
                <w:sz w:val="20"/>
                <w:szCs w:val="20"/>
              </w:rPr>
            </w:pPr>
            <w:r w:rsidRPr="00500D8E">
              <w:rPr>
                <w:rFonts w:cs="Times New Roman"/>
                <w:sz w:val="20"/>
                <w:szCs w:val="20"/>
              </w:rPr>
              <w:t>Purple Prairie Clover</w:t>
            </w:r>
          </w:p>
        </w:tc>
        <w:tc>
          <w:tcPr>
            <w:tcW w:w="2360" w:type="dxa"/>
            <w:tcBorders>
              <w:top w:val="nil"/>
              <w:left w:val="nil"/>
              <w:bottom w:val="nil"/>
              <w:right w:val="nil"/>
            </w:tcBorders>
            <w:shd w:val="clear" w:color="auto" w:fill="D9D9D9" w:themeFill="background1" w:themeFillShade="D9"/>
            <w:noWrap/>
            <w:vAlign w:val="center"/>
          </w:tcPr>
          <w:p w14:paraId="2D54A650" w14:textId="77777777" w:rsidR="00B572F9" w:rsidRPr="00500D8E" w:rsidRDefault="00B572F9" w:rsidP="00CD16CE">
            <w:pPr>
              <w:spacing w:line="240" w:lineRule="auto"/>
              <w:rPr>
                <w:rFonts w:cs="Times New Roman"/>
                <w:i/>
                <w:iCs/>
                <w:color w:val="000000"/>
                <w:sz w:val="20"/>
                <w:szCs w:val="20"/>
              </w:rPr>
            </w:pPr>
            <w:r w:rsidRPr="00500D8E">
              <w:rPr>
                <w:rFonts w:cs="Times New Roman"/>
                <w:i/>
                <w:iCs/>
                <w:sz w:val="20"/>
                <w:szCs w:val="20"/>
              </w:rPr>
              <w:t>Dalea purpurea</w:t>
            </w:r>
          </w:p>
        </w:tc>
        <w:tc>
          <w:tcPr>
            <w:tcW w:w="1271" w:type="dxa"/>
            <w:tcBorders>
              <w:top w:val="nil"/>
              <w:left w:val="nil"/>
              <w:bottom w:val="nil"/>
              <w:right w:val="nil"/>
            </w:tcBorders>
            <w:shd w:val="clear" w:color="auto" w:fill="D9D9D9" w:themeFill="background1" w:themeFillShade="D9"/>
            <w:vAlign w:val="center"/>
          </w:tcPr>
          <w:p w14:paraId="237D0608" w14:textId="69FE9B28" w:rsidR="00B572F9" w:rsidRPr="00500D8E" w:rsidRDefault="004443D3" w:rsidP="00CD16CE">
            <w:pPr>
              <w:spacing w:line="240" w:lineRule="auto"/>
              <w:jc w:val="center"/>
              <w:rPr>
                <w:rFonts w:cs="Times New Roman"/>
                <w:color w:val="000000"/>
                <w:sz w:val="20"/>
                <w:szCs w:val="20"/>
              </w:rPr>
            </w:pPr>
            <w:r>
              <w:rPr>
                <w:rFonts w:cs="Times New Roman"/>
                <w:sz w:val="20"/>
                <w:szCs w:val="20"/>
              </w:rPr>
              <w:t>0.</w:t>
            </w:r>
            <w:r w:rsidR="00B572F9" w:rsidRPr="00500D8E">
              <w:rPr>
                <w:rFonts w:cs="Times New Roman"/>
                <w:sz w:val="20"/>
                <w:szCs w:val="20"/>
              </w:rPr>
              <w:t>56</w:t>
            </w:r>
          </w:p>
        </w:tc>
        <w:tc>
          <w:tcPr>
            <w:tcW w:w="908" w:type="dxa"/>
            <w:tcBorders>
              <w:top w:val="nil"/>
              <w:left w:val="nil"/>
              <w:bottom w:val="nil"/>
              <w:right w:val="nil"/>
            </w:tcBorders>
            <w:shd w:val="clear" w:color="auto" w:fill="D9D9D9" w:themeFill="background1" w:themeFillShade="D9"/>
            <w:vAlign w:val="center"/>
          </w:tcPr>
          <w:p w14:paraId="0E5D38E0" w14:textId="77777777" w:rsidR="00B572F9" w:rsidRPr="00500D8E" w:rsidRDefault="00B572F9" w:rsidP="00CD16CE">
            <w:pPr>
              <w:spacing w:line="240" w:lineRule="auto"/>
              <w:jc w:val="center"/>
              <w:rPr>
                <w:rFonts w:cs="Times New Roman"/>
                <w:sz w:val="20"/>
                <w:szCs w:val="20"/>
              </w:rPr>
            </w:pPr>
            <w:r>
              <w:rPr>
                <w:rFonts w:cs="Times New Roman"/>
                <w:sz w:val="20"/>
                <w:szCs w:val="20"/>
              </w:rPr>
              <w:t>P</w:t>
            </w:r>
          </w:p>
        </w:tc>
      </w:tr>
      <w:tr w:rsidR="00B572F9" w:rsidRPr="00500D8E" w14:paraId="06DD3C81" w14:textId="77777777" w:rsidTr="004A496B">
        <w:trPr>
          <w:trHeight w:val="295"/>
        </w:trPr>
        <w:tc>
          <w:tcPr>
            <w:tcW w:w="3904" w:type="dxa"/>
            <w:tcBorders>
              <w:top w:val="nil"/>
              <w:left w:val="nil"/>
              <w:bottom w:val="nil"/>
              <w:right w:val="nil"/>
            </w:tcBorders>
            <w:shd w:val="clear" w:color="auto" w:fill="auto"/>
            <w:noWrap/>
            <w:vAlign w:val="center"/>
          </w:tcPr>
          <w:p w14:paraId="3C075893" w14:textId="09AC98B4" w:rsidR="00B572F9" w:rsidRPr="00500D8E" w:rsidRDefault="00B572F9" w:rsidP="00CD16CE">
            <w:pPr>
              <w:spacing w:line="240" w:lineRule="auto"/>
              <w:rPr>
                <w:rFonts w:cs="Times New Roman"/>
                <w:color w:val="000000"/>
                <w:sz w:val="20"/>
                <w:szCs w:val="20"/>
              </w:rPr>
            </w:pPr>
            <w:r w:rsidRPr="00500D8E">
              <w:rPr>
                <w:rFonts w:cs="Times New Roman"/>
                <w:sz w:val="20"/>
                <w:szCs w:val="20"/>
              </w:rPr>
              <w:t>Illinois Bundleflower, Midwestern U.S. Eco</w:t>
            </w:r>
            <w:r w:rsidR="00DA0917" w:rsidRPr="00DA0917">
              <w:rPr>
                <w:rFonts w:cs="Times New Roman"/>
                <w:sz w:val="20"/>
                <w:szCs w:val="20"/>
                <w:vertAlign w:val="superscript"/>
              </w:rPr>
              <w:t>§</w:t>
            </w:r>
          </w:p>
        </w:tc>
        <w:tc>
          <w:tcPr>
            <w:tcW w:w="2360" w:type="dxa"/>
            <w:tcBorders>
              <w:top w:val="nil"/>
              <w:left w:val="nil"/>
              <w:bottom w:val="nil"/>
              <w:right w:val="nil"/>
            </w:tcBorders>
            <w:shd w:val="clear" w:color="auto" w:fill="auto"/>
            <w:noWrap/>
            <w:vAlign w:val="center"/>
          </w:tcPr>
          <w:p w14:paraId="00DDC444" w14:textId="77777777" w:rsidR="00B572F9" w:rsidRPr="00500D8E" w:rsidRDefault="00B572F9" w:rsidP="00CD16CE">
            <w:pPr>
              <w:spacing w:line="240" w:lineRule="auto"/>
              <w:rPr>
                <w:rFonts w:cs="Times New Roman"/>
                <w:b/>
                <w:bCs/>
                <w:i/>
                <w:iCs/>
                <w:color w:val="000000"/>
                <w:sz w:val="20"/>
                <w:szCs w:val="20"/>
              </w:rPr>
            </w:pPr>
            <w:r w:rsidRPr="00500D8E">
              <w:rPr>
                <w:rFonts w:cs="Times New Roman"/>
                <w:i/>
                <w:iCs/>
                <w:sz w:val="20"/>
                <w:szCs w:val="20"/>
              </w:rPr>
              <w:t>Desmanthus illinoensis</w:t>
            </w:r>
          </w:p>
        </w:tc>
        <w:tc>
          <w:tcPr>
            <w:tcW w:w="1271" w:type="dxa"/>
            <w:tcBorders>
              <w:top w:val="nil"/>
              <w:left w:val="nil"/>
              <w:bottom w:val="nil"/>
              <w:right w:val="nil"/>
            </w:tcBorders>
            <w:vAlign w:val="center"/>
          </w:tcPr>
          <w:p w14:paraId="56BF1568" w14:textId="15A5201F" w:rsidR="00B572F9" w:rsidRPr="00500D8E" w:rsidRDefault="00B572F9" w:rsidP="00CD16CE">
            <w:pPr>
              <w:spacing w:line="240" w:lineRule="auto"/>
              <w:jc w:val="center"/>
              <w:rPr>
                <w:rFonts w:cs="Times New Roman"/>
                <w:b/>
                <w:bCs/>
                <w:color w:val="000000"/>
                <w:sz w:val="20"/>
                <w:szCs w:val="20"/>
              </w:rPr>
            </w:pPr>
            <w:r w:rsidRPr="00500D8E">
              <w:rPr>
                <w:rFonts w:cs="Times New Roman"/>
                <w:sz w:val="20"/>
                <w:szCs w:val="20"/>
              </w:rPr>
              <w:t>1</w:t>
            </w:r>
            <w:r w:rsidR="004443D3">
              <w:rPr>
                <w:rFonts w:cs="Times New Roman"/>
                <w:sz w:val="20"/>
                <w:szCs w:val="20"/>
              </w:rPr>
              <w:t>.</w:t>
            </w:r>
            <w:r w:rsidRPr="00500D8E">
              <w:rPr>
                <w:rFonts w:cs="Times New Roman"/>
                <w:sz w:val="20"/>
                <w:szCs w:val="20"/>
              </w:rPr>
              <w:t>26</w:t>
            </w:r>
          </w:p>
        </w:tc>
        <w:tc>
          <w:tcPr>
            <w:tcW w:w="908" w:type="dxa"/>
            <w:tcBorders>
              <w:top w:val="nil"/>
              <w:left w:val="nil"/>
              <w:bottom w:val="nil"/>
              <w:right w:val="nil"/>
            </w:tcBorders>
            <w:vAlign w:val="center"/>
          </w:tcPr>
          <w:p w14:paraId="7BA5132A" w14:textId="77777777" w:rsidR="00B572F9" w:rsidRPr="00500D8E" w:rsidRDefault="00B572F9" w:rsidP="00CD16CE">
            <w:pPr>
              <w:spacing w:line="240" w:lineRule="auto"/>
              <w:jc w:val="center"/>
              <w:rPr>
                <w:rFonts w:cs="Times New Roman"/>
                <w:sz w:val="20"/>
                <w:szCs w:val="20"/>
              </w:rPr>
            </w:pPr>
            <w:r>
              <w:rPr>
                <w:rFonts w:cs="Times New Roman"/>
                <w:sz w:val="20"/>
                <w:szCs w:val="20"/>
              </w:rPr>
              <w:t>P</w:t>
            </w:r>
          </w:p>
        </w:tc>
      </w:tr>
      <w:tr w:rsidR="00B572F9" w:rsidRPr="00500D8E" w14:paraId="578E3114" w14:textId="77777777" w:rsidTr="004A496B">
        <w:trPr>
          <w:trHeight w:val="295"/>
        </w:trPr>
        <w:tc>
          <w:tcPr>
            <w:tcW w:w="3904" w:type="dxa"/>
            <w:tcBorders>
              <w:top w:val="nil"/>
              <w:left w:val="nil"/>
              <w:bottom w:val="nil"/>
              <w:right w:val="nil"/>
            </w:tcBorders>
            <w:shd w:val="clear" w:color="auto" w:fill="D9D9D9" w:themeFill="background1" w:themeFillShade="D9"/>
            <w:noWrap/>
            <w:vAlign w:val="center"/>
          </w:tcPr>
          <w:p w14:paraId="7066D948" w14:textId="3879B201" w:rsidR="00B572F9" w:rsidRPr="00500D8E" w:rsidRDefault="00B572F9" w:rsidP="00CD16CE">
            <w:pPr>
              <w:spacing w:line="240" w:lineRule="auto"/>
              <w:rPr>
                <w:rFonts w:cs="Times New Roman"/>
                <w:color w:val="000000"/>
                <w:sz w:val="20"/>
                <w:szCs w:val="20"/>
              </w:rPr>
            </w:pPr>
            <w:r w:rsidRPr="00500D8E">
              <w:rPr>
                <w:rFonts w:cs="Times New Roman"/>
                <w:sz w:val="20"/>
                <w:szCs w:val="20"/>
              </w:rPr>
              <w:t>Dixie Ticktrefoil, AL Eco</w:t>
            </w:r>
            <w:r w:rsidR="00DA0917" w:rsidRPr="00DA0917">
              <w:rPr>
                <w:rFonts w:cs="Times New Roman"/>
                <w:sz w:val="20"/>
                <w:szCs w:val="20"/>
                <w:vertAlign w:val="superscript"/>
              </w:rPr>
              <w:t>§</w:t>
            </w:r>
          </w:p>
        </w:tc>
        <w:tc>
          <w:tcPr>
            <w:tcW w:w="2360" w:type="dxa"/>
            <w:tcBorders>
              <w:top w:val="nil"/>
              <w:left w:val="nil"/>
              <w:bottom w:val="nil"/>
              <w:right w:val="nil"/>
            </w:tcBorders>
            <w:shd w:val="clear" w:color="auto" w:fill="D9D9D9" w:themeFill="background1" w:themeFillShade="D9"/>
            <w:noWrap/>
            <w:vAlign w:val="center"/>
          </w:tcPr>
          <w:p w14:paraId="34AA96BE" w14:textId="77777777" w:rsidR="00B572F9" w:rsidRPr="00500D8E" w:rsidRDefault="00B572F9" w:rsidP="00CD16CE">
            <w:pPr>
              <w:spacing w:line="240" w:lineRule="auto"/>
              <w:rPr>
                <w:rFonts w:cs="Times New Roman"/>
                <w:i/>
                <w:iCs/>
                <w:color w:val="000000"/>
                <w:sz w:val="20"/>
                <w:szCs w:val="20"/>
              </w:rPr>
            </w:pPr>
            <w:r w:rsidRPr="00500D8E">
              <w:rPr>
                <w:rFonts w:cs="Times New Roman"/>
                <w:i/>
                <w:iCs/>
                <w:sz w:val="20"/>
                <w:szCs w:val="20"/>
              </w:rPr>
              <w:t>Desmodium tortuosum</w:t>
            </w:r>
          </w:p>
        </w:tc>
        <w:tc>
          <w:tcPr>
            <w:tcW w:w="1271" w:type="dxa"/>
            <w:tcBorders>
              <w:top w:val="nil"/>
              <w:left w:val="nil"/>
              <w:bottom w:val="nil"/>
              <w:right w:val="nil"/>
            </w:tcBorders>
            <w:shd w:val="clear" w:color="auto" w:fill="D9D9D9" w:themeFill="background1" w:themeFillShade="D9"/>
            <w:vAlign w:val="center"/>
          </w:tcPr>
          <w:p w14:paraId="0F65CCF8" w14:textId="0CE09FE2" w:rsidR="00B572F9" w:rsidRPr="00500D8E" w:rsidRDefault="004443D3" w:rsidP="00CD16CE">
            <w:pPr>
              <w:spacing w:line="240" w:lineRule="auto"/>
              <w:jc w:val="center"/>
              <w:rPr>
                <w:rFonts w:cs="Times New Roman"/>
                <w:color w:val="000000"/>
                <w:sz w:val="20"/>
                <w:szCs w:val="20"/>
              </w:rPr>
            </w:pPr>
            <w:r>
              <w:rPr>
                <w:rFonts w:cs="Times New Roman"/>
                <w:sz w:val="20"/>
                <w:szCs w:val="20"/>
              </w:rPr>
              <w:t>0.</w:t>
            </w:r>
            <w:r w:rsidR="00B572F9" w:rsidRPr="00500D8E">
              <w:rPr>
                <w:rFonts w:cs="Times New Roman"/>
                <w:sz w:val="20"/>
                <w:szCs w:val="20"/>
              </w:rPr>
              <w:t>56</w:t>
            </w:r>
          </w:p>
        </w:tc>
        <w:tc>
          <w:tcPr>
            <w:tcW w:w="908" w:type="dxa"/>
            <w:tcBorders>
              <w:top w:val="nil"/>
              <w:left w:val="nil"/>
              <w:bottom w:val="nil"/>
              <w:right w:val="nil"/>
            </w:tcBorders>
            <w:shd w:val="clear" w:color="auto" w:fill="D9D9D9" w:themeFill="background1" w:themeFillShade="D9"/>
            <w:vAlign w:val="center"/>
          </w:tcPr>
          <w:p w14:paraId="4F7506AE" w14:textId="77777777" w:rsidR="00B572F9" w:rsidRPr="00500D8E" w:rsidRDefault="00B572F9" w:rsidP="00CD16CE">
            <w:pPr>
              <w:spacing w:line="240" w:lineRule="auto"/>
              <w:jc w:val="center"/>
              <w:rPr>
                <w:rFonts w:cs="Times New Roman"/>
                <w:sz w:val="20"/>
                <w:szCs w:val="20"/>
              </w:rPr>
            </w:pPr>
            <w:r>
              <w:rPr>
                <w:rFonts w:cs="Times New Roman"/>
                <w:sz w:val="20"/>
                <w:szCs w:val="20"/>
              </w:rPr>
              <w:t>P</w:t>
            </w:r>
          </w:p>
        </w:tc>
      </w:tr>
      <w:tr w:rsidR="00B572F9" w:rsidRPr="00500D8E" w14:paraId="1D0F6289" w14:textId="77777777" w:rsidTr="004A496B">
        <w:trPr>
          <w:trHeight w:val="295"/>
        </w:trPr>
        <w:tc>
          <w:tcPr>
            <w:tcW w:w="3904" w:type="dxa"/>
            <w:tcBorders>
              <w:top w:val="nil"/>
              <w:left w:val="nil"/>
              <w:bottom w:val="nil"/>
              <w:right w:val="nil"/>
            </w:tcBorders>
            <w:shd w:val="clear" w:color="auto" w:fill="auto"/>
            <w:noWrap/>
            <w:vAlign w:val="center"/>
          </w:tcPr>
          <w:p w14:paraId="04FDAD60" w14:textId="77777777" w:rsidR="00B572F9" w:rsidRPr="00500D8E" w:rsidRDefault="00B572F9" w:rsidP="00CD16CE">
            <w:pPr>
              <w:spacing w:line="240" w:lineRule="auto"/>
              <w:rPr>
                <w:rFonts w:cs="Times New Roman"/>
                <w:color w:val="000000"/>
                <w:sz w:val="20"/>
                <w:szCs w:val="20"/>
              </w:rPr>
            </w:pPr>
            <w:r w:rsidRPr="00500D8E">
              <w:rPr>
                <w:rFonts w:cs="Times New Roman"/>
                <w:sz w:val="20"/>
                <w:szCs w:val="20"/>
              </w:rPr>
              <w:t>Purple Coneflower</w:t>
            </w:r>
          </w:p>
        </w:tc>
        <w:tc>
          <w:tcPr>
            <w:tcW w:w="2360" w:type="dxa"/>
            <w:tcBorders>
              <w:top w:val="nil"/>
              <w:left w:val="nil"/>
              <w:bottom w:val="nil"/>
              <w:right w:val="nil"/>
            </w:tcBorders>
            <w:shd w:val="clear" w:color="auto" w:fill="auto"/>
            <w:noWrap/>
            <w:vAlign w:val="center"/>
          </w:tcPr>
          <w:p w14:paraId="12F0FEF0" w14:textId="77777777" w:rsidR="00B572F9" w:rsidRPr="00500D8E" w:rsidRDefault="00B572F9" w:rsidP="00CD16CE">
            <w:pPr>
              <w:spacing w:line="240" w:lineRule="auto"/>
              <w:rPr>
                <w:rFonts w:cs="Times New Roman"/>
                <w:b/>
                <w:bCs/>
                <w:i/>
                <w:iCs/>
                <w:color w:val="000000"/>
                <w:sz w:val="20"/>
                <w:szCs w:val="20"/>
              </w:rPr>
            </w:pPr>
            <w:r w:rsidRPr="00500D8E">
              <w:rPr>
                <w:rFonts w:cs="Times New Roman"/>
                <w:i/>
                <w:iCs/>
                <w:sz w:val="20"/>
                <w:szCs w:val="20"/>
              </w:rPr>
              <w:t>Echinacea purpurea</w:t>
            </w:r>
          </w:p>
        </w:tc>
        <w:tc>
          <w:tcPr>
            <w:tcW w:w="1271" w:type="dxa"/>
            <w:tcBorders>
              <w:top w:val="nil"/>
              <w:left w:val="nil"/>
              <w:bottom w:val="nil"/>
              <w:right w:val="nil"/>
            </w:tcBorders>
            <w:vAlign w:val="center"/>
          </w:tcPr>
          <w:p w14:paraId="42710678" w14:textId="6CB1C822" w:rsidR="00B572F9" w:rsidRPr="00500D8E" w:rsidRDefault="004443D3" w:rsidP="00CD16CE">
            <w:pPr>
              <w:spacing w:line="240" w:lineRule="auto"/>
              <w:jc w:val="center"/>
              <w:rPr>
                <w:rFonts w:cs="Times New Roman"/>
                <w:b/>
                <w:bCs/>
                <w:color w:val="000000"/>
                <w:sz w:val="20"/>
                <w:szCs w:val="20"/>
              </w:rPr>
            </w:pPr>
            <w:r>
              <w:rPr>
                <w:rFonts w:cs="Times New Roman"/>
                <w:sz w:val="20"/>
                <w:szCs w:val="20"/>
              </w:rPr>
              <w:t>0.</w:t>
            </w:r>
            <w:r w:rsidR="00B572F9" w:rsidRPr="00500D8E">
              <w:rPr>
                <w:rFonts w:cs="Times New Roman"/>
                <w:sz w:val="20"/>
                <w:szCs w:val="20"/>
              </w:rPr>
              <w:t>70</w:t>
            </w:r>
          </w:p>
        </w:tc>
        <w:tc>
          <w:tcPr>
            <w:tcW w:w="908" w:type="dxa"/>
            <w:tcBorders>
              <w:top w:val="nil"/>
              <w:left w:val="nil"/>
              <w:bottom w:val="nil"/>
              <w:right w:val="nil"/>
            </w:tcBorders>
            <w:vAlign w:val="center"/>
          </w:tcPr>
          <w:p w14:paraId="0511F5CD" w14:textId="77777777" w:rsidR="00B572F9" w:rsidRPr="00500D8E" w:rsidRDefault="00B572F9" w:rsidP="00CD16CE">
            <w:pPr>
              <w:spacing w:line="240" w:lineRule="auto"/>
              <w:jc w:val="center"/>
              <w:rPr>
                <w:rFonts w:cs="Times New Roman"/>
                <w:sz w:val="20"/>
                <w:szCs w:val="20"/>
              </w:rPr>
            </w:pPr>
            <w:r>
              <w:rPr>
                <w:rFonts w:cs="Times New Roman"/>
                <w:sz w:val="20"/>
                <w:szCs w:val="20"/>
              </w:rPr>
              <w:t>P</w:t>
            </w:r>
          </w:p>
        </w:tc>
      </w:tr>
      <w:tr w:rsidR="00B572F9" w:rsidRPr="00500D8E" w14:paraId="65D6C5C1" w14:textId="77777777" w:rsidTr="004A496B">
        <w:trPr>
          <w:trHeight w:val="295"/>
        </w:trPr>
        <w:tc>
          <w:tcPr>
            <w:tcW w:w="3904" w:type="dxa"/>
            <w:tcBorders>
              <w:top w:val="nil"/>
              <w:left w:val="nil"/>
              <w:bottom w:val="nil"/>
              <w:right w:val="nil"/>
            </w:tcBorders>
            <w:shd w:val="clear" w:color="auto" w:fill="D9D9D9" w:themeFill="background1" w:themeFillShade="D9"/>
            <w:noWrap/>
            <w:vAlign w:val="center"/>
          </w:tcPr>
          <w:p w14:paraId="7243E9EC" w14:textId="77777777" w:rsidR="00B572F9" w:rsidRPr="00500D8E" w:rsidRDefault="00B572F9" w:rsidP="00CD16CE">
            <w:pPr>
              <w:spacing w:line="240" w:lineRule="auto"/>
              <w:rPr>
                <w:rFonts w:cs="Times New Roman"/>
                <w:color w:val="000000"/>
                <w:sz w:val="20"/>
                <w:szCs w:val="20"/>
              </w:rPr>
            </w:pPr>
            <w:r w:rsidRPr="00500D8E">
              <w:rPr>
                <w:rFonts w:cs="Times New Roman"/>
                <w:sz w:val="20"/>
                <w:szCs w:val="20"/>
              </w:rPr>
              <w:t>Maximilian Sunflower</w:t>
            </w:r>
          </w:p>
        </w:tc>
        <w:tc>
          <w:tcPr>
            <w:tcW w:w="2360" w:type="dxa"/>
            <w:tcBorders>
              <w:top w:val="nil"/>
              <w:left w:val="nil"/>
              <w:bottom w:val="nil"/>
              <w:right w:val="nil"/>
            </w:tcBorders>
            <w:shd w:val="clear" w:color="auto" w:fill="D9D9D9" w:themeFill="background1" w:themeFillShade="D9"/>
            <w:noWrap/>
            <w:vAlign w:val="center"/>
          </w:tcPr>
          <w:p w14:paraId="3271FFDE" w14:textId="77777777" w:rsidR="00B572F9" w:rsidRPr="00500D8E" w:rsidRDefault="00B572F9" w:rsidP="00CD16CE">
            <w:pPr>
              <w:spacing w:line="240" w:lineRule="auto"/>
              <w:rPr>
                <w:rFonts w:cs="Times New Roman"/>
                <w:b/>
                <w:bCs/>
                <w:i/>
                <w:iCs/>
                <w:color w:val="000000"/>
                <w:sz w:val="20"/>
                <w:szCs w:val="20"/>
              </w:rPr>
            </w:pPr>
            <w:r w:rsidRPr="00500D8E">
              <w:rPr>
                <w:rFonts w:cs="Times New Roman"/>
                <w:i/>
                <w:iCs/>
                <w:sz w:val="20"/>
                <w:szCs w:val="20"/>
              </w:rPr>
              <w:t>Helianthus maximilianii</w:t>
            </w:r>
          </w:p>
        </w:tc>
        <w:tc>
          <w:tcPr>
            <w:tcW w:w="1271" w:type="dxa"/>
            <w:tcBorders>
              <w:top w:val="nil"/>
              <w:left w:val="nil"/>
              <w:bottom w:val="nil"/>
              <w:right w:val="nil"/>
            </w:tcBorders>
            <w:shd w:val="clear" w:color="auto" w:fill="D9D9D9" w:themeFill="background1" w:themeFillShade="D9"/>
            <w:vAlign w:val="center"/>
          </w:tcPr>
          <w:p w14:paraId="5A71A84F" w14:textId="2DC11896" w:rsidR="00B572F9" w:rsidRPr="00500D8E" w:rsidRDefault="004443D3" w:rsidP="00CD16CE">
            <w:pPr>
              <w:spacing w:line="240" w:lineRule="auto"/>
              <w:jc w:val="center"/>
              <w:rPr>
                <w:rFonts w:cs="Times New Roman"/>
                <w:b/>
                <w:bCs/>
                <w:color w:val="000000"/>
                <w:sz w:val="20"/>
                <w:szCs w:val="20"/>
              </w:rPr>
            </w:pPr>
            <w:r>
              <w:rPr>
                <w:rFonts w:cs="Times New Roman"/>
                <w:sz w:val="20"/>
                <w:szCs w:val="20"/>
              </w:rPr>
              <w:t>0.</w:t>
            </w:r>
            <w:r w:rsidR="00B572F9" w:rsidRPr="00500D8E">
              <w:rPr>
                <w:rFonts w:cs="Times New Roman"/>
                <w:sz w:val="20"/>
                <w:szCs w:val="20"/>
              </w:rPr>
              <w:t>56</w:t>
            </w:r>
          </w:p>
        </w:tc>
        <w:tc>
          <w:tcPr>
            <w:tcW w:w="908" w:type="dxa"/>
            <w:tcBorders>
              <w:top w:val="nil"/>
              <w:left w:val="nil"/>
              <w:bottom w:val="nil"/>
              <w:right w:val="nil"/>
            </w:tcBorders>
            <w:shd w:val="clear" w:color="auto" w:fill="D9D9D9" w:themeFill="background1" w:themeFillShade="D9"/>
            <w:vAlign w:val="center"/>
          </w:tcPr>
          <w:p w14:paraId="5552D589" w14:textId="77777777" w:rsidR="00B572F9" w:rsidRPr="00500D8E" w:rsidRDefault="00B572F9" w:rsidP="00CD16CE">
            <w:pPr>
              <w:spacing w:line="240" w:lineRule="auto"/>
              <w:jc w:val="center"/>
              <w:rPr>
                <w:rFonts w:cs="Times New Roman"/>
                <w:sz w:val="20"/>
                <w:szCs w:val="20"/>
              </w:rPr>
            </w:pPr>
            <w:r>
              <w:rPr>
                <w:rFonts w:cs="Times New Roman"/>
                <w:sz w:val="20"/>
                <w:szCs w:val="20"/>
              </w:rPr>
              <w:t>P</w:t>
            </w:r>
          </w:p>
        </w:tc>
      </w:tr>
      <w:tr w:rsidR="00B572F9" w:rsidRPr="00500D8E" w14:paraId="0D2E1364" w14:textId="77777777" w:rsidTr="004A496B">
        <w:trPr>
          <w:trHeight w:val="295"/>
        </w:trPr>
        <w:tc>
          <w:tcPr>
            <w:tcW w:w="3904" w:type="dxa"/>
            <w:tcBorders>
              <w:top w:val="nil"/>
              <w:left w:val="nil"/>
              <w:bottom w:val="nil"/>
              <w:right w:val="nil"/>
            </w:tcBorders>
            <w:shd w:val="clear" w:color="auto" w:fill="auto"/>
            <w:noWrap/>
            <w:vAlign w:val="center"/>
          </w:tcPr>
          <w:p w14:paraId="7B6D66E9" w14:textId="77777777" w:rsidR="00B572F9" w:rsidRPr="00500D8E" w:rsidRDefault="00B572F9" w:rsidP="00CD16CE">
            <w:pPr>
              <w:spacing w:line="240" w:lineRule="auto"/>
              <w:rPr>
                <w:rFonts w:cs="Times New Roman"/>
                <w:color w:val="000000"/>
                <w:sz w:val="20"/>
                <w:szCs w:val="20"/>
              </w:rPr>
            </w:pPr>
            <w:r w:rsidRPr="00500D8E">
              <w:rPr>
                <w:rFonts w:cs="Times New Roman"/>
                <w:sz w:val="20"/>
                <w:szCs w:val="20"/>
              </w:rPr>
              <w:t>Oxeye Sunflower (False Sunflower)</w:t>
            </w:r>
          </w:p>
        </w:tc>
        <w:tc>
          <w:tcPr>
            <w:tcW w:w="2360" w:type="dxa"/>
            <w:tcBorders>
              <w:top w:val="nil"/>
              <w:left w:val="nil"/>
              <w:bottom w:val="nil"/>
              <w:right w:val="nil"/>
            </w:tcBorders>
            <w:shd w:val="clear" w:color="auto" w:fill="auto"/>
            <w:noWrap/>
            <w:vAlign w:val="center"/>
          </w:tcPr>
          <w:p w14:paraId="2F11E4C4" w14:textId="77777777" w:rsidR="00B572F9" w:rsidRPr="00500D8E" w:rsidRDefault="00B572F9" w:rsidP="00CD16CE">
            <w:pPr>
              <w:spacing w:line="240" w:lineRule="auto"/>
              <w:rPr>
                <w:rFonts w:cs="Times New Roman"/>
                <w:b/>
                <w:bCs/>
                <w:i/>
                <w:iCs/>
                <w:color w:val="000000"/>
                <w:sz w:val="20"/>
                <w:szCs w:val="20"/>
              </w:rPr>
            </w:pPr>
            <w:r w:rsidRPr="00500D8E">
              <w:rPr>
                <w:rFonts w:cs="Times New Roman"/>
                <w:i/>
                <w:iCs/>
                <w:sz w:val="20"/>
                <w:szCs w:val="20"/>
              </w:rPr>
              <w:t>Heliopsis helianthoides</w:t>
            </w:r>
          </w:p>
        </w:tc>
        <w:tc>
          <w:tcPr>
            <w:tcW w:w="1271" w:type="dxa"/>
            <w:tcBorders>
              <w:top w:val="nil"/>
              <w:left w:val="nil"/>
              <w:bottom w:val="nil"/>
              <w:right w:val="nil"/>
            </w:tcBorders>
            <w:vAlign w:val="center"/>
          </w:tcPr>
          <w:p w14:paraId="5C82113D" w14:textId="7D644D0C" w:rsidR="00B572F9" w:rsidRPr="00500D8E" w:rsidRDefault="004443D3" w:rsidP="00CD16CE">
            <w:pPr>
              <w:spacing w:line="240" w:lineRule="auto"/>
              <w:jc w:val="center"/>
              <w:rPr>
                <w:rFonts w:cs="Times New Roman"/>
                <w:b/>
                <w:bCs/>
                <w:color w:val="000000"/>
                <w:sz w:val="20"/>
                <w:szCs w:val="20"/>
              </w:rPr>
            </w:pPr>
            <w:r>
              <w:rPr>
                <w:rFonts w:cs="Times New Roman"/>
                <w:sz w:val="20"/>
                <w:szCs w:val="20"/>
              </w:rPr>
              <w:t>0.</w:t>
            </w:r>
            <w:r w:rsidR="00B572F9" w:rsidRPr="00500D8E">
              <w:rPr>
                <w:rFonts w:cs="Times New Roman"/>
                <w:sz w:val="20"/>
                <w:szCs w:val="20"/>
              </w:rPr>
              <w:t>28</w:t>
            </w:r>
          </w:p>
        </w:tc>
        <w:tc>
          <w:tcPr>
            <w:tcW w:w="908" w:type="dxa"/>
            <w:tcBorders>
              <w:top w:val="nil"/>
              <w:left w:val="nil"/>
              <w:bottom w:val="nil"/>
              <w:right w:val="nil"/>
            </w:tcBorders>
            <w:vAlign w:val="center"/>
          </w:tcPr>
          <w:p w14:paraId="04DC296E" w14:textId="77777777" w:rsidR="00B572F9" w:rsidRPr="00500D8E" w:rsidRDefault="00B572F9" w:rsidP="00CD16CE">
            <w:pPr>
              <w:spacing w:line="240" w:lineRule="auto"/>
              <w:jc w:val="center"/>
              <w:rPr>
                <w:rFonts w:cs="Times New Roman"/>
                <w:sz w:val="20"/>
                <w:szCs w:val="20"/>
              </w:rPr>
            </w:pPr>
            <w:r>
              <w:rPr>
                <w:rFonts w:cs="Times New Roman"/>
                <w:sz w:val="20"/>
                <w:szCs w:val="20"/>
              </w:rPr>
              <w:t>P</w:t>
            </w:r>
          </w:p>
        </w:tc>
      </w:tr>
      <w:tr w:rsidR="00B572F9" w:rsidRPr="00500D8E" w14:paraId="468F7801" w14:textId="77777777" w:rsidTr="004A496B">
        <w:trPr>
          <w:trHeight w:val="295"/>
        </w:trPr>
        <w:tc>
          <w:tcPr>
            <w:tcW w:w="3904" w:type="dxa"/>
            <w:tcBorders>
              <w:top w:val="nil"/>
              <w:left w:val="nil"/>
              <w:bottom w:val="nil"/>
              <w:right w:val="nil"/>
            </w:tcBorders>
            <w:shd w:val="clear" w:color="auto" w:fill="D9D9D9" w:themeFill="background1" w:themeFillShade="D9"/>
            <w:noWrap/>
            <w:vAlign w:val="center"/>
          </w:tcPr>
          <w:p w14:paraId="3BAAA02C" w14:textId="77777777" w:rsidR="00B572F9" w:rsidRPr="00500D8E" w:rsidRDefault="00B572F9" w:rsidP="00CD16CE">
            <w:pPr>
              <w:spacing w:line="240" w:lineRule="auto"/>
              <w:rPr>
                <w:rFonts w:cs="Times New Roman"/>
                <w:color w:val="000000"/>
                <w:sz w:val="20"/>
                <w:szCs w:val="20"/>
              </w:rPr>
            </w:pPr>
            <w:r w:rsidRPr="00500D8E">
              <w:rPr>
                <w:rFonts w:cs="Times New Roman"/>
                <w:sz w:val="20"/>
                <w:szCs w:val="20"/>
              </w:rPr>
              <w:t>Upright Prairie Coneflower</w:t>
            </w:r>
          </w:p>
        </w:tc>
        <w:tc>
          <w:tcPr>
            <w:tcW w:w="2360" w:type="dxa"/>
            <w:tcBorders>
              <w:top w:val="nil"/>
              <w:left w:val="nil"/>
              <w:bottom w:val="nil"/>
              <w:right w:val="nil"/>
            </w:tcBorders>
            <w:shd w:val="clear" w:color="auto" w:fill="D9D9D9" w:themeFill="background1" w:themeFillShade="D9"/>
            <w:noWrap/>
            <w:vAlign w:val="center"/>
          </w:tcPr>
          <w:p w14:paraId="1BCF7E58" w14:textId="726A1090" w:rsidR="00B572F9" w:rsidRPr="00500D8E" w:rsidRDefault="00B572F9" w:rsidP="00CD16CE">
            <w:pPr>
              <w:spacing w:line="240" w:lineRule="auto"/>
              <w:rPr>
                <w:rFonts w:cs="Times New Roman"/>
                <w:b/>
                <w:bCs/>
                <w:i/>
                <w:iCs/>
                <w:color w:val="000000"/>
                <w:sz w:val="20"/>
                <w:szCs w:val="20"/>
              </w:rPr>
            </w:pPr>
            <w:r w:rsidRPr="00500D8E">
              <w:rPr>
                <w:rFonts w:cs="Times New Roman"/>
                <w:i/>
                <w:iCs/>
                <w:sz w:val="20"/>
                <w:szCs w:val="20"/>
              </w:rPr>
              <w:t>Ratibida columnifera</w:t>
            </w:r>
          </w:p>
        </w:tc>
        <w:tc>
          <w:tcPr>
            <w:tcW w:w="1271" w:type="dxa"/>
            <w:tcBorders>
              <w:top w:val="nil"/>
              <w:left w:val="nil"/>
              <w:bottom w:val="nil"/>
              <w:right w:val="nil"/>
            </w:tcBorders>
            <w:shd w:val="clear" w:color="auto" w:fill="D9D9D9" w:themeFill="background1" w:themeFillShade="D9"/>
            <w:vAlign w:val="center"/>
          </w:tcPr>
          <w:p w14:paraId="022EBEF4" w14:textId="14A35FA7" w:rsidR="00B572F9" w:rsidRPr="00500D8E" w:rsidRDefault="004443D3" w:rsidP="00CD16CE">
            <w:pPr>
              <w:spacing w:line="240" w:lineRule="auto"/>
              <w:jc w:val="center"/>
              <w:rPr>
                <w:rFonts w:cs="Times New Roman"/>
                <w:b/>
                <w:bCs/>
                <w:color w:val="000000"/>
                <w:sz w:val="20"/>
                <w:szCs w:val="20"/>
              </w:rPr>
            </w:pPr>
            <w:r>
              <w:rPr>
                <w:rFonts w:cs="Times New Roman"/>
                <w:sz w:val="20"/>
                <w:szCs w:val="20"/>
              </w:rPr>
              <w:t>0.</w:t>
            </w:r>
            <w:r w:rsidR="00B572F9" w:rsidRPr="00500D8E">
              <w:rPr>
                <w:rFonts w:cs="Times New Roman"/>
                <w:sz w:val="20"/>
                <w:szCs w:val="20"/>
              </w:rPr>
              <w:t>28</w:t>
            </w:r>
          </w:p>
        </w:tc>
        <w:tc>
          <w:tcPr>
            <w:tcW w:w="908" w:type="dxa"/>
            <w:tcBorders>
              <w:top w:val="nil"/>
              <w:left w:val="nil"/>
              <w:bottom w:val="nil"/>
              <w:right w:val="nil"/>
            </w:tcBorders>
            <w:shd w:val="clear" w:color="auto" w:fill="D9D9D9" w:themeFill="background1" w:themeFillShade="D9"/>
            <w:vAlign w:val="center"/>
          </w:tcPr>
          <w:p w14:paraId="566046F8" w14:textId="77777777" w:rsidR="00B572F9" w:rsidRPr="00500D8E" w:rsidRDefault="00B572F9" w:rsidP="00CD16CE">
            <w:pPr>
              <w:spacing w:line="240" w:lineRule="auto"/>
              <w:jc w:val="center"/>
              <w:rPr>
                <w:rFonts w:cs="Times New Roman"/>
                <w:sz w:val="20"/>
                <w:szCs w:val="20"/>
              </w:rPr>
            </w:pPr>
            <w:r>
              <w:rPr>
                <w:rFonts w:cs="Times New Roman"/>
                <w:sz w:val="20"/>
                <w:szCs w:val="20"/>
              </w:rPr>
              <w:t>P</w:t>
            </w:r>
          </w:p>
        </w:tc>
      </w:tr>
      <w:tr w:rsidR="00B572F9" w:rsidRPr="00500D8E" w14:paraId="028364F9" w14:textId="77777777" w:rsidTr="004A496B">
        <w:trPr>
          <w:trHeight w:val="295"/>
        </w:trPr>
        <w:tc>
          <w:tcPr>
            <w:tcW w:w="3904" w:type="dxa"/>
            <w:tcBorders>
              <w:top w:val="nil"/>
              <w:left w:val="nil"/>
              <w:bottom w:val="nil"/>
              <w:right w:val="nil"/>
            </w:tcBorders>
            <w:shd w:val="clear" w:color="auto" w:fill="auto"/>
            <w:noWrap/>
            <w:vAlign w:val="center"/>
          </w:tcPr>
          <w:p w14:paraId="08FB9C07" w14:textId="2A5AE4E7" w:rsidR="00B572F9" w:rsidRPr="00500D8E" w:rsidRDefault="00B572F9" w:rsidP="00CD16CE">
            <w:pPr>
              <w:spacing w:line="240" w:lineRule="auto"/>
              <w:rPr>
                <w:rFonts w:cs="Times New Roman"/>
                <w:color w:val="000000"/>
                <w:sz w:val="20"/>
                <w:szCs w:val="20"/>
              </w:rPr>
            </w:pPr>
            <w:r w:rsidRPr="00500D8E">
              <w:rPr>
                <w:rFonts w:cs="Times New Roman"/>
                <w:sz w:val="20"/>
                <w:szCs w:val="20"/>
              </w:rPr>
              <w:t>Black</w:t>
            </w:r>
            <w:r w:rsidR="00DA0917">
              <w:rPr>
                <w:rFonts w:cs="Times New Roman"/>
                <w:sz w:val="20"/>
                <w:szCs w:val="20"/>
              </w:rPr>
              <w:t>-</w:t>
            </w:r>
            <w:r w:rsidRPr="00500D8E">
              <w:rPr>
                <w:rFonts w:cs="Times New Roman"/>
                <w:sz w:val="20"/>
                <w:szCs w:val="20"/>
              </w:rPr>
              <w:t>Eyed Susan, AL Eco</w:t>
            </w:r>
          </w:p>
        </w:tc>
        <w:tc>
          <w:tcPr>
            <w:tcW w:w="2360" w:type="dxa"/>
            <w:tcBorders>
              <w:top w:val="nil"/>
              <w:left w:val="nil"/>
              <w:bottom w:val="nil"/>
              <w:right w:val="nil"/>
            </w:tcBorders>
            <w:shd w:val="clear" w:color="auto" w:fill="auto"/>
            <w:noWrap/>
            <w:vAlign w:val="center"/>
          </w:tcPr>
          <w:p w14:paraId="379D6DF8" w14:textId="77777777" w:rsidR="00B572F9" w:rsidRPr="00500D8E" w:rsidRDefault="00B572F9" w:rsidP="00CD16CE">
            <w:pPr>
              <w:spacing w:line="240" w:lineRule="auto"/>
              <w:rPr>
                <w:rFonts w:cs="Times New Roman"/>
                <w:b/>
                <w:bCs/>
                <w:i/>
                <w:iCs/>
                <w:color w:val="000000"/>
                <w:sz w:val="20"/>
                <w:szCs w:val="20"/>
              </w:rPr>
            </w:pPr>
            <w:r w:rsidRPr="00500D8E">
              <w:rPr>
                <w:rFonts w:cs="Times New Roman"/>
                <w:i/>
                <w:iCs/>
                <w:sz w:val="20"/>
                <w:szCs w:val="20"/>
              </w:rPr>
              <w:t>Rudbeckia hirta</w:t>
            </w:r>
          </w:p>
        </w:tc>
        <w:tc>
          <w:tcPr>
            <w:tcW w:w="1271" w:type="dxa"/>
            <w:tcBorders>
              <w:top w:val="nil"/>
              <w:left w:val="nil"/>
              <w:bottom w:val="nil"/>
              <w:right w:val="nil"/>
            </w:tcBorders>
            <w:vAlign w:val="center"/>
          </w:tcPr>
          <w:p w14:paraId="2D908A21" w14:textId="1C1B7617" w:rsidR="00B572F9" w:rsidRPr="00500D8E" w:rsidRDefault="004443D3" w:rsidP="00CD16CE">
            <w:pPr>
              <w:spacing w:line="240" w:lineRule="auto"/>
              <w:jc w:val="center"/>
              <w:rPr>
                <w:rFonts w:cs="Times New Roman"/>
                <w:b/>
                <w:bCs/>
                <w:color w:val="000000"/>
                <w:sz w:val="20"/>
                <w:szCs w:val="20"/>
              </w:rPr>
            </w:pPr>
            <w:r>
              <w:rPr>
                <w:rFonts w:cs="Times New Roman"/>
                <w:sz w:val="20"/>
                <w:szCs w:val="20"/>
              </w:rPr>
              <w:t>0.</w:t>
            </w:r>
            <w:r w:rsidR="00B572F9" w:rsidRPr="00500D8E">
              <w:rPr>
                <w:rFonts w:cs="Times New Roman"/>
                <w:sz w:val="20"/>
                <w:szCs w:val="20"/>
              </w:rPr>
              <w:t>56</w:t>
            </w:r>
          </w:p>
        </w:tc>
        <w:tc>
          <w:tcPr>
            <w:tcW w:w="908" w:type="dxa"/>
            <w:tcBorders>
              <w:top w:val="nil"/>
              <w:left w:val="nil"/>
              <w:bottom w:val="nil"/>
              <w:right w:val="nil"/>
            </w:tcBorders>
            <w:vAlign w:val="center"/>
          </w:tcPr>
          <w:p w14:paraId="1D0FCEF6" w14:textId="77777777" w:rsidR="00B572F9" w:rsidRPr="00500D8E" w:rsidRDefault="00B572F9" w:rsidP="00CD16CE">
            <w:pPr>
              <w:spacing w:line="240" w:lineRule="auto"/>
              <w:jc w:val="center"/>
              <w:rPr>
                <w:rFonts w:cs="Times New Roman"/>
                <w:sz w:val="20"/>
                <w:szCs w:val="20"/>
              </w:rPr>
            </w:pPr>
            <w:r>
              <w:rPr>
                <w:rFonts w:cs="Times New Roman"/>
                <w:sz w:val="20"/>
                <w:szCs w:val="20"/>
              </w:rPr>
              <w:t>A/B/P</w:t>
            </w:r>
          </w:p>
        </w:tc>
      </w:tr>
      <w:tr w:rsidR="00B572F9" w:rsidRPr="00500D8E" w14:paraId="0E047FDF" w14:textId="77777777" w:rsidTr="004A496B">
        <w:trPr>
          <w:trHeight w:val="295"/>
        </w:trPr>
        <w:tc>
          <w:tcPr>
            <w:tcW w:w="3904" w:type="dxa"/>
            <w:tcBorders>
              <w:top w:val="single" w:sz="12" w:space="0" w:color="auto"/>
              <w:left w:val="nil"/>
              <w:bottom w:val="single" w:sz="12" w:space="0" w:color="auto"/>
              <w:right w:val="nil"/>
            </w:tcBorders>
            <w:shd w:val="clear" w:color="auto" w:fill="auto"/>
            <w:noWrap/>
            <w:vAlign w:val="center"/>
          </w:tcPr>
          <w:p w14:paraId="05C56161" w14:textId="77777777" w:rsidR="00B572F9" w:rsidRPr="00500D8E" w:rsidRDefault="00B572F9" w:rsidP="00CD16CE">
            <w:pPr>
              <w:spacing w:line="240" w:lineRule="auto"/>
              <w:rPr>
                <w:rFonts w:cs="Times New Roman"/>
                <w:sz w:val="20"/>
                <w:szCs w:val="20"/>
              </w:rPr>
            </w:pPr>
          </w:p>
        </w:tc>
        <w:tc>
          <w:tcPr>
            <w:tcW w:w="2360" w:type="dxa"/>
            <w:tcBorders>
              <w:top w:val="single" w:sz="12" w:space="0" w:color="auto"/>
              <w:left w:val="nil"/>
              <w:bottom w:val="single" w:sz="12" w:space="0" w:color="auto"/>
              <w:right w:val="nil"/>
            </w:tcBorders>
            <w:shd w:val="clear" w:color="auto" w:fill="auto"/>
            <w:noWrap/>
            <w:vAlign w:val="center"/>
          </w:tcPr>
          <w:p w14:paraId="00356D35" w14:textId="77777777" w:rsidR="00B572F9" w:rsidRPr="00F9270C" w:rsidRDefault="00B572F9" w:rsidP="00CD16CE">
            <w:pPr>
              <w:spacing w:line="240" w:lineRule="auto"/>
              <w:rPr>
                <w:rFonts w:cs="Times New Roman"/>
                <w:sz w:val="20"/>
                <w:szCs w:val="20"/>
              </w:rPr>
            </w:pPr>
            <w:r>
              <w:rPr>
                <w:rFonts w:cs="Times New Roman"/>
                <w:sz w:val="20"/>
                <w:szCs w:val="20"/>
              </w:rPr>
              <w:t>Total</w:t>
            </w:r>
          </w:p>
        </w:tc>
        <w:tc>
          <w:tcPr>
            <w:tcW w:w="1271" w:type="dxa"/>
            <w:tcBorders>
              <w:top w:val="single" w:sz="12" w:space="0" w:color="auto"/>
              <w:left w:val="nil"/>
              <w:bottom w:val="single" w:sz="12" w:space="0" w:color="auto"/>
              <w:right w:val="nil"/>
            </w:tcBorders>
            <w:vAlign w:val="center"/>
          </w:tcPr>
          <w:p w14:paraId="1CAB3FBF" w14:textId="46376B02" w:rsidR="00B572F9" w:rsidRPr="00500D8E" w:rsidRDefault="00B572F9" w:rsidP="005B0E77">
            <w:pPr>
              <w:spacing w:line="240" w:lineRule="auto"/>
              <w:jc w:val="center"/>
              <w:rPr>
                <w:rFonts w:cs="Times New Roman"/>
                <w:sz w:val="20"/>
                <w:szCs w:val="20"/>
              </w:rPr>
            </w:pPr>
            <w:r w:rsidRPr="00F9270C">
              <w:rPr>
                <w:rFonts w:cs="Times New Roman"/>
                <w:sz w:val="20"/>
                <w:szCs w:val="20"/>
              </w:rPr>
              <w:t>7</w:t>
            </w:r>
            <w:r w:rsidR="004443D3">
              <w:rPr>
                <w:rFonts w:cs="Times New Roman"/>
                <w:sz w:val="20"/>
                <w:szCs w:val="20"/>
              </w:rPr>
              <w:t>.0</w:t>
            </w:r>
            <w:r w:rsidRPr="00F9270C">
              <w:rPr>
                <w:rFonts w:cs="Times New Roman"/>
                <w:sz w:val="20"/>
                <w:szCs w:val="20"/>
              </w:rPr>
              <w:t>0</w:t>
            </w:r>
          </w:p>
        </w:tc>
        <w:tc>
          <w:tcPr>
            <w:tcW w:w="908" w:type="dxa"/>
            <w:tcBorders>
              <w:top w:val="single" w:sz="12" w:space="0" w:color="auto"/>
              <w:left w:val="nil"/>
              <w:bottom w:val="single" w:sz="12" w:space="0" w:color="auto"/>
              <w:right w:val="nil"/>
            </w:tcBorders>
            <w:vAlign w:val="center"/>
          </w:tcPr>
          <w:p w14:paraId="70B94121" w14:textId="77777777" w:rsidR="00B572F9" w:rsidRPr="00F9270C" w:rsidRDefault="00B572F9" w:rsidP="005B0E77">
            <w:pPr>
              <w:spacing w:line="240" w:lineRule="auto"/>
              <w:jc w:val="center"/>
              <w:rPr>
                <w:rFonts w:cs="Times New Roman"/>
                <w:sz w:val="20"/>
                <w:szCs w:val="20"/>
              </w:rPr>
            </w:pPr>
          </w:p>
        </w:tc>
      </w:tr>
    </w:tbl>
    <w:p w14:paraId="5DAA4708" w14:textId="6F6191A1" w:rsidR="00B572F9" w:rsidRPr="00BC2376" w:rsidRDefault="00B572F9" w:rsidP="005B0E77">
      <w:pPr>
        <w:spacing w:line="240" w:lineRule="auto"/>
        <w:rPr>
          <w:rFonts w:eastAsia="Calibri" w:cs="Times New Roman"/>
          <w:bCs/>
        </w:rPr>
      </w:pPr>
      <w:bookmarkStart w:id="186" w:name="_Hlk51802993"/>
      <w:r w:rsidRPr="00BC2376">
        <w:rPr>
          <w:rFonts w:eastAsia="Calibri" w:cs="Times New Roman"/>
          <w:bCs/>
        </w:rPr>
        <w:t>†</w:t>
      </w:r>
      <w:bookmarkEnd w:id="186"/>
      <w:r w:rsidRPr="00BC2376">
        <w:rPr>
          <w:rFonts w:eastAsia="Calibri" w:cs="Times New Roman"/>
          <w:bCs/>
        </w:rPr>
        <w:t xml:space="preserve">Seed </w:t>
      </w:r>
      <w:r w:rsidR="00477385">
        <w:rPr>
          <w:rFonts w:eastAsia="Calibri" w:cs="Times New Roman"/>
          <w:bCs/>
        </w:rPr>
        <w:t xml:space="preserve">purchased </w:t>
      </w:r>
      <w:r w:rsidRPr="00BC2376">
        <w:rPr>
          <w:rFonts w:eastAsia="Calibri" w:cs="Times New Roman"/>
          <w:bCs/>
        </w:rPr>
        <w:t>from Ernst Conservation Seeds, Inc., Meadville, PA</w:t>
      </w:r>
    </w:p>
    <w:p w14:paraId="6873E082" w14:textId="335D08BA" w:rsidR="00B572F9" w:rsidRDefault="00B572F9" w:rsidP="00B572F9">
      <w:pPr>
        <w:spacing w:line="240" w:lineRule="auto"/>
        <w:rPr>
          <w:rFonts w:eastAsia="Calibri" w:cs="Times New Roman"/>
          <w:bCs/>
        </w:rPr>
      </w:pPr>
      <w:r w:rsidRPr="00BC2376">
        <w:rPr>
          <w:rFonts w:eastAsia="Calibri" w:cs="Times New Roman"/>
          <w:bCs/>
        </w:rPr>
        <w:t>‡A/B/P = annual, biennial, or perennial species</w:t>
      </w:r>
    </w:p>
    <w:p w14:paraId="13248C22" w14:textId="60526939" w:rsidR="00244C5D" w:rsidRPr="00244C5D" w:rsidRDefault="00244C5D" w:rsidP="00B572F9">
      <w:pPr>
        <w:spacing w:line="240" w:lineRule="auto"/>
        <w:rPr>
          <w:rFonts w:eastAsia="Calibri" w:cs="Times New Roman"/>
          <w:bCs/>
        </w:rPr>
      </w:pPr>
      <w:r w:rsidRPr="00244C5D">
        <w:rPr>
          <w:rFonts w:cs="Times New Roman"/>
        </w:rPr>
        <w:t>§</w:t>
      </w:r>
      <w:r>
        <w:rPr>
          <w:rFonts w:cs="Times New Roman"/>
        </w:rPr>
        <w:t>Legumes</w:t>
      </w:r>
    </w:p>
    <w:bookmarkEnd w:id="184"/>
    <w:p w14:paraId="4078DCED" w14:textId="0C2BA8C3" w:rsidR="00B572F9" w:rsidRDefault="00B572F9" w:rsidP="00B572F9">
      <w:pPr>
        <w:ind w:firstLine="720"/>
      </w:pPr>
    </w:p>
    <w:p w14:paraId="08747872" w14:textId="77777777" w:rsidR="005C228F" w:rsidRDefault="005C228F" w:rsidP="00B572F9">
      <w:pPr>
        <w:ind w:firstLine="720"/>
        <w:sectPr w:rsidR="005C228F" w:rsidSect="00D27D0B">
          <w:pgSz w:w="12240" w:h="15840" w:code="1"/>
          <w:pgMar w:top="1440" w:right="1800" w:bottom="1872" w:left="1800" w:header="720" w:footer="1440" w:gutter="0"/>
          <w:cols w:space="720"/>
          <w:noEndnote/>
          <w:docGrid w:linePitch="360"/>
        </w:sectPr>
      </w:pPr>
    </w:p>
    <w:p w14:paraId="77C05A0B" w14:textId="65B27CB2" w:rsidR="00B572F9" w:rsidRPr="00BC2376" w:rsidRDefault="00B572F9" w:rsidP="00A97504">
      <w:pPr>
        <w:pStyle w:val="Tables"/>
        <w:spacing w:before="0" w:after="60"/>
        <w:rPr>
          <w:b/>
        </w:rPr>
      </w:pPr>
      <w:bookmarkStart w:id="187" w:name="_Toc72300403"/>
      <w:r w:rsidRPr="00BC2376">
        <w:lastRenderedPageBreak/>
        <w:t>Table 2.</w:t>
      </w:r>
      <w:r w:rsidR="003C3710">
        <w:t>3</w:t>
      </w:r>
      <w:r w:rsidRPr="00BC2376">
        <w:t xml:space="preserve">.  </w:t>
      </w:r>
      <w:r w:rsidR="00C97F99">
        <w:t>Grazing</w:t>
      </w:r>
      <w:r w:rsidRPr="00BC2376">
        <w:t xml:space="preserve"> treatment dates within switchgrass and big bluestem/</w:t>
      </w:r>
      <w:r w:rsidR="007761A2">
        <w:t>i</w:t>
      </w:r>
      <w:r w:rsidR="003D3A24">
        <w:t>ndiangrass</w:t>
      </w:r>
      <w:r w:rsidRPr="00BC2376">
        <w:t xml:space="preserve"> pastures</w:t>
      </w:r>
      <w:r w:rsidR="00533878" w:rsidRPr="00BC2376">
        <w:t xml:space="preserve"> for native</w:t>
      </w:r>
      <w:r w:rsidR="00706798">
        <w:t xml:space="preserve"> grass</w:t>
      </w:r>
      <w:r w:rsidR="00533878" w:rsidRPr="00BC2376">
        <w:t xml:space="preserve"> pasture grazing experiments</w:t>
      </w:r>
      <w:r w:rsidRPr="00BC2376">
        <w:t>, 2018-20</w:t>
      </w:r>
      <w:r w:rsidR="00533878" w:rsidRPr="00BC2376">
        <w:t>20</w:t>
      </w:r>
      <w:r w:rsidRPr="00BC2376">
        <w:t xml:space="preserve">, </w:t>
      </w:r>
      <w:r w:rsidR="007D4FBA" w:rsidRPr="00BC2376">
        <w:t>University of Tennessee – Northeast Tennessee AgResearch and Education Center, Greeneville, TN.</w:t>
      </w:r>
      <w:bookmarkEnd w:id="187"/>
    </w:p>
    <w:tbl>
      <w:tblPr>
        <w:tblW w:w="7030" w:type="dxa"/>
        <w:tblLook w:val="04A0" w:firstRow="1" w:lastRow="0" w:firstColumn="1" w:lastColumn="0" w:noHBand="0" w:noVBand="1"/>
      </w:tblPr>
      <w:tblGrid>
        <w:gridCol w:w="1278"/>
        <w:gridCol w:w="2008"/>
        <w:gridCol w:w="1826"/>
        <w:gridCol w:w="1918"/>
      </w:tblGrid>
      <w:tr w:rsidR="00CC2204" w:rsidRPr="00500D8E" w14:paraId="5C9C68C0" w14:textId="0C0AC0D3" w:rsidTr="00C97F99">
        <w:trPr>
          <w:trHeight w:val="320"/>
        </w:trPr>
        <w:tc>
          <w:tcPr>
            <w:tcW w:w="1278" w:type="dxa"/>
            <w:tcBorders>
              <w:top w:val="single" w:sz="12" w:space="0" w:color="auto"/>
              <w:left w:val="nil"/>
              <w:bottom w:val="nil"/>
              <w:right w:val="single" w:sz="36" w:space="0" w:color="FFFFFF" w:themeColor="background1"/>
            </w:tcBorders>
            <w:shd w:val="clear" w:color="auto" w:fill="auto"/>
            <w:noWrap/>
            <w:hideMark/>
          </w:tcPr>
          <w:p w14:paraId="294B520E" w14:textId="77777777" w:rsidR="00CC2204" w:rsidRPr="0031522C" w:rsidRDefault="00CC2204" w:rsidP="00CD16CE">
            <w:pPr>
              <w:spacing w:line="240" w:lineRule="auto"/>
              <w:rPr>
                <w:rFonts w:cs="Times New Roman"/>
                <w:sz w:val="20"/>
                <w:szCs w:val="20"/>
              </w:rPr>
            </w:pPr>
          </w:p>
        </w:tc>
        <w:tc>
          <w:tcPr>
            <w:tcW w:w="5752" w:type="dxa"/>
            <w:gridSpan w:val="3"/>
            <w:tcBorders>
              <w:top w:val="single" w:sz="12" w:space="0" w:color="auto"/>
              <w:left w:val="single" w:sz="36" w:space="0" w:color="FFFFFF" w:themeColor="background1"/>
              <w:bottom w:val="single" w:sz="12" w:space="0" w:color="auto"/>
            </w:tcBorders>
            <w:shd w:val="clear" w:color="auto" w:fill="auto"/>
            <w:noWrap/>
            <w:vAlign w:val="center"/>
          </w:tcPr>
          <w:p w14:paraId="139403F8" w14:textId="6DCDF574" w:rsidR="00CC2204" w:rsidRPr="0031522C" w:rsidRDefault="00CC2204" w:rsidP="00CD16CE">
            <w:pPr>
              <w:spacing w:line="240" w:lineRule="auto"/>
              <w:jc w:val="center"/>
              <w:rPr>
                <w:sz w:val="20"/>
                <w:szCs w:val="20"/>
              </w:rPr>
            </w:pPr>
            <w:r w:rsidRPr="0031522C">
              <w:rPr>
                <w:sz w:val="20"/>
                <w:szCs w:val="20"/>
              </w:rPr>
              <w:t>Year</w:t>
            </w:r>
          </w:p>
        </w:tc>
      </w:tr>
      <w:tr w:rsidR="00CC2204" w:rsidRPr="00500D8E" w14:paraId="3E1D8B49" w14:textId="3069061B" w:rsidTr="00C97F99">
        <w:trPr>
          <w:trHeight w:val="320"/>
        </w:trPr>
        <w:tc>
          <w:tcPr>
            <w:tcW w:w="1278" w:type="dxa"/>
            <w:tcBorders>
              <w:left w:val="nil"/>
              <w:bottom w:val="nil"/>
              <w:right w:val="single" w:sz="36" w:space="0" w:color="FFFFFF" w:themeColor="background1"/>
            </w:tcBorders>
            <w:shd w:val="clear" w:color="auto" w:fill="auto"/>
            <w:noWrap/>
            <w:vAlign w:val="center"/>
          </w:tcPr>
          <w:p w14:paraId="776B85DB" w14:textId="77777777" w:rsidR="00CC2204" w:rsidRPr="0031522C" w:rsidRDefault="00CC2204" w:rsidP="00CC2204">
            <w:pPr>
              <w:spacing w:line="240" w:lineRule="auto"/>
              <w:rPr>
                <w:rFonts w:cs="Times New Roman"/>
                <w:sz w:val="20"/>
                <w:szCs w:val="20"/>
              </w:rPr>
            </w:pPr>
            <w:r w:rsidRPr="0031522C">
              <w:rPr>
                <w:sz w:val="20"/>
                <w:szCs w:val="20"/>
              </w:rPr>
              <w:t>Treatment</w:t>
            </w:r>
          </w:p>
        </w:tc>
        <w:tc>
          <w:tcPr>
            <w:tcW w:w="2008"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tcPr>
          <w:p w14:paraId="72FB2947" w14:textId="77777777" w:rsidR="00CC2204" w:rsidRPr="0031522C" w:rsidRDefault="00CC2204" w:rsidP="00CC2204">
            <w:pPr>
              <w:spacing w:line="240" w:lineRule="auto"/>
              <w:jc w:val="center"/>
              <w:rPr>
                <w:rFonts w:cs="Times New Roman"/>
                <w:color w:val="000000"/>
                <w:sz w:val="20"/>
                <w:szCs w:val="20"/>
              </w:rPr>
            </w:pPr>
            <w:r w:rsidRPr="0031522C">
              <w:rPr>
                <w:sz w:val="20"/>
                <w:szCs w:val="20"/>
              </w:rPr>
              <w:t>2018</w:t>
            </w:r>
          </w:p>
        </w:tc>
        <w:tc>
          <w:tcPr>
            <w:tcW w:w="1826" w:type="dxa"/>
            <w:tcBorders>
              <w:top w:val="single" w:sz="12" w:space="0" w:color="auto"/>
              <w:left w:val="single" w:sz="36" w:space="0" w:color="FFFFFF" w:themeColor="background1"/>
              <w:bottom w:val="single" w:sz="12" w:space="0" w:color="auto"/>
            </w:tcBorders>
            <w:vAlign w:val="center"/>
          </w:tcPr>
          <w:p w14:paraId="286B7969" w14:textId="77777777" w:rsidR="00CC2204" w:rsidRPr="0031522C" w:rsidRDefault="00CC2204" w:rsidP="00CC2204">
            <w:pPr>
              <w:spacing w:line="240" w:lineRule="auto"/>
              <w:jc w:val="center"/>
              <w:rPr>
                <w:rFonts w:cs="Times New Roman"/>
                <w:color w:val="000000"/>
                <w:sz w:val="20"/>
                <w:szCs w:val="20"/>
              </w:rPr>
            </w:pPr>
            <w:r w:rsidRPr="0031522C">
              <w:rPr>
                <w:sz w:val="20"/>
                <w:szCs w:val="20"/>
              </w:rPr>
              <w:t>2019</w:t>
            </w:r>
          </w:p>
        </w:tc>
        <w:tc>
          <w:tcPr>
            <w:tcW w:w="1917" w:type="dxa"/>
            <w:tcBorders>
              <w:top w:val="single" w:sz="12" w:space="0" w:color="auto"/>
              <w:left w:val="single" w:sz="36" w:space="0" w:color="FFFFFF" w:themeColor="background1"/>
              <w:bottom w:val="single" w:sz="12" w:space="0" w:color="auto"/>
            </w:tcBorders>
            <w:vAlign w:val="center"/>
          </w:tcPr>
          <w:p w14:paraId="481BF873" w14:textId="42646279" w:rsidR="00CC2204" w:rsidRPr="00CC2204" w:rsidRDefault="00CC2204" w:rsidP="00CC2204">
            <w:pPr>
              <w:spacing w:line="240" w:lineRule="auto"/>
              <w:jc w:val="center"/>
              <w:rPr>
                <w:sz w:val="20"/>
                <w:szCs w:val="20"/>
              </w:rPr>
            </w:pPr>
            <w:r w:rsidRPr="00CC2204">
              <w:rPr>
                <w:sz w:val="20"/>
                <w:szCs w:val="20"/>
              </w:rPr>
              <w:t>20</w:t>
            </w:r>
            <w:r>
              <w:rPr>
                <w:sz w:val="20"/>
                <w:szCs w:val="20"/>
              </w:rPr>
              <w:t>20</w:t>
            </w:r>
          </w:p>
        </w:tc>
      </w:tr>
      <w:tr w:rsidR="00CC2204" w:rsidRPr="00500D8E" w14:paraId="516187E8" w14:textId="741727EB" w:rsidTr="00C97F99">
        <w:trPr>
          <w:trHeight w:val="320"/>
        </w:trPr>
        <w:tc>
          <w:tcPr>
            <w:tcW w:w="1278" w:type="dxa"/>
            <w:tcBorders>
              <w:top w:val="single" w:sz="12" w:space="0" w:color="auto"/>
              <w:left w:val="nil"/>
              <w:bottom w:val="nil"/>
              <w:right w:val="single" w:sz="36" w:space="0" w:color="FFFFFF" w:themeColor="background1"/>
            </w:tcBorders>
            <w:shd w:val="clear" w:color="auto" w:fill="auto"/>
            <w:noWrap/>
            <w:vAlign w:val="center"/>
          </w:tcPr>
          <w:p w14:paraId="0E7536B4" w14:textId="77777777" w:rsidR="00CC2204" w:rsidRPr="0031522C" w:rsidRDefault="00CC2204" w:rsidP="00CC2204">
            <w:pPr>
              <w:spacing w:line="240" w:lineRule="auto"/>
              <w:rPr>
                <w:rFonts w:cs="Times New Roman"/>
                <w:sz w:val="20"/>
                <w:szCs w:val="20"/>
              </w:rPr>
            </w:pPr>
            <w:r w:rsidRPr="0031522C">
              <w:rPr>
                <w:sz w:val="20"/>
                <w:szCs w:val="20"/>
              </w:rPr>
              <w:t>Early Rest</w:t>
            </w:r>
          </w:p>
        </w:tc>
        <w:tc>
          <w:tcPr>
            <w:tcW w:w="2008"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tcPr>
          <w:p w14:paraId="41C0604C" w14:textId="77777777" w:rsidR="00CC2204" w:rsidRPr="0031522C" w:rsidRDefault="00CC2204" w:rsidP="00CC2204">
            <w:pPr>
              <w:spacing w:line="240" w:lineRule="auto"/>
              <w:jc w:val="center"/>
              <w:rPr>
                <w:rFonts w:cs="Times New Roman"/>
                <w:i/>
                <w:iCs/>
                <w:color w:val="000000"/>
                <w:sz w:val="20"/>
                <w:szCs w:val="20"/>
              </w:rPr>
            </w:pPr>
            <w:r>
              <w:rPr>
                <w:sz w:val="20"/>
                <w:szCs w:val="20"/>
              </w:rPr>
              <w:t xml:space="preserve">31 </w:t>
            </w:r>
            <w:r w:rsidRPr="0031522C">
              <w:rPr>
                <w:sz w:val="20"/>
                <w:szCs w:val="20"/>
              </w:rPr>
              <w:t xml:space="preserve">May </w:t>
            </w:r>
            <w:r>
              <w:rPr>
                <w:sz w:val="20"/>
                <w:szCs w:val="20"/>
              </w:rPr>
              <w:t>–</w:t>
            </w:r>
            <w:r w:rsidRPr="0031522C">
              <w:rPr>
                <w:sz w:val="20"/>
                <w:szCs w:val="20"/>
              </w:rPr>
              <w:t xml:space="preserve"> </w:t>
            </w:r>
            <w:r>
              <w:rPr>
                <w:sz w:val="20"/>
                <w:szCs w:val="20"/>
              </w:rPr>
              <w:t xml:space="preserve">20 </w:t>
            </w:r>
            <w:r w:rsidRPr="0031522C">
              <w:rPr>
                <w:sz w:val="20"/>
                <w:szCs w:val="20"/>
              </w:rPr>
              <w:t>Jun</w:t>
            </w:r>
          </w:p>
        </w:tc>
        <w:tc>
          <w:tcPr>
            <w:tcW w:w="1826" w:type="dxa"/>
            <w:tcBorders>
              <w:top w:val="single" w:sz="12" w:space="0" w:color="auto"/>
              <w:left w:val="single" w:sz="36" w:space="0" w:color="FFFFFF" w:themeColor="background1"/>
              <w:bottom w:val="nil"/>
            </w:tcBorders>
            <w:vAlign w:val="center"/>
          </w:tcPr>
          <w:p w14:paraId="0C3B1356" w14:textId="77777777" w:rsidR="00CC2204" w:rsidRPr="0031522C" w:rsidRDefault="00CC2204" w:rsidP="00CC2204">
            <w:pPr>
              <w:spacing w:line="240" w:lineRule="auto"/>
              <w:jc w:val="center"/>
              <w:rPr>
                <w:rFonts w:cs="Times New Roman"/>
                <w:color w:val="000000"/>
                <w:sz w:val="20"/>
                <w:szCs w:val="20"/>
              </w:rPr>
            </w:pPr>
            <w:r>
              <w:rPr>
                <w:sz w:val="20"/>
                <w:szCs w:val="20"/>
              </w:rPr>
              <w:t xml:space="preserve">30 </w:t>
            </w:r>
            <w:r w:rsidRPr="0031522C">
              <w:rPr>
                <w:sz w:val="20"/>
                <w:szCs w:val="20"/>
              </w:rPr>
              <w:t xml:space="preserve">May </w:t>
            </w:r>
            <w:r>
              <w:rPr>
                <w:sz w:val="20"/>
                <w:szCs w:val="20"/>
              </w:rPr>
              <w:t>–</w:t>
            </w:r>
            <w:r w:rsidRPr="0031522C">
              <w:rPr>
                <w:sz w:val="20"/>
                <w:szCs w:val="20"/>
              </w:rPr>
              <w:t xml:space="preserve"> </w:t>
            </w:r>
            <w:r>
              <w:rPr>
                <w:sz w:val="20"/>
                <w:szCs w:val="20"/>
              </w:rPr>
              <w:t xml:space="preserve">19 </w:t>
            </w:r>
            <w:r w:rsidRPr="0031522C">
              <w:rPr>
                <w:sz w:val="20"/>
                <w:szCs w:val="20"/>
              </w:rPr>
              <w:t>Jun</w:t>
            </w:r>
          </w:p>
        </w:tc>
        <w:tc>
          <w:tcPr>
            <w:tcW w:w="1917" w:type="dxa"/>
            <w:tcBorders>
              <w:top w:val="single" w:sz="12" w:space="0" w:color="auto"/>
              <w:left w:val="single" w:sz="36" w:space="0" w:color="FFFFFF" w:themeColor="background1"/>
              <w:bottom w:val="nil"/>
            </w:tcBorders>
            <w:vAlign w:val="center"/>
          </w:tcPr>
          <w:p w14:paraId="376361E6" w14:textId="5563C318" w:rsidR="00CC2204" w:rsidRPr="00CC2204" w:rsidRDefault="009F37A0" w:rsidP="00CC2204">
            <w:pPr>
              <w:spacing w:line="240" w:lineRule="auto"/>
              <w:jc w:val="center"/>
              <w:rPr>
                <w:sz w:val="20"/>
                <w:szCs w:val="20"/>
              </w:rPr>
            </w:pPr>
            <w:r>
              <w:rPr>
                <w:sz w:val="20"/>
                <w:szCs w:val="20"/>
              </w:rPr>
              <w:t xml:space="preserve">  </w:t>
            </w:r>
            <w:r w:rsidR="00CC2204">
              <w:rPr>
                <w:sz w:val="20"/>
                <w:szCs w:val="20"/>
              </w:rPr>
              <w:t>9 Jun</w:t>
            </w:r>
            <w:r w:rsidR="00CC2204" w:rsidRPr="00CC2204">
              <w:rPr>
                <w:sz w:val="20"/>
                <w:szCs w:val="20"/>
              </w:rPr>
              <w:t xml:space="preserve"> – </w:t>
            </w:r>
            <w:r w:rsidR="00CC2204">
              <w:rPr>
                <w:sz w:val="20"/>
                <w:szCs w:val="20"/>
              </w:rPr>
              <w:t>26</w:t>
            </w:r>
            <w:r w:rsidR="00CC2204" w:rsidRPr="00CC2204">
              <w:rPr>
                <w:sz w:val="20"/>
                <w:szCs w:val="20"/>
              </w:rPr>
              <w:t xml:space="preserve"> Jun</w:t>
            </w:r>
          </w:p>
        </w:tc>
      </w:tr>
      <w:tr w:rsidR="00CC2204" w:rsidRPr="00500D8E" w14:paraId="22F3641A" w14:textId="7AAF9462" w:rsidTr="00C97F99">
        <w:trPr>
          <w:trHeight w:val="320"/>
        </w:trPr>
        <w:tc>
          <w:tcPr>
            <w:tcW w:w="1278" w:type="dxa"/>
            <w:tcBorders>
              <w:top w:val="nil"/>
              <w:left w:val="nil"/>
              <w:bottom w:val="nil"/>
              <w:right w:val="nil"/>
            </w:tcBorders>
            <w:shd w:val="clear" w:color="auto" w:fill="D9D9D9" w:themeFill="background1" w:themeFillShade="D9"/>
            <w:noWrap/>
            <w:vAlign w:val="center"/>
          </w:tcPr>
          <w:p w14:paraId="25A7BBEE" w14:textId="77777777" w:rsidR="00CC2204" w:rsidRPr="0031522C" w:rsidRDefault="00CC2204" w:rsidP="00CC2204">
            <w:pPr>
              <w:spacing w:line="240" w:lineRule="auto"/>
              <w:rPr>
                <w:rFonts w:cs="Times New Roman"/>
                <w:color w:val="000000"/>
                <w:sz w:val="20"/>
                <w:szCs w:val="20"/>
              </w:rPr>
            </w:pPr>
            <w:r w:rsidRPr="0031522C">
              <w:rPr>
                <w:sz w:val="20"/>
                <w:szCs w:val="20"/>
              </w:rPr>
              <w:t>Middle Rest</w:t>
            </w:r>
          </w:p>
        </w:tc>
        <w:tc>
          <w:tcPr>
            <w:tcW w:w="2008" w:type="dxa"/>
            <w:tcBorders>
              <w:top w:val="nil"/>
              <w:left w:val="nil"/>
              <w:bottom w:val="nil"/>
              <w:right w:val="nil"/>
            </w:tcBorders>
            <w:shd w:val="clear" w:color="auto" w:fill="D9D9D9" w:themeFill="background1" w:themeFillShade="D9"/>
            <w:noWrap/>
            <w:vAlign w:val="center"/>
          </w:tcPr>
          <w:p w14:paraId="2EE15B79" w14:textId="77777777" w:rsidR="00CC2204" w:rsidRPr="0031522C" w:rsidRDefault="00CC2204" w:rsidP="00CC2204">
            <w:pPr>
              <w:spacing w:line="240" w:lineRule="auto"/>
              <w:jc w:val="center"/>
              <w:rPr>
                <w:rFonts w:cs="Times New Roman"/>
                <w:i/>
                <w:iCs/>
                <w:color w:val="000000"/>
                <w:sz w:val="20"/>
                <w:szCs w:val="20"/>
              </w:rPr>
            </w:pPr>
            <w:r>
              <w:rPr>
                <w:sz w:val="20"/>
                <w:szCs w:val="20"/>
              </w:rPr>
              <w:t xml:space="preserve">21 </w:t>
            </w:r>
            <w:r w:rsidRPr="0031522C">
              <w:rPr>
                <w:sz w:val="20"/>
                <w:szCs w:val="20"/>
              </w:rPr>
              <w:t xml:space="preserve">Jun </w:t>
            </w:r>
            <w:r>
              <w:rPr>
                <w:sz w:val="20"/>
                <w:szCs w:val="20"/>
              </w:rPr>
              <w:t>–</w:t>
            </w:r>
            <w:r w:rsidRPr="0031522C">
              <w:rPr>
                <w:sz w:val="20"/>
                <w:szCs w:val="20"/>
              </w:rPr>
              <w:t xml:space="preserve"> </w:t>
            </w:r>
            <w:r>
              <w:rPr>
                <w:sz w:val="20"/>
                <w:szCs w:val="20"/>
              </w:rPr>
              <w:t xml:space="preserve">11 </w:t>
            </w:r>
            <w:r w:rsidRPr="0031522C">
              <w:rPr>
                <w:sz w:val="20"/>
                <w:szCs w:val="20"/>
              </w:rPr>
              <w:t>Jul</w:t>
            </w:r>
          </w:p>
        </w:tc>
        <w:tc>
          <w:tcPr>
            <w:tcW w:w="1826" w:type="dxa"/>
            <w:tcBorders>
              <w:top w:val="nil"/>
              <w:left w:val="nil"/>
              <w:bottom w:val="nil"/>
              <w:right w:val="nil"/>
            </w:tcBorders>
            <w:shd w:val="clear" w:color="auto" w:fill="D9D9D9" w:themeFill="background1" w:themeFillShade="D9"/>
            <w:vAlign w:val="center"/>
          </w:tcPr>
          <w:p w14:paraId="167F0BC6" w14:textId="77777777" w:rsidR="00CC2204" w:rsidRPr="0031522C" w:rsidRDefault="00CC2204" w:rsidP="00CC2204">
            <w:pPr>
              <w:spacing w:line="240" w:lineRule="auto"/>
              <w:jc w:val="center"/>
              <w:rPr>
                <w:rFonts w:cs="Times New Roman"/>
                <w:color w:val="000000"/>
                <w:sz w:val="20"/>
                <w:szCs w:val="20"/>
              </w:rPr>
            </w:pPr>
            <w:r>
              <w:rPr>
                <w:sz w:val="20"/>
                <w:szCs w:val="20"/>
              </w:rPr>
              <w:t xml:space="preserve">20 </w:t>
            </w:r>
            <w:r w:rsidRPr="0031522C">
              <w:rPr>
                <w:sz w:val="20"/>
                <w:szCs w:val="20"/>
              </w:rPr>
              <w:t xml:space="preserve">Jun </w:t>
            </w:r>
            <w:r>
              <w:rPr>
                <w:sz w:val="20"/>
                <w:szCs w:val="20"/>
              </w:rPr>
              <w:t>–</w:t>
            </w:r>
            <w:r w:rsidRPr="0031522C">
              <w:rPr>
                <w:sz w:val="20"/>
                <w:szCs w:val="20"/>
              </w:rPr>
              <w:t xml:space="preserve"> </w:t>
            </w:r>
            <w:r>
              <w:rPr>
                <w:sz w:val="20"/>
                <w:szCs w:val="20"/>
              </w:rPr>
              <w:t xml:space="preserve">10 </w:t>
            </w:r>
            <w:r w:rsidRPr="0031522C">
              <w:rPr>
                <w:sz w:val="20"/>
                <w:szCs w:val="20"/>
              </w:rPr>
              <w:t>Jul</w:t>
            </w:r>
          </w:p>
        </w:tc>
        <w:tc>
          <w:tcPr>
            <w:tcW w:w="1917" w:type="dxa"/>
            <w:tcBorders>
              <w:top w:val="nil"/>
              <w:left w:val="nil"/>
              <w:bottom w:val="nil"/>
              <w:right w:val="nil"/>
            </w:tcBorders>
            <w:shd w:val="clear" w:color="auto" w:fill="D9D9D9" w:themeFill="background1" w:themeFillShade="D9"/>
            <w:vAlign w:val="center"/>
          </w:tcPr>
          <w:p w14:paraId="3CDC8005" w14:textId="4D9D2232" w:rsidR="00CC2204" w:rsidRPr="00CC2204" w:rsidRDefault="00CC2204" w:rsidP="00CC2204">
            <w:pPr>
              <w:spacing w:line="240" w:lineRule="auto"/>
              <w:jc w:val="center"/>
              <w:rPr>
                <w:sz w:val="20"/>
                <w:szCs w:val="20"/>
              </w:rPr>
            </w:pPr>
            <w:r w:rsidRPr="00CC2204">
              <w:rPr>
                <w:sz w:val="20"/>
                <w:szCs w:val="20"/>
              </w:rPr>
              <w:t>2</w:t>
            </w:r>
            <w:r>
              <w:rPr>
                <w:sz w:val="20"/>
                <w:szCs w:val="20"/>
              </w:rPr>
              <w:t>7</w:t>
            </w:r>
            <w:r w:rsidRPr="00CC2204">
              <w:rPr>
                <w:sz w:val="20"/>
                <w:szCs w:val="20"/>
              </w:rPr>
              <w:t xml:space="preserve"> Jun – 1</w:t>
            </w:r>
            <w:r>
              <w:rPr>
                <w:sz w:val="20"/>
                <w:szCs w:val="20"/>
              </w:rPr>
              <w:t>7</w:t>
            </w:r>
            <w:r w:rsidRPr="00CC2204">
              <w:rPr>
                <w:sz w:val="20"/>
                <w:szCs w:val="20"/>
              </w:rPr>
              <w:t xml:space="preserve"> Jul</w:t>
            </w:r>
          </w:p>
        </w:tc>
      </w:tr>
      <w:tr w:rsidR="00CC2204" w:rsidRPr="00500D8E" w14:paraId="4CC30985" w14:textId="72280293" w:rsidTr="00C97F99">
        <w:trPr>
          <w:trHeight w:val="320"/>
        </w:trPr>
        <w:tc>
          <w:tcPr>
            <w:tcW w:w="1278" w:type="dxa"/>
            <w:tcBorders>
              <w:top w:val="nil"/>
              <w:left w:val="nil"/>
              <w:bottom w:val="nil"/>
              <w:right w:val="nil"/>
            </w:tcBorders>
            <w:shd w:val="clear" w:color="auto" w:fill="auto"/>
            <w:noWrap/>
            <w:vAlign w:val="center"/>
          </w:tcPr>
          <w:p w14:paraId="6E54039F" w14:textId="77777777" w:rsidR="00CC2204" w:rsidRPr="0031522C" w:rsidRDefault="00CC2204" w:rsidP="00CC2204">
            <w:pPr>
              <w:spacing w:line="240" w:lineRule="auto"/>
              <w:rPr>
                <w:rFonts w:cs="Times New Roman"/>
                <w:color w:val="000000"/>
                <w:sz w:val="20"/>
                <w:szCs w:val="20"/>
              </w:rPr>
            </w:pPr>
            <w:r w:rsidRPr="0031522C">
              <w:rPr>
                <w:sz w:val="20"/>
                <w:szCs w:val="20"/>
              </w:rPr>
              <w:t>Late Rest</w:t>
            </w:r>
          </w:p>
        </w:tc>
        <w:tc>
          <w:tcPr>
            <w:tcW w:w="2008" w:type="dxa"/>
            <w:tcBorders>
              <w:top w:val="nil"/>
              <w:left w:val="nil"/>
              <w:bottom w:val="nil"/>
              <w:right w:val="nil"/>
            </w:tcBorders>
            <w:shd w:val="clear" w:color="auto" w:fill="auto"/>
            <w:noWrap/>
            <w:vAlign w:val="center"/>
          </w:tcPr>
          <w:p w14:paraId="281BE439" w14:textId="7131226E" w:rsidR="00CC2204" w:rsidRPr="0031522C" w:rsidRDefault="009F37A0" w:rsidP="00CC2204">
            <w:pPr>
              <w:spacing w:line="240" w:lineRule="auto"/>
              <w:jc w:val="center"/>
              <w:rPr>
                <w:rFonts w:cs="Times New Roman"/>
                <w:b/>
                <w:bCs/>
                <w:i/>
                <w:iCs/>
                <w:color w:val="000000"/>
                <w:sz w:val="20"/>
                <w:szCs w:val="20"/>
              </w:rPr>
            </w:pPr>
            <w:r>
              <w:rPr>
                <w:sz w:val="20"/>
                <w:szCs w:val="20"/>
              </w:rPr>
              <w:t xml:space="preserve"> </w:t>
            </w:r>
            <w:r w:rsidR="00CC2204">
              <w:rPr>
                <w:sz w:val="20"/>
                <w:szCs w:val="20"/>
              </w:rPr>
              <w:t xml:space="preserve">12 </w:t>
            </w:r>
            <w:r w:rsidR="00CC2204" w:rsidRPr="0031522C">
              <w:rPr>
                <w:sz w:val="20"/>
                <w:szCs w:val="20"/>
              </w:rPr>
              <w:t xml:space="preserve">Jul </w:t>
            </w:r>
            <w:r w:rsidR="00CC2204">
              <w:rPr>
                <w:sz w:val="20"/>
                <w:szCs w:val="20"/>
              </w:rPr>
              <w:t>–</w:t>
            </w:r>
            <w:r w:rsidR="00CC2204" w:rsidRPr="0031522C">
              <w:rPr>
                <w:sz w:val="20"/>
                <w:szCs w:val="20"/>
              </w:rPr>
              <w:t xml:space="preserve"> </w:t>
            </w:r>
            <w:r w:rsidR="00CC2204">
              <w:rPr>
                <w:sz w:val="20"/>
                <w:szCs w:val="20"/>
              </w:rPr>
              <w:t xml:space="preserve">2 </w:t>
            </w:r>
            <w:r w:rsidR="00CC2204" w:rsidRPr="0031522C">
              <w:rPr>
                <w:sz w:val="20"/>
                <w:szCs w:val="20"/>
              </w:rPr>
              <w:t>Aug</w:t>
            </w:r>
          </w:p>
        </w:tc>
        <w:tc>
          <w:tcPr>
            <w:tcW w:w="1826" w:type="dxa"/>
            <w:tcBorders>
              <w:top w:val="nil"/>
              <w:left w:val="nil"/>
              <w:bottom w:val="nil"/>
              <w:right w:val="nil"/>
            </w:tcBorders>
            <w:vAlign w:val="center"/>
          </w:tcPr>
          <w:p w14:paraId="510F231E" w14:textId="3D0E85D5" w:rsidR="00CC2204" w:rsidRPr="0031522C" w:rsidRDefault="009F37A0" w:rsidP="00CC2204">
            <w:pPr>
              <w:spacing w:line="240" w:lineRule="auto"/>
              <w:jc w:val="center"/>
              <w:rPr>
                <w:rFonts w:cs="Times New Roman"/>
                <w:b/>
                <w:bCs/>
                <w:color w:val="000000"/>
                <w:sz w:val="20"/>
                <w:szCs w:val="20"/>
              </w:rPr>
            </w:pPr>
            <w:r>
              <w:rPr>
                <w:sz w:val="20"/>
                <w:szCs w:val="20"/>
              </w:rPr>
              <w:t xml:space="preserve"> </w:t>
            </w:r>
            <w:r w:rsidR="00CC2204">
              <w:rPr>
                <w:sz w:val="20"/>
                <w:szCs w:val="20"/>
              </w:rPr>
              <w:t xml:space="preserve">11 </w:t>
            </w:r>
            <w:r w:rsidR="00CC2204" w:rsidRPr="0031522C">
              <w:rPr>
                <w:sz w:val="20"/>
                <w:szCs w:val="20"/>
              </w:rPr>
              <w:t xml:space="preserve">Jul </w:t>
            </w:r>
            <w:r w:rsidR="00CC2204">
              <w:rPr>
                <w:sz w:val="20"/>
                <w:szCs w:val="20"/>
              </w:rPr>
              <w:t>–</w:t>
            </w:r>
            <w:r w:rsidR="00CC2204" w:rsidRPr="0031522C">
              <w:rPr>
                <w:sz w:val="20"/>
                <w:szCs w:val="20"/>
              </w:rPr>
              <w:t xml:space="preserve"> </w:t>
            </w:r>
            <w:r w:rsidR="00CC2204">
              <w:rPr>
                <w:sz w:val="20"/>
                <w:szCs w:val="20"/>
              </w:rPr>
              <w:t xml:space="preserve">31 </w:t>
            </w:r>
            <w:r w:rsidR="00CC2204" w:rsidRPr="0031522C">
              <w:rPr>
                <w:sz w:val="20"/>
                <w:szCs w:val="20"/>
              </w:rPr>
              <w:t>Jul</w:t>
            </w:r>
          </w:p>
        </w:tc>
        <w:tc>
          <w:tcPr>
            <w:tcW w:w="1917" w:type="dxa"/>
            <w:tcBorders>
              <w:top w:val="nil"/>
              <w:left w:val="nil"/>
              <w:bottom w:val="nil"/>
              <w:right w:val="nil"/>
            </w:tcBorders>
            <w:vAlign w:val="center"/>
          </w:tcPr>
          <w:p w14:paraId="03F7BB8A" w14:textId="569DF66A" w:rsidR="00CC2204" w:rsidRPr="00CC2204" w:rsidRDefault="00CC2204" w:rsidP="00CC2204">
            <w:pPr>
              <w:spacing w:line="240" w:lineRule="auto"/>
              <w:jc w:val="center"/>
              <w:rPr>
                <w:sz w:val="20"/>
                <w:szCs w:val="20"/>
              </w:rPr>
            </w:pPr>
            <w:r w:rsidRPr="00CC2204">
              <w:rPr>
                <w:sz w:val="20"/>
                <w:szCs w:val="20"/>
              </w:rPr>
              <w:t>1</w:t>
            </w:r>
            <w:r>
              <w:rPr>
                <w:sz w:val="20"/>
                <w:szCs w:val="20"/>
              </w:rPr>
              <w:t>8</w:t>
            </w:r>
            <w:r w:rsidRPr="00CC2204">
              <w:rPr>
                <w:sz w:val="20"/>
                <w:szCs w:val="20"/>
              </w:rPr>
              <w:t xml:space="preserve"> Jul – </w:t>
            </w:r>
            <w:r>
              <w:rPr>
                <w:sz w:val="20"/>
                <w:szCs w:val="20"/>
              </w:rPr>
              <w:t>7</w:t>
            </w:r>
            <w:r w:rsidRPr="00CC2204">
              <w:rPr>
                <w:sz w:val="20"/>
                <w:szCs w:val="20"/>
              </w:rPr>
              <w:t xml:space="preserve"> </w:t>
            </w:r>
            <w:r>
              <w:rPr>
                <w:sz w:val="20"/>
                <w:szCs w:val="20"/>
              </w:rPr>
              <w:t>Aug</w:t>
            </w:r>
          </w:p>
        </w:tc>
      </w:tr>
      <w:tr w:rsidR="00CC2204" w:rsidRPr="00500D8E" w14:paraId="2EE91F1D" w14:textId="51E2539B" w:rsidTr="00C97F99">
        <w:trPr>
          <w:trHeight w:val="320"/>
        </w:trPr>
        <w:tc>
          <w:tcPr>
            <w:tcW w:w="1278" w:type="dxa"/>
            <w:tcBorders>
              <w:top w:val="nil"/>
              <w:left w:val="nil"/>
              <w:bottom w:val="nil"/>
              <w:right w:val="nil"/>
            </w:tcBorders>
            <w:shd w:val="clear" w:color="auto" w:fill="D9D9D9" w:themeFill="background1" w:themeFillShade="D9"/>
            <w:noWrap/>
            <w:vAlign w:val="center"/>
          </w:tcPr>
          <w:p w14:paraId="71510210" w14:textId="77777777" w:rsidR="00CC2204" w:rsidRPr="0031522C" w:rsidRDefault="00CC2204" w:rsidP="00CC2204">
            <w:pPr>
              <w:spacing w:line="240" w:lineRule="auto"/>
              <w:rPr>
                <w:rFonts w:cs="Times New Roman"/>
                <w:color w:val="000000"/>
                <w:sz w:val="20"/>
                <w:szCs w:val="20"/>
              </w:rPr>
            </w:pPr>
            <w:r w:rsidRPr="0031522C">
              <w:rPr>
                <w:sz w:val="20"/>
                <w:szCs w:val="20"/>
              </w:rPr>
              <w:t>No Rest</w:t>
            </w:r>
          </w:p>
        </w:tc>
        <w:tc>
          <w:tcPr>
            <w:tcW w:w="2008" w:type="dxa"/>
            <w:tcBorders>
              <w:top w:val="nil"/>
              <w:left w:val="nil"/>
              <w:bottom w:val="nil"/>
              <w:right w:val="nil"/>
            </w:tcBorders>
            <w:shd w:val="clear" w:color="auto" w:fill="D9D9D9" w:themeFill="background1" w:themeFillShade="D9"/>
            <w:noWrap/>
            <w:vAlign w:val="center"/>
          </w:tcPr>
          <w:p w14:paraId="4BC91C58" w14:textId="77777777" w:rsidR="00CC2204" w:rsidRPr="0031522C" w:rsidRDefault="00CC2204" w:rsidP="00CC2204">
            <w:pPr>
              <w:spacing w:line="240" w:lineRule="auto"/>
              <w:jc w:val="center"/>
              <w:rPr>
                <w:rFonts w:cs="Times New Roman"/>
                <w:i/>
                <w:iCs/>
                <w:color w:val="000000"/>
                <w:sz w:val="20"/>
                <w:szCs w:val="20"/>
              </w:rPr>
            </w:pPr>
            <w:r>
              <w:rPr>
                <w:sz w:val="20"/>
                <w:szCs w:val="20"/>
              </w:rPr>
              <w:t xml:space="preserve">17 </w:t>
            </w:r>
            <w:r w:rsidRPr="0031522C">
              <w:rPr>
                <w:sz w:val="20"/>
                <w:szCs w:val="20"/>
              </w:rPr>
              <w:t xml:space="preserve">May </w:t>
            </w:r>
            <w:r>
              <w:rPr>
                <w:sz w:val="20"/>
                <w:szCs w:val="20"/>
              </w:rPr>
              <w:t xml:space="preserve">– 15 </w:t>
            </w:r>
            <w:r w:rsidRPr="0031522C">
              <w:rPr>
                <w:sz w:val="20"/>
                <w:szCs w:val="20"/>
              </w:rPr>
              <w:t>Aug</w:t>
            </w:r>
          </w:p>
        </w:tc>
        <w:tc>
          <w:tcPr>
            <w:tcW w:w="1826" w:type="dxa"/>
            <w:tcBorders>
              <w:top w:val="nil"/>
              <w:left w:val="nil"/>
              <w:bottom w:val="nil"/>
              <w:right w:val="nil"/>
            </w:tcBorders>
            <w:shd w:val="clear" w:color="auto" w:fill="D9D9D9" w:themeFill="background1" w:themeFillShade="D9"/>
            <w:vAlign w:val="center"/>
          </w:tcPr>
          <w:p w14:paraId="7D51319C" w14:textId="77777777" w:rsidR="00CC2204" w:rsidRPr="0031522C" w:rsidRDefault="00CC2204" w:rsidP="00CC2204">
            <w:pPr>
              <w:spacing w:line="240" w:lineRule="auto"/>
              <w:jc w:val="center"/>
              <w:rPr>
                <w:rFonts w:cs="Times New Roman"/>
                <w:color w:val="000000"/>
                <w:sz w:val="20"/>
                <w:szCs w:val="20"/>
              </w:rPr>
            </w:pPr>
            <w:r>
              <w:rPr>
                <w:sz w:val="20"/>
                <w:szCs w:val="20"/>
              </w:rPr>
              <w:t xml:space="preserve">16 </w:t>
            </w:r>
            <w:r w:rsidRPr="0031522C">
              <w:rPr>
                <w:sz w:val="20"/>
                <w:szCs w:val="20"/>
              </w:rPr>
              <w:t xml:space="preserve">May </w:t>
            </w:r>
            <w:r>
              <w:rPr>
                <w:sz w:val="20"/>
                <w:szCs w:val="20"/>
              </w:rPr>
              <w:t xml:space="preserve">– 14 </w:t>
            </w:r>
            <w:r w:rsidRPr="0031522C">
              <w:rPr>
                <w:sz w:val="20"/>
                <w:szCs w:val="20"/>
              </w:rPr>
              <w:t>Aug</w:t>
            </w:r>
          </w:p>
        </w:tc>
        <w:tc>
          <w:tcPr>
            <w:tcW w:w="1917" w:type="dxa"/>
            <w:tcBorders>
              <w:top w:val="nil"/>
              <w:left w:val="nil"/>
              <w:bottom w:val="nil"/>
              <w:right w:val="nil"/>
            </w:tcBorders>
            <w:shd w:val="clear" w:color="auto" w:fill="D9D9D9" w:themeFill="background1" w:themeFillShade="D9"/>
            <w:vAlign w:val="center"/>
          </w:tcPr>
          <w:p w14:paraId="72AE3D2B" w14:textId="60A56F0E" w:rsidR="00CC2204" w:rsidRPr="00CC2204" w:rsidRDefault="00CC2204" w:rsidP="00CC2204">
            <w:pPr>
              <w:spacing w:line="240" w:lineRule="auto"/>
              <w:jc w:val="center"/>
              <w:rPr>
                <w:sz w:val="20"/>
                <w:szCs w:val="20"/>
              </w:rPr>
            </w:pPr>
            <w:r>
              <w:rPr>
                <w:sz w:val="20"/>
                <w:szCs w:val="20"/>
              </w:rPr>
              <w:t>28</w:t>
            </w:r>
            <w:r w:rsidRPr="00CC2204">
              <w:rPr>
                <w:sz w:val="20"/>
                <w:szCs w:val="20"/>
              </w:rPr>
              <w:t xml:space="preserve"> May – 1</w:t>
            </w:r>
            <w:r>
              <w:rPr>
                <w:sz w:val="20"/>
                <w:szCs w:val="20"/>
              </w:rPr>
              <w:t>7</w:t>
            </w:r>
            <w:r w:rsidRPr="00CC2204">
              <w:rPr>
                <w:sz w:val="20"/>
                <w:szCs w:val="20"/>
              </w:rPr>
              <w:t xml:space="preserve"> Aug</w:t>
            </w:r>
          </w:p>
        </w:tc>
      </w:tr>
      <w:tr w:rsidR="00CC2204" w:rsidRPr="00500D8E" w14:paraId="56FAC749" w14:textId="216D8EFD" w:rsidTr="00C97F99">
        <w:trPr>
          <w:trHeight w:val="320"/>
        </w:trPr>
        <w:tc>
          <w:tcPr>
            <w:tcW w:w="1278" w:type="dxa"/>
            <w:tcBorders>
              <w:top w:val="nil"/>
              <w:left w:val="nil"/>
              <w:bottom w:val="single" w:sz="12" w:space="0" w:color="auto"/>
              <w:right w:val="nil"/>
            </w:tcBorders>
            <w:shd w:val="clear" w:color="auto" w:fill="auto"/>
            <w:noWrap/>
            <w:vAlign w:val="center"/>
          </w:tcPr>
          <w:p w14:paraId="405B75AD" w14:textId="77777777" w:rsidR="00CC2204" w:rsidRPr="0031522C" w:rsidRDefault="00CC2204" w:rsidP="00CC2204">
            <w:pPr>
              <w:spacing w:line="240" w:lineRule="auto"/>
              <w:rPr>
                <w:sz w:val="20"/>
                <w:szCs w:val="20"/>
              </w:rPr>
            </w:pPr>
            <w:r w:rsidRPr="0031522C">
              <w:rPr>
                <w:sz w:val="20"/>
                <w:szCs w:val="20"/>
              </w:rPr>
              <w:t>No Graze</w:t>
            </w:r>
          </w:p>
        </w:tc>
        <w:tc>
          <w:tcPr>
            <w:tcW w:w="2008" w:type="dxa"/>
            <w:tcBorders>
              <w:top w:val="nil"/>
              <w:left w:val="nil"/>
              <w:bottom w:val="single" w:sz="12" w:space="0" w:color="auto"/>
              <w:right w:val="nil"/>
            </w:tcBorders>
            <w:shd w:val="clear" w:color="auto" w:fill="auto"/>
            <w:noWrap/>
            <w:vAlign w:val="center"/>
          </w:tcPr>
          <w:p w14:paraId="0FBE3508" w14:textId="77777777" w:rsidR="00CC2204" w:rsidRDefault="00CC2204" w:rsidP="00CC2204">
            <w:pPr>
              <w:spacing w:line="240" w:lineRule="auto"/>
              <w:jc w:val="center"/>
              <w:rPr>
                <w:sz w:val="20"/>
                <w:szCs w:val="20"/>
              </w:rPr>
            </w:pPr>
            <w:r>
              <w:rPr>
                <w:sz w:val="20"/>
                <w:szCs w:val="20"/>
              </w:rPr>
              <w:t xml:space="preserve">17 </w:t>
            </w:r>
            <w:r w:rsidRPr="0031522C">
              <w:rPr>
                <w:sz w:val="20"/>
                <w:szCs w:val="20"/>
              </w:rPr>
              <w:t xml:space="preserve">May </w:t>
            </w:r>
            <w:r>
              <w:rPr>
                <w:sz w:val="20"/>
                <w:szCs w:val="20"/>
              </w:rPr>
              <w:t>–</w:t>
            </w:r>
            <w:r w:rsidRPr="0031522C">
              <w:rPr>
                <w:sz w:val="20"/>
                <w:szCs w:val="20"/>
              </w:rPr>
              <w:t xml:space="preserve"> </w:t>
            </w:r>
            <w:r>
              <w:rPr>
                <w:sz w:val="20"/>
                <w:szCs w:val="20"/>
              </w:rPr>
              <w:t xml:space="preserve">15 </w:t>
            </w:r>
            <w:r w:rsidRPr="0031522C">
              <w:rPr>
                <w:sz w:val="20"/>
                <w:szCs w:val="20"/>
              </w:rPr>
              <w:t>Aug</w:t>
            </w:r>
          </w:p>
        </w:tc>
        <w:tc>
          <w:tcPr>
            <w:tcW w:w="1826" w:type="dxa"/>
            <w:tcBorders>
              <w:top w:val="nil"/>
              <w:left w:val="nil"/>
              <w:bottom w:val="single" w:sz="12" w:space="0" w:color="auto"/>
              <w:right w:val="nil"/>
            </w:tcBorders>
            <w:vAlign w:val="center"/>
          </w:tcPr>
          <w:p w14:paraId="0F053CD1" w14:textId="77777777" w:rsidR="00CC2204" w:rsidRDefault="00CC2204" w:rsidP="00CC2204">
            <w:pPr>
              <w:spacing w:line="240" w:lineRule="auto"/>
              <w:jc w:val="center"/>
              <w:rPr>
                <w:sz w:val="20"/>
                <w:szCs w:val="20"/>
              </w:rPr>
            </w:pPr>
            <w:r>
              <w:rPr>
                <w:sz w:val="20"/>
                <w:szCs w:val="20"/>
              </w:rPr>
              <w:t xml:space="preserve">16 </w:t>
            </w:r>
            <w:r w:rsidRPr="0031522C">
              <w:rPr>
                <w:sz w:val="20"/>
                <w:szCs w:val="20"/>
              </w:rPr>
              <w:t xml:space="preserve">May </w:t>
            </w:r>
            <w:r>
              <w:rPr>
                <w:sz w:val="20"/>
                <w:szCs w:val="20"/>
              </w:rPr>
              <w:t>–</w:t>
            </w:r>
            <w:r w:rsidRPr="0031522C">
              <w:rPr>
                <w:sz w:val="20"/>
                <w:szCs w:val="20"/>
              </w:rPr>
              <w:t xml:space="preserve"> </w:t>
            </w:r>
            <w:r>
              <w:rPr>
                <w:sz w:val="20"/>
                <w:szCs w:val="20"/>
              </w:rPr>
              <w:t xml:space="preserve">14 </w:t>
            </w:r>
            <w:r w:rsidRPr="0031522C">
              <w:rPr>
                <w:sz w:val="20"/>
                <w:szCs w:val="20"/>
              </w:rPr>
              <w:t>Aug</w:t>
            </w:r>
          </w:p>
        </w:tc>
        <w:tc>
          <w:tcPr>
            <w:tcW w:w="1917" w:type="dxa"/>
            <w:tcBorders>
              <w:top w:val="nil"/>
              <w:left w:val="nil"/>
              <w:bottom w:val="single" w:sz="12" w:space="0" w:color="auto"/>
              <w:right w:val="nil"/>
            </w:tcBorders>
            <w:vAlign w:val="center"/>
          </w:tcPr>
          <w:p w14:paraId="031336D6" w14:textId="5CCB20A5" w:rsidR="00CC2204" w:rsidRPr="00CC2204" w:rsidRDefault="00CC2204" w:rsidP="00CC2204">
            <w:pPr>
              <w:spacing w:line="240" w:lineRule="auto"/>
              <w:jc w:val="center"/>
              <w:rPr>
                <w:sz w:val="20"/>
                <w:szCs w:val="20"/>
              </w:rPr>
            </w:pPr>
            <w:r>
              <w:rPr>
                <w:sz w:val="20"/>
                <w:szCs w:val="20"/>
              </w:rPr>
              <w:t>28</w:t>
            </w:r>
            <w:r w:rsidRPr="00CC2204">
              <w:rPr>
                <w:sz w:val="20"/>
                <w:szCs w:val="20"/>
              </w:rPr>
              <w:t xml:space="preserve"> May – 1</w:t>
            </w:r>
            <w:r>
              <w:rPr>
                <w:sz w:val="20"/>
                <w:szCs w:val="20"/>
              </w:rPr>
              <w:t>7</w:t>
            </w:r>
            <w:r w:rsidRPr="00CC2204">
              <w:rPr>
                <w:sz w:val="20"/>
                <w:szCs w:val="20"/>
              </w:rPr>
              <w:t xml:space="preserve"> Aug</w:t>
            </w:r>
          </w:p>
        </w:tc>
      </w:tr>
    </w:tbl>
    <w:p w14:paraId="65132A81" w14:textId="77777777" w:rsidR="00B572F9" w:rsidRDefault="00B572F9" w:rsidP="005060CE">
      <w:pPr>
        <w:spacing w:line="240" w:lineRule="auto"/>
        <w:rPr>
          <w:rFonts w:cs="Times New Roman"/>
          <w:b/>
          <w:bCs/>
        </w:rPr>
      </w:pPr>
    </w:p>
    <w:p w14:paraId="786617CA" w14:textId="08384006" w:rsidR="00B572F9" w:rsidRDefault="00B572F9" w:rsidP="005060CE">
      <w:pPr>
        <w:spacing w:line="240" w:lineRule="auto"/>
      </w:pPr>
    </w:p>
    <w:p w14:paraId="70FCEC9C" w14:textId="4FD54511" w:rsidR="00B1637A" w:rsidRDefault="00B1637A" w:rsidP="005060CE">
      <w:pPr>
        <w:spacing w:line="240" w:lineRule="auto"/>
      </w:pPr>
    </w:p>
    <w:p w14:paraId="43C78819" w14:textId="576537DC" w:rsidR="00B1637A" w:rsidRDefault="00B1637A" w:rsidP="005060CE">
      <w:pPr>
        <w:spacing w:line="240" w:lineRule="auto"/>
      </w:pPr>
    </w:p>
    <w:p w14:paraId="611CC6D7" w14:textId="77777777" w:rsidR="005060CE" w:rsidRDefault="005060CE" w:rsidP="005060CE">
      <w:pPr>
        <w:spacing w:line="240" w:lineRule="auto"/>
      </w:pPr>
    </w:p>
    <w:p w14:paraId="16EDE1B8" w14:textId="285D612F" w:rsidR="00B572F9" w:rsidRPr="00BC2376" w:rsidRDefault="00B572F9" w:rsidP="00A97504">
      <w:pPr>
        <w:pStyle w:val="Tables"/>
        <w:spacing w:before="0" w:after="60"/>
        <w:rPr>
          <w:b/>
        </w:rPr>
      </w:pPr>
      <w:bookmarkStart w:id="188" w:name="_Toc72300404"/>
      <w:r w:rsidRPr="00BC2376">
        <w:t>Table 2.</w:t>
      </w:r>
      <w:r w:rsidR="003C3710">
        <w:t>4</w:t>
      </w:r>
      <w:r w:rsidRPr="00BC2376">
        <w:t xml:space="preserve">.  </w:t>
      </w:r>
      <w:r w:rsidR="008616CC" w:rsidRPr="00BC2376">
        <w:t>S</w:t>
      </w:r>
      <w:r w:rsidRPr="00BC2376">
        <w:t xml:space="preserve">ampling </w:t>
      </w:r>
      <w:r w:rsidR="00CB652E" w:rsidRPr="00BC2376">
        <w:t xml:space="preserve">period </w:t>
      </w:r>
      <w:r w:rsidRPr="00BC2376">
        <w:t xml:space="preserve">dates for </w:t>
      </w:r>
      <w:r w:rsidR="00C97F99">
        <w:t>grazing</w:t>
      </w:r>
      <w:r w:rsidRPr="00BC2376">
        <w:t xml:space="preserve"> treatments within switchgrass and big bluestem/</w:t>
      </w:r>
      <w:r w:rsidR="00CA684B">
        <w:t>i</w:t>
      </w:r>
      <w:r w:rsidR="003D3A24">
        <w:t>ndiangrass</w:t>
      </w:r>
      <w:r w:rsidRPr="00BC2376">
        <w:t xml:space="preserve"> pastures</w:t>
      </w:r>
      <w:r w:rsidR="008616CC" w:rsidRPr="00BC2376">
        <w:t xml:space="preserve"> for native </w:t>
      </w:r>
      <w:r w:rsidR="00706798">
        <w:t xml:space="preserve">grass </w:t>
      </w:r>
      <w:r w:rsidR="008616CC" w:rsidRPr="00BC2376">
        <w:t>pasture grazing experiments</w:t>
      </w:r>
      <w:r w:rsidRPr="00BC2376">
        <w:t xml:space="preserve"> planted with an 11-species forb blend, 201</w:t>
      </w:r>
      <w:r w:rsidR="00787059">
        <w:t>9</w:t>
      </w:r>
      <w:r w:rsidRPr="00BC2376">
        <w:t xml:space="preserve">-2020, </w:t>
      </w:r>
      <w:r w:rsidR="007D4FBA" w:rsidRPr="00BC2376">
        <w:t>University of Tennessee – Northeast Tennessee AgResearch and Education Center, Greeneville, TN.</w:t>
      </w:r>
      <w:bookmarkEnd w:id="188"/>
    </w:p>
    <w:tbl>
      <w:tblPr>
        <w:tblW w:w="8036" w:type="dxa"/>
        <w:tblLook w:val="04A0" w:firstRow="1" w:lastRow="0" w:firstColumn="1" w:lastColumn="0" w:noHBand="0" w:noVBand="1"/>
      </w:tblPr>
      <w:tblGrid>
        <w:gridCol w:w="1260"/>
        <w:gridCol w:w="1620"/>
        <w:gridCol w:w="1530"/>
        <w:gridCol w:w="1710"/>
        <w:gridCol w:w="1916"/>
      </w:tblGrid>
      <w:tr w:rsidR="00B572F9" w:rsidRPr="00500D8E" w14:paraId="4015B562" w14:textId="77777777" w:rsidTr="004D6698">
        <w:trPr>
          <w:trHeight w:val="288"/>
        </w:trPr>
        <w:tc>
          <w:tcPr>
            <w:tcW w:w="1260" w:type="dxa"/>
            <w:tcBorders>
              <w:top w:val="single" w:sz="12" w:space="0" w:color="auto"/>
              <w:left w:val="nil"/>
              <w:bottom w:val="nil"/>
              <w:right w:val="single" w:sz="36" w:space="0" w:color="FFFFFF" w:themeColor="background1"/>
            </w:tcBorders>
            <w:shd w:val="clear" w:color="auto" w:fill="auto"/>
            <w:noWrap/>
            <w:hideMark/>
          </w:tcPr>
          <w:p w14:paraId="3EF900C6" w14:textId="77777777" w:rsidR="00B572F9" w:rsidRPr="0031522C" w:rsidRDefault="00B572F9" w:rsidP="00CD16CE">
            <w:pPr>
              <w:spacing w:line="240" w:lineRule="auto"/>
              <w:rPr>
                <w:rFonts w:cs="Times New Roman"/>
                <w:sz w:val="20"/>
                <w:szCs w:val="20"/>
              </w:rPr>
            </w:pPr>
          </w:p>
        </w:tc>
        <w:tc>
          <w:tcPr>
            <w:tcW w:w="315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tcPr>
          <w:p w14:paraId="719F76DB" w14:textId="77777777" w:rsidR="00B572F9" w:rsidRDefault="00B572F9" w:rsidP="00CD16CE">
            <w:pPr>
              <w:spacing w:line="240" w:lineRule="auto"/>
              <w:jc w:val="center"/>
              <w:rPr>
                <w:sz w:val="20"/>
                <w:szCs w:val="20"/>
              </w:rPr>
            </w:pPr>
            <w:r>
              <w:rPr>
                <w:sz w:val="20"/>
                <w:szCs w:val="20"/>
              </w:rPr>
              <w:t>Switchgrass</w:t>
            </w:r>
          </w:p>
        </w:tc>
        <w:tc>
          <w:tcPr>
            <w:tcW w:w="3626" w:type="dxa"/>
            <w:gridSpan w:val="2"/>
            <w:tcBorders>
              <w:top w:val="single" w:sz="12" w:space="0" w:color="auto"/>
              <w:left w:val="single" w:sz="36" w:space="0" w:color="FFFFFF" w:themeColor="background1"/>
              <w:bottom w:val="single" w:sz="12" w:space="0" w:color="auto"/>
            </w:tcBorders>
            <w:vAlign w:val="center"/>
          </w:tcPr>
          <w:p w14:paraId="0D9FA1FA" w14:textId="77777777" w:rsidR="00B572F9" w:rsidRDefault="00B572F9" w:rsidP="00CD16CE">
            <w:pPr>
              <w:spacing w:line="240" w:lineRule="auto"/>
              <w:jc w:val="center"/>
              <w:rPr>
                <w:sz w:val="20"/>
                <w:szCs w:val="20"/>
              </w:rPr>
            </w:pPr>
            <w:r>
              <w:rPr>
                <w:sz w:val="20"/>
                <w:szCs w:val="20"/>
              </w:rPr>
              <w:t>Big bluestem/Indiangrass</w:t>
            </w:r>
          </w:p>
        </w:tc>
      </w:tr>
      <w:tr w:rsidR="00787059" w:rsidRPr="00500D8E" w14:paraId="4275DD37" w14:textId="77777777" w:rsidTr="004D6698">
        <w:trPr>
          <w:trHeight w:val="288"/>
        </w:trPr>
        <w:tc>
          <w:tcPr>
            <w:tcW w:w="1260" w:type="dxa"/>
            <w:tcBorders>
              <w:left w:val="nil"/>
              <w:bottom w:val="nil"/>
              <w:right w:val="single" w:sz="36" w:space="0" w:color="FFFFFF" w:themeColor="background1"/>
            </w:tcBorders>
            <w:shd w:val="clear" w:color="auto" w:fill="auto"/>
            <w:noWrap/>
            <w:vAlign w:val="center"/>
          </w:tcPr>
          <w:p w14:paraId="1BDC47F8" w14:textId="77777777" w:rsidR="00787059" w:rsidRPr="0031522C" w:rsidRDefault="00787059" w:rsidP="00CD16CE">
            <w:pPr>
              <w:spacing w:line="240" w:lineRule="auto"/>
              <w:rPr>
                <w:rFonts w:cs="Times New Roman"/>
                <w:sz w:val="20"/>
                <w:szCs w:val="20"/>
              </w:rPr>
            </w:pPr>
            <w:r w:rsidRPr="0031522C">
              <w:rPr>
                <w:sz w:val="20"/>
                <w:szCs w:val="20"/>
              </w:rPr>
              <w:t>Treatment</w:t>
            </w:r>
          </w:p>
        </w:tc>
        <w:tc>
          <w:tcPr>
            <w:tcW w:w="1620" w:type="dxa"/>
            <w:tcBorders>
              <w:top w:val="single" w:sz="12" w:space="0" w:color="auto"/>
              <w:left w:val="single" w:sz="36" w:space="0" w:color="FFFFFF" w:themeColor="background1"/>
              <w:bottom w:val="single" w:sz="12" w:space="0" w:color="auto"/>
            </w:tcBorders>
            <w:vAlign w:val="center"/>
          </w:tcPr>
          <w:p w14:paraId="60FBC634" w14:textId="06BC0A2A" w:rsidR="00787059" w:rsidRPr="0031522C" w:rsidRDefault="00787059" w:rsidP="00CD16CE">
            <w:pPr>
              <w:spacing w:line="240" w:lineRule="auto"/>
              <w:jc w:val="center"/>
              <w:rPr>
                <w:rFonts w:cs="Times New Roman"/>
                <w:color w:val="000000"/>
                <w:sz w:val="20"/>
                <w:szCs w:val="20"/>
              </w:rPr>
            </w:pPr>
            <w:r w:rsidRPr="0031522C">
              <w:rPr>
                <w:sz w:val="20"/>
                <w:szCs w:val="20"/>
              </w:rPr>
              <w:t>2019</w:t>
            </w:r>
            <w:r>
              <w:rPr>
                <w:rFonts w:cs="Times New Roman"/>
                <w:sz w:val="20"/>
                <w:szCs w:val="20"/>
              </w:rPr>
              <w:t>†</w:t>
            </w:r>
          </w:p>
        </w:tc>
        <w:tc>
          <w:tcPr>
            <w:tcW w:w="1530" w:type="dxa"/>
            <w:tcBorders>
              <w:top w:val="single" w:sz="12" w:space="0" w:color="auto"/>
              <w:left w:val="single" w:sz="36" w:space="0" w:color="FFFFFF" w:themeColor="background1"/>
              <w:bottom w:val="single" w:sz="12" w:space="0" w:color="auto"/>
            </w:tcBorders>
            <w:vAlign w:val="center"/>
          </w:tcPr>
          <w:p w14:paraId="35EFA11E" w14:textId="577E0A4F" w:rsidR="00787059" w:rsidRDefault="00787059" w:rsidP="00CD16CE">
            <w:pPr>
              <w:spacing w:line="240" w:lineRule="auto"/>
              <w:jc w:val="center"/>
              <w:rPr>
                <w:sz w:val="20"/>
                <w:szCs w:val="20"/>
              </w:rPr>
            </w:pPr>
            <w:r>
              <w:rPr>
                <w:sz w:val="20"/>
                <w:szCs w:val="20"/>
              </w:rPr>
              <w:t>2020</w:t>
            </w:r>
            <w:r>
              <w:rPr>
                <w:rFonts w:cs="Times New Roman"/>
                <w:sz w:val="20"/>
                <w:szCs w:val="20"/>
              </w:rPr>
              <w:t>†</w:t>
            </w:r>
          </w:p>
        </w:tc>
        <w:tc>
          <w:tcPr>
            <w:tcW w:w="1710" w:type="dxa"/>
            <w:tcBorders>
              <w:top w:val="single" w:sz="12" w:space="0" w:color="auto"/>
              <w:left w:val="single" w:sz="36" w:space="0" w:color="FFFFFF" w:themeColor="background1"/>
              <w:bottom w:val="single" w:sz="12" w:space="0" w:color="auto"/>
            </w:tcBorders>
            <w:vAlign w:val="center"/>
          </w:tcPr>
          <w:p w14:paraId="63973BB4" w14:textId="77777777" w:rsidR="00787059" w:rsidRPr="0031522C" w:rsidRDefault="00787059" w:rsidP="00CD16CE">
            <w:pPr>
              <w:spacing w:line="240" w:lineRule="auto"/>
              <w:jc w:val="center"/>
              <w:rPr>
                <w:sz w:val="20"/>
                <w:szCs w:val="20"/>
              </w:rPr>
            </w:pPr>
            <w:r>
              <w:rPr>
                <w:sz w:val="20"/>
                <w:szCs w:val="20"/>
              </w:rPr>
              <w:t>2019</w:t>
            </w:r>
          </w:p>
        </w:tc>
        <w:tc>
          <w:tcPr>
            <w:tcW w:w="1916" w:type="dxa"/>
            <w:tcBorders>
              <w:top w:val="single" w:sz="12" w:space="0" w:color="auto"/>
              <w:left w:val="single" w:sz="36" w:space="0" w:color="FFFFFF" w:themeColor="background1"/>
              <w:bottom w:val="single" w:sz="12" w:space="0" w:color="auto"/>
            </w:tcBorders>
            <w:vAlign w:val="center"/>
          </w:tcPr>
          <w:p w14:paraId="3BDA582F" w14:textId="77777777" w:rsidR="00787059" w:rsidRDefault="00787059" w:rsidP="00CD16CE">
            <w:pPr>
              <w:spacing w:line="240" w:lineRule="auto"/>
              <w:jc w:val="center"/>
              <w:rPr>
                <w:sz w:val="20"/>
                <w:szCs w:val="20"/>
              </w:rPr>
            </w:pPr>
            <w:r>
              <w:rPr>
                <w:sz w:val="20"/>
                <w:szCs w:val="20"/>
              </w:rPr>
              <w:t>2020</w:t>
            </w:r>
          </w:p>
        </w:tc>
      </w:tr>
      <w:tr w:rsidR="00787059" w:rsidRPr="00500D8E" w14:paraId="0DEA8E90" w14:textId="77777777" w:rsidTr="007441D8">
        <w:trPr>
          <w:trHeight w:val="720"/>
        </w:trPr>
        <w:tc>
          <w:tcPr>
            <w:tcW w:w="1260" w:type="dxa"/>
            <w:tcBorders>
              <w:top w:val="single" w:sz="12" w:space="0" w:color="auto"/>
              <w:left w:val="nil"/>
              <w:bottom w:val="nil"/>
              <w:right w:val="single" w:sz="36" w:space="0" w:color="FFFFFF" w:themeColor="background1"/>
            </w:tcBorders>
            <w:shd w:val="clear" w:color="auto" w:fill="auto"/>
            <w:noWrap/>
            <w:vAlign w:val="center"/>
          </w:tcPr>
          <w:p w14:paraId="3EB44E2A" w14:textId="77777777" w:rsidR="00787059" w:rsidRPr="0031522C" w:rsidRDefault="00787059" w:rsidP="00CD16CE">
            <w:pPr>
              <w:spacing w:line="240" w:lineRule="auto"/>
              <w:rPr>
                <w:rFonts w:cs="Times New Roman"/>
                <w:sz w:val="20"/>
                <w:szCs w:val="20"/>
              </w:rPr>
            </w:pPr>
            <w:r>
              <w:rPr>
                <w:rFonts w:cs="Times New Roman"/>
                <w:sz w:val="20"/>
                <w:szCs w:val="20"/>
              </w:rPr>
              <w:t>Early Rest</w:t>
            </w:r>
          </w:p>
        </w:tc>
        <w:tc>
          <w:tcPr>
            <w:tcW w:w="1620" w:type="dxa"/>
            <w:tcBorders>
              <w:top w:val="single" w:sz="12" w:space="0" w:color="auto"/>
              <w:left w:val="single" w:sz="36" w:space="0" w:color="FFFFFF" w:themeColor="background1"/>
              <w:bottom w:val="nil"/>
            </w:tcBorders>
            <w:vAlign w:val="center"/>
          </w:tcPr>
          <w:p w14:paraId="51209CFB" w14:textId="46438F80" w:rsidR="00787059" w:rsidRPr="00E80392" w:rsidRDefault="00787059" w:rsidP="00CD16CE">
            <w:pPr>
              <w:spacing w:line="240" w:lineRule="auto"/>
              <w:jc w:val="center"/>
              <w:rPr>
                <w:rFonts w:cs="Times New Roman"/>
                <w:color w:val="000000"/>
                <w:sz w:val="20"/>
                <w:szCs w:val="20"/>
              </w:rPr>
            </w:pPr>
            <w:r>
              <w:rPr>
                <w:rFonts w:cs="Times New Roman"/>
                <w:color w:val="000000"/>
                <w:sz w:val="20"/>
                <w:szCs w:val="20"/>
              </w:rPr>
              <w:t>19 Jun</w:t>
            </w:r>
          </w:p>
        </w:tc>
        <w:tc>
          <w:tcPr>
            <w:tcW w:w="1530" w:type="dxa"/>
            <w:tcBorders>
              <w:top w:val="single" w:sz="12" w:space="0" w:color="auto"/>
              <w:left w:val="single" w:sz="36" w:space="0" w:color="FFFFFF" w:themeColor="background1"/>
              <w:bottom w:val="nil"/>
            </w:tcBorders>
            <w:vAlign w:val="center"/>
          </w:tcPr>
          <w:p w14:paraId="6B332D36" w14:textId="19FE0323" w:rsidR="00787059" w:rsidRPr="00E80392" w:rsidRDefault="00787059" w:rsidP="00CD16CE">
            <w:pPr>
              <w:spacing w:line="240" w:lineRule="auto"/>
              <w:jc w:val="center"/>
              <w:rPr>
                <w:rFonts w:cs="Times New Roman"/>
                <w:color w:val="000000"/>
                <w:sz w:val="20"/>
                <w:szCs w:val="20"/>
              </w:rPr>
            </w:pPr>
            <w:r>
              <w:rPr>
                <w:rFonts w:cs="Times New Roman"/>
                <w:color w:val="000000"/>
                <w:sz w:val="20"/>
                <w:szCs w:val="20"/>
              </w:rPr>
              <w:t>25/26 Jun</w:t>
            </w:r>
          </w:p>
        </w:tc>
        <w:tc>
          <w:tcPr>
            <w:tcW w:w="1710" w:type="dxa"/>
            <w:tcBorders>
              <w:top w:val="single" w:sz="12" w:space="0" w:color="auto"/>
              <w:left w:val="single" w:sz="36" w:space="0" w:color="FFFFFF" w:themeColor="background1"/>
              <w:bottom w:val="nil"/>
            </w:tcBorders>
            <w:vAlign w:val="center"/>
          </w:tcPr>
          <w:p w14:paraId="16B8BBDE" w14:textId="7A2CDD90" w:rsidR="00787059" w:rsidRPr="0031522C" w:rsidRDefault="00787059" w:rsidP="00CD16CE">
            <w:pPr>
              <w:spacing w:line="240" w:lineRule="auto"/>
              <w:jc w:val="center"/>
              <w:rPr>
                <w:sz w:val="20"/>
                <w:szCs w:val="20"/>
              </w:rPr>
            </w:pPr>
            <w:r>
              <w:rPr>
                <w:rFonts w:cs="Times New Roman"/>
                <w:color w:val="000000"/>
                <w:sz w:val="20"/>
                <w:szCs w:val="20"/>
              </w:rPr>
              <w:t>19 Jun</w:t>
            </w:r>
          </w:p>
        </w:tc>
        <w:tc>
          <w:tcPr>
            <w:tcW w:w="1916" w:type="dxa"/>
            <w:tcBorders>
              <w:top w:val="single" w:sz="12" w:space="0" w:color="auto"/>
              <w:left w:val="single" w:sz="36" w:space="0" w:color="FFFFFF" w:themeColor="background1"/>
              <w:bottom w:val="nil"/>
            </w:tcBorders>
            <w:vAlign w:val="center"/>
          </w:tcPr>
          <w:p w14:paraId="480BF609" w14:textId="649F411D" w:rsidR="00787059" w:rsidRDefault="00787059" w:rsidP="00CD16CE">
            <w:pPr>
              <w:spacing w:line="240" w:lineRule="auto"/>
              <w:jc w:val="center"/>
              <w:rPr>
                <w:rFonts w:cs="Times New Roman"/>
                <w:color w:val="000000"/>
                <w:sz w:val="20"/>
                <w:szCs w:val="20"/>
              </w:rPr>
            </w:pPr>
            <w:r>
              <w:rPr>
                <w:rFonts w:cs="Times New Roman"/>
                <w:color w:val="000000"/>
                <w:sz w:val="20"/>
                <w:szCs w:val="20"/>
              </w:rPr>
              <w:t>24/25 Jun</w:t>
            </w:r>
          </w:p>
        </w:tc>
      </w:tr>
      <w:tr w:rsidR="00787059" w:rsidRPr="00500D8E" w14:paraId="7BCB64E3" w14:textId="77777777" w:rsidTr="005060CE">
        <w:trPr>
          <w:trHeight w:val="720"/>
        </w:trPr>
        <w:tc>
          <w:tcPr>
            <w:tcW w:w="1260" w:type="dxa"/>
            <w:tcBorders>
              <w:top w:val="nil"/>
              <w:left w:val="nil"/>
              <w:bottom w:val="nil"/>
              <w:right w:val="nil"/>
            </w:tcBorders>
            <w:shd w:val="clear" w:color="auto" w:fill="D9D9D9" w:themeFill="background1" w:themeFillShade="D9"/>
            <w:noWrap/>
            <w:vAlign w:val="center"/>
          </w:tcPr>
          <w:p w14:paraId="7A6BF53D" w14:textId="77777777" w:rsidR="00787059" w:rsidRPr="0031522C" w:rsidRDefault="00787059" w:rsidP="00CD16CE">
            <w:pPr>
              <w:spacing w:line="240" w:lineRule="auto"/>
              <w:rPr>
                <w:rFonts w:cs="Times New Roman"/>
                <w:color w:val="000000"/>
                <w:sz w:val="20"/>
                <w:szCs w:val="20"/>
              </w:rPr>
            </w:pPr>
            <w:r>
              <w:rPr>
                <w:sz w:val="20"/>
                <w:szCs w:val="20"/>
              </w:rPr>
              <w:t>Middle</w:t>
            </w:r>
            <w:r w:rsidRPr="0031522C">
              <w:rPr>
                <w:sz w:val="20"/>
                <w:szCs w:val="20"/>
              </w:rPr>
              <w:t xml:space="preserve"> Rest</w:t>
            </w:r>
          </w:p>
        </w:tc>
        <w:tc>
          <w:tcPr>
            <w:tcW w:w="1620" w:type="dxa"/>
            <w:tcBorders>
              <w:top w:val="nil"/>
              <w:left w:val="nil"/>
              <w:bottom w:val="nil"/>
              <w:right w:val="nil"/>
            </w:tcBorders>
            <w:shd w:val="clear" w:color="auto" w:fill="D9D9D9" w:themeFill="background1" w:themeFillShade="D9"/>
            <w:vAlign w:val="center"/>
          </w:tcPr>
          <w:p w14:paraId="57114A54" w14:textId="22A1E157" w:rsidR="00787059" w:rsidRPr="00E80392" w:rsidRDefault="00787059" w:rsidP="00CD16CE">
            <w:pPr>
              <w:spacing w:line="240" w:lineRule="auto"/>
              <w:jc w:val="center"/>
              <w:rPr>
                <w:rFonts w:cs="Times New Roman"/>
                <w:color w:val="000000"/>
                <w:sz w:val="20"/>
                <w:szCs w:val="20"/>
              </w:rPr>
            </w:pPr>
            <w:r>
              <w:rPr>
                <w:rFonts w:cs="Times New Roman"/>
                <w:color w:val="000000"/>
                <w:sz w:val="20"/>
                <w:szCs w:val="20"/>
              </w:rPr>
              <w:t>9 Jul</w:t>
            </w:r>
          </w:p>
        </w:tc>
        <w:tc>
          <w:tcPr>
            <w:tcW w:w="1530" w:type="dxa"/>
            <w:tcBorders>
              <w:top w:val="nil"/>
              <w:left w:val="nil"/>
              <w:bottom w:val="nil"/>
              <w:right w:val="nil"/>
            </w:tcBorders>
            <w:shd w:val="clear" w:color="auto" w:fill="D9D9D9" w:themeFill="background1" w:themeFillShade="D9"/>
            <w:vAlign w:val="center"/>
          </w:tcPr>
          <w:p w14:paraId="4D5D4FE2" w14:textId="6622AACA" w:rsidR="00787059" w:rsidRPr="004D5959" w:rsidRDefault="00787059" w:rsidP="00CD16CE">
            <w:pPr>
              <w:spacing w:line="240" w:lineRule="auto"/>
              <w:jc w:val="center"/>
              <w:rPr>
                <w:rFonts w:cs="Times New Roman"/>
                <w:color w:val="000000"/>
                <w:sz w:val="20"/>
                <w:szCs w:val="20"/>
              </w:rPr>
            </w:pPr>
            <w:r>
              <w:rPr>
                <w:rFonts w:cs="Times New Roman"/>
                <w:color w:val="000000"/>
                <w:sz w:val="20"/>
                <w:szCs w:val="20"/>
              </w:rPr>
              <w:t>15/16 Jul</w:t>
            </w:r>
          </w:p>
        </w:tc>
        <w:tc>
          <w:tcPr>
            <w:tcW w:w="1710" w:type="dxa"/>
            <w:tcBorders>
              <w:top w:val="nil"/>
              <w:left w:val="nil"/>
              <w:bottom w:val="nil"/>
              <w:right w:val="nil"/>
            </w:tcBorders>
            <w:shd w:val="clear" w:color="auto" w:fill="D9D9D9" w:themeFill="background1" w:themeFillShade="D9"/>
            <w:vAlign w:val="center"/>
          </w:tcPr>
          <w:p w14:paraId="7BB8BEEE" w14:textId="1CD20CC7" w:rsidR="00787059" w:rsidRPr="0031522C" w:rsidRDefault="00787059" w:rsidP="00CD16CE">
            <w:pPr>
              <w:spacing w:line="240" w:lineRule="auto"/>
              <w:jc w:val="center"/>
              <w:rPr>
                <w:sz w:val="20"/>
                <w:szCs w:val="20"/>
              </w:rPr>
            </w:pPr>
            <w:r>
              <w:rPr>
                <w:rFonts w:cs="Times New Roman"/>
                <w:color w:val="000000"/>
                <w:sz w:val="20"/>
                <w:szCs w:val="20"/>
              </w:rPr>
              <w:t>10 Jul</w:t>
            </w:r>
          </w:p>
        </w:tc>
        <w:tc>
          <w:tcPr>
            <w:tcW w:w="1916" w:type="dxa"/>
            <w:tcBorders>
              <w:top w:val="nil"/>
              <w:left w:val="nil"/>
              <w:bottom w:val="nil"/>
              <w:right w:val="nil"/>
            </w:tcBorders>
            <w:shd w:val="clear" w:color="auto" w:fill="D9D9D9" w:themeFill="background1" w:themeFillShade="D9"/>
            <w:vAlign w:val="center"/>
          </w:tcPr>
          <w:p w14:paraId="798198AF" w14:textId="64E66BC8" w:rsidR="00787059" w:rsidRDefault="00787059" w:rsidP="00CD16CE">
            <w:pPr>
              <w:spacing w:line="240" w:lineRule="auto"/>
              <w:jc w:val="center"/>
              <w:rPr>
                <w:rFonts w:cs="Times New Roman"/>
                <w:color w:val="000000"/>
                <w:sz w:val="20"/>
                <w:szCs w:val="20"/>
              </w:rPr>
            </w:pPr>
            <w:r>
              <w:rPr>
                <w:rFonts w:cs="Times New Roman"/>
                <w:color w:val="000000"/>
                <w:sz w:val="20"/>
                <w:szCs w:val="20"/>
              </w:rPr>
              <w:t>14/15 Jul</w:t>
            </w:r>
          </w:p>
        </w:tc>
      </w:tr>
      <w:tr w:rsidR="00787059" w:rsidRPr="00500D8E" w14:paraId="7FE6426D" w14:textId="77777777" w:rsidTr="007441D8">
        <w:trPr>
          <w:trHeight w:val="720"/>
        </w:trPr>
        <w:tc>
          <w:tcPr>
            <w:tcW w:w="1260" w:type="dxa"/>
            <w:tcBorders>
              <w:top w:val="nil"/>
              <w:left w:val="nil"/>
              <w:bottom w:val="nil"/>
              <w:right w:val="nil"/>
            </w:tcBorders>
            <w:shd w:val="clear" w:color="auto" w:fill="auto"/>
            <w:noWrap/>
            <w:vAlign w:val="center"/>
          </w:tcPr>
          <w:p w14:paraId="44EA4749" w14:textId="77777777" w:rsidR="00787059" w:rsidRPr="0031522C" w:rsidRDefault="00787059" w:rsidP="00CD16CE">
            <w:pPr>
              <w:spacing w:line="240" w:lineRule="auto"/>
              <w:rPr>
                <w:rFonts w:cs="Times New Roman"/>
                <w:color w:val="000000"/>
                <w:sz w:val="20"/>
                <w:szCs w:val="20"/>
              </w:rPr>
            </w:pPr>
            <w:r>
              <w:rPr>
                <w:sz w:val="20"/>
                <w:szCs w:val="20"/>
              </w:rPr>
              <w:t>Late</w:t>
            </w:r>
            <w:r w:rsidRPr="0031522C">
              <w:rPr>
                <w:sz w:val="20"/>
                <w:szCs w:val="20"/>
              </w:rPr>
              <w:t xml:space="preserve"> Rest</w:t>
            </w:r>
          </w:p>
        </w:tc>
        <w:tc>
          <w:tcPr>
            <w:tcW w:w="1620" w:type="dxa"/>
            <w:tcBorders>
              <w:top w:val="nil"/>
              <w:left w:val="nil"/>
              <w:bottom w:val="nil"/>
              <w:right w:val="nil"/>
            </w:tcBorders>
            <w:vAlign w:val="center"/>
          </w:tcPr>
          <w:p w14:paraId="04125360" w14:textId="588A1598" w:rsidR="00787059" w:rsidRPr="000B3378" w:rsidRDefault="00787059" w:rsidP="007441D8">
            <w:pPr>
              <w:spacing w:line="240" w:lineRule="auto"/>
              <w:jc w:val="center"/>
              <w:rPr>
                <w:rFonts w:cs="Times New Roman"/>
                <w:color w:val="000000"/>
                <w:sz w:val="20"/>
                <w:szCs w:val="20"/>
              </w:rPr>
            </w:pPr>
            <w:r w:rsidRPr="000B3378">
              <w:rPr>
                <w:rFonts w:cs="Times New Roman"/>
                <w:color w:val="000000"/>
                <w:sz w:val="20"/>
                <w:szCs w:val="20"/>
              </w:rPr>
              <w:t>31 Jul</w:t>
            </w:r>
          </w:p>
        </w:tc>
        <w:tc>
          <w:tcPr>
            <w:tcW w:w="1530" w:type="dxa"/>
            <w:tcBorders>
              <w:top w:val="nil"/>
              <w:left w:val="nil"/>
              <w:bottom w:val="nil"/>
              <w:right w:val="nil"/>
            </w:tcBorders>
            <w:vAlign w:val="center"/>
          </w:tcPr>
          <w:p w14:paraId="4E1549CA" w14:textId="0684912B" w:rsidR="00787059" w:rsidRPr="004D5959" w:rsidRDefault="00787059" w:rsidP="007441D8">
            <w:pPr>
              <w:spacing w:line="240" w:lineRule="auto"/>
              <w:jc w:val="center"/>
              <w:rPr>
                <w:rFonts w:cs="Times New Roman"/>
                <w:color w:val="000000"/>
                <w:sz w:val="20"/>
                <w:szCs w:val="20"/>
              </w:rPr>
            </w:pPr>
            <w:r>
              <w:rPr>
                <w:rFonts w:cs="Times New Roman"/>
                <w:color w:val="000000"/>
                <w:sz w:val="20"/>
                <w:szCs w:val="20"/>
              </w:rPr>
              <w:t>7 Aug</w:t>
            </w:r>
          </w:p>
        </w:tc>
        <w:tc>
          <w:tcPr>
            <w:tcW w:w="1710" w:type="dxa"/>
            <w:tcBorders>
              <w:top w:val="nil"/>
              <w:left w:val="nil"/>
              <w:bottom w:val="nil"/>
              <w:right w:val="nil"/>
            </w:tcBorders>
            <w:vAlign w:val="center"/>
          </w:tcPr>
          <w:p w14:paraId="5C9BD463" w14:textId="33A1883E" w:rsidR="00787059" w:rsidRPr="0031522C" w:rsidRDefault="00787059" w:rsidP="007441D8">
            <w:pPr>
              <w:spacing w:line="240" w:lineRule="auto"/>
              <w:jc w:val="center"/>
              <w:rPr>
                <w:sz w:val="20"/>
                <w:szCs w:val="20"/>
              </w:rPr>
            </w:pPr>
            <w:r>
              <w:rPr>
                <w:rFonts w:cs="Times New Roman"/>
                <w:color w:val="000000"/>
                <w:sz w:val="20"/>
                <w:szCs w:val="20"/>
              </w:rPr>
              <w:t>1 Aug</w:t>
            </w:r>
          </w:p>
        </w:tc>
        <w:tc>
          <w:tcPr>
            <w:tcW w:w="1916" w:type="dxa"/>
            <w:tcBorders>
              <w:top w:val="nil"/>
              <w:left w:val="nil"/>
              <w:bottom w:val="nil"/>
              <w:right w:val="nil"/>
            </w:tcBorders>
            <w:vAlign w:val="center"/>
          </w:tcPr>
          <w:p w14:paraId="612FC004" w14:textId="11C6952A" w:rsidR="00787059" w:rsidRDefault="00787059" w:rsidP="007441D8">
            <w:pPr>
              <w:spacing w:line="240" w:lineRule="auto"/>
              <w:jc w:val="center"/>
              <w:rPr>
                <w:rFonts w:cs="Times New Roman"/>
                <w:color w:val="000000"/>
                <w:sz w:val="20"/>
                <w:szCs w:val="20"/>
              </w:rPr>
            </w:pPr>
            <w:r>
              <w:rPr>
                <w:rFonts w:cs="Times New Roman"/>
                <w:color w:val="000000"/>
                <w:sz w:val="20"/>
                <w:szCs w:val="20"/>
              </w:rPr>
              <w:t>5 Aug</w:t>
            </w:r>
          </w:p>
        </w:tc>
      </w:tr>
      <w:tr w:rsidR="00787059" w:rsidRPr="00500D8E" w14:paraId="26472446" w14:textId="77777777" w:rsidTr="005060CE">
        <w:trPr>
          <w:trHeight w:val="288"/>
        </w:trPr>
        <w:tc>
          <w:tcPr>
            <w:tcW w:w="1260" w:type="dxa"/>
            <w:tcBorders>
              <w:top w:val="nil"/>
              <w:left w:val="nil"/>
              <w:bottom w:val="nil"/>
              <w:right w:val="nil"/>
            </w:tcBorders>
            <w:shd w:val="clear" w:color="auto" w:fill="D9D9D9" w:themeFill="background1" w:themeFillShade="D9"/>
            <w:noWrap/>
            <w:vAlign w:val="center"/>
          </w:tcPr>
          <w:p w14:paraId="3F8F3BCB" w14:textId="77777777" w:rsidR="00787059" w:rsidRPr="0031522C" w:rsidRDefault="00787059" w:rsidP="00CD16CE">
            <w:pPr>
              <w:spacing w:line="240" w:lineRule="auto"/>
              <w:rPr>
                <w:rFonts w:cs="Times New Roman"/>
                <w:color w:val="000000"/>
                <w:sz w:val="20"/>
                <w:szCs w:val="20"/>
              </w:rPr>
            </w:pPr>
            <w:r>
              <w:rPr>
                <w:sz w:val="20"/>
                <w:szCs w:val="20"/>
              </w:rPr>
              <w:t>No</w:t>
            </w:r>
            <w:r w:rsidRPr="0031522C">
              <w:rPr>
                <w:sz w:val="20"/>
                <w:szCs w:val="20"/>
              </w:rPr>
              <w:t xml:space="preserve"> Rest</w:t>
            </w:r>
          </w:p>
        </w:tc>
        <w:tc>
          <w:tcPr>
            <w:tcW w:w="1620" w:type="dxa"/>
            <w:tcBorders>
              <w:top w:val="nil"/>
              <w:left w:val="nil"/>
              <w:bottom w:val="nil"/>
              <w:right w:val="nil"/>
            </w:tcBorders>
            <w:shd w:val="clear" w:color="auto" w:fill="D9D9D9" w:themeFill="background1" w:themeFillShade="D9"/>
            <w:vAlign w:val="center"/>
          </w:tcPr>
          <w:p w14:paraId="5F603F40" w14:textId="5817F259" w:rsidR="004D6698" w:rsidRDefault="00787059" w:rsidP="00CD16CE">
            <w:pPr>
              <w:spacing w:line="240" w:lineRule="auto"/>
              <w:jc w:val="center"/>
              <w:rPr>
                <w:rFonts w:cs="Times New Roman"/>
                <w:color w:val="000000"/>
                <w:sz w:val="20"/>
                <w:szCs w:val="20"/>
              </w:rPr>
            </w:pPr>
            <w:r>
              <w:rPr>
                <w:rFonts w:cs="Times New Roman"/>
                <w:color w:val="000000"/>
                <w:sz w:val="20"/>
                <w:szCs w:val="20"/>
              </w:rPr>
              <w:t>14 May</w:t>
            </w:r>
          </w:p>
          <w:p w14:paraId="77FEA5E1" w14:textId="3021EC8A" w:rsidR="00787059" w:rsidRDefault="00787059" w:rsidP="00CD16CE">
            <w:pPr>
              <w:spacing w:line="240" w:lineRule="auto"/>
              <w:jc w:val="center"/>
              <w:rPr>
                <w:rFonts w:cs="Times New Roman"/>
                <w:color w:val="000000"/>
                <w:sz w:val="20"/>
                <w:szCs w:val="20"/>
              </w:rPr>
            </w:pPr>
            <w:r>
              <w:rPr>
                <w:rFonts w:cs="Times New Roman"/>
                <w:color w:val="000000"/>
                <w:sz w:val="20"/>
                <w:szCs w:val="20"/>
              </w:rPr>
              <w:t>19 Jun</w:t>
            </w:r>
          </w:p>
          <w:p w14:paraId="0B6A5253" w14:textId="6D4EE3F1" w:rsidR="004D6698" w:rsidRDefault="00787059" w:rsidP="00787059">
            <w:pPr>
              <w:spacing w:line="240" w:lineRule="auto"/>
              <w:jc w:val="center"/>
              <w:rPr>
                <w:rFonts w:cs="Times New Roman"/>
                <w:color w:val="000000"/>
                <w:sz w:val="20"/>
                <w:szCs w:val="20"/>
              </w:rPr>
            </w:pPr>
            <w:r>
              <w:rPr>
                <w:rFonts w:cs="Times New Roman"/>
                <w:color w:val="000000"/>
                <w:sz w:val="20"/>
                <w:szCs w:val="20"/>
              </w:rPr>
              <w:t>9 Jul</w:t>
            </w:r>
          </w:p>
          <w:p w14:paraId="62283C85" w14:textId="0ADE0BAF" w:rsidR="004D6698" w:rsidRDefault="00787059" w:rsidP="00787059">
            <w:pPr>
              <w:spacing w:line="240" w:lineRule="auto"/>
              <w:jc w:val="center"/>
              <w:rPr>
                <w:rFonts w:cs="Times New Roman"/>
                <w:color w:val="000000"/>
                <w:sz w:val="20"/>
                <w:szCs w:val="20"/>
              </w:rPr>
            </w:pPr>
            <w:r>
              <w:rPr>
                <w:rFonts w:cs="Times New Roman"/>
                <w:color w:val="000000"/>
                <w:sz w:val="20"/>
                <w:szCs w:val="20"/>
              </w:rPr>
              <w:t>31 Jul</w:t>
            </w:r>
          </w:p>
          <w:p w14:paraId="12C71D07" w14:textId="0FB9B382" w:rsidR="00787059" w:rsidRPr="00E80392" w:rsidRDefault="00787059" w:rsidP="00787059">
            <w:pPr>
              <w:spacing w:line="240" w:lineRule="auto"/>
              <w:jc w:val="center"/>
              <w:rPr>
                <w:rFonts w:cs="Times New Roman"/>
                <w:color w:val="000000"/>
                <w:sz w:val="20"/>
                <w:szCs w:val="20"/>
              </w:rPr>
            </w:pPr>
            <w:r>
              <w:rPr>
                <w:rFonts w:cs="Times New Roman"/>
                <w:color w:val="000000"/>
                <w:sz w:val="20"/>
                <w:szCs w:val="20"/>
              </w:rPr>
              <w:t>19 Aug</w:t>
            </w:r>
          </w:p>
        </w:tc>
        <w:tc>
          <w:tcPr>
            <w:tcW w:w="1530" w:type="dxa"/>
            <w:tcBorders>
              <w:top w:val="nil"/>
              <w:left w:val="nil"/>
              <w:bottom w:val="nil"/>
              <w:right w:val="nil"/>
            </w:tcBorders>
            <w:shd w:val="clear" w:color="auto" w:fill="D9D9D9" w:themeFill="background1" w:themeFillShade="D9"/>
            <w:vAlign w:val="center"/>
          </w:tcPr>
          <w:p w14:paraId="52AD0044" w14:textId="1FFED74F" w:rsidR="004D6698" w:rsidRDefault="00787059" w:rsidP="00787059">
            <w:pPr>
              <w:spacing w:line="240" w:lineRule="auto"/>
              <w:jc w:val="center"/>
              <w:rPr>
                <w:rFonts w:cs="Times New Roman"/>
                <w:color w:val="000000"/>
                <w:sz w:val="20"/>
                <w:szCs w:val="20"/>
              </w:rPr>
            </w:pPr>
            <w:r>
              <w:rPr>
                <w:rFonts w:cs="Times New Roman"/>
                <w:color w:val="000000"/>
                <w:sz w:val="20"/>
                <w:szCs w:val="20"/>
              </w:rPr>
              <w:t>27/28</w:t>
            </w:r>
            <w:r w:rsidRPr="00131DD3">
              <w:rPr>
                <w:rFonts w:cs="Times New Roman"/>
                <w:color w:val="000000"/>
                <w:sz w:val="20"/>
                <w:szCs w:val="20"/>
              </w:rPr>
              <w:t xml:space="preserve"> May</w:t>
            </w:r>
          </w:p>
          <w:p w14:paraId="01EDDB5E" w14:textId="1E9ADBE1" w:rsidR="004D6698" w:rsidRDefault="00787059" w:rsidP="00787059">
            <w:pPr>
              <w:spacing w:line="240" w:lineRule="auto"/>
              <w:jc w:val="center"/>
              <w:rPr>
                <w:rFonts w:cs="Times New Roman"/>
                <w:color w:val="000000"/>
                <w:sz w:val="20"/>
                <w:szCs w:val="20"/>
              </w:rPr>
            </w:pPr>
            <w:r>
              <w:rPr>
                <w:rFonts w:cs="Times New Roman"/>
                <w:color w:val="000000"/>
                <w:sz w:val="20"/>
                <w:szCs w:val="20"/>
              </w:rPr>
              <w:t>25/26</w:t>
            </w:r>
            <w:r w:rsidRPr="00131DD3">
              <w:rPr>
                <w:rFonts w:cs="Times New Roman"/>
                <w:color w:val="000000"/>
                <w:sz w:val="20"/>
                <w:szCs w:val="20"/>
              </w:rPr>
              <w:t xml:space="preserve"> Jun</w:t>
            </w:r>
          </w:p>
          <w:p w14:paraId="60B45F75" w14:textId="2989980C" w:rsidR="004D6698" w:rsidRDefault="00787059" w:rsidP="00787059">
            <w:pPr>
              <w:spacing w:line="240" w:lineRule="auto"/>
              <w:jc w:val="center"/>
              <w:rPr>
                <w:rFonts w:cs="Times New Roman"/>
                <w:color w:val="000000"/>
                <w:sz w:val="20"/>
                <w:szCs w:val="20"/>
              </w:rPr>
            </w:pPr>
            <w:r>
              <w:rPr>
                <w:rFonts w:cs="Times New Roman"/>
                <w:color w:val="000000"/>
                <w:sz w:val="20"/>
                <w:szCs w:val="20"/>
              </w:rPr>
              <w:t>15/16</w:t>
            </w:r>
            <w:r w:rsidRPr="00131DD3">
              <w:rPr>
                <w:rFonts w:cs="Times New Roman"/>
                <w:color w:val="000000"/>
                <w:sz w:val="20"/>
                <w:szCs w:val="20"/>
              </w:rPr>
              <w:t xml:space="preserve"> Jul</w:t>
            </w:r>
          </w:p>
          <w:p w14:paraId="735F70E2" w14:textId="7A656C21" w:rsidR="004D6698" w:rsidRDefault="00787059" w:rsidP="00787059">
            <w:pPr>
              <w:spacing w:line="240" w:lineRule="auto"/>
              <w:jc w:val="center"/>
              <w:rPr>
                <w:rFonts w:cs="Times New Roman"/>
                <w:color w:val="000000"/>
                <w:sz w:val="20"/>
                <w:szCs w:val="20"/>
              </w:rPr>
            </w:pPr>
            <w:r>
              <w:rPr>
                <w:rFonts w:cs="Times New Roman"/>
                <w:color w:val="000000"/>
                <w:sz w:val="20"/>
                <w:szCs w:val="20"/>
              </w:rPr>
              <w:t>7</w:t>
            </w:r>
            <w:r w:rsidRPr="00131DD3">
              <w:rPr>
                <w:rFonts w:cs="Times New Roman"/>
                <w:color w:val="000000"/>
                <w:sz w:val="20"/>
                <w:szCs w:val="20"/>
              </w:rPr>
              <w:t xml:space="preserve"> </w:t>
            </w:r>
            <w:r>
              <w:rPr>
                <w:rFonts w:cs="Times New Roman"/>
                <w:color w:val="000000"/>
                <w:sz w:val="20"/>
                <w:szCs w:val="20"/>
              </w:rPr>
              <w:t>Aug</w:t>
            </w:r>
          </w:p>
          <w:p w14:paraId="7BB14C9D" w14:textId="02BEF8E7" w:rsidR="00787059" w:rsidRPr="004D5959" w:rsidRDefault="00787059" w:rsidP="00787059">
            <w:pPr>
              <w:spacing w:line="240" w:lineRule="auto"/>
              <w:jc w:val="center"/>
              <w:rPr>
                <w:rFonts w:cs="Times New Roman"/>
                <w:color w:val="000000"/>
                <w:sz w:val="20"/>
                <w:szCs w:val="20"/>
              </w:rPr>
            </w:pPr>
            <w:r>
              <w:rPr>
                <w:rFonts w:cs="Times New Roman"/>
                <w:color w:val="000000"/>
                <w:sz w:val="20"/>
                <w:szCs w:val="20"/>
              </w:rPr>
              <w:t>20</w:t>
            </w:r>
            <w:r w:rsidRPr="00131DD3">
              <w:rPr>
                <w:rFonts w:cs="Times New Roman"/>
                <w:color w:val="000000"/>
                <w:sz w:val="20"/>
                <w:szCs w:val="20"/>
              </w:rPr>
              <w:t xml:space="preserve"> Aug</w:t>
            </w:r>
          </w:p>
        </w:tc>
        <w:tc>
          <w:tcPr>
            <w:tcW w:w="1710" w:type="dxa"/>
            <w:tcBorders>
              <w:top w:val="nil"/>
              <w:left w:val="nil"/>
              <w:bottom w:val="nil"/>
              <w:right w:val="nil"/>
            </w:tcBorders>
            <w:shd w:val="clear" w:color="auto" w:fill="D9D9D9" w:themeFill="background1" w:themeFillShade="D9"/>
            <w:vAlign w:val="center"/>
          </w:tcPr>
          <w:p w14:paraId="269BA2C2" w14:textId="424E020A" w:rsidR="004D6698" w:rsidRDefault="00787059" w:rsidP="00CD16CE">
            <w:pPr>
              <w:spacing w:line="240" w:lineRule="auto"/>
              <w:jc w:val="center"/>
              <w:rPr>
                <w:rFonts w:cs="Times New Roman"/>
                <w:color w:val="000000"/>
                <w:sz w:val="20"/>
                <w:szCs w:val="20"/>
              </w:rPr>
            </w:pPr>
            <w:r>
              <w:rPr>
                <w:rFonts w:cs="Times New Roman"/>
                <w:color w:val="000000"/>
                <w:sz w:val="20"/>
                <w:szCs w:val="20"/>
              </w:rPr>
              <w:t>14 May</w:t>
            </w:r>
          </w:p>
          <w:p w14:paraId="46C9075E" w14:textId="358137EA" w:rsidR="004D6698" w:rsidRDefault="00787059" w:rsidP="004D6698">
            <w:pPr>
              <w:spacing w:line="240" w:lineRule="auto"/>
              <w:jc w:val="center"/>
              <w:rPr>
                <w:rFonts w:cs="Times New Roman"/>
                <w:color w:val="000000"/>
                <w:sz w:val="20"/>
                <w:szCs w:val="20"/>
              </w:rPr>
            </w:pPr>
            <w:r>
              <w:rPr>
                <w:rFonts w:cs="Times New Roman"/>
                <w:color w:val="000000"/>
                <w:sz w:val="20"/>
                <w:szCs w:val="20"/>
              </w:rPr>
              <w:t>19 Jun</w:t>
            </w:r>
          </w:p>
          <w:p w14:paraId="40940AA6" w14:textId="07D6B93A" w:rsidR="004D6698" w:rsidRDefault="00787059" w:rsidP="00CD16CE">
            <w:pPr>
              <w:spacing w:line="240" w:lineRule="auto"/>
              <w:jc w:val="center"/>
              <w:rPr>
                <w:rFonts w:cs="Times New Roman"/>
                <w:color w:val="000000"/>
                <w:sz w:val="20"/>
                <w:szCs w:val="20"/>
              </w:rPr>
            </w:pPr>
            <w:r>
              <w:rPr>
                <w:rFonts w:cs="Times New Roman"/>
                <w:color w:val="000000"/>
                <w:sz w:val="20"/>
                <w:szCs w:val="20"/>
              </w:rPr>
              <w:t>10 Jul</w:t>
            </w:r>
          </w:p>
          <w:p w14:paraId="09177110" w14:textId="5239550F" w:rsidR="004D6698" w:rsidRDefault="00787059" w:rsidP="00CD16CE">
            <w:pPr>
              <w:spacing w:line="240" w:lineRule="auto"/>
              <w:jc w:val="center"/>
              <w:rPr>
                <w:rFonts w:cs="Times New Roman"/>
                <w:color w:val="000000"/>
                <w:sz w:val="20"/>
                <w:szCs w:val="20"/>
              </w:rPr>
            </w:pPr>
            <w:r>
              <w:rPr>
                <w:rFonts w:cs="Times New Roman"/>
                <w:color w:val="000000"/>
                <w:sz w:val="20"/>
                <w:szCs w:val="20"/>
              </w:rPr>
              <w:t>1 Aug</w:t>
            </w:r>
          </w:p>
          <w:p w14:paraId="17DE6DB4" w14:textId="0A696A15" w:rsidR="00787059" w:rsidRPr="0031522C" w:rsidRDefault="00787059" w:rsidP="00CD16CE">
            <w:pPr>
              <w:spacing w:line="240" w:lineRule="auto"/>
              <w:jc w:val="center"/>
              <w:rPr>
                <w:sz w:val="20"/>
                <w:szCs w:val="20"/>
              </w:rPr>
            </w:pPr>
            <w:r>
              <w:rPr>
                <w:rFonts w:cs="Times New Roman"/>
                <w:color w:val="000000"/>
                <w:sz w:val="20"/>
                <w:szCs w:val="20"/>
              </w:rPr>
              <w:t>20 Aug</w:t>
            </w:r>
          </w:p>
        </w:tc>
        <w:tc>
          <w:tcPr>
            <w:tcW w:w="1916" w:type="dxa"/>
            <w:tcBorders>
              <w:top w:val="nil"/>
              <w:left w:val="nil"/>
              <w:bottom w:val="nil"/>
              <w:right w:val="nil"/>
            </w:tcBorders>
            <w:shd w:val="clear" w:color="auto" w:fill="D9D9D9" w:themeFill="background1" w:themeFillShade="D9"/>
            <w:vAlign w:val="center"/>
          </w:tcPr>
          <w:p w14:paraId="6E2A3609" w14:textId="26E7ED75" w:rsidR="004D6698" w:rsidRDefault="00787059" w:rsidP="00787059">
            <w:pPr>
              <w:spacing w:line="240" w:lineRule="auto"/>
              <w:jc w:val="center"/>
              <w:rPr>
                <w:rFonts w:cs="Times New Roman"/>
                <w:color w:val="000000"/>
                <w:sz w:val="20"/>
                <w:szCs w:val="20"/>
              </w:rPr>
            </w:pPr>
            <w:r>
              <w:rPr>
                <w:rFonts w:cs="Times New Roman"/>
                <w:color w:val="000000"/>
                <w:sz w:val="20"/>
                <w:szCs w:val="20"/>
              </w:rPr>
              <w:t>27/28 May</w:t>
            </w:r>
          </w:p>
          <w:p w14:paraId="1AB541CC" w14:textId="2A8D6C82" w:rsidR="004D6698" w:rsidRDefault="00787059" w:rsidP="004D6698">
            <w:pPr>
              <w:spacing w:line="240" w:lineRule="auto"/>
              <w:jc w:val="center"/>
              <w:rPr>
                <w:rFonts w:cs="Times New Roman"/>
                <w:color w:val="000000"/>
                <w:sz w:val="20"/>
                <w:szCs w:val="20"/>
              </w:rPr>
            </w:pPr>
            <w:r>
              <w:rPr>
                <w:rFonts w:cs="Times New Roman"/>
                <w:color w:val="000000"/>
                <w:sz w:val="20"/>
                <w:szCs w:val="20"/>
              </w:rPr>
              <w:t xml:space="preserve"> 24/25 Jun</w:t>
            </w:r>
            <w:r w:rsidR="004D6698">
              <w:rPr>
                <w:rFonts w:cs="Times New Roman"/>
                <w:color w:val="000000"/>
                <w:sz w:val="20"/>
                <w:szCs w:val="20"/>
              </w:rPr>
              <w:t xml:space="preserve"> </w:t>
            </w:r>
          </w:p>
          <w:p w14:paraId="3EC90157" w14:textId="0E888A40" w:rsidR="004D6698" w:rsidRDefault="00787059" w:rsidP="00787059">
            <w:pPr>
              <w:spacing w:line="240" w:lineRule="auto"/>
              <w:jc w:val="center"/>
              <w:rPr>
                <w:rFonts w:cs="Times New Roman"/>
                <w:color w:val="000000"/>
                <w:sz w:val="20"/>
                <w:szCs w:val="20"/>
              </w:rPr>
            </w:pPr>
            <w:r>
              <w:rPr>
                <w:rFonts w:cs="Times New Roman"/>
                <w:color w:val="000000"/>
                <w:sz w:val="20"/>
                <w:szCs w:val="20"/>
              </w:rPr>
              <w:t>14/15 Jul</w:t>
            </w:r>
            <w:r w:rsidR="004D6698">
              <w:rPr>
                <w:rFonts w:cs="Times New Roman"/>
                <w:color w:val="000000"/>
                <w:sz w:val="20"/>
                <w:szCs w:val="20"/>
              </w:rPr>
              <w:t xml:space="preserve"> </w:t>
            </w:r>
          </w:p>
          <w:p w14:paraId="09FC8358" w14:textId="6FCF5C2B" w:rsidR="004D6698" w:rsidRDefault="00787059" w:rsidP="00787059">
            <w:pPr>
              <w:spacing w:line="240" w:lineRule="auto"/>
              <w:jc w:val="center"/>
              <w:rPr>
                <w:rFonts w:cs="Times New Roman"/>
                <w:color w:val="000000"/>
                <w:sz w:val="20"/>
                <w:szCs w:val="20"/>
              </w:rPr>
            </w:pPr>
            <w:r>
              <w:rPr>
                <w:rFonts w:cs="Times New Roman"/>
                <w:color w:val="000000"/>
                <w:sz w:val="20"/>
                <w:szCs w:val="20"/>
              </w:rPr>
              <w:t>5 Aug</w:t>
            </w:r>
          </w:p>
          <w:p w14:paraId="4B235A2C" w14:textId="6CB8D627" w:rsidR="00787059" w:rsidRDefault="00787059" w:rsidP="00787059">
            <w:pPr>
              <w:spacing w:line="240" w:lineRule="auto"/>
              <w:jc w:val="center"/>
              <w:rPr>
                <w:rFonts w:cs="Times New Roman"/>
                <w:color w:val="000000"/>
                <w:sz w:val="20"/>
                <w:szCs w:val="20"/>
              </w:rPr>
            </w:pPr>
            <w:r>
              <w:rPr>
                <w:rFonts w:cs="Times New Roman"/>
                <w:color w:val="000000"/>
                <w:sz w:val="20"/>
                <w:szCs w:val="20"/>
              </w:rPr>
              <w:t>19 Aug</w:t>
            </w:r>
          </w:p>
        </w:tc>
      </w:tr>
      <w:tr w:rsidR="00787059" w:rsidRPr="00500D8E" w14:paraId="1A8AB6EA" w14:textId="77777777" w:rsidTr="005060CE">
        <w:trPr>
          <w:trHeight w:val="288"/>
        </w:trPr>
        <w:tc>
          <w:tcPr>
            <w:tcW w:w="1260" w:type="dxa"/>
            <w:tcBorders>
              <w:top w:val="nil"/>
              <w:left w:val="nil"/>
              <w:bottom w:val="single" w:sz="12" w:space="0" w:color="auto"/>
              <w:right w:val="nil"/>
            </w:tcBorders>
            <w:shd w:val="clear" w:color="auto" w:fill="auto"/>
            <w:noWrap/>
            <w:vAlign w:val="center"/>
          </w:tcPr>
          <w:p w14:paraId="1247668D" w14:textId="77777777" w:rsidR="00787059" w:rsidRPr="0031522C" w:rsidRDefault="00787059" w:rsidP="00CD16CE">
            <w:pPr>
              <w:spacing w:line="240" w:lineRule="auto"/>
              <w:rPr>
                <w:rFonts w:cs="Times New Roman"/>
                <w:color w:val="000000"/>
                <w:sz w:val="20"/>
                <w:szCs w:val="20"/>
              </w:rPr>
            </w:pPr>
            <w:r w:rsidRPr="0031522C">
              <w:rPr>
                <w:sz w:val="20"/>
                <w:szCs w:val="20"/>
              </w:rPr>
              <w:t>No Graze</w:t>
            </w:r>
          </w:p>
        </w:tc>
        <w:tc>
          <w:tcPr>
            <w:tcW w:w="1620" w:type="dxa"/>
            <w:tcBorders>
              <w:top w:val="nil"/>
              <w:left w:val="nil"/>
              <w:bottom w:val="single" w:sz="12" w:space="0" w:color="auto"/>
              <w:right w:val="nil"/>
            </w:tcBorders>
            <w:vAlign w:val="center"/>
          </w:tcPr>
          <w:p w14:paraId="46824C66" w14:textId="0F230F91" w:rsidR="004D6698" w:rsidRDefault="00787059" w:rsidP="00CD16CE">
            <w:pPr>
              <w:spacing w:line="240" w:lineRule="auto"/>
              <w:jc w:val="center"/>
              <w:rPr>
                <w:rFonts w:cs="Times New Roman"/>
                <w:color w:val="000000"/>
                <w:sz w:val="20"/>
                <w:szCs w:val="20"/>
              </w:rPr>
            </w:pPr>
            <w:r w:rsidRPr="000B3378">
              <w:rPr>
                <w:rFonts w:cs="Times New Roman"/>
                <w:color w:val="000000"/>
                <w:sz w:val="20"/>
                <w:szCs w:val="20"/>
              </w:rPr>
              <w:t>14 May</w:t>
            </w:r>
          </w:p>
          <w:p w14:paraId="3CE00E31" w14:textId="5266B6C4" w:rsidR="00787059" w:rsidRDefault="00787059" w:rsidP="00CD16CE">
            <w:pPr>
              <w:spacing w:line="240" w:lineRule="auto"/>
              <w:jc w:val="center"/>
              <w:rPr>
                <w:rFonts w:cs="Times New Roman"/>
                <w:color w:val="000000"/>
                <w:sz w:val="20"/>
                <w:szCs w:val="20"/>
              </w:rPr>
            </w:pPr>
            <w:r w:rsidRPr="000B3378">
              <w:rPr>
                <w:rFonts w:cs="Times New Roman"/>
                <w:color w:val="000000"/>
                <w:sz w:val="20"/>
                <w:szCs w:val="20"/>
              </w:rPr>
              <w:t>19 Jun</w:t>
            </w:r>
          </w:p>
          <w:p w14:paraId="4F4C8461" w14:textId="2A77E671" w:rsidR="004D6698" w:rsidRDefault="00787059" w:rsidP="00787059">
            <w:pPr>
              <w:spacing w:line="240" w:lineRule="auto"/>
              <w:jc w:val="center"/>
              <w:rPr>
                <w:rFonts w:cs="Times New Roman"/>
                <w:color w:val="000000"/>
                <w:sz w:val="20"/>
                <w:szCs w:val="20"/>
              </w:rPr>
            </w:pPr>
            <w:r w:rsidRPr="000B3378">
              <w:rPr>
                <w:rFonts w:cs="Times New Roman"/>
                <w:color w:val="000000"/>
                <w:sz w:val="20"/>
                <w:szCs w:val="20"/>
              </w:rPr>
              <w:t>9 Jul</w:t>
            </w:r>
          </w:p>
          <w:p w14:paraId="09AF419C" w14:textId="469026E5" w:rsidR="004D6698" w:rsidRDefault="00787059" w:rsidP="00787059">
            <w:pPr>
              <w:spacing w:line="240" w:lineRule="auto"/>
              <w:jc w:val="center"/>
              <w:rPr>
                <w:rFonts w:cs="Times New Roman"/>
                <w:color w:val="000000"/>
                <w:sz w:val="20"/>
                <w:szCs w:val="20"/>
              </w:rPr>
            </w:pPr>
            <w:r w:rsidRPr="000B3378">
              <w:rPr>
                <w:rFonts w:cs="Times New Roman"/>
                <w:color w:val="000000"/>
                <w:sz w:val="20"/>
                <w:szCs w:val="20"/>
              </w:rPr>
              <w:t>31 Jul</w:t>
            </w:r>
          </w:p>
          <w:p w14:paraId="2840A7F1" w14:textId="2374AFF3" w:rsidR="00787059" w:rsidRPr="000B3378" w:rsidRDefault="00787059" w:rsidP="004D6698">
            <w:pPr>
              <w:spacing w:line="240" w:lineRule="auto"/>
              <w:jc w:val="center"/>
              <w:rPr>
                <w:rFonts w:cs="Times New Roman"/>
                <w:color w:val="000000"/>
                <w:sz w:val="20"/>
                <w:szCs w:val="20"/>
              </w:rPr>
            </w:pPr>
            <w:r w:rsidRPr="000B3378">
              <w:rPr>
                <w:rFonts w:cs="Times New Roman"/>
                <w:color w:val="000000"/>
                <w:sz w:val="20"/>
                <w:szCs w:val="20"/>
              </w:rPr>
              <w:t>19 Aug</w:t>
            </w:r>
          </w:p>
        </w:tc>
        <w:tc>
          <w:tcPr>
            <w:tcW w:w="1530" w:type="dxa"/>
            <w:tcBorders>
              <w:top w:val="nil"/>
              <w:left w:val="nil"/>
              <w:bottom w:val="single" w:sz="12" w:space="0" w:color="auto"/>
              <w:right w:val="nil"/>
            </w:tcBorders>
            <w:vAlign w:val="center"/>
          </w:tcPr>
          <w:p w14:paraId="489E37B6" w14:textId="1BD31193" w:rsidR="004D6698" w:rsidRDefault="00787059" w:rsidP="00787059">
            <w:pPr>
              <w:spacing w:line="240" w:lineRule="auto"/>
              <w:jc w:val="center"/>
              <w:rPr>
                <w:rFonts w:cs="Times New Roman"/>
                <w:color w:val="000000"/>
                <w:sz w:val="20"/>
                <w:szCs w:val="20"/>
              </w:rPr>
            </w:pPr>
            <w:r>
              <w:rPr>
                <w:rFonts w:cs="Times New Roman"/>
                <w:color w:val="000000"/>
                <w:sz w:val="20"/>
                <w:szCs w:val="20"/>
              </w:rPr>
              <w:t>27/28</w:t>
            </w:r>
            <w:r w:rsidRPr="00131DD3">
              <w:rPr>
                <w:rFonts w:cs="Times New Roman"/>
                <w:color w:val="000000"/>
                <w:sz w:val="20"/>
                <w:szCs w:val="20"/>
              </w:rPr>
              <w:t xml:space="preserve"> May</w:t>
            </w:r>
          </w:p>
          <w:p w14:paraId="4A862B6A" w14:textId="3C17B95B" w:rsidR="004D6698" w:rsidRDefault="00787059" w:rsidP="00787059">
            <w:pPr>
              <w:spacing w:line="240" w:lineRule="auto"/>
              <w:jc w:val="center"/>
              <w:rPr>
                <w:rFonts w:cs="Times New Roman"/>
                <w:color w:val="000000"/>
                <w:sz w:val="20"/>
                <w:szCs w:val="20"/>
              </w:rPr>
            </w:pPr>
            <w:r>
              <w:rPr>
                <w:rFonts w:cs="Times New Roman"/>
                <w:color w:val="000000"/>
                <w:sz w:val="20"/>
                <w:szCs w:val="20"/>
              </w:rPr>
              <w:t>25/26</w:t>
            </w:r>
            <w:r w:rsidRPr="00131DD3">
              <w:rPr>
                <w:rFonts w:cs="Times New Roman"/>
                <w:color w:val="000000"/>
                <w:sz w:val="20"/>
                <w:szCs w:val="20"/>
              </w:rPr>
              <w:t xml:space="preserve"> Jun</w:t>
            </w:r>
          </w:p>
          <w:p w14:paraId="40DD9035" w14:textId="2C2254B0" w:rsidR="004D6698" w:rsidRDefault="00787059" w:rsidP="00787059">
            <w:pPr>
              <w:spacing w:line="240" w:lineRule="auto"/>
              <w:jc w:val="center"/>
              <w:rPr>
                <w:rFonts w:cs="Times New Roman"/>
                <w:color w:val="000000"/>
                <w:sz w:val="20"/>
                <w:szCs w:val="20"/>
              </w:rPr>
            </w:pPr>
            <w:r>
              <w:rPr>
                <w:rFonts w:cs="Times New Roman"/>
                <w:color w:val="000000"/>
                <w:sz w:val="20"/>
                <w:szCs w:val="20"/>
              </w:rPr>
              <w:t>15/16</w:t>
            </w:r>
            <w:r w:rsidRPr="00131DD3">
              <w:rPr>
                <w:rFonts w:cs="Times New Roman"/>
                <w:color w:val="000000"/>
                <w:sz w:val="20"/>
                <w:szCs w:val="20"/>
              </w:rPr>
              <w:t xml:space="preserve"> Jul</w:t>
            </w:r>
          </w:p>
          <w:p w14:paraId="7657384C" w14:textId="7C424CB7" w:rsidR="004D6698" w:rsidRDefault="00787059" w:rsidP="00787059">
            <w:pPr>
              <w:spacing w:line="240" w:lineRule="auto"/>
              <w:jc w:val="center"/>
              <w:rPr>
                <w:rFonts w:cs="Times New Roman"/>
                <w:color w:val="000000"/>
                <w:sz w:val="20"/>
                <w:szCs w:val="20"/>
              </w:rPr>
            </w:pPr>
            <w:r>
              <w:rPr>
                <w:rFonts w:cs="Times New Roman"/>
                <w:color w:val="000000"/>
                <w:sz w:val="20"/>
                <w:szCs w:val="20"/>
              </w:rPr>
              <w:t>7</w:t>
            </w:r>
            <w:r w:rsidRPr="00131DD3">
              <w:rPr>
                <w:rFonts w:cs="Times New Roman"/>
                <w:color w:val="000000"/>
                <w:sz w:val="20"/>
                <w:szCs w:val="20"/>
              </w:rPr>
              <w:t xml:space="preserve"> </w:t>
            </w:r>
            <w:r>
              <w:rPr>
                <w:rFonts w:cs="Times New Roman"/>
                <w:color w:val="000000"/>
                <w:sz w:val="20"/>
                <w:szCs w:val="20"/>
              </w:rPr>
              <w:t>Aug</w:t>
            </w:r>
          </w:p>
          <w:p w14:paraId="53777F2C" w14:textId="0EF20930" w:rsidR="00787059" w:rsidRPr="004D5959" w:rsidRDefault="00787059" w:rsidP="00787059">
            <w:pPr>
              <w:spacing w:line="240" w:lineRule="auto"/>
              <w:jc w:val="center"/>
              <w:rPr>
                <w:rFonts w:cs="Times New Roman"/>
                <w:color w:val="000000"/>
                <w:sz w:val="20"/>
                <w:szCs w:val="20"/>
              </w:rPr>
            </w:pPr>
            <w:r>
              <w:rPr>
                <w:rFonts w:cs="Times New Roman"/>
                <w:color w:val="000000"/>
                <w:sz w:val="20"/>
                <w:szCs w:val="20"/>
              </w:rPr>
              <w:t>20</w:t>
            </w:r>
            <w:r w:rsidRPr="00131DD3">
              <w:rPr>
                <w:rFonts w:cs="Times New Roman"/>
                <w:color w:val="000000"/>
                <w:sz w:val="20"/>
                <w:szCs w:val="20"/>
              </w:rPr>
              <w:t xml:space="preserve"> Aug</w:t>
            </w:r>
          </w:p>
        </w:tc>
        <w:tc>
          <w:tcPr>
            <w:tcW w:w="1710" w:type="dxa"/>
            <w:tcBorders>
              <w:top w:val="nil"/>
              <w:left w:val="nil"/>
              <w:bottom w:val="single" w:sz="12" w:space="0" w:color="auto"/>
              <w:right w:val="nil"/>
            </w:tcBorders>
            <w:vAlign w:val="center"/>
          </w:tcPr>
          <w:p w14:paraId="4A31901B" w14:textId="34BD16B2" w:rsidR="004D6698" w:rsidRDefault="00787059" w:rsidP="00CD16CE">
            <w:pPr>
              <w:spacing w:line="240" w:lineRule="auto"/>
              <w:jc w:val="center"/>
              <w:rPr>
                <w:rFonts w:cs="Times New Roman"/>
                <w:color w:val="000000"/>
                <w:sz w:val="20"/>
                <w:szCs w:val="20"/>
              </w:rPr>
            </w:pPr>
            <w:r w:rsidRPr="000B3378">
              <w:rPr>
                <w:rFonts w:cs="Times New Roman"/>
                <w:color w:val="000000"/>
                <w:sz w:val="20"/>
                <w:szCs w:val="20"/>
              </w:rPr>
              <w:t>14 May</w:t>
            </w:r>
          </w:p>
          <w:p w14:paraId="0E205A24" w14:textId="77777777" w:rsidR="00323ED2" w:rsidRDefault="00787059" w:rsidP="00CD16CE">
            <w:pPr>
              <w:spacing w:line="240" w:lineRule="auto"/>
              <w:jc w:val="center"/>
              <w:rPr>
                <w:rFonts w:cs="Times New Roman"/>
                <w:color w:val="000000"/>
                <w:sz w:val="20"/>
                <w:szCs w:val="20"/>
              </w:rPr>
            </w:pPr>
            <w:r>
              <w:rPr>
                <w:rFonts w:cs="Times New Roman"/>
                <w:color w:val="000000"/>
                <w:sz w:val="20"/>
                <w:szCs w:val="20"/>
              </w:rPr>
              <w:t>21</w:t>
            </w:r>
            <w:r w:rsidRPr="000B3378">
              <w:rPr>
                <w:rFonts w:cs="Times New Roman"/>
                <w:color w:val="000000"/>
                <w:sz w:val="20"/>
                <w:szCs w:val="20"/>
              </w:rPr>
              <w:t xml:space="preserve"> Jun</w:t>
            </w:r>
          </w:p>
          <w:p w14:paraId="5CD58332" w14:textId="20058086" w:rsidR="004D6698" w:rsidRDefault="00787059" w:rsidP="00CD16CE">
            <w:pPr>
              <w:spacing w:line="240" w:lineRule="auto"/>
              <w:jc w:val="center"/>
              <w:rPr>
                <w:rFonts w:cs="Times New Roman"/>
                <w:color w:val="000000"/>
                <w:sz w:val="20"/>
                <w:szCs w:val="20"/>
              </w:rPr>
            </w:pPr>
            <w:r>
              <w:rPr>
                <w:rFonts w:cs="Times New Roman"/>
                <w:color w:val="000000"/>
                <w:sz w:val="20"/>
                <w:szCs w:val="20"/>
              </w:rPr>
              <w:t>10</w:t>
            </w:r>
            <w:r w:rsidRPr="000B3378">
              <w:rPr>
                <w:rFonts w:cs="Times New Roman"/>
                <w:color w:val="000000"/>
                <w:sz w:val="20"/>
                <w:szCs w:val="20"/>
              </w:rPr>
              <w:t xml:space="preserve"> Ju</w:t>
            </w:r>
            <w:r w:rsidR="00323ED2">
              <w:rPr>
                <w:rFonts w:cs="Times New Roman"/>
                <w:color w:val="000000"/>
                <w:sz w:val="20"/>
                <w:szCs w:val="20"/>
              </w:rPr>
              <w:t>l</w:t>
            </w:r>
            <w:r w:rsidRPr="000B3378">
              <w:rPr>
                <w:rFonts w:cs="Times New Roman"/>
                <w:color w:val="000000"/>
                <w:sz w:val="20"/>
                <w:szCs w:val="20"/>
              </w:rPr>
              <w:t xml:space="preserve"> </w:t>
            </w:r>
          </w:p>
          <w:p w14:paraId="3BB02A72" w14:textId="6D83638A" w:rsidR="004D6698" w:rsidRDefault="00787059" w:rsidP="00CD16CE">
            <w:pPr>
              <w:spacing w:line="240" w:lineRule="auto"/>
              <w:jc w:val="center"/>
              <w:rPr>
                <w:rFonts w:cs="Times New Roman"/>
                <w:color w:val="000000"/>
                <w:sz w:val="20"/>
                <w:szCs w:val="20"/>
              </w:rPr>
            </w:pPr>
            <w:r w:rsidRPr="000B3378">
              <w:rPr>
                <w:rFonts w:cs="Times New Roman"/>
                <w:color w:val="000000"/>
                <w:sz w:val="20"/>
                <w:szCs w:val="20"/>
              </w:rPr>
              <w:t xml:space="preserve">1 </w:t>
            </w:r>
            <w:r>
              <w:rPr>
                <w:rFonts w:cs="Times New Roman"/>
                <w:color w:val="000000"/>
                <w:sz w:val="20"/>
                <w:szCs w:val="20"/>
              </w:rPr>
              <w:t>Aug</w:t>
            </w:r>
          </w:p>
          <w:p w14:paraId="58FC78C7" w14:textId="061701E4" w:rsidR="00787059" w:rsidRPr="0031522C" w:rsidRDefault="00787059" w:rsidP="00CD16CE">
            <w:pPr>
              <w:spacing w:line="240" w:lineRule="auto"/>
              <w:jc w:val="center"/>
              <w:rPr>
                <w:sz w:val="20"/>
                <w:szCs w:val="20"/>
              </w:rPr>
            </w:pPr>
            <w:r>
              <w:rPr>
                <w:rFonts w:cs="Times New Roman"/>
                <w:color w:val="000000"/>
                <w:sz w:val="20"/>
                <w:szCs w:val="20"/>
              </w:rPr>
              <w:t>20</w:t>
            </w:r>
            <w:r w:rsidRPr="000B3378">
              <w:rPr>
                <w:rFonts w:cs="Times New Roman"/>
                <w:color w:val="000000"/>
                <w:sz w:val="20"/>
                <w:szCs w:val="20"/>
              </w:rPr>
              <w:t xml:space="preserve"> Aug</w:t>
            </w:r>
          </w:p>
        </w:tc>
        <w:tc>
          <w:tcPr>
            <w:tcW w:w="1916" w:type="dxa"/>
            <w:tcBorders>
              <w:top w:val="nil"/>
              <w:left w:val="nil"/>
              <w:bottom w:val="single" w:sz="12" w:space="0" w:color="auto"/>
              <w:right w:val="nil"/>
            </w:tcBorders>
            <w:vAlign w:val="center"/>
          </w:tcPr>
          <w:p w14:paraId="284AA1B8" w14:textId="57A40612" w:rsidR="004D6698" w:rsidRDefault="00787059" w:rsidP="00787059">
            <w:pPr>
              <w:spacing w:line="240" w:lineRule="auto"/>
              <w:jc w:val="center"/>
              <w:rPr>
                <w:rFonts w:cs="Times New Roman"/>
                <w:color w:val="000000"/>
                <w:sz w:val="20"/>
                <w:szCs w:val="20"/>
              </w:rPr>
            </w:pPr>
            <w:r>
              <w:rPr>
                <w:rFonts w:cs="Times New Roman"/>
                <w:color w:val="000000"/>
                <w:sz w:val="20"/>
                <w:szCs w:val="20"/>
              </w:rPr>
              <w:t>27/28 May</w:t>
            </w:r>
          </w:p>
          <w:p w14:paraId="073D3BDE" w14:textId="24C22A35" w:rsidR="00787059" w:rsidRDefault="00787059" w:rsidP="00787059">
            <w:pPr>
              <w:spacing w:line="240" w:lineRule="auto"/>
              <w:jc w:val="center"/>
              <w:rPr>
                <w:rFonts w:cs="Times New Roman"/>
                <w:color w:val="000000"/>
                <w:sz w:val="20"/>
                <w:szCs w:val="20"/>
              </w:rPr>
            </w:pPr>
            <w:r>
              <w:rPr>
                <w:rFonts w:cs="Times New Roman"/>
                <w:color w:val="000000"/>
                <w:sz w:val="20"/>
                <w:szCs w:val="20"/>
              </w:rPr>
              <w:t>24/25 Jun</w:t>
            </w:r>
          </w:p>
          <w:p w14:paraId="5073D15A" w14:textId="0FEDC928" w:rsidR="004D6698" w:rsidRDefault="00787059" w:rsidP="00787059">
            <w:pPr>
              <w:spacing w:line="240" w:lineRule="auto"/>
              <w:jc w:val="center"/>
              <w:rPr>
                <w:rFonts w:cs="Times New Roman"/>
                <w:color w:val="000000"/>
                <w:sz w:val="20"/>
                <w:szCs w:val="20"/>
              </w:rPr>
            </w:pPr>
            <w:r>
              <w:rPr>
                <w:rFonts w:cs="Times New Roman"/>
                <w:color w:val="000000"/>
                <w:sz w:val="20"/>
                <w:szCs w:val="20"/>
              </w:rPr>
              <w:t>14/15 Jul</w:t>
            </w:r>
          </w:p>
          <w:p w14:paraId="7A81501B" w14:textId="3F66C1DD" w:rsidR="004D6698" w:rsidRDefault="00787059" w:rsidP="00787059">
            <w:pPr>
              <w:spacing w:line="240" w:lineRule="auto"/>
              <w:jc w:val="center"/>
              <w:rPr>
                <w:rFonts w:cs="Times New Roman"/>
                <w:color w:val="000000"/>
                <w:sz w:val="20"/>
                <w:szCs w:val="20"/>
              </w:rPr>
            </w:pPr>
            <w:r>
              <w:rPr>
                <w:rFonts w:cs="Times New Roman"/>
                <w:color w:val="000000"/>
                <w:sz w:val="20"/>
                <w:szCs w:val="20"/>
              </w:rPr>
              <w:t>5 Aug</w:t>
            </w:r>
          </w:p>
          <w:p w14:paraId="68B24840" w14:textId="06335645" w:rsidR="00787059" w:rsidRPr="000B3378" w:rsidRDefault="00787059" w:rsidP="00787059">
            <w:pPr>
              <w:spacing w:line="240" w:lineRule="auto"/>
              <w:jc w:val="center"/>
              <w:rPr>
                <w:rFonts w:cs="Times New Roman"/>
                <w:color w:val="000000"/>
                <w:sz w:val="20"/>
                <w:szCs w:val="20"/>
              </w:rPr>
            </w:pPr>
            <w:r>
              <w:rPr>
                <w:rFonts w:cs="Times New Roman"/>
                <w:color w:val="000000"/>
                <w:sz w:val="20"/>
                <w:szCs w:val="20"/>
              </w:rPr>
              <w:t>19 Aug</w:t>
            </w:r>
          </w:p>
        </w:tc>
      </w:tr>
    </w:tbl>
    <w:p w14:paraId="0515E1C1" w14:textId="29FBACD8" w:rsidR="00B572F9" w:rsidRDefault="00B572F9" w:rsidP="00B572F9">
      <w:pPr>
        <w:spacing w:line="240" w:lineRule="auto"/>
        <w:rPr>
          <w:rFonts w:cs="Times New Roman"/>
          <w:b/>
          <w:bCs/>
        </w:rPr>
      </w:pPr>
      <w:r w:rsidRPr="00BC2376">
        <w:rPr>
          <w:rFonts w:eastAsia="Calibri" w:cs="Times New Roman"/>
          <w:bCs/>
        </w:rPr>
        <w:t>†</w:t>
      </w:r>
      <w:r w:rsidR="009C1830">
        <w:rPr>
          <w:rFonts w:cs="Times New Roman"/>
          <w:bCs/>
        </w:rPr>
        <w:t>In 2019 and 2020, s</w:t>
      </w:r>
      <w:r w:rsidRPr="00BC2376">
        <w:rPr>
          <w:rFonts w:cs="Times New Roman"/>
          <w:bCs/>
        </w:rPr>
        <w:t>ampling dates coordinate</w:t>
      </w:r>
      <w:r w:rsidR="004D6698">
        <w:rPr>
          <w:rFonts w:cs="Times New Roman"/>
          <w:bCs/>
        </w:rPr>
        <w:t>d</w:t>
      </w:r>
      <w:r w:rsidRPr="00BC2376">
        <w:rPr>
          <w:rFonts w:cs="Times New Roman"/>
          <w:bCs/>
        </w:rPr>
        <w:t xml:space="preserve"> with the ending of each rest period</w:t>
      </w:r>
      <w:r w:rsidR="004D6698" w:rsidRPr="004D6698">
        <w:rPr>
          <w:rFonts w:cs="Times New Roman"/>
          <w:bCs/>
        </w:rPr>
        <w:t xml:space="preserve"> </w:t>
      </w:r>
      <w:r w:rsidR="004D6698" w:rsidRPr="00BC2376">
        <w:rPr>
          <w:rFonts w:cs="Times New Roman"/>
          <w:bCs/>
        </w:rPr>
        <w:t>for switchgrass and big bluestem</w:t>
      </w:r>
      <w:r w:rsidR="00CA684B">
        <w:rPr>
          <w:rFonts w:cs="Times New Roman"/>
          <w:bCs/>
        </w:rPr>
        <w:t>/i</w:t>
      </w:r>
      <w:r w:rsidR="003D3A24">
        <w:rPr>
          <w:rFonts w:cs="Times New Roman"/>
          <w:bCs/>
        </w:rPr>
        <w:t>ndia</w:t>
      </w:r>
      <w:r w:rsidR="00CA684B">
        <w:rPr>
          <w:rFonts w:cs="Times New Roman"/>
          <w:bCs/>
        </w:rPr>
        <w:t>ngrass</w:t>
      </w:r>
      <w:r w:rsidR="004D6698" w:rsidRPr="00BC2376">
        <w:rPr>
          <w:rFonts w:cs="Times New Roman"/>
          <w:bCs/>
        </w:rPr>
        <w:t xml:space="preserve"> pastures</w:t>
      </w:r>
      <w:r w:rsidRPr="00BC2376">
        <w:rPr>
          <w:rFonts w:cs="Times New Roman"/>
          <w:bCs/>
        </w:rPr>
        <w:t>.  No Rest and No Graze treatments were sampled each time as control comparisons.  Sampling height for forage nutritive</w:t>
      </w:r>
      <w:r w:rsidR="009C1830">
        <w:rPr>
          <w:rFonts w:cs="Times New Roman"/>
          <w:bCs/>
        </w:rPr>
        <w:t xml:space="preserve"> values</w:t>
      </w:r>
      <w:r w:rsidRPr="00BC2376">
        <w:rPr>
          <w:rFonts w:cs="Times New Roman"/>
          <w:bCs/>
        </w:rPr>
        <w:t xml:space="preserve"> was </w:t>
      </w:r>
      <w:r w:rsidR="00E10048">
        <w:rPr>
          <w:rFonts w:cs="Times New Roman"/>
          <w:bCs/>
        </w:rPr>
        <w:t>≥</w:t>
      </w:r>
      <w:r w:rsidRPr="00BC2376">
        <w:rPr>
          <w:rFonts w:cs="Times New Roman"/>
          <w:bCs/>
        </w:rPr>
        <w:t>20 cm</w:t>
      </w:r>
      <w:r w:rsidR="00E10048">
        <w:rPr>
          <w:rFonts w:cs="Times New Roman"/>
          <w:bCs/>
        </w:rPr>
        <w:t xml:space="preserve"> and ≥5 cm for forage mass dry matter percentage</w:t>
      </w:r>
      <w:r w:rsidRPr="00BC2376">
        <w:rPr>
          <w:rFonts w:cs="Times New Roman"/>
          <w:bCs/>
        </w:rPr>
        <w:t>.</w:t>
      </w:r>
      <w:r w:rsidR="00E10048">
        <w:rPr>
          <w:rFonts w:cs="Times New Roman"/>
          <w:bCs/>
        </w:rPr>
        <w:t xml:space="preserve"> </w:t>
      </w:r>
      <w:r w:rsidR="007441D8">
        <w:rPr>
          <w:rFonts w:cs="Times New Roman"/>
          <w:bCs/>
        </w:rPr>
        <w:t xml:space="preserve"> </w:t>
      </w:r>
      <w:r w:rsidR="00E10048">
        <w:rPr>
          <w:rFonts w:cs="Times New Roman"/>
          <w:bCs/>
        </w:rPr>
        <w:t>Only 2019 data were used and available at time of document publication.</w:t>
      </w:r>
    </w:p>
    <w:p w14:paraId="09171457" w14:textId="77777777" w:rsidR="00B572F9" w:rsidRDefault="00B572F9" w:rsidP="00B572F9">
      <w:pPr>
        <w:spacing w:line="240" w:lineRule="auto"/>
        <w:rPr>
          <w:rFonts w:cs="Times New Roman"/>
          <w:b/>
          <w:bCs/>
        </w:rPr>
        <w:sectPr w:rsidR="00B572F9" w:rsidSect="004D6698">
          <w:pgSz w:w="12240" w:h="15840" w:code="1"/>
          <w:pgMar w:top="1440" w:right="1800" w:bottom="1872" w:left="1800" w:header="720" w:footer="1440" w:gutter="0"/>
          <w:cols w:space="720"/>
          <w:noEndnote/>
          <w:docGrid w:linePitch="360"/>
        </w:sectPr>
      </w:pPr>
    </w:p>
    <w:p w14:paraId="34B70D0A" w14:textId="0AC3C513" w:rsidR="00B572F9" w:rsidRPr="00BC2376" w:rsidRDefault="00B572F9" w:rsidP="00A97504">
      <w:pPr>
        <w:pStyle w:val="Tables"/>
        <w:spacing w:before="0" w:after="60"/>
        <w:rPr>
          <w:b/>
        </w:rPr>
      </w:pPr>
      <w:bookmarkStart w:id="189" w:name="_Toc72300405"/>
      <w:bookmarkStart w:id="190" w:name="_Hlk69601623"/>
      <w:r w:rsidRPr="00BC2376">
        <w:lastRenderedPageBreak/>
        <w:t>Table 2.</w:t>
      </w:r>
      <w:r w:rsidR="00065FF0">
        <w:t>5</w:t>
      </w:r>
      <w:r w:rsidRPr="00BC2376">
        <w:t xml:space="preserve">.  </w:t>
      </w:r>
      <w:bookmarkStart w:id="191" w:name="_Hlk67142774"/>
      <w:r w:rsidRPr="00BC2376">
        <w:t>Mixed-effects ANOVA model for switchgrass tiller density and plant density of 11 native forb species</w:t>
      </w:r>
      <w:r w:rsidR="00DA4568" w:rsidRPr="00BC2376">
        <w:t xml:space="preserve"> </w:t>
      </w:r>
      <w:r w:rsidR="00C91ACA" w:rsidRPr="00BC2376">
        <w:t>within</w:t>
      </w:r>
      <w:r w:rsidR="00DA4568" w:rsidRPr="00BC2376">
        <w:t xml:space="preserve"> native </w:t>
      </w:r>
      <w:r w:rsidR="00706798">
        <w:t xml:space="preserve">grass </w:t>
      </w:r>
      <w:r w:rsidR="00DA4568" w:rsidRPr="00BC2376">
        <w:t>pasture grazing experiment</w:t>
      </w:r>
      <w:r w:rsidRPr="00BC2376">
        <w:t xml:space="preserve">, 2018-2020, </w:t>
      </w:r>
      <w:r w:rsidR="007D4FBA" w:rsidRPr="00BC2376">
        <w:t>University of Tennessee – Northeast Tennessee AgResearch and Education Center, Greeneville, TN.</w:t>
      </w:r>
      <w:bookmarkEnd w:id="189"/>
      <w:bookmarkEnd w:id="191"/>
    </w:p>
    <w:tbl>
      <w:tblPr>
        <w:tblW w:w="11978" w:type="dxa"/>
        <w:tblLook w:val="04A0" w:firstRow="1" w:lastRow="0" w:firstColumn="1" w:lastColumn="0" w:noHBand="0" w:noVBand="1"/>
      </w:tblPr>
      <w:tblGrid>
        <w:gridCol w:w="2250"/>
        <w:gridCol w:w="900"/>
        <w:gridCol w:w="780"/>
        <w:gridCol w:w="840"/>
        <w:gridCol w:w="780"/>
        <w:gridCol w:w="840"/>
        <w:gridCol w:w="780"/>
        <w:gridCol w:w="840"/>
        <w:gridCol w:w="720"/>
        <w:gridCol w:w="900"/>
        <w:gridCol w:w="780"/>
        <w:gridCol w:w="840"/>
        <w:gridCol w:w="728"/>
      </w:tblGrid>
      <w:tr w:rsidR="00B572F9" w:rsidRPr="00401D64" w14:paraId="7239FE4D" w14:textId="77777777" w:rsidTr="002A59E2">
        <w:trPr>
          <w:trHeight w:val="312"/>
        </w:trPr>
        <w:tc>
          <w:tcPr>
            <w:tcW w:w="2250" w:type="dxa"/>
            <w:tcBorders>
              <w:top w:val="single" w:sz="12" w:space="0" w:color="auto"/>
              <w:left w:val="nil"/>
              <w:bottom w:val="nil"/>
              <w:right w:val="single" w:sz="36" w:space="0" w:color="FFFFFF" w:themeColor="background1"/>
            </w:tcBorders>
            <w:shd w:val="clear" w:color="auto" w:fill="auto"/>
            <w:noWrap/>
            <w:vAlign w:val="bottom"/>
            <w:hideMark/>
          </w:tcPr>
          <w:p w14:paraId="6D7C104C" w14:textId="77777777" w:rsidR="00B572F9" w:rsidRPr="00401D64" w:rsidRDefault="00B572F9" w:rsidP="00CD16CE">
            <w:pPr>
              <w:spacing w:line="240" w:lineRule="auto"/>
              <w:rPr>
                <w:rFonts w:cs="Times New Roman"/>
                <w:color w:val="000000"/>
                <w:sz w:val="20"/>
                <w:szCs w:val="20"/>
              </w:rPr>
            </w:pPr>
            <w:r w:rsidRPr="00401D64">
              <w:rPr>
                <w:rFonts w:cs="Times New Roman"/>
                <w:color w:val="000000"/>
                <w:sz w:val="20"/>
                <w:szCs w:val="20"/>
              </w:rPr>
              <w:t> </w:t>
            </w:r>
          </w:p>
        </w:tc>
        <w:tc>
          <w:tcPr>
            <w:tcW w:w="168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4B8A2161"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SG</w:t>
            </w:r>
            <w:r w:rsidRPr="00401D64">
              <w:rPr>
                <w:rFonts w:cs="Times New Roman"/>
                <w:color w:val="000000"/>
                <w:sz w:val="20"/>
                <w:szCs w:val="20"/>
                <w:vertAlign w:val="superscript"/>
              </w:rPr>
              <w:t>†</w:t>
            </w:r>
          </w:p>
        </w:tc>
        <w:tc>
          <w:tcPr>
            <w:tcW w:w="162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0D2F6420"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BESU</w:t>
            </w:r>
          </w:p>
        </w:tc>
        <w:tc>
          <w:tcPr>
            <w:tcW w:w="162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hideMark/>
          </w:tcPr>
          <w:p w14:paraId="6E20E9F4"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DITI</w:t>
            </w:r>
          </w:p>
        </w:tc>
        <w:tc>
          <w:tcPr>
            <w:tcW w:w="156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hideMark/>
          </w:tcPr>
          <w:p w14:paraId="7FBC16AB" w14:textId="5A30CB15"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ILB</w:t>
            </w:r>
            <w:r w:rsidR="005C4B11">
              <w:rPr>
                <w:rFonts w:cs="Times New Roman"/>
                <w:color w:val="000000"/>
                <w:sz w:val="20"/>
                <w:szCs w:val="20"/>
              </w:rPr>
              <w:t>F</w:t>
            </w:r>
          </w:p>
        </w:tc>
        <w:tc>
          <w:tcPr>
            <w:tcW w:w="168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6DBEA703"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LANC</w:t>
            </w:r>
          </w:p>
        </w:tc>
        <w:tc>
          <w:tcPr>
            <w:tcW w:w="1568" w:type="dxa"/>
            <w:gridSpan w:val="2"/>
            <w:tcBorders>
              <w:top w:val="single" w:sz="12" w:space="0" w:color="auto"/>
              <w:left w:val="single" w:sz="36" w:space="0" w:color="FFFFFF" w:themeColor="background1"/>
              <w:bottom w:val="single" w:sz="12" w:space="0" w:color="auto"/>
              <w:right w:val="single" w:sz="12" w:space="0" w:color="FFFFFF"/>
            </w:tcBorders>
            <w:shd w:val="clear" w:color="auto" w:fill="auto"/>
            <w:noWrap/>
            <w:vAlign w:val="center"/>
            <w:hideMark/>
          </w:tcPr>
          <w:p w14:paraId="461A18E6"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MAXI</w:t>
            </w:r>
          </w:p>
        </w:tc>
      </w:tr>
      <w:tr w:rsidR="00B572F9" w:rsidRPr="00401D64" w14:paraId="3A8930C8" w14:textId="77777777" w:rsidTr="002A59E2">
        <w:trPr>
          <w:trHeight w:val="312"/>
        </w:trPr>
        <w:tc>
          <w:tcPr>
            <w:tcW w:w="2250" w:type="dxa"/>
            <w:tcBorders>
              <w:top w:val="nil"/>
              <w:left w:val="nil"/>
              <w:bottom w:val="single" w:sz="12" w:space="0" w:color="auto"/>
              <w:right w:val="single" w:sz="36" w:space="0" w:color="FFFFFF" w:themeColor="background1"/>
            </w:tcBorders>
            <w:shd w:val="clear" w:color="auto" w:fill="auto"/>
            <w:noWrap/>
            <w:vAlign w:val="center"/>
            <w:hideMark/>
          </w:tcPr>
          <w:p w14:paraId="35DDCC81" w14:textId="77777777" w:rsidR="00B572F9" w:rsidRPr="00401D64" w:rsidRDefault="00B572F9" w:rsidP="00CD16CE">
            <w:pPr>
              <w:spacing w:line="240" w:lineRule="auto"/>
              <w:rPr>
                <w:rFonts w:cs="Times New Roman"/>
                <w:color w:val="000000"/>
                <w:sz w:val="20"/>
                <w:szCs w:val="20"/>
              </w:rPr>
            </w:pPr>
            <w:r w:rsidRPr="00401D64">
              <w:rPr>
                <w:rFonts w:cs="Times New Roman"/>
                <w:color w:val="000000"/>
                <w:sz w:val="20"/>
                <w:szCs w:val="20"/>
              </w:rPr>
              <w:t>Effect</w:t>
            </w:r>
          </w:p>
        </w:tc>
        <w:tc>
          <w:tcPr>
            <w:tcW w:w="90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18FB4682"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F</w:t>
            </w:r>
            <w:r w:rsidRPr="00401D64">
              <w:rPr>
                <w:rFonts w:cs="Times New Roman"/>
                <w:color w:val="000000"/>
                <w:sz w:val="20"/>
                <w:szCs w:val="20"/>
              </w:rPr>
              <w:t xml:space="preserve"> value</w:t>
            </w:r>
          </w:p>
        </w:tc>
        <w:tc>
          <w:tcPr>
            <w:tcW w:w="78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7ACCB44D"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P</w:t>
            </w:r>
            <w:r w:rsidRPr="00401D64">
              <w:rPr>
                <w:rFonts w:cs="Times New Roman"/>
                <w:color w:val="000000"/>
                <w:sz w:val="20"/>
                <w:szCs w:val="20"/>
              </w:rPr>
              <w:t xml:space="preserve"> &gt; </w:t>
            </w:r>
            <w:r w:rsidRPr="00401D64">
              <w:rPr>
                <w:rFonts w:cs="Times New Roman"/>
                <w:i/>
                <w:iCs/>
                <w:color w:val="000000"/>
                <w:sz w:val="20"/>
                <w:szCs w:val="20"/>
              </w:rPr>
              <w:t>F</w:t>
            </w:r>
          </w:p>
        </w:tc>
        <w:tc>
          <w:tcPr>
            <w:tcW w:w="84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1A2DEE54"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F</w:t>
            </w:r>
            <w:r w:rsidRPr="00401D64">
              <w:rPr>
                <w:rFonts w:cs="Times New Roman"/>
                <w:color w:val="000000"/>
                <w:sz w:val="20"/>
                <w:szCs w:val="20"/>
              </w:rPr>
              <w:t xml:space="preserve"> value</w:t>
            </w:r>
          </w:p>
        </w:tc>
        <w:tc>
          <w:tcPr>
            <w:tcW w:w="78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6F1CC5D5"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P</w:t>
            </w:r>
            <w:r w:rsidRPr="00401D64">
              <w:rPr>
                <w:rFonts w:cs="Times New Roman"/>
                <w:color w:val="000000"/>
                <w:sz w:val="20"/>
                <w:szCs w:val="20"/>
              </w:rPr>
              <w:t xml:space="preserve"> &gt; </w:t>
            </w:r>
            <w:r w:rsidRPr="00401D64">
              <w:rPr>
                <w:rFonts w:cs="Times New Roman"/>
                <w:i/>
                <w:iCs/>
                <w:color w:val="000000"/>
                <w:sz w:val="20"/>
                <w:szCs w:val="20"/>
              </w:rPr>
              <w:t>F</w:t>
            </w:r>
          </w:p>
        </w:tc>
        <w:tc>
          <w:tcPr>
            <w:tcW w:w="84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3DDE7ADC"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F</w:t>
            </w:r>
            <w:r w:rsidRPr="00401D64">
              <w:rPr>
                <w:rFonts w:cs="Times New Roman"/>
                <w:color w:val="000000"/>
                <w:sz w:val="20"/>
                <w:szCs w:val="20"/>
              </w:rPr>
              <w:t xml:space="preserve"> value</w:t>
            </w:r>
          </w:p>
        </w:tc>
        <w:tc>
          <w:tcPr>
            <w:tcW w:w="78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1B1C14C7"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P</w:t>
            </w:r>
            <w:r w:rsidRPr="00401D64">
              <w:rPr>
                <w:rFonts w:cs="Times New Roman"/>
                <w:color w:val="000000"/>
                <w:sz w:val="20"/>
                <w:szCs w:val="20"/>
              </w:rPr>
              <w:t xml:space="preserve"> &gt; </w:t>
            </w:r>
            <w:r w:rsidRPr="00401D64">
              <w:rPr>
                <w:rFonts w:cs="Times New Roman"/>
                <w:i/>
                <w:iCs/>
                <w:color w:val="000000"/>
                <w:sz w:val="20"/>
                <w:szCs w:val="20"/>
              </w:rPr>
              <w:t>F</w:t>
            </w:r>
          </w:p>
        </w:tc>
        <w:tc>
          <w:tcPr>
            <w:tcW w:w="84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1F55DB61"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F</w:t>
            </w:r>
            <w:r w:rsidRPr="00401D64">
              <w:rPr>
                <w:rFonts w:cs="Times New Roman"/>
                <w:color w:val="000000"/>
                <w:sz w:val="20"/>
                <w:szCs w:val="20"/>
              </w:rPr>
              <w:t xml:space="preserve"> value</w:t>
            </w:r>
          </w:p>
        </w:tc>
        <w:tc>
          <w:tcPr>
            <w:tcW w:w="72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3BCDDDD9"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P</w:t>
            </w:r>
            <w:r w:rsidRPr="00401D64">
              <w:rPr>
                <w:rFonts w:cs="Times New Roman"/>
                <w:color w:val="000000"/>
                <w:sz w:val="20"/>
                <w:szCs w:val="20"/>
              </w:rPr>
              <w:t xml:space="preserve"> &gt; </w:t>
            </w:r>
            <w:r w:rsidRPr="00401D64">
              <w:rPr>
                <w:rFonts w:cs="Times New Roman"/>
                <w:i/>
                <w:iCs/>
                <w:color w:val="000000"/>
                <w:sz w:val="20"/>
                <w:szCs w:val="20"/>
              </w:rPr>
              <w:t>F</w:t>
            </w:r>
          </w:p>
        </w:tc>
        <w:tc>
          <w:tcPr>
            <w:tcW w:w="90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63C49DDB"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F</w:t>
            </w:r>
            <w:r w:rsidRPr="00401D64">
              <w:rPr>
                <w:rFonts w:cs="Times New Roman"/>
                <w:color w:val="000000"/>
                <w:sz w:val="20"/>
                <w:szCs w:val="20"/>
              </w:rPr>
              <w:t xml:space="preserve"> value</w:t>
            </w:r>
          </w:p>
        </w:tc>
        <w:tc>
          <w:tcPr>
            <w:tcW w:w="78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08E8B41A"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P</w:t>
            </w:r>
            <w:r w:rsidRPr="00401D64">
              <w:rPr>
                <w:rFonts w:cs="Times New Roman"/>
                <w:color w:val="000000"/>
                <w:sz w:val="20"/>
                <w:szCs w:val="20"/>
              </w:rPr>
              <w:t xml:space="preserve"> &gt; </w:t>
            </w:r>
            <w:r w:rsidRPr="00401D64">
              <w:rPr>
                <w:rFonts w:cs="Times New Roman"/>
                <w:i/>
                <w:iCs/>
                <w:color w:val="000000"/>
                <w:sz w:val="20"/>
                <w:szCs w:val="20"/>
              </w:rPr>
              <w:t>F</w:t>
            </w:r>
          </w:p>
        </w:tc>
        <w:tc>
          <w:tcPr>
            <w:tcW w:w="84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6251FF3E"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F</w:t>
            </w:r>
            <w:r w:rsidRPr="00401D64">
              <w:rPr>
                <w:rFonts w:cs="Times New Roman"/>
                <w:color w:val="000000"/>
                <w:sz w:val="20"/>
                <w:szCs w:val="20"/>
              </w:rPr>
              <w:t xml:space="preserve"> value</w:t>
            </w:r>
          </w:p>
        </w:tc>
        <w:tc>
          <w:tcPr>
            <w:tcW w:w="728" w:type="dxa"/>
            <w:tcBorders>
              <w:top w:val="nil"/>
              <w:left w:val="single" w:sz="36" w:space="0" w:color="FFFFFF" w:themeColor="background1"/>
              <w:bottom w:val="single" w:sz="12" w:space="0" w:color="auto"/>
              <w:right w:val="single" w:sz="12" w:space="0" w:color="FFFFFF"/>
            </w:tcBorders>
            <w:shd w:val="clear" w:color="auto" w:fill="auto"/>
            <w:noWrap/>
            <w:vAlign w:val="center"/>
            <w:hideMark/>
          </w:tcPr>
          <w:p w14:paraId="7EB9D765"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P</w:t>
            </w:r>
            <w:r w:rsidRPr="00401D64">
              <w:rPr>
                <w:rFonts w:cs="Times New Roman"/>
                <w:color w:val="000000"/>
                <w:sz w:val="20"/>
                <w:szCs w:val="20"/>
              </w:rPr>
              <w:t xml:space="preserve"> &gt; </w:t>
            </w:r>
            <w:r w:rsidRPr="00401D64">
              <w:rPr>
                <w:rFonts w:cs="Times New Roman"/>
                <w:i/>
                <w:iCs/>
                <w:color w:val="000000"/>
                <w:sz w:val="20"/>
                <w:szCs w:val="20"/>
              </w:rPr>
              <w:t>F</w:t>
            </w:r>
          </w:p>
        </w:tc>
      </w:tr>
      <w:tr w:rsidR="00B572F9" w:rsidRPr="00401D64" w14:paraId="1314E8E5" w14:textId="77777777" w:rsidTr="002A59E2">
        <w:trPr>
          <w:trHeight w:val="324"/>
        </w:trPr>
        <w:tc>
          <w:tcPr>
            <w:tcW w:w="2250" w:type="dxa"/>
            <w:tcBorders>
              <w:top w:val="nil"/>
              <w:left w:val="nil"/>
              <w:bottom w:val="nil"/>
              <w:right w:val="single" w:sz="36" w:space="0" w:color="FFFFFF" w:themeColor="background1"/>
            </w:tcBorders>
            <w:shd w:val="clear" w:color="auto" w:fill="auto"/>
            <w:noWrap/>
            <w:vAlign w:val="center"/>
            <w:hideMark/>
          </w:tcPr>
          <w:p w14:paraId="3C21427F" w14:textId="77777777" w:rsidR="00B572F9" w:rsidRPr="00401D64" w:rsidRDefault="00B572F9" w:rsidP="00CD16CE">
            <w:pPr>
              <w:spacing w:line="240" w:lineRule="auto"/>
              <w:rPr>
                <w:rFonts w:cs="Times New Roman"/>
                <w:color w:val="000000"/>
                <w:sz w:val="20"/>
                <w:szCs w:val="20"/>
              </w:rPr>
            </w:pPr>
            <w:r w:rsidRPr="00401D64">
              <w:rPr>
                <w:rFonts w:cs="Times New Roman"/>
                <w:color w:val="000000"/>
                <w:sz w:val="20"/>
                <w:szCs w:val="20"/>
              </w:rPr>
              <w:t>R</w:t>
            </w:r>
            <w:r>
              <w:rPr>
                <w:rFonts w:cs="Times New Roman"/>
                <w:color w:val="000000"/>
                <w:sz w:val="20"/>
                <w:szCs w:val="20"/>
              </w:rPr>
              <w:t>est</w:t>
            </w:r>
            <w:r w:rsidRPr="00401D64">
              <w:rPr>
                <w:rFonts w:cs="Times New Roman"/>
                <w:color w:val="000000"/>
                <w:sz w:val="20"/>
                <w:szCs w:val="20"/>
                <w:vertAlign w:val="superscript"/>
              </w:rPr>
              <w:t>‡</w:t>
            </w:r>
          </w:p>
        </w:tc>
        <w:tc>
          <w:tcPr>
            <w:tcW w:w="900" w:type="dxa"/>
            <w:tcBorders>
              <w:top w:val="nil"/>
              <w:left w:val="single" w:sz="36" w:space="0" w:color="FFFFFF" w:themeColor="background1"/>
              <w:bottom w:val="nil"/>
              <w:right w:val="single" w:sz="36" w:space="0" w:color="FFFFFF" w:themeColor="background1"/>
            </w:tcBorders>
            <w:shd w:val="clear" w:color="auto" w:fill="auto"/>
            <w:noWrap/>
            <w:vAlign w:val="center"/>
            <w:hideMark/>
          </w:tcPr>
          <w:p w14:paraId="6300D3CF"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2.54</w:t>
            </w:r>
          </w:p>
        </w:tc>
        <w:tc>
          <w:tcPr>
            <w:tcW w:w="780" w:type="dxa"/>
            <w:tcBorders>
              <w:top w:val="nil"/>
              <w:left w:val="single" w:sz="36" w:space="0" w:color="FFFFFF" w:themeColor="background1"/>
              <w:bottom w:val="nil"/>
              <w:right w:val="single" w:sz="36" w:space="0" w:color="FFFFFF" w:themeColor="background1"/>
            </w:tcBorders>
            <w:shd w:val="clear" w:color="auto" w:fill="auto"/>
            <w:noWrap/>
            <w:vAlign w:val="center"/>
            <w:hideMark/>
          </w:tcPr>
          <w:p w14:paraId="31CA8597"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0.059</w:t>
            </w:r>
          </w:p>
        </w:tc>
        <w:tc>
          <w:tcPr>
            <w:tcW w:w="840" w:type="dxa"/>
            <w:tcBorders>
              <w:top w:val="nil"/>
              <w:left w:val="single" w:sz="36" w:space="0" w:color="FFFFFF" w:themeColor="background1"/>
              <w:bottom w:val="nil"/>
              <w:right w:val="single" w:sz="36" w:space="0" w:color="FFFFFF" w:themeColor="background1"/>
            </w:tcBorders>
            <w:shd w:val="clear" w:color="auto" w:fill="auto"/>
            <w:noWrap/>
            <w:vAlign w:val="center"/>
            <w:hideMark/>
          </w:tcPr>
          <w:p w14:paraId="4173C015"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2.63</w:t>
            </w:r>
          </w:p>
        </w:tc>
        <w:tc>
          <w:tcPr>
            <w:tcW w:w="780" w:type="dxa"/>
            <w:tcBorders>
              <w:top w:val="nil"/>
              <w:left w:val="single" w:sz="36" w:space="0" w:color="FFFFFF" w:themeColor="background1"/>
              <w:bottom w:val="nil"/>
              <w:right w:val="single" w:sz="36" w:space="0" w:color="FFFFFF" w:themeColor="background1"/>
            </w:tcBorders>
            <w:shd w:val="clear" w:color="auto" w:fill="auto"/>
            <w:noWrap/>
            <w:vAlign w:val="center"/>
            <w:hideMark/>
          </w:tcPr>
          <w:p w14:paraId="109CB162"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0.054</w:t>
            </w:r>
          </w:p>
        </w:tc>
        <w:tc>
          <w:tcPr>
            <w:tcW w:w="84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664DC894"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4.02</w:t>
            </w:r>
          </w:p>
        </w:tc>
        <w:tc>
          <w:tcPr>
            <w:tcW w:w="78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5114B6A6"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0.012</w:t>
            </w:r>
          </w:p>
        </w:tc>
        <w:tc>
          <w:tcPr>
            <w:tcW w:w="84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22AFD2D3"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0.79</w:t>
            </w:r>
          </w:p>
        </w:tc>
        <w:tc>
          <w:tcPr>
            <w:tcW w:w="72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4E37BE4B"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0.540</w:t>
            </w:r>
          </w:p>
        </w:tc>
        <w:tc>
          <w:tcPr>
            <w:tcW w:w="900" w:type="dxa"/>
            <w:tcBorders>
              <w:top w:val="nil"/>
              <w:left w:val="single" w:sz="36" w:space="0" w:color="FFFFFF" w:themeColor="background1"/>
              <w:bottom w:val="nil"/>
              <w:right w:val="single" w:sz="36" w:space="0" w:color="FFFFFF" w:themeColor="background1"/>
            </w:tcBorders>
            <w:shd w:val="clear" w:color="auto" w:fill="auto"/>
            <w:noWrap/>
            <w:vAlign w:val="center"/>
            <w:hideMark/>
          </w:tcPr>
          <w:p w14:paraId="4B8C34B0"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0.46</w:t>
            </w:r>
          </w:p>
        </w:tc>
        <w:tc>
          <w:tcPr>
            <w:tcW w:w="780" w:type="dxa"/>
            <w:tcBorders>
              <w:top w:val="nil"/>
              <w:left w:val="single" w:sz="36" w:space="0" w:color="FFFFFF" w:themeColor="background1"/>
              <w:bottom w:val="nil"/>
              <w:right w:val="single" w:sz="36" w:space="0" w:color="FFFFFF" w:themeColor="background1"/>
            </w:tcBorders>
            <w:shd w:val="clear" w:color="auto" w:fill="auto"/>
            <w:noWrap/>
            <w:vAlign w:val="center"/>
            <w:hideMark/>
          </w:tcPr>
          <w:p w14:paraId="5CCE1DED"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0.763</w:t>
            </w:r>
          </w:p>
        </w:tc>
        <w:tc>
          <w:tcPr>
            <w:tcW w:w="840" w:type="dxa"/>
            <w:tcBorders>
              <w:top w:val="nil"/>
              <w:left w:val="single" w:sz="36" w:space="0" w:color="FFFFFF" w:themeColor="background1"/>
              <w:bottom w:val="nil"/>
              <w:right w:val="single" w:sz="36" w:space="0" w:color="FFFFFF" w:themeColor="background1"/>
            </w:tcBorders>
            <w:shd w:val="clear" w:color="auto" w:fill="auto"/>
            <w:noWrap/>
            <w:vAlign w:val="center"/>
            <w:hideMark/>
          </w:tcPr>
          <w:p w14:paraId="6A5EECB4"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0.04</w:t>
            </w:r>
          </w:p>
        </w:tc>
        <w:tc>
          <w:tcPr>
            <w:tcW w:w="728" w:type="dxa"/>
            <w:tcBorders>
              <w:top w:val="nil"/>
              <w:left w:val="single" w:sz="36" w:space="0" w:color="FFFFFF" w:themeColor="background1"/>
              <w:bottom w:val="nil"/>
              <w:right w:val="single" w:sz="12" w:space="0" w:color="FFFFFF"/>
            </w:tcBorders>
            <w:shd w:val="clear" w:color="auto" w:fill="auto"/>
            <w:noWrap/>
            <w:vAlign w:val="center"/>
            <w:hideMark/>
          </w:tcPr>
          <w:p w14:paraId="56ABACE6"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0.997</w:t>
            </w:r>
          </w:p>
        </w:tc>
      </w:tr>
      <w:tr w:rsidR="00B572F9" w:rsidRPr="00401D64" w14:paraId="7567F4B0" w14:textId="77777777" w:rsidTr="002A59E2">
        <w:trPr>
          <w:trHeight w:val="288"/>
        </w:trPr>
        <w:tc>
          <w:tcPr>
            <w:tcW w:w="2250" w:type="dxa"/>
            <w:tcBorders>
              <w:top w:val="nil"/>
              <w:left w:val="nil"/>
              <w:bottom w:val="nil"/>
              <w:right w:val="nil"/>
            </w:tcBorders>
            <w:shd w:val="clear" w:color="000000" w:fill="D9D9D9"/>
            <w:noWrap/>
            <w:vAlign w:val="center"/>
            <w:hideMark/>
          </w:tcPr>
          <w:p w14:paraId="24375DE7" w14:textId="77777777" w:rsidR="00B572F9" w:rsidRPr="00401D64" w:rsidRDefault="00B572F9" w:rsidP="00CD16CE">
            <w:pPr>
              <w:spacing w:line="240" w:lineRule="auto"/>
              <w:rPr>
                <w:rFonts w:cs="Times New Roman"/>
                <w:color w:val="000000"/>
                <w:sz w:val="20"/>
                <w:szCs w:val="20"/>
              </w:rPr>
            </w:pPr>
            <w:r w:rsidRPr="00401D64">
              <w:rPr>
                <w:rFonts w:cs="Times New Roman"/>
                <w:color w:val="000000"/>
                <w:sz w:val="20"/>
                <w:szCs w:val="20"/>
              </w:rPr>
              <w:t>Y</w:t>
            </w:r>
            <w:r>
              <w:rPr>
                <w:rFonts w:cs="Times New Roman"/>
                <w:color w:val="000000"/>
                <w:sz w:val="20"/>
                <w:szCs w:val="20"/>
              </w:rPr>
              <w:t>ear</w:t>
            </w:r>
          </w:p>
        </w:tc>
        <w:tc>
          <w:tcPr>
            <w:tcW w:w="900" w:type="dxa"/>
            <w:tcBorders>
              <w:top w:val="nil"/>
              <w:left w:val="nil"/>
              <w:bottom w:val="nil"/>
              <w:right w:val="nil"/>
            </w:tcBorders>
            <w:shd w:val="clear" w:color="000000" w:fill="D9D9D9"/>
            <w:noWrap/>
            <w:vAlign w:val="center"/>
            <w:hideMark/>
          </w:tcPr>
          <w:p w14:paraId="7B1A300B"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72.77</w:t>
            </w:r>
          </w:p>
        </w:tc>
        <w:tc>
          <w:tcPr>
            <w:tcW w:w="780" w:type="dxa"/>
            <w:tcBorders>
              <w:top w:val="nil"/>
              <w:left w:val="nil"/>
              <w:bottom w:val="nil"/>
              <w:right w:val="nil"/>
            </w:tcBorders>
            <w:shd w:val="clear" w:color="000000" w:fill="D9D9D9"/>
            <w:noWrap/>
            <w:vAlign w:val="center"/>
            <w:hideMark/>
          </w:tcPr>
          <w:p w14:paraId="36B220FD"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&lt;0.001</w:t>
            </w:r>
          </w:p>
        </w:tc>
        <w:tc>
          <w:tcPr>
            <w:tcW w:w="840" w:type="dxa"/>
            <w:tcBorders>
              <w:top w:val="nil"/>
              <w:left w:val="nil"/>
              <w:bottom w:val="nil"/>
              <w:right w:val="nil"/>
            </w:tcBorders>
            <w:shd w:val="clear" w:color="000000" w:fill="D9D9D9"/>
            <w:noWrap/>
            <w:vAlign w:val="center"/>
            <w:hideMark/>
          </w:tcPr>
          <w:p w14:paraId="6AA861A6"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56.50</w:t>
            </w:r>
          </w:p>
        </w:tc>
        <w:tc>
          <w:tcPr>
            <w:tcW w:w="780" w:type="dxa"/>
            <w:tcBorders>
              <w:top w:val="nil"/>
              <w:left w:val="nil"/>
              <w:bottom w:val="nil"/>
              <w:right w:val="nil"/>
            </w:tcBorders>
            <w:shd w:val="clear" w:color="000000" w:fill="D9D9D9"/>
            <w:noWrap/>
            <w:vAlign w:val="center"/>
            <w:hideMark/>
          </w:tcPr>
          <w:p w14:paraId="58B7120B"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&lt;0.001</w:t>
            </w:r>
          </w:p>
        </w:tc>
        <w:tc>
          <w:tcPr>
            <w:tcW w:w="840" w:type="dxa"/>
            <w:tcBorders>
              <w:top w:val="nil"/>
              <w:left w:val="nil"/>
              <w:bottom w:val="nil"/>
              <w:right w:val="nil"/>
            </w:tcBorders>
            <w:shd w:val="clear" w:color="000000" w:fill="D9D9D9"/>
            <w:vAlign w:val="center"/>
            <w:hideMark/>
          </w:tcPr>
          <w:p w14:paraId="023C09B0"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5.39</w:t>
            </w:r>
          </w:p>
        </w:tc>
        <w:tc>
          <w:tcPr>
            <w:tcW w:w="780" w:type="dxa"/>
            <w:tcBorders>
              <w:top w:val="nil"/>
              <w:left w:val="nil"/>
              <w:bottom w:val="nil"/>
              <w:right w:val="nil"/>
            </w:tcBorders>
            <w:shd w:val="clear" w:color="000000" w:fill="D9D9D9"/>
            <w:vAlign w:val="center"/>
            <w:hideMark/>
          </w:tcPr>
          <w:p w14:paraId="544C68AC"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0.092</w:t>
            </w:r>
          </w:p>
        </w:tc>
        <w:tc>
          <w:tcPr>
            <w:tcW w:w="840" w:type="dxa"/>
            <w:tcBorders>
              <w:top w:val="nil"/>
              <w:left w:val="nil"/>
              <w:bottom w:val="nil"/>
              <w:right w:val="nil"/>
            </w:tcBorders>
            <w:shd w:val="clear" w:color="000000" w:fill="D9D9D9"/>
            <w:vAlign w:val="center"/>
            <w:hideMark/>
          </w:tcPr>
          <w:p w14:paraId="1258701F"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2.06</w:t>
            </w:r>
          </w:p>
        </w:tc>
        <w:tc>
          <w:tcPr>
            <w:tcW w:w="720" w:type="dxa"/>
            <w:tcBorders>
              <w:top w:val="nil"/>
              <w:left w:val="nil"/>
              <w:bottom w:val="nil"/>
              <w:right w:val="nil"/>
            </w:tcBorders>
            <w:shd w:val="clear" w:color="000000" w:fill="D9D9D9"/>
            <w:vAlign w:val="center"/>
            <w:hideMark/>
          </w:tcPr>
          <w:p w14:paraId="65D21360"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0.136</w:t>
            </w:r>
          </w:p>
        </w:tc>
        <w:tc>
          <w:tcPr>
            <w:tcW w:w="900" w:type="dxa"/>
            <w:tcBorders>
              <w:top w:val="nil"/>
              <w:left w:val="nil"/>
              <w:bottom w:val="nil"/>
              <w:right w:val="nil"/>
            </w:tcBorders>
            <w:shd w:val="clear" w:color="000000" w:fill="D9D9D9"/>
            <w:noWrap/>
            <w:vAlign w:val="center"/>
            <w:hideMark/>
          </w:tcPr>
          <w:p w14:paraId="473E39F8"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104.01</w:t>
            </w:r>
          </w:p>
        </w:tc>
        <w:tc>
          <w:tcPr>
            <w:tcW w:w="780" w:type="dxa"/>
            <w:tcBorders>
              <w:top w:val="nil"/>
              <w:left w:val="nil"/>
              <w:bottom w:val="nil"/>
              <w:right w:val="nil"/>
            </w:tcBorders>
            <w:shd w:val="clear" w:color="000000" w:fill="D9D9D9"/>
            <w:noWrap/>
            <w:vAlign w:val="center"/>
            <w:hideMark/>
          </w:tcPr>
          <w:p w14:paraId="3942AEBE"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&lt;0.001</w:t>
            </w:r>
          </w:p>
        </w:tc>
        <w:tc>
          <w:tcPr>
            <w:tcW w:w="840" w:type="dxa"/>
            <w:tcBorders>
              <w:top w:val="nil"/>
              <w:left w:val="nil"/>
              <w:bottom w:val="nil"/>
              <w:right w:val="nil"/>
            </w:tcBorders>
            <w:shd w:val="clear" w:color="000000" w:fill="D9D9D9"/>
            <w:noWrap/>
            <w:vAlign w:val="center"/>
            <w:hideMark/>
          </w:tcPr>
          <w:p w14:paraId="4E368C15"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1.91</w:t>
            </w:r>
          </w:p>
        </w:tc>
        <w:tc>
          <w:tcPr>
            <w:tcW w:w="728" w:type="dxa"/>
            <w:tcBorders>
              <w:top w:val="nil"/>
              <w:left w:val="nil"/>
              <w:bottom w:val="nil"/>
              <w:right w:val="nil"/>
            </w:tcBorders>
            <w:shd w:val="clear" w:color="000000" w:fill="D9D9D9"/>
            <w:noWrap/>
            <w:vAlign w:val="center"/>
            <w:hideMark/>
          </w:tcPr>
          <w:p w14:paraId="1DA8F266"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0.233</w:t>
            </w:r>
          </w:p>
        </w:tc>
      </w:tr>
      <w:tr w:rsidR="00B572F9" w:rsidRPr="00401D64" w14:paraId="537A0732" w14:textId="77777777" w:rsidTr="002A59E2">
        <w:trPr>
          <w:trHeight w:val="288"/>
        </w:trPr>
        <w:tc>
          <w:tcPr>
            <w:tcW w:w="2250" w:type="dxa"/>
            <w:tcBorders>
              <w:top w:val="nil"/>
              <w:left w:val="nil"/>
              <w:bottom w:val="nil"/>
              <w:right w:val="nil"/>
            </w:tcBorders>
            <w:shd w:val="clear" w:color="auto" w:fill="auto"/>
            <w:noWrap/>
            <w:vAlign w:val="center"/>
            <w:hideMark/>
          </w:tcPr>
          <w:p w14:paraId="302308A3" w14:textId="77777777" w:rsidR="00B572F9" w:rsidRPr="00401D64" w:rsidRDefault="00B572F9" w:rsidP="00CD16CE">
            <w:pPr>
              <w:spacing w:line="240" w:lineRule="auto"/>
              <w:rPr>
                <w:rFonts w:cs="Times New Roman"/>
                <w:color w:val="000000"/>
                <w:sz w:val="20"/>
                <w:szCs w:val="20"/>
              </w:rPr>
            </w:pPr>
            <w:r w:rsidRPr="00401D64">
              <w:rPr>
                <w:rFonts w:cs="Times New Roman"/>
                <w:color w:val="000000"/>
                <w:sz w:val="20"/>
                <w:szCs w:val="20"/>
              </w:rPr>
              <w:t>R</w:t>
            </w:r>
            <w:r>
              <w:rPr>
                <w:rFonts w:cs="Times New Roman"/>
                <w:color w:val="000000"/>
                <w:sz w:val="20"/>
                <w:szCs w:val="20"/>
              </w:rPr>
              <w:t>est</w:t>
            </w:r>
            <w:r w:rsidRPr="00401D64">
              <w:rPr>
                <w:rFonts w:cs="Times New Roman"/>
                <w:color w:val="000000"/>
                <w:sz w:val="20"/>
                <w:szCs w:val="20"/>
              </w:rPr>
              <w:t xml:space="preserve"> x Y</w:t>
            </w:r>
            <w:r>
              <w:rPr>
                <w:rFonts w:cs="Times New Roman"/>
                <w:color w:val="000000"/>
                <w:sz w:val="20"/>
                <w:szCs w:val="20"/>
              </w:rPr>
              <w:t>ear</w:t>
            </w:r>
          </w:p>
        </w:tc>
        <w:tc>
          <w:tcPr>
            <w:tcW w:w="900" w:type="dxa"/>
            <w:tcBorders>
              <w:top w:val="nil"/>
              <w:left w:val="single" w:sz="12" w:space="0" w:color="FFFFFF"/>
              <w:bottom w:val="nil"/>
              <w:right w:val="nil"/>
            </w:tcBorders>
            <w:shd w:val="clear" w:color="auto" w:fill="auto"/>
            <w:noWrap/>
            <w:vAlign w:val="center"/>
            <w:hideMark/>
          </w:tcPr>
          <w:p w14:paraId="4B0F2311"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1.54</w:t>
            </w:r>
          </w:p>
        </w:tc>
        <w:tc>
          <w:tcPr>
            <w:tcW w:w="780" w:type="dxa"/>
            <w:tcBorders>
              <w:top w:val="nil"/>
              <w:left w:val="nil"/>
              <w:bottom w:val="nil"/>
              <w:right w:val="nil"/>
            </w:tcBorders>
            <w:shd w:val="clear" w:color="auto" w:fill="auto"/>
            <w:noWrap/>
            <w:vAlign w:val="center"/>
            <w:hideMark/>
          </w:tcPr>
          <w:p w14:paraId="1EC11274"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0.165</w:t>
            </w:r>
          </w:p>
        </w:tc>
        <w:tc>
          <w:tcPr>
            <w:tcW w:w="840" w:type="dxa"/>
            <w:tcBorders>
              <w:top w:val="nil"/>
              <w:left w:val="nil"/>
              <w:bottom w:val="nil"/>
              <w:right w:val="nil"/>
            </w:tcBorders>
            <w:shd w:val="clear" w:color="auto" w:fill="auto"/>
            <w:noWrap/>
            <w:vAlign w:val="center"/>
            <w:hideMark/>
          </w:tcPr>
          <w:p w14:paraId="6FEDA65B"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2.96</w:t>
            </w:r>
          </w:p>
        </w:tc>
        <w:tc>
          <w:tcPr>
            <w:tcW w:w="780" w:type="dxa"/>
            <w:tcBorders>
              <w:top w:val="nil"/>
              <w:left w:val="nil"/>
              <w:bottom w:val="nil"/>
              <w:right w:val="nil"/>
            </w:tcBorders>
            <w:shd w:val="clear" w:color="auto" w:fill="auto"/>
            <w:noWrap/>
            <w:vAlign w:val="center"/>
            <w:hideMark/>
          </w:tcPr>
          <w:p w14:paraId="0B13F66F" w14:textId="51B08F6D"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0.00</w:t>
            </w:r>
            <w:r w:rsidR="00526337">
              <w:rPr>
                <w:rFonts w:cs="Times New Roman"/>
                <w:b/>
                <w:bCs/>
                <w:color w:val="000000"/>
                <w:sz w:val="20"/>
                <w:szCs w:val="20"/>
              </w:rPr>
              <w:t>9</w:t>
            </w:r>
          </w:p>
        </w:tc>
        <w:tc>
          <w:tcPr>
            <w:tcW w:w="840" w:type="dxa"/>
            <w:tcBorders>
              <w:top w:val="nil"/>
              <w:left w:val="nil"/>
              <w:bottom w:val="nil"/>
              <w:right w:val="nil"/>
            </w:tcBorders>
            <w:shd w:val="clear" w:color="auto" w:fill="auto"/>
            <w:vAlign w:val="center"/>
            <w:hideMark/>
          </w:tcPr>
          <w:p w14:paraId="17E1C017"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4.21</w:t>
            </w:r>
          </w:p>
        </w:tc>
        <w:tc>
          <w:tcPr>
            <w:tcW w:w="780" w:type="dxa"/>
            <w:tcBorders>
              <w:top w:val="nil"/>
              <w:left w:val="nil"/>
              <w:bottom w:val="nil"/>
              <w:right w:val="nil"/>
            </w:tcBorders>
            <w:shd w:val="clear" w:color="auto" w:fill="auto"/>
            <w:vAlign w:val="center"/>
            <w:hideMark/>
          </w:tcPr>
          <w:p w14:paraId="4A92FBEF"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&lt;0.001</w:t>
            </w:r>
          </w:p>
        </w:tc>
        <w:tc>
          <w:tcPr>
            <w:tcW w:w="840" w:type="dxa"/>
            <w:tcBorders>
              <w:top w:val="nil"/>
              <w:left w:val="nil"/>
              <w:bottom w:val="nil"/>
              <w:right w:val="nil"/>
            </w:tcBorders>
            <w:shd w:val="clear" w:color="auto" w:fill="auto"/>
            <w:vAlign w:val="center"/>
            <w:hideMark/>
          </w:tcPr>
          <w:p w14:paraId="03D7E7E7"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0.95</w:t>
            </w:r>
          </w:p>
        </w:tc>
        <w:tc>
          <w:tcPr>
            <w:tcW w:w="720" w:type="dxa"/>
            <w:tcBorders>
              <w:top w:val="nil"/>
              <w:left w:val="nil"/>
              <w:bottom w:val="nil"/>
              <w:right w:val="nil"/>
            </w:tcBorders>
            <w:shd w:val="clear" w:color="auto" w:fill="auto"/>
            <w:vAlign w:val="center"/>
            <w:hideMark/>
          </w:tcPr>
          <w:p w14:paraId="0CE847DC"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0.480</w:t>
            </w:r>
          </w:p>
        </w:tc>
        <w:tc>
          <w:tcPr>
            <w:tcW w:w="900" w:type="dxa"/>
            <w:tcBorders>
              <w:top w:val="nil"/>
              <w:left w:val="nil"/>
              <w:bottom w:val="nil"/>
              <w:right w:val="nil"/>
            </w:tcBorders>
            <w:shd w:val="clear" w:color="auto" w:fill="auto"/>
            <w:noWrap/>
            <w:vAlign w:val="center"/>
            <w:hideMark/>
          </w:tcPr>
          <w:p w14:paraId="46198C94"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2.50</w:t>
            </w:r>
          </w:p>
        </w:tc>
        <w:tc>
          <w:tcPr>
            <w:tcW w:w="780" w:type="dxa"/>
            <w:tcBorders>
              <w:top w:val="nil"/>
              <w:left w:val="nil"/>
              <w:bottom w:val="nil"/>
              <w:right w:val="nil"/>
            </w:tcBorders>
            <w:shd w:val="clear" w:color="auto" w:fill="auto"/>
            <w:noWrap/>
            <w:vAlign w:val="center"/>
            <w:hideMark/>
          </w:tcPr>
          <w:p w14:paraId="5D32D272"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0.020</w:t>
            </w:r>
          </w:p>
        </w:tc>
        <w:tc>
          <w:tcPr>
            <w:tcW w:w="840" w:type="dxa"/>
            <w:tcBorders>
              <w:top w:val="nil"/>
              <w:left w:val="nil"/>
              <w:bottom w:val="nil"/>
              <w:right w:val="nil"/>
            </w:tcBorders>
            <w:shd w:val="clear" w:color="auto" w:fill="auto"/>
            <w:noWrap/>
            <w:vAlign w:val="center"/>
            <w:hideMark/>
          </w:tcPr>
          <w:p w14:paraId="01C0409A"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0.20</w:t>
            </w:r>
          </w:p>
        </w:tc>
        <w:tc>
          <w:tcPr>
            <w:tcW w:w="728" w:type="dxa"/>
            <w:tcBorders>
              <w:top w:val="nil"/>
              <w:left w:val="nil"/>
              <w:bottom w:val="nil"/>
              <w:right w:val="nil"/>
            </w:tcBorders>
            <w:shd w:val="clear" w:color="auto" w:fill="auto"/>
            <w:noWrap/>
            <w:vAlign w:val="center"/>
            <w:hideMark/>
          </w:tcPr>
          <w:p w14:paraId="477AF79C"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0.990</w:t>
            </w:r>
          </w:p>
        </w:tc>
      </w:tr>
      <w:tr w:rsidR="00B572F9" w:rsidRPr="00401D64" w14:paraId="512B7748" w14:textId="77777777" w:rsidTr="002A59E2">
        <w:trPr>
          <w:trHeight w:val="288"/>
        </w:trPr>
        <w:tc>
          <w:tcPr>
            <w:tcW w:w="2250" w:type="dxa"/>
            <w:tcBorders>
              <w:top w:val="nil"/>
              <w:left w:val="nil"/>
              <w:bottom w:val="nil"/>
              <w:right w:val="nil"/>
            </w:tcBorders>
            <w:shd w:val="clear" w:color="000000" w:fill="D9D9D9"/>
            <w:noWrap/>
            <w:vAlign w:val="center"/>
            <w:hideMark/>
          </w:tcPr>
          <w:p w14:paraId="0B72ECBF" w14:textId="77777777" w:rsidR="00B572F9" w:rsidRPr="00401D64" w:rsidRDefault="00B572F9" w:rsidP="00CD16CE">
            <w:pPr>
              <w:spacing w:line="240" w:lineRule="auto"/>
              <w:rPr>
                <w:rFonts w:cs="Times New Roman"/>
                <w:color w:val="000000"/>
                <w:sz w:val="20"/>
                <w:szCs w:val="20"/>
              </w:rPr>
            </w:pPr>
            <w:r w:rsidRPr="00401D64">
              <w:rPr>
                <w:rFonts w:cs="Times New Roman"/>
                <w:color w:val="000000"/>
                <w:sz w:val="20"/>
                <w:szCs w:val="20"/>
              </w:rPr>
              <w:t>P</w:t>
            </w:r>
            <w:r>
              <w:rPr>
                <w:rFonts w:cs="Times New Roman"/>
                <w:color w:val="000000"/>
                <w:sz w:val="20"/>
                <w:szCs w:val="20"/>
              </w:rPr>
              <w:t>eriod</w:t>
            </w:r>
          </w:p>
        </w:tc>
        <w:tc>
          <w:tcPr>
            <w:tcW w:w="900" w:type="dxa"/>
            <w:tcBorders>
              <w:top w:val="nil"/>
              <w:left w:val="nil"/>
              <w:bottom w:val="nil"/>
              <w:right w:val="nil"/>
            </w:tcBorders>
            <w:shd w:val="clear" w:color="000000" w:fill="D9D9D9"/>
            <w:noWrap/>
            <w:vAlign w:val="center"/>
            <w:hideMark/>
          </w:tcPr>
          <w:p w14:paraId="52F11E39"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28.33</w:t>
            </w:r>
          </w:p>
        </w:tc>
        <w:tc>
          <w:tcPr>
            <w:tcW w:w="780" w:type="dxa"/>
            <w:tcBorders>
              <w:top w:val="nil"/>
              <w:left w:val="nil"/>
              <w:bottom w:val="nil"/>
              <w:right w:val="nil"/>
            </w:tcBorders>
            <w:shd w:val="clear" w:color="000000" w:fill="D9D9D9"/>
            <w:noWrap/>
            <w:vAlign w:val="center"/>
            <w:hideMark/>
          </w:tcPr>
          <w:p w14:paraId="07214B73"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&lt;0.001</w:t>
            </w:r>
          </w:p>
        </w:tc>
        <w:tc>
          <w:tcPr>
            <w:tcW w:w="840" w:type="dxa"/>
            <w:tcBorders>
              <w:top w:val="nil"/>
              <w:left w:val="nil"/>
              <w:bottom w:val="nil"/>
              <w:right w:val="nil"/>
            </w:tcBorders>
            <w:shd w:val="clear" w:color="000000" w:fill="D9D9D9"/>
            <w:noWrap/>
            <w:vAlign w:val="center"/>
            <w:hideMark/>
          </w:tcPr>
          <w:p w14:paraId="23582CFB"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78.69</w:t>
            </w:r>
          </w:p>
        </w:tc>
        <w:tc>
          <w:tcPr>
            <w:tcW w:w="780" w:type="dxa"/>
            <w:tcBorders>
              <w:top w:val="nil"/>
              <w:left w:val="nil"/>
              <w:bottom w:val="nil"/>
              <w:right w:val="nil"/>
            </w:tcBorders>
            <w:shd w:val="clear" w:color="000000" w:fill="D9D9D9"/>
            <w:noWrap/>
            <w:vAlign w:val="center"/>
            <w:hideMark/>
          </w:tcPr>
          <w:p w14:paraId="08C2677D"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&lt;0.001</w:t>
            </w:r>
          </w:p>
        </w:tc>
        <w:tc>
          <w:tcPr>
            <w:tcW w:w="840" w:type="dxa"/>
            <w:tcBorders>
              <w:top w:val="nil"/>
              <w:left w:val="nil"/>
              <w:bottom w:val="nil"/>
              <w:right w:val="nil"/>
            </w:tcBorders>
            <w:shd w:val="clear" w:color="000000" w:fill="D9D9D9"/>
            <w:vAlign w:val="center"/>
            <w:hideMark/>
          </w:tcPr>
          <w:p w14:paraId="2508D2C5"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1.42</w:t>
            </w:r>
          </w:p>
        </w:tc>
        <w:tc>
          <w:tcPr>
            <w:tcW w:w="780" w:type="dxa"/>
            <w:tcBorders>
              <w:top w:val="nil"/>
              <w:left w:val="nil"/>
              <w:bottom w:val="nil"/>
              <w:right w:val="nil"/>
            </w:tcBorders>
            <w:shd w:val="clear" w:color="000000" w:fill="D9D9D9"/>
            <w:vAlign w:val="center"/>
            <w:hideMark/>
          </w:tcPr>
          <w:p w14:paraId="5E8A976C"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0.245</w:t>
            </w:r>
          </w:p>
        </w:tc>
        <w:tc>
          <w:tcPr>
            <w:tcW w:w="840" w:type="dxa"/>
            <w:tcBorders>
              <w:top w:val="nil"/>
              <w:left w:val="nil"/>
              <w:bottom w:val="nil"/>
              <w:right w:val="nil"/>
            </w:tcBorders>
            <w:shd w:val="clear" w:color="000000" w:fill="D9D9D9"/>
            <w:vAlign w:val="center"/>
            <w:hideMark/>
          </w:tcPr>
          <w:p w14:paraId="05DFEB7F"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1.44</w:t>
            </w:r>
          </w:p>
        </w:tc>
        <w:tc>
          <w:tcPr>
            <w:tcW w:w="720" w:type="dxa"/>
            <w:tcBorders>
              <w:top w:val="nil"/>
              <w:left w:val="nil"/>
              <w:bottom w:val="nil"/>
              <w:right w:val="nil"/>
            </w:tcBorders>
            <w:shd w:val="clear" w:color="000000" w:fill="D9D9D9"/>
            <w:vAlign w:val="center"/>
            <w:hideMark/>
          </w:tcPr>
          <w:p w14:paraId="7A5A11C5"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0.236</w:t>
            </w:r>
          </w:p>
        </w:tc>
        <w:tc>
          <w:tcPr>
            <w:tcW w:w="900" w:type="dxa"/>
            <w:tcBorders>
              <w:top w:val="nil"/>
              <w:left w:val="nil"/>
              <w:bottom w:val="nil"/>
              <w:right w:val="nil"/>
            </w:tcBorders>
            <w:shd w:val="clear" w:color="000000" w:fill="D9D9D9"/>
            <w:noWrap/>
            <w:vAlign w:val="center"/>
            <w:hideMark/>
          </w:tcPr>
          <w:p w14:paraId="6C6899F7"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30.16</w:t>
            </w:r>
          </w:p>
        </w:tc>
        <w:tc>
          <w:tcPr>
            <w:tcW w:w="780" w:type="dxa"/>
            <w:tcBorders>
              <w:top w:val="nil"/>
              <w:left w:val="nil"/>
              <w:bottom w:val="nil"/>
              <w:right w:val="nil"/>
            </w:tcBorders>
            <w:shd w:val="clear" w:color="000000" w:fill="D9D9D9"/>
            <w:noWrap/>
            <w:vAlign w:val="center"/>
            <w:hideMark/>
          </w:tcPr>
          <w:p w14:paraId="03E78C0D"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&lt;0.001</w:t>
            </w:r>
          </w:p>
        </w:tc>
        <w:tc>
          <w:tcPr>
            <w:tcW w:w="840" w:type="dxa"/>
            <w:tcBorders>
              <w:top w:val="nil"/>
              <w:left w:val="nil"/>
              <w:bottom w:val="nil"/>
              <w:right w:val="nil"/>
            </w:tcBorders>
            <w:shd w:val="clear" w:color="000000" w:fill="D9D9D9"/>
            <w:noWrap/>
            <w:vAlign w:val="center"/>
            <w:hideMark/>
          </w:tcPr>
          <w:p w14:paraId="64F470D0"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3.73</w:t>
            </w:r>
          </w:p>
        </w:tc>
        <w:tc>
          <w:tcPr>
            <w:tcW w:w="728" w:type="dxa"/>
            <w:tcBorders>
              <w:top w:val="nil"/>
              <w:left w:val="nil"/>
              <w:bottom w:val="nil"/>
              <w:right w:val="nil"/>
            </w:tcBorders>
            <w:shd w:val="clear" w:color="000000" w:fill="D9D9D9"/>
            <w:noWrap/>
            <w:vAlign w:val="center"/>
            <w:hideMark/>
          </w:tcPr>
          <w:p w14:paraId="1098CE35"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0.065</w:t>
            </w:r>
          </w:p>
        </w:tc>
      </w:tr>
      <w:tr w:rsidR="00B572F9" w:rsidRPr="00401D64" w14:paraId="56D1269A" w14:textId="77777777" w:rsidTr="002A59E2">
        <w:trPr>
          <w:trHeight w:val="288"/>
        </w:trPr>
        <w:tc>
          <w:tcPr>
            <w:tcW w:w="2250" w:type="dxa"/>
            <w:tcBorders>
              <w:top w:val="nil"/>
              <w:left w:val="nil"/>
              <w:bottom w:val="nil"/>
              <w:right w:val="nil"/>
            </w:tcBorders>
            <w:shd w:val="clear" w:color="auto" w:fill="auto"/>
            <w:noWrap/>
            <w:vAlign w:val="center"/>
            <w:hideMark/>
          </w:tcPr>
          <w:p w14:paraId="0B8BEF8F" w14:textId="77777777" w:rsidR="00B572F9" w:rsidRPr="00401D64" w:rsidRDefault="00B572F9" w:rsidP="00CD16CE">
            <w:pPr>
              <w:spacing w:line="240" w:lineRule="auto"/>
              <w:rPr>
                <w:rFonts w:cs="Times New Roman"/>
                <w:color w:val="000000"/>
                <w:sz w:val="20"/>
                <w:szCs w:val="20"/>
              </w:rPr>
            </w:pPr>
            <w:r w:rsidRPr="00401D64">
              <w:rPr>
                <w:rFonts w:cs="Times New Roman"/>
                <w:color w:val="000000"/>
                <w:sz w:val="20"/>
                <w:szCs w:val="20"/>
              </w:rPr>
              <w:t>R</w:t>
            </w:r>
            <w:r>
              <w:rPr>
                <w:rFonts w:cs="Times New Roman"/>
                <w:color w:val="000000"/>
                <w:sz w:val="20"/>
                <w:szCs w:val="20"/>
              </w:rPr>
              <w:t>est</w:t>
            </w:r>
            <w:r w:rsidRPr="00401D64">
              <w:rPr>
                <w:rFonts w:cs="Times New Roman"/>
                <w:color w:val="000000"/>
                <w:sz w:val="20"/>
                <w:szCs w:val="20"/>
              </w:rPr>
              <w:t xml:space="preserve"> x P</w:t>
            </w:r>
            <w:r>
              <w:rPr>
                <w:rFonts w:cs="Times New Roman"/>
                <w:color w:val="000000"/>
                <w:sz w:val="20"/>
                <w:szCs w:val="20"/>
              </w:rPr>
              <w:t>eriod</w:t>
            </w:r>
          </w:p>
        </w:tc>
        <w:tc>
          <w:tcPr>
            <w:tcW w:w="900" w:type="dxa"/>
            <w:tcBorders>
              <w:top w:val="nil"/>
              <w:left w:val="single" w:sz="12" w:space="0" w:color="FFFFFF"/>
              <w:bottom w:val="nil"/>
              <w:right w:val="nil"/>
            </w:tcBorders>
            <w:shd w:val="clear" w:color="auto" w:fill="auto"/>
            <w:noWrap/>
            <w:vAlign w:val="center"/>
            <w:hideMark/>
          </w:tcPr>
          <w:p w14:paraId="1271F1BB"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0.53</w:t>
            </w:r>
          </w:p>
        </w:tc>
        <w:tc>
          <w:tcPr>
            <w:tcW w:w="780" w:type="dxa"/>
            <w:tcBorders>
              <w:top w:val="nil"/>
              <w:left w:val="nil"/>
              <w:bottom w:val="nil"/>
              <w:right w:val="nil"/>
            </w:tcBorders>
            <w:shd w:val="clear" w:color="auto" w:fill="auto"/>
            <w:noWrap/>
            <w:vAlign w:val="center"/>
            <w:hideMark/>
          </w:tcPr>
          <w:p w14:paraId="38534FED"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0.714</w:t>
            </w:r>
          </w:p>
        </w:tc>
        <w:tc>
          <w:tcPr>
            <w:tcW w:w="840" w:type="dxa"/>
            <w:tcBorders>
              <w:top w:val="nil"/>
              <w:left w:val="nil"/>
              <w:bottom w:val="nil"/>
              <w:right w:val="nil"/>
            </w:tcBorders>
            <w:shd w:val="clear" w:color="auto" w:fill="auto"/>
            <w:noWrap/>
            <w:vAlign w:val="center"/>
            <w:hideMark/>
          </w:tcPr>
          <w:p w14:paraId="6F2E0B64"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1.17</w:t>
            </w:r>
          </w:p>
        </w:tc>
        <w:tc>
          <w:tcPr>
            <w:tcW w:w="780" w:type="dxa"/>
            <w:tcBorders>
              <w:top w:val="nil"/>
              <w:left w:val="nil"/>
              <w:bottom w:val="nil"/>
              <w:right w:val="nil"/>
            </w:tcBorders>
            <w:shd w:val="clear" w:color="auto" w:fill="auto"/>
            <w:noWrap/>
            <w:vAlign w:val="center"/>
            <w:hideMark/>
          </w:tcPr>
          <w:p w14:paraId="5477E26E"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0.345</w:t>
            </w:r>
          </w:p>
        </w:tc>
        <w:tc>
          <w:tcPr>
            <w:tcW w:w="840" w:type="dxa"/>
            <w:tcBorders>
              <w:top w:val="nil"/>
              <w:left w:val="nil"/>
              <w:bottom w:val="nil"/>
              <w:right w:val="nil"/>
            </w:tcBorders>
            <w:shd w:val="clear" w:color="auto" w:fill="auto"/>
            <w:vAlign w:val="center"/>
            <w:hideMark/>
          </w:tcPr>
          <w:p w14:paraId="16366D68"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0.51</w:t>
            </w:r>
          </w:p>
        </w:tc>
        <w:tc>
          <w:tcPr>
            <w:tcW w:w="780" w:type="dxa"/>
            <w:tcBorders>
              <w:top w:val="nil"/>
              <w:left w:val="nil"/>
              <w:bottom w:val="nil"/>
              <w:right w:val="nil"/>
            </w:tcBorders>
            <w:shd w:val="clear" w:color="auto" w:fill="auto"/>
            <w:vAlign w:val="center"/>
            <w:hideMark/>
          </w:tcPr>
          <w:p w14:paraId="410FE148"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0.727</w:t>
            </w:r>
          </w:p>
        </w:tc>
        <w:tc>
          <w:tcPr>
            <w:tcW w:w="840" w:type="dxa"/>
            <w:tcBorders>
              <w:top w:val="nil"/>
              <w:left w:val="nil"/>
              <w:bottom w:val="nil"/>
              <w:right w:val="nil"/>
            </w:tcBorders>
            <w:shd w:val="clear" w:color="auto" w:fill="auto"/>
            <w:vAlign w:val="center"/>
            <w:hideMark/>
          </w:tcPr>
          <w:p w14:paraId="19427155"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1.61</w:t>
            </w:r>
          </w:p>
        </w:tc>
        <w:tc>
          <w:tcPr>
            <w:tcW w:w="720" w:type="dxa"/>
            <w:tcBorders>
              <w:top w:val="nil"/>
              <w:left w:val="nil"/>
              <w:bottom w:val="nil"/>
              <w:right w:val="nil"/>
            </w:tcBorders>
            <w:shd w:val="clear" w:color="auto" w:fill="auto"/>
            <w:vAlign w:val="center"/>
            <w:hideMark/>
          </w:tcPr>
          <w:p w14:paraId="25028C1E"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0.186</w:t>
            </w:r>
          </w:p>
        </w:tc>
        <w:tc>
          <w:tcPr>
            <w:tcW w:w="900" w:type="dxa"/>
            <w:tcBorders>
              <w:top w:val="nil"/>
              <w:left w:val="nil"/>
              <w:bottom w:val="nil"/>
              <w:right w:val="nil"/>
            </w:tcBorders>
            <w:shd w:val="clear" w:color="auto" w:fill="auto"/>
            <w:noWrap/>
            <w:vAlign w:val="center"/>
            <w:hideMark/>
          </w:tcPr>
          <w:p w14:paraId="6DC62440"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0.51</w:t>
            </w:r>
          </w:p>
        </w:tc>
        <w:tc>
          <w:tcPr>
            <w:tcW w:w="780" w:type="dxa"/>
            <w:tcBorders>
              <w:top w:val="nil"/>
              <w:left w:val="nil"/>
              <w:bottom w:val="nil"/>
              <w:right w:val="nil"/>
            </w:tcBorders>
            <w:shd w:val="clear" w:color="auto" w:fill="auto"/>
            <w:noWrap/>
            <w:vAlign w:val="center"/>
            <w:hideMark/>
          </w:tcPr>
          <w:p w14:paraId="6569A4C8"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0.729</w:t>
            </w:r>
          </w:p>
        </w:tc>
        <w:tc>
          <w:tcPr>
            <w:tcW w:w="840" w:type="dxa"/>
            <w:tcBorders>
              <w:top w:val="nil"/>
              <w:left w:val="nil"/>
              <w:bottom w:val="nil"/>
              <w:right w:val="nil"/>
            </w:tcBorders>
            <w:shd w:val="clear" w:color="auto" w:fill="auto"/>
            <w:noWrap/>
            <w:vAlign w:val="center"/>
            <w:hideMark/>
          </w:tcPr>
          <w:p w14:paraId="20E37E79"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0.39</w:t>
            </w:r>
          </w:p>
        </w:tc>
        <w:tc>
          <w:tcPr>
            <w:tcW w:w="728" w:type="dxa"/>
            <w:tcBorders>
              <w:top w:val="nil"/>
              <w:left w:val="nil"/>
              <w:bottom w:val="nil"/>
              <w:right w:val="nil"/>
            </w:tcBorders>
            <w:shd w:val="clear" w:color="auto" w:fill="auto"/>
            <w:noWrap/>
            <w:vAlign w:val="center"/>
            <w:hideMark/>
          </w:tcPr>
          <w:p w14:paraId="5277BE6C"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0.812</w:t>
            </w:r>
          </w:p>
        </w:tc>
      </w:tr>
      <w:tr w:rsidR="00B572F9" w:rsidRPr="00401D64" w14:paraId="1437804E" w14:textId="77777777" w:rsidTr="002A59E2">
        <w:trPr>
          <w:trHeight w:val="288"/>
        </w:trPr>
        <w:tc>
          <w:tcPr>
            <w:tcW w:w="2250" w:type="dxa"/>
            <w:tcBorders>
              <w:top w:val="nil"/>
              <w:left w:val="nil"/>
              <w:bottom w:val="nil"/>
              <w:right w:val="nil"/>
            </w:tcBorders>
            <w:shd w:val="clear" w:color="000000" w:fill="D9D9D9"/>
            <w:noWrap/>
            <w:vAlign w:val="center"/>
            <w:hideMark/>
          </w:tcPr>
          <w:p w14:paraId="30C2B4F8" w14:textId="77777777" w:rsidR="00B572F9" w:rsidRPr="00401D64" w:rsidRDefault="00B572F9" w:rsidP="00CD16CE">
            <w:pPr>
              <w:spacing w:line="240" w:lineRule="auto"/>
              <w:rPr>
                <w:rFonts w:cs="Times New Roman"/>
                <w:color w:val="000000"/>
                <w:sz w:val="20"/>
                <w:szCs w:val="20"/>
              </w:rPr>
            </w:pPr>
            <w:r w:rsidRPr="00401D64">
              <w:rPr>
                <w:rFonts w:cs="Times New Roman"/>
                <w:color w:val="000000"/>
                <w:sz w:val="20"/>
                <w:szCs w:val="20"/>
              </w:rPr>
              <w:t>Y</w:t>
            </w:r>
            <w:r>
              <w:rPr>
                <w:rFonts w:cs="Times New Roman"/>
                <w:color w:val="000000"/>
                <w:sz w:val="20"/>
                <w:szCs w:val="20"/>
              </w:rPr>
              <w:t>ear</w:t>
            </w:r>
            <w:r w:rsidRPr="00401D64">
              <w:rPr>
                <w:rFonts w:cs="Times New Roman"/>
                <w:color w:val="000000"/>
                <w:sz w:val="20"/>
                <w:szCs w:val="20"/>
              </w:rPr>
              <w:t xml:space="preserve"> x P</w:t>
            </w:r>
            <w:r>
              <w:rPr>
                <w:rFonts w:cs="Times New Roman"/>
                <w:color w:val="000000"/>
                <w:sz w:val="20"/>
                <w:szCs w:val="20"/>
              </w:rPr>
              <w:t>eriod</w:t>
            </w:r>
          </w:p>
        </w:tc>
        <w:tc>
          <w:tcPr>
            <w:tcW w:w="900" w:type="dxa"/>
            <w:tcBorders>
              <w:top w:val="nil"/>
              <w:left w:val="nil"/>
              <w:bottom w:val="nil"/>
              <w:right w:val="nil"/>
            </w:tcBorders>
            <w:shd w:val="clear" w:color="000000" w:fill="D9D9D9"/>
            <w:noWrap/>
            <w:vAlign w:val="center"/>
            <w:hideMark/>
          </w:tcPr>
          <w:p w14:paraId="38A54B76"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11.39</w:t>
            </w:r>
          </w:p>
        </w:tc>
        <w:tc>
          <w:tcPr>
            <w:tcW w:w="780" w:type="dxa"/>
            <w:tcBorders>
              <w:top w:val="nil"/>
              <w:left w:val="nil"/>
              <w:bottom w:val="nil"/>
              <w:right w:val="nil"/>
            </w:tcBorders>
            <w:shd w:val="clear" w:color="000000" w:fill="D9D9D9"/>
            <w:noWrap/>
            <w:vAlign w:val="center"/>
            <w:hideMark/>
          </w:tcPr>
          <w:p w14:paraId="384CBEA4"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&lt;0.001</w:t>
            </w:r>
          </w:p>
        </w:tc>
        <w:tc>
          <w:tcPr>
            <w:tcW w:w="840" w:type="dxa"/>
            <w:tcBorders>
              <w:top w:val="nil"/>
              <w:left w:val="nil"/>
              <w:bottom w:val="nil"/>
              <w:right w:val="nil"/>
            </w:tcBorders>
            <w:shd w:val="clear" w:color="000000" w:fill="D9D9D9"/>
            <w:noWrap/>
            <w:vAlign w:val="center"/>
            <w:hideMark/>
          </w:tcPr>
          <w:p w14:paraId="733A6C12"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81.83</w:t>
            </w:r>
          </w:p>
        </w:tc>
        <w:tc>
          <w:tcPr>
            <w:tcW w:w="780" w:type="dxa"/>
            <w:tcBorders>
              <w:top w:val="nil"/>
              <w:left w:val="nil"/>
              <w:bottom w:val="nil"/>
              <w:right w:val="nil"/>
            </w:tcBorders>
            <w:shd w:val="clear" w:color="000000" w:fill="D9D9D9"/>
            <w:noWrap/>
            <w:vAlign w:val="center"/>
            <w:hideMark/>
          </w:tcPr>
          <w:p w14:paraId="2350EE38"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&lt;0.001</w:t>
            </w:r>
          </w:p>
        </w:tc>
        <w:tc>
          <w:tcPr>
            <w:tcW w:w="840" w:type="dxa"/>
            <w:tcBorders>
              <w:top w:val="nil"/>
              <w:left w:val="nil"/>
              <w:bottom w:val="nil"/>
              <w:right w:val="nil"/>
            </w:tcBorders>
            <w:shd w:val="clear" w:color="000000" w:fill="D9D9D9"/>
            <w:vAlign w:val="center"/>
            <w:hideMark/>
          </w:tcPr>
          <w:p w14:paraId="72CFA199"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4.01</w:t>
            </w:r>
          </w:p>
        </w:tc>
        <w:tc>
          <w:tcPr>
            <w:tcW w:w="780" w:type="dxa"/>
            <w:tcBorders>
              <w:top w:val="nil"/>
              <w:left w:val="nil"/>
              <w:bottom w:val="nil"/>
              <w:right w:val="nil"/>
            </w:tcBorders>
            <w:shd w:val="clear" w:color="000000" w:fill="D9D9D9"/>
            <w:vAlign w:val="center"/>
            <w:hideMark/>
          </w:tcPr>
          <w:p w14:paraId="227760D2"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0.026</w:t>
            </w:r>
          </w:p>
        </w:tc>
        <w:tc>
          <w:tcPr>
            <w:tcW w:w="840" w:type="dxa"/>
            <w:tcBorders>
              <w:top w:val="nil"/>
              <w:left w:val="nil"/>
              <w:bottom w:val="nil"/>
              <w:right w:val="nil"/>
            </w:tcBorders>
            <w:shd w:val="clear" w:color="000000" w:fill="D9D9D9"/>
            <w:vAlign w:val="center"/>
            <w:hideMark/>
          </w:tcPr>
          <w:p w14:paraId="58CA240A"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0.87</w:t>
            </w:r>
          </w:p>
        </w:tc>
        <w:tc>
          <w:tcPr>
            <w:tcW w:w="720" w:type="dxa"/>
            <w:tcBorders>
              <w:top w:val="nil"/>
              <w:left w:val="nil"/>
              <w:bottom w:val="nil"/>
              <w:right w:val="nil"/>
            </w:tcBorders>
            <w:shd w:val="clear" w:color="000000" w:fill="D9D9D9"/>
            <w:vAlign w:val="center"/>
            <w:hideMark/>
          </w:tcPr>
          <w:p w14:paraId="5DD585F9"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0.426</w:t>
            </w:r>
          </w:p>
        </w:tc>
        <w:tc>
          <w:tcPr>
            <w:tcW w:w="900" w:type="dxa"/>
            <w:tcBorders>
              <w:top w:val="nil"/>
              <w:left w:val="nil"/>
              <w:bottom w:val="nil"/>
              <w:right w:val="nil"/>
            </w:tcBorders>
            <w:shd w:val="clear" w:color="000000" w:fill="D9D9D9"/>
            <w:noWrap/>
            <w:vAlign w:val="center"/>
            <w:hideMark/>
          </w:tcPr>
          <w:p w14:paraId="63818256"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28.81</w:t>
            </w:r>
          </w:p>
        </w:tc>
        <w:tc>
          <w:tcPr>
            <w:tcW w:w="780" w:type="dxa"/>
            <w:tcBorders>
              <w:top w:val="nil"/>
              <w:left w:val="nil"/>
              <w:bottom w:val="nil"/>
              <w:right w:val="nil"/>
            </w:tcBorders>
            <w:shd w:val="clear" w:color="000000" w:fill="D9D9D9"/>
            <w:noWrap/>
            <w:vAlign w:val="center"/>
            <w:hideMark/>
          </w:tcPr>
          <w:p w14:paraId="7A72181F"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&lt;0.001</w:t>
            </w:r>
          </w:p>
        </w:tc>
        <w:tc>
          <w:tcPr>
            <w:tcW w:w="840" w:type="dxa"/>
            <w:tcBorders>
              <w:top w:val="nil"/>
              <w:left w:val="nil"/>
              <w:bottom w:val="nil"/>
              <w:right w:val="nil"/>
            </w:tcBorders>
            <w:shd w:val="clear" w:color="000000" w:fill="D9D9D9"/>
            <w:noWrap/>
            <w:vAlign w:val="center"/>
            <w:hideMark/>
          </w:tcPr>
          <w:p w14:paraId="06145946"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2.39</w:t>
            </w:r>
          </w:p>
        </w:tc>
        <w:tc>
          <w:tcPr>
            <w:tcW w:w="728" w:type="dxa"/>
            <w:tcBorders>
              <w:top w:val="nil"/>
              <w:left w:val="nil"/>
              <w:bottom w:val="nil"/>
              <w:right w:val="nil"/>
            </w:tcBorders>
            <w:shd w:val="clear" w:color="000000" w:fill="D9D9D9"/>
            <w:noWrap/>
            <w:vAlign w:val="center"/>
            <w:hideMark/>
          </w:tcPr>
          <w:p w14:paraId="55B17738"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0.105</w:t>
            </w:r>
          </w:p>
        </w:tc>
      </w:tr>
      <w:tr w:rsidR="00B572F9" w:rsidRPr="00401D64" w14:paraId="609B7294" w14:textId="77777777" w:rsidTr="002A59E2">
        <w:trPr>
          <w:trHeight w:val="300"/>
        </w:trPr>
        <w:tc>
          <w:tcPr>
            <w:tcW w:w="2250" w:type="dxa"/>
            <w:tcBorders>
              <w:top w:val="nil"/>
              <w:left w:val="nil"/>
              <w:bottom w:val="single" w:sz="12" w:space="0" w:color="auto"/>
              <w:right w:val="nil"/>
            </w:tcBorders>
            <w:shd w:val="clear" w:color="auto" w:fill="auto"/>
            <w:noWrap/>
            <w:vAlign w:val="center"/>
            <w:hideMark/>
          </w:tcPr>
          <w:p w14:paraId="3041E576" w14:textId="77777777" w:rsidR="00B572F9" w:rsidRPr="00401D64" w:rsidRDefault="00B572F9" w:rsidP="00CD16CE">
            <w:pPr>
              <w:spacing w:line="240" w:lineRule="auto"/>
              <w:rPr>
                <w:rFonts w:cs="Times New Roman"/>
                <w:color w:val="000000"/>
                <w:sz w:val="20"/>
                <w:szCs w:val="20"/>
              </w:rPr>
            </w:pPr>
            <w:r w:rsidRPr="00401D64">
              <w:rPr>
                <w:rFonts w:cs="Times New Roman"/>
                <w:color w:val="000000"/>
                <w:sz w:val="20"/>
                <w:szCs w:val="20"/>
              </w:rPr>
              <w:t>R</w:t>
            </w:r>
            <w:r>
              <w:rPr>
                <w:rFonts w:cs="Times New Roman"/>
                <w:color w:val="000000"/>
                <w:sz w:val="20"/>
                <w:szCs w:val="20"/>
              </w:rPr>
              <w:t>est</w:t>
            </w:r>
            <w:r w:rsidRPr="00401D64">
              <w:rPr>
                <w:rFonts w:cs="Times New Roman"/>
                <w:color w:val="000000"/>
                <w:sz w:val="20"/>
                <w:szCs w:val="20"/>
              </w:rPr>
              <w:t xml:space="preserve"> x Y</w:t>
            </w:r>
            <w:r>
              <w:rPr>
                <w:rFonts w:cs="Times New Roman"/>
                <w:color w:val="000000"/>
                <w:sz w:val="20"/>
                <w:szCs w:val="20"/>
              </w:rPr>
              <w:t>ear</w:t>
            </w:r>
            <w:r w:rsidRPr="00401D64">
              <w:rPr>
                <w:rFonts w:cs="Times New Roman"/>
                <w:color w:val="000000"/>
                <w:sz w:val="20"/>
                <w:szCs w:val="20"/>
              </w:rPr>
              <w:t xml:space="preserve"> x P</w:t>
            </w:r>
            <w:r>
              <w:rPr>
                <w:rFonts w:cs="Times New Roman"/>
                <w:color w:val="000000"/>
                <w:sz w:val="20"/>
                <w:szCs w:val="20"/>
              </w:rPr>
              <w:t>eriod</w:t>
            </w:r>
          </w:p>
        </w:tc>
        <w:tc>
          <w:tcPr>
            <w:tcW w:w="900" w:type="dxa"/>
            <w:tcBorders>
              <w:top w:val="nil"/>
              <w:left w:val="single" w:sz="12" w:space="0" w:color="FFFFFF"/>
              <w:bottom w:val="single" w:sz="12" w:space="0" w:color="auto"/>
              <w:right w:val="nil"/>
            </w:tcBorders>
            <w:shd w:val="clear" w:color="auto" w:fill="auto"/>
            <w:noWrap/>
            <w:vAlign w:val="center"/>
            <w:hideMark/>
          </w:tcPr>
          <w:p w14:paraId="6B0CB163"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1.06</w:t>
            </w:r>
          </w:p>
        </w:tc>
        <w:tc>
          <w:tcPr>
            <w:tcW w:w="780" w:type="dxa"/>
            <w:tcBorders>
              <w:top w:val="nil"/>
              <w:left w:val="nil"/>
              <w:bottom w:val="single" w:sz="12" w:space="0" w:color="auto"/>
              <w:right w:val="nil"/>
            </w:tcBorders>
            <w:shd w:val="clear" w:color="auto" w:fill="auto"/>
            <w:noWrap/>
            <w:vAlign w:val="center"/>
            <w:hideMark/>
          </w:tcPr>
          <w:p w14:paraId="60FE14C7"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0.406</w:t>
            </w:r>
          </w:p>
        </w:tc>
        <w:tc>
          <w:tcPr>
            <w:tcW w:w="840" w:type="dxa"/>
            <w:tcBorders>
              <w:top w:val="nil"/>
              <w:left w:val="nil"/>
              <w:bottom w:val="single" w:sz="12" w:space="0" w:color="auto"/>
              <w:right w:val="nil"/>
            </w:tcBorders>
            <w:shd w:val="clear" w:color="auto" w:fill="auto"/>
            <w:noWrap/>
            <w:vAlign w:val="center"/>
            <w:hideMark/>
          </w:tcPr>
          <w:p w14:paraId="0E701334"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3.05</w:t>
            </w:r>
          </w:p>
        </w:tc>
        <w:tc>
          <w:tcPr>
            <w:tcW w:w="780" w:type="dxa"/>
            <w:tcBorders>
              <w:top w:val="nil"/>
              <w:left w:val="nil"/>
              <w:bottom w:val="single" w:sz="12" w:space="0" w:color="auto"/>
              <w:right w:val="nil"/>
            </w:tcBorders>
            <w:shd w:val="clear" w:color="auto" w:fill="auto"/>
            <w:noWrap/>
            <w:vAlign w:val="center"/>
            <w:hideMark/>
          </w:tcPr>
          <w:p w14:paraId="7C9D5D7F"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0.007</w:t>
            </w:r>
          </w:p>
        </w:tc>
        <w:tc>
          <w:tcPr>
            <w:tcW w:w="840" w:type="dxa"/>
            <w:tcBorders>
              <w:top w:val="nil"/>
              <w:left w:val="nil"/>
              <w:bottom w:val="single" w:sz="12" w:space="0" w:color="auto"/>
              <w:right w:val="nil"/>
            </w:tcBorders>
            <w:shd w:val="clear" w:color="auto" w:fill="auto"/>
            <w:vAlign w:val="center"/>
            <w:hideMark/>
          </w:tcPr>
          <w:p w14:paraId="3C18C666"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0.96</w:t>
            </w:r>
          </w:p>
        </w:tc>
        <w:tc>
          <w:tcPr>
            <w:tcW w:w="780" w:type="dxa"/>
            <w:tcBorders>
              <w:top w:val="nil"/>
              <w:left w:val="nil"/>
              <w:bottom w:val="single" w:sz="12" w:space="0" w:color="auto"/>
              <w:right w:val="nil"/>
            </w:tcBorders>
            <w:shd w:val="clear" w:color="auto" w:fill="auto"/>
            <w:vAlign w:val="center"/>
            <w:hideMark/>
          </w:tcPr>
          <w:p w14:paraId="1D801B3C"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0.481</w:t>
            </w:r>
          </w:p>
        </w:tc>
        <w:tc>
          <w:tcPr>
            <w:tcW w:w="840" w:type="dxa"/>
            <w:tcBorders>
              <w:top w:val="nil"/>
              <w:left w:val="nil"/>
              <w:bottom w:val="single" w:sz="12" w:space="0" w:color="auto"/>
              <w:right w:val="nil"/>
            </w:tcBorders>
            <w:shd w:val="clear" w:color="auto" w:fill="auto"/>
            <w:vAlign w:val="center"/>
            <w:hideMark/>
          </w:tcPr>
          <w:p w14:paraId="56A1A104"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0.57</w:t>
            </w:r>
          </w:p>
        </w:tc>
        <w:tc>
          <w:tcPr>
            <w:tcW w:w="720" w:type="dxa"/>
            <w:tcBorders>
              <w:top w:val="nil"/>
              <w:left w:val="nil"/>
              <w:bottom w:val="single" w:sz="12" w:space="0" w:color="auto"/>
              <w:right w:val="nil"/>
            </w:tcBorders>
            <w:shd w:val="clear" w:color="auto" w:fill="auto"/>
            <w:vAlign w:val="center"/>
            <w:hideMark/>
          </w:tcPr>
          <w:p w14:paraId="11AAF697"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0.799</w:t>
            </w:r>
          </w:p>
        </w:tc>
        <w:tc>
          <w:tcPr>
            <w:tcW w:w="900" w:type="dxa"/>
            <w:tcBorders>
              <w:top w:val="nil"/>
              <w:left w:val="nil"/>
              <w:bottom w:val="single" w:sz="12" w:space="0" w:color="auto"/>
              <w:right w:val="nil"/>
            </w:tcBorders>
            <w:shd w:val="clear" w:color="auto" w:fill="auto"/>
            <w:noWrap/>
            <w:vAlign w:val="center"/>
            <w:hideMark/>
          </w:tcPr>
          <w:p w14:paraId="66C2B40D"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0.75</w:t>
            </w:r>
          </w:p>
        </w:tc>
        <w:tc>
          <w:tcPr>
            <w:tcW w:w="780" w:type="dxa"/>
            <w:tcBorders>
              <w:top w:val="nil"/>
              <w:left w:val="nil"/>
              <w:bottom w:val="single" w:sz="12" w:space="0" w:color="auto"/>
              <w:right w:val="nil"/>
            </w:tcBorders>
            <w:shd w:val="clear" w:color="auto" w:fill="auto"/>
            <w:noWrap/>
            <w:vAlign w:val="center"/>
            <w:hideMark/>
          </w:tcPr>
          <w:p w14:paraId="56825593"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0.646</w:t>
            </w:r>
          </w:p>
        </w:tc>
        <w:tc>
          <w:tcPr>
            <w:tcW w:w="840" w:type="dxa"/>
            <w:tcBorders>
              <w:top w:val="nil"/>
              <w:left w:val="nil"/>
              <w:bottom w:val="single" w:sz="12" w:space="0" w:color="auto"/>
              <w:right w:val="nil"/>
            </w:tcBorders>
            <w:shd w:val="clear" w:color="auto" w:fill="auto"/>
            <w:noWrap/>
            <w:vAlign w:val="center"/>
            <w:hideMark/>
          </w:tcPr>
          <w:p w14:paraId="6119D618"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1.02</w:t>
            </w:r>
          </w:p>
        </w:tc>
        <w:tc>
          <w:tcPr>
            <w:tcW w:w="728" w:type="dxa"/>
            <w:tcBorders>
              <w:top w:val="nil"/>
              <w:left w:val="nil"/>
              <w:bottom w:val="single" w:sz="12" w:space="0" w:color="auto"/>
              <w:right w:val="nil"/>
            </w:tcBorders>
            <w:shd w:val="clear" w:color="auto" w:fill="auto"/>
            <w:noWrap/>
            <w:vAlign w:val="center"/>
            <w:hideMark/>
          </w:tcPr>
          <w:p w14:paraId="373753ED"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0.438</w:t>
            </w:r>
          </w:p>
        </w:tc>
      </w:tr>
      <w:tr w:rsidR="00B572F9" w:rsidRPr="00401D64" w14:paraId="3FB444FB" w14:textId="77777777" w:rsidTr="002A59E2">
        <w:trPr>
          <w:trHeight w:val="312"/>
        </w:trPr>
        <w:tc>
          <w:tcPr>
            <w:tcW w:w="2250" w:type="dxa"/>
            <w:tcBorders>
              <w:top w:val="nil"/>
              <w:left w:val="nil"/>
              <w:bottom w:val="nil"/>
              <w:right w:val="nil"/>
            </w:tcBorders>
            <w:shd w:val="clear" w:color="auto" w:fill="auto"/>
            <w:noWrap/>
            <w:vAlign w:val="bottom"/>
            <w:hideMark/>
          </w:tcPr>
          <w:p w14:paraId="46877C8B" w14:textId="77777777" w:rsidR="00B572F9" w:rsidRPr="00401D64" w:rsidRDefault="00B572F9" w:rsidP="00CD16CE">
            <w:pPr>
              <w:spacing w:line="240" w:lineRule="auto"/>
              <w:jc w:val="right"/>
              <w:rPr>
                <w:rFonts w:cs="Times New Roman"/>
                <w:color w:val="000000"/>
                <w:sz w:val="20"/>
                <w:szCs w:val="20"/>
              </w:rPr>
            </w:pPr>
          </w:p>
        </w:tc>
        <w:tc>
          <w:tcPr>
            <w:tcW w:w="900" w:type="dxa"/>
            <w:tcBorders>
              <w:top w:val="nil"/>
              <w:left w:val="nil"/>
              <w:bottom w:val="nil"/>
              <w:right w:val="nil"/>
            </w:tcBorders>
            <w:shd w:val="clear" w:color="auto" w:fill="auto"/>
            <w:noWrap/>
            <w:vAlign w:val="bottom"/>
            <w:hideMark/>
          </w:tcPr>
          <w:p w14:paraId="56C1C619" w14:textId="77777777" w:rsidR="00B572F9" w:rsidRPr="00401D64" w:rsidRDefault="00B572F9" w:rsidP="00CD16CE">
            <w:pPr>
              <w:spacing w:line="240" w:lineRule="auto"/>
              <w:rPr>
                <w:rFonts w:cs="Times New Roman"/>
                <w:sz w:val="20"/>
                <w:szCs w:val="20"/>
              </w:rPr>
            </w:pPr>
          </w:p>
        </w:tc>
        <w:tc>
          <w:tcPr>
            <w:tcW w:w="780" w:type="dxa"/>
            <w:tcBorders>
              <w:top w:val="nil"/>
              <w:left w:val="nil"/>
              <w:bottom w:val="nil"/>
              <w:right w:val="nil"/>
            </w:tcBorders>
            <w:shd w:val="clear" w:color="auto" w:fill="auto"/>
            <w:noWrap/>
            <w:vAlign w:val="bottom"/>
            <w:hideMark/>
          </w:tcPr>
          <w:p w14:paraId="62D9929C" w14:textId="77777777" w:rsidR="00B572F9" w:rsidRPr="00401D64" w:rsidRDefault="00B572F9" w:rsidP="00CD16CE">
            <w:pPr>
              <w:spacing w:line="240" w:lineRule="auto"/>
              <w:rPr>
                <w:rFonts w:cs="Times New Roman"/>
                <w:sz w:val="20"/>
                <w:szCs w:val="20"/>
              </w:rPr>
            </w:pPr>
          </w:p>
        </w:tc>
        <w:tc>
          <w:tcPr>
            <w:tcW w:w="840" w:type="dxa"/>
            <w:tcBorders>
              <w:top w:val="nil"/>
              <w:left w:val="nil"/>
              <w:bottom w:val="nil"/>
              <w:right w:val="nil"/>
            </w:tcBorders>
            <w:shd w:val="clear" w:color="auto" w:fill="auto"/>
            <w:noWrap/>
            <w:vAlign w:val="bottom"/>
            <w:hideMark/>
          </w:tcPr>
          <w:p w14:paraId="4FDA493B" w14:textId="77777777" w:rsidR="00B572F9" w:rsidRPr="00401D64" w:rsidRDefault="00B572F9" w:rsidP="00CD16CE">
            <w:pPr>
              <w:spacing w:line="240" w:lineRule="auto"/>
              <w:rPr>
                <w:rFonts w:cs="Times New Roman"/>
                <w:sz w:val="20"/>
                <w:szCs w:val="20"/>
              </w:rPr>
            </w:pPr>
          </w:p>
        </w:tc>
        <w:tc>
          <w:tcPr>
            <w:tcW w:w="780" w:type="dxa"/>
            <w:tcBorders>
              <w:top w:val="nil"/>
              <w:left w:val="nil"/>
              <w:bottom w:val="nil"/>
              <w:right w:val="nil"/>
            </w:tcBorders>
            <w:shd w:val="clear" w:color="auto" w:fill="auto"/>
            <w:noWrap/>
            <w:vAlign w:val="bottom"/>
            <w:hideMark/>
          </w:tcPr>
          <w:p w14:paraId="04383F1E" w14:textId="77777777" w:rsidR="00B572F9" w:rsidRPr="00401D64" w:rsidRDefault="00B572F9" w:rsidP="00CD16CE">
            <w:pPr>
              <w:spacing w:line="240" w:lineRule="auto"/>
              <w:rPr>
                <w:rFonts w:cs="Times New Roman"/>
                <w:sz w:val="20"/>
                <w:szCs w:val="20"/>
              </w:rPr>
            </w:pPr>
          </w:p>
        </w:tc>
        <w:tc>
          <w:tcPr>
            <w:tcW w:w="840" w:type="dxa"/>
            <w:tcBorders>
              <w:top w:val="nil"/>
              <w:left w:val="nil"/>
              <w:bottom w:val="nil"/>
              <w:right w:val="nil"/>
            </w:tcBorders>
            <w:shd w:val="clear" w:color="auto" w:fill="auto"/>
            <w:noWrap/>
            <w:vAlign w:val="bottom"/>
            <w:hideMark/>
          </w:tcPr>
          <w:p w14:paraId="7CDA1DD6" w14:textId="77777777" w:rsidR="00B572F9" w:rsidRPr="00401D64" w:rsidRDefault="00B572F9" w:rsidP="00CD16CE">
            <w:pPr>
              <w:spacing w:line="240" w:lineRule="auto"/>
              <w:rPr>
                <w:rFonts w:cs="Times New Roman"/>
                <w:sz w:val="20"/>
                <w:szCs w:val="20"/>
              </w:rPr>
            </w:pPr>
          </w:p>
        </w:tc>
        <w:tc>
          <w:tcPr>
            <w:tcW w:w="780" w:type="dxa"/>
            <w:tcBorders>
              <w:top w:val="nil"/>
              <w:left w:val="nil"/>
              <w:bottom w:val="nil"/>
              <w:right w:val="nil"/>
            </w:tcBorders>
            <w:shd w:val="clear" w:color="auto" w:fill="auto"/>
            <w:noWrap/>
            <w:vAlign w:val="bottom"/>
            <w:hideMark/>
          </w:tcPr>
          <w:p w14:paraId="56B7A6EF" w14:textId="77777777" w:rsidR="00B572F9" w:rsidRPr="00401D64" w:rsidRDefault="00B572F9" w:rsidP="00CD16CE">
            <w:pPr>
              <w:spacing w:line="240" w:lineRule="auto"/>
              <w:rPr>
                <w:rFonts w:cs="Times New Roman"/>
                <w:sz w:val="20"/>
                <w:szCs w:val="20"/>
              </w:rPr>
            </w:pPr>
          </w:p>
        </w:tc>
        <w:tc>
          <w:tcPr>
            <w:tcW w:w="840" w:type="dxa"/>
            <w:tcBorders>
              <w:top w:val="nil"/>
              <w:left w:val="nil"/>
              <w:bottom w:val="nil"/>
              <w:right w:val="nil"/>
            </w:tcBorders>
            <w:shd w:val="clear" w:color="auto" w:fill="auto"/>
            <w:noWrap/>
            <w:vAlign w:val="bottom"/>
            <w:hideMark/>
          </w:tcPr>
          <w:p w14:paraId="5E8BF2F8" w14:textId="77777777" w:rsidR="00B572F9" w:rsidRPr="00401D64" w:rsidRDefault="00B572F9" w:rsidP="00CD16CE">
            <w:pPr>
              <w:spacing w:line="240" w:lineRule="auto"/>
              <w:rPr>
                <w:rFonts w:cs="Times New Roman"/>
                <w:sz w:val="20"/>
                <w:szCs w:val="20"/>
              </w:rPr>
            </w:pPr>
          </w:p>
        </w:tc>
        <w:tc>
          <w:tcPr>
            <w:tcW w:w="720" w:type="dxa"/>
            <w:tcBorders>
              <w:top w:val="nil"/>
              <w:left w:val="nil"/>
              <w:bottom w:val="nil"/>
              <w:right w:val="nil"/>
            </w:tcBorders>
            <w:shd w:val="clear" w:color="auto" w:fill="auto"/>
            <w:noWrap/>
            <w:vAlign w:val="bottom"/>
            <w:hideMark/>
          </w:tcPr>
          <w:p w14:paraId="39F4ED42" w14:textId="77777777" w:rsidR="00B572F9" w:rsidRPr="00401D64" w:rsidRDefault="00B572F9" w:rsidP="00CD16CE">
            <w:pPr>
              <w:spacing w:line="240" w:lineRule="auto"/>
              <w:rPr>
                <w:rFonts w:cs="Times New Roman"/>
                <w:sz w:val="20"/>
                <w:szCs w:val="20"/>
              </w:rPr>
            </w:pPr>
          </w:p>
        </w:tc>
        <w:tc>
          <w:tcPr>
            <w:tcW w:w="900" w:type="dxa"/>
            <w:tcBorders>
              <w:top w:val="nil"/>
              <w:left w:val="nil"/>
              <w:bottom w:val="nil"/>
              <w:right w:val="nil"/>
            </w:tcBorders>
            <w:shd w:val="clear" w:color="auto" w:fill="auto"/>
            <w:noWrap/>
            <w:vAlign w:val="bottom"/>
            <w:hideMark/>
          </w:tcPr>
          <w:p w14:paraId="043EDCAA" w14:textId="77777777" w:rsidR="00B572F9" w:rsidRPr="00401D64" w:rsidRDefault="00B572F9" w:rsidP="00CD16CE">
            <w:pPr>
              <w:spacing w:line="240" w:lineRule="auto"/>
              <w:rPr>
                <w:rFonts w:cs="Times New Roman"/>
                <w:sz w:val="20"/>
                <w:szCs w:val="20"/>
              </w:rPr>
            </w:pPr>
          </w:p>
        </w:tc>
        <w:tc>
          <w:tcPr>
            <w:tcW w:w="780" w:type="dxa"/>
            <w:tcBorders>
              <w:top w:val="nil"/>
              <w:left w:val="nil"/>
              <w:bottom w:val="nil"/>
              <w:right w:val="nil"/>
            </w:tcBorders>
            <w:shd w:val="clear" w:color="auto" w:fill="auto"/>
            <w:noWrap/>
            <w:vAlign w:val="bottom"/>
            <w:hideMark/>
          </w:tcPr>
          <w:p w14:paraId="7AA41782" w14:textId="77777777" w:rsidR="00B572F9" w:rsidRPr="00401D64" w:rsidRDefault="00B572F9" w:rsidP="00CD16CE">
            <w:pPr>
              <w:spacing w:line="240" w:lineRule="auto"/>
              <w:rPr>
                <w:rFonts w:cs="Times New Roman"/>
                <w:sz w:val="20"/>
                <w:szCs w:val="20"/>
              </w:rPr>
            </w:pPr>
          </w:p>
        </w:tc>
        <w:tc>
          <w:tcPr>
            <w:tcW w:w="840" w:type="dxa"/>
            <w:tcBorders>
              <w:top w:val="nil"/>
              <w:left w:val="nil"/>
              <w:bottom w:val="nil"/>
              <w:right w:val="nil"/>
            </w:tcBorders>
            <w:shd w:val="clear" w:color="auto" w:fill="auto"/>
            <w:noWrap/>
            <w:vAlign w:val="bottom"/>
            <w:hideMark/>
          </w:tcPr>
          <w:p w14:paraId="0426C772" w14:textId="77777777" w:rsidR="00B572F9" w:rsidRPr="00401D64" w:rsidRDefault="00B572F9" w:rsidP="00CD16CE">
            <w:pPr>
              <w:spacing w:line="240" w:lineRule="auto"/>
              <w:rPr>
                <w:rFonts w:cs="Times New Roman"/>
                <w:sz w:val="20"/>
                <w:szCs w:val="20"/>
              </w:rPr>
            </w:pPr>
          </w:p>
        </w:tc>
        <w:tc>
          <w:tcPr>
            <w:tcW w:w="728" w:type="dxa"/>
            <w:tcBorders>
              <w:top w:val="nil"/>
              <w:left w:val="nil"/>
              <w:bottom w:val="nil"/>
              <w:right w:val="nil"/>
            </w:tcBorders>
            <w:shd w:val="clear" w:color="auto" w:fill="auto"/>
            <w:noWrap/>
            <w:vAlign w:val="bottom"/>
            <w:hideMark/>
          </w:tcPr>
          <w:p w14:paraId="5EBE2592" w14:textId="77777777" w:rsidR="00B572F9" w:rsidRPr="00401D64" w:rsidRDefault="00B572F9" w:rsidP="00CD16CE">
            <w:pPr>
              <w:spacing w:line="240" w:lineRule="auto"/>
              <w:rPr>
                <w:rFonts w:cs="Times New Roman"/>
                <w:sz w:val="20"/>
                <w:szCs w:val="20"/>
              </w:rPr>
            </w:pPr>
          </w:p>
        </w:tc>
      </w:tr>
      <w:tr w:rsidR="00B572F9" w:rsidRPr="00401D64" w14:paraId="580C317B" w14:textId="77777777" w:rsidTr="002A59E2">
        <w:trPr>
          <w:trHeight w:val="312"/>
        </w:trPr>
        <w:tc>
          <w:tcPr>
            <w:tcW w:w="2250" w:type="dxa"/>
            <w:tcBorders>
              <w:top w:val="single" w:sz="12" w:space="0" w:color="auto"/>
              <w:left w:val="nil"/>
              <w:bottom w:val="nil"/>
              <w:right w:val="single" w:sz="36" w:space="0" w:color="FFFFFF" w:themeColor="background1"/>
            </w:tcBorders>
            <w:shd w:val="clear" w:color="auto" w:fill="auto"/>
            <w:noWrap/>
            <w:vAlign w:val="bottom"/>
            <w:hideMark/>
          </w:tcPr>
          <w:p w14:paraId="01C71D17" w14:textId="77777777" w:rsidR="00B572F9" w:rsidRPr="00401D64" w:rsidRDefault="00B572F9" w:rsidP="00CD16CE">
            <w:pPr>
              <w:spacing w:line="240" w:lineRule="auto"/>
              <w:rPr>
                <w:rFonts w:cs="Times New Roman"/>
                <w:color w:val="000000"/>
                <w:sz w:val="20"/>
                <w:szCs w:val="20"/>
              </w:rPr>
            </w:pPr>
            <w:r w:rsidRPr="00401D64">
              <w:rPr>
                <w:rFonts w:cs="Times New Roman"/>
                <w:color w:val="000000"/>
                <w:sz w:val="20"/>
                <w:szCs w:val="20"/>
              </w:rPr>
              <w:t> </w:t>
            </w:r>
          </w:p>
        </w:tc>
        <w:tc>
          <w:tcPr>
            <w:tcW w:w="168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4EB3AEE8"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OXEY</w:t>
            </w:r>
          </w:p>
        </w:tc>
        <w:tc>
          <w:tcPr>
            <w:tcW w:w="162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hideMark/>
          </w:tcPr>
          <w:p w14:paraId="5E49D2EC"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PCON</w:t>
            </w:r>
          </w:p>
        </w:tc>
        <w:tc>
          <w:tcPr>
            <w:tcW w:w="162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hideMark/>
          </w:tcPr>
          <w:p w14:paraId="512D9401"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PLAC</w:t>
            </w:r>
          </w:p>
        </w:tc>
        <w:tc>
          <w:tcPr>
            <w:tcW w:w="156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hideMark/>
          </w:tcPr>
          <w:p w14:paraId="5C93D642"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PPCL</w:t>
            </w:r>
          </w:p>
        </w:tc>
        <w:tc>
          <w:tcPr>
            <w:tcW w:w="168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hideMark/>
          </w:tcPr>
          <w:p w14:paraId="2E8F9165"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PPEA</w:t>
            </w:r>
          </w:p>
        </w:tc>
        <w:tc>
          <w:tcPr>
            <w:tcW w:w="1568" w:type="dxa"/>
            <w:gridSpan w:val="2"/>
            <w:tcBorders>
              <w:top w:val="single" w:sz="12" w:space="0" w:color="auto"/>
              <w:left w:val="single" w:sz="36" w:space="0" w:color="FFFFFF" w:themeColor="background1"/>
              <w:bottom w:val="single" w:sz="12" w:space="0" w:color="auto"/>
              <w:right w:val="single" w:sz="12" w:space="0" w:color="FFFFFF"/>
            </w:tcBorders>
            <w:shd w:val="clear" w:color="auto" w:fill="auto"/>
            <w:vAlign w:val="center"/>
            <w:hideMark/>
          </w:tcPr>
          <w:p w14:paraId="54C9AD5A"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UPRT</w:t>
            </w:r>
          </w:p>
        </w:tc>
      </w:tr>
      <w:tr w:rsidR="00B572F9" w:rsidRPr="00401D64" w14:paraId="4F261955" w14:textId="77777777" w:rsidTr="002A59E2">
        <w:trPr>
          <w:trHeight w:val="312"/>
        </w:trPr>
        <w:tc>
          <w:tcPr>
            <w:tcW w:w="2250" w:type="dxa"/>
            <w:tcBorders>
              <w:top w:val="nil"/>
              <w:left w:val="nil"/>
              <w:bottom w:val="single" w:sz="12" w:space="0" w:color="auto"/>
              <w:right w:val="single" w:sz="36" w:space="0" w:color="FFFFFF" w:themeColor="background1"/>
            </w:tcBorders>
            <w:shd w:val="clear" w:color="auto" w:fill="auto"/>
            <w:noWrap/>
            <w:vAlign w:val="center"/>
            <w:hideMark/>
          </w:tcPr>
          <w:p w14:paraId="66D32914" w14:textId="77777777" w:rsidR="00B572F9" w:rsidRPr="00401D64" w:rsidRDefault="00B572F9" w:rsidP="00CD16CE">
            <w:pPr>
              <w:spacing w:line="240" w:lineRule="auto"/>
              <w:rPr>
                <w:rFonts w:cs="Times New Roman"/>
                <w:color w:val="000000"/>
                <w:sz w:val="20"/>
                <w:szCs w:val="20"/>
              </w:rPr>
            </w:pPr>
            <w:r w:rsidRPr="00401D64">
              <w:rPr>
                <w:rFonts w:cs="Times New Roman"/>
                <w:color w:val="000000"/>
                <w:sz w:val="20"/>
                <w:szCs w:val="20"/>
              </w:rPr>
              <w:t>Effect</w:t>
            </w:r>
          </w:p>
        </w:tc>
        <w:tc>
          <w:tcPr>
            <w:tcW w:w="90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4DDBC599"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F</w:t>
            </w:r>
            <w:r w:rsidRPr="00401D64">
              <w:rPr>
                <w:rFonts w:cs="Times New Roman"/>
                <w:color w:val="000000"/>
                <w:sz w:val="20"/>
                <w:szCs w:val="20"/>
              </w:rPr>
              <w:t xml:space="preserve"> value</w:t>
            </w:r>
          </w:p>
        </w:tc>
        <w:tc>
          <w:tcPr>
            <w:tcW w:w="78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0338568D"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P</w:t>
            </w:r>
            <w:r w:rsidRPr="00401D64">
              <w:rPr>
                <w:rFonts w:cs="Times New Roman"/>
                <w:color w:val="000000"/>
                <w:sz w:val="20"/>
                <w:szCs w:val="20"/>
              </w:rPr>
              <w:t xml:space="preserve"> &gt; </w:t>
            </w:r>
            <w:r w:rsidRPr="00401D64">
              <w:rPr>
                <w:rFonts w:cs="Times New Roman"/>
                <w:i/>
                <w:iCs/>
                <w:color w:val="000000"/>
                <w:sz w:val="20"/>
                <w:szCs w:val="20"/>
              </w:rPr>
              <w:t>F</w:t>
            </w:r>
          </w:p>
        </w:tc>
        <w:tc>
          <w:tcPr>
            <w:tcW w:w="84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235D1C24"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F</w:t>
            </w:r>
            <w:r w:rsidRPr="00401D64">
              <w:rPr>
                <w:rFonts w:cs="Times New Roman"/>
                <w:color w:val="000000"/>
                <w:sz w:val="20"/>
                <w:szCs w:val="20"/>
              </w:rPr>
              <w:t xml:space="preserve"> value</w:t>
            </w:r>
          </w:p>
        </w:tc>
        <w:tc>
          <w:tcPr>
            <w:tcW w:w="78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460D5E68"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P</w:t>
            </w:r>
            <w:r w:rsidRPr="00401D64">
              <w:rPr>
                <w:rFonts w:cs="Times New Roman"/>
                <w:color w:val="000000"/>
                <w:sz w:val="20"/>
                <w:szCs w:val="20"/>
              </w:rPr>
              <w:t xml:space="preserve"> &gt; </w:t>
            </w:r>
            <w:r w:rsidRPr="00401D64">
              <w:rPr>
                <w:rFonts w:cs="Times New Roman"/>
                <w:i/>
                <w:iCs/>
                <w:color w:val="000000"/>
                <w:sz w:val="20"/>
                <w:szCs w:val="20"/>
              </w:rPr>
              <w:t>F</w:t>
            </w:r>
          </w:p>
        </w:tc>
        <w:tc>
          <w:tcPr>
            <w:tcW w:w="84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09EB97A6"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F</w:t>
            </w:r>
            <w:r w:rsidRPr="00401D64">
              <w:rPr>
                <w:rFonts w:cs="Times New Roman"/>
                <w:color w:val="000000"/>
                <w:sz w:val="20"/>
                <w:szCs w:val="20"/>
              </w:rPr>
              <w:t xml:space="preserve"> value</w:t>
            </w:r>
          </w:p>
        </w:tc>
        <w:tc>
          <w:tcPr>
            <w:tcW w:w="78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2E2562F1"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P</w:t>
            </w:r>
            <w:r w:rsidRPr="00401D64">
              <w:rPr>
                <w:rFonts w:cs="Times New Roman"/>
                <w:color w:val="000000"/>
                <w:sz w:val="20"/>
                <w:szCs w:val="20"/>
              </w:rPr>
              <w:t xml:space="preserve"> &gt; </w:t>
            </w:r>
            <w:r w:rsidRPr="00401D64">
              <w:rPr>
                <w:rFonts w:cs="Times New Roman"/>
                <w:i/>
                <w:iCs/>
                <w:color w:val="000000"/>
                <w:sz w:val="20"/>
                <w:szCs w:val="20"/>
              </w:rPr>
              <w:t>F</w:t>
            </w:r>
          </w:p>
        </w:tc>
        <w:tc>
          <w:tcPr>
            <w:tcW w:w="84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6B5194C2"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F</w:t>
            </w:r>
            <w:r w:rsidRPr="00401D64">
              <w:rPr>
                <w:rFonts w:cs="Times New Roman"/>
                <w:color w:val="000000"/>
                <w:sz w:val="20"/>
                <w:szCs w:val="20"/>
              </w:rPr>
              <w:t xml:space="preserve"> value</w:t>
            </w:r>
          </w:p>
        </w:tc>
        <w:tc>
          <w:tcPr>
            <w:tcW w:w="72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33C4D52E"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P</w:t>
            </w:r>
            <w:r w:rsidRPr="00401D64">
              <w:rPr>
                <w:rFonts w:cs="Times New Roman"/>
                <w:color w:val="000000"/>
                <w:sz w:val="20"/>
                <w:szCs w:val="20"/>
              </w:rPr>
              <w:t xml:space="preserve"> &gt; </w:t>
            </w:r>
            <w:r w:rsidRPr="00401D64">
              <w:rPr>
                <w:rFonts w:cs="Times New Roman"/>
                <w:i/>
                <w:iCs/>
                <w:color w:val="000000"/>
                <w:sz w:val="20"/>
                <w:szCs w:val="20"/>
              </w:rPr>
              <w:t>F</w:t>
            </w:r>
          </w:p>
        </w:tc>
        <w:tc>
          <w:tcPr>
            <w:tcW w:w="90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2133258C"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F</w:t>
            </w:r>
            <w:r w:rsidRPr="00401D64">
              <w:rPr>
                <w:rFonts w:cs="Times New Roman"/>
                <w:color w:val="000000"/>
                <w:sz w:val="20"/>
                <w:szCs w:val="20"/>
              </w:rPr>
              <w:t xml:space="preserve"> value</w:t>
            </w:r>
          </w:p>
        </w:tc>
        <w:tc>
          <w:tcPr>
            <w:tcW w:w="78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42342B8C"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P</w:t>
            </w:r>
            <w:r w:rsidRPr="00401D64">
              <w:rPr>
                <w:rFonts w:cs="Times New Roman"/>
                <w:color w:val="000000"/>
                <w:sz w:val="20"/>
                <w:szCs w:val="20"/>
              </w:rPr>
              <w:t xml:space="preserve"> &gt; </w:t>
            </w:r>
            <w:r w:rsidRPr="00401D64">
              <w:rPr>
                <w:rFonts w:cs="Times New Roman"/>
                <w:i/>
                <w:iCs/>
                <w:color w:val="000000"/>
                <w:sz w:val="20"/>
                <w:szCs w:val="20"/>
              </w:rPr>
              <w:t>F</w:t>
            </w:r>
          </w:p>
        </w:tc>
        <w:tc>
          <w:tcPr>
            <w:tcW w:w="84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667782D5"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F</w:t>
            </w:r>
            <w:r w:rsidRPr="00401D64">
              <w:rPr>
                <w:rFonts w:cs="Times New Roman"/>
                <w:color w:val="000000"/>
                <w:sz w:val="20"/>
                <w:szCs w:val="20"/>
              </w:rPr>
              <w:t xml:space="preserve"> value</w:t>
            </w:r>
          </w:p>
        </w:tc>
        <w:tc>
          <w:tcPr>
            <w:tcW w:w="728" w:type="dxa"/>
            <w:tcBorders>
              <w:top w:val="nil"/>
              <w:left w:val="single" w:sz="36" w:space="0" w:color="FFFFFF" w:themeColor="background1"/>
              <w:bottom w:val="single" w:sz="12" w:space="0" w:color="auto"/>
              <w:right w:val="single" w:sz="12" w:space="0" w:color="FFFFFF"/>
            </w:tcBorders>
            <w:shd w:val="clear" w:color="auto" w:fill="auto"/>
            <w:vAlign w:val="center"/>
            <w:hideMark/>
          </w:tcPr>
          <w:p w14:paraId="11E31194" w14:textId="77777777" w:rsidR="00B572F9" w:rsidRPr="00401D64" w:rsidRDefault="00B572F9" w:rsidP="00CD16CE">
            <w:pPr>
              <w:spacing w:line="240" w:lineRule="auto"/>
              <w:jc w:val="center"/>
              <w:rPr>
                <w:rFonts w:cs="Times New Roman"/>
                <w:i/>
                <w:iCs/>
                <w:color w:val="000000"/>
                <w:sz w:val="20"/>
                <w:szCs w:val="20"/>
              </w:rPr>
            </w:pPr>
            <w:r w:rsidRPr="00401D64">
              <w:rPr>
                <w:rFonts w:cs="Times New Roman"/>
                <w:i/>
                <w:iCs/>
                <w:color w:val="000000"/>
                <w:sz w:val="20"/>
                <w:szCs w:val="20"/>
              </w:rPr>
              <w:t>P</w:t>
            </w:r>
            <w:r w:rsidRPr="00401D64">
              <w:rPr>
                <w:rFonts w:cs="Times New Roman"/>
                <w:color w:val="000000"/>
                <w:sz w:val="20"/>
                <w:szCs w:val="20"/>
              </w:rPr>
              <w:t xml:space="preserve"> &gt; </w:t>
            </w:r>
            <w:r w:rsidRPr="00401D64">
              <w:rPr>
                <w:rFonts w:cs="Times New Roman"/>
                <w:i/>
                <w:iCs/>
                <w:color w:val="000000"/>
                <w:sz w:val="20"/>
                <w:szCs w:val="20"/>
              </w:rPr>
              <w:t>F</w:t>
            </w:r>
          </w:p>
        </w:tc>
      </w:tr>
      <w:tr w:rsidR="00B572F9" w:rsidRPr="00401D64" w14:paraId="23FE3585" w14:textId="77777777" w:rsidTr="002A59E2">
        <w:trPr>
          <w:trHeight w:val="324"/>
        </w:trPr>
        <w:tc>
          <w:tcPr>
            <w:tcW w:w="2250" w:type="dxa"/>
            <w:tcBorders>
              <w:top w:val="nil"/>
              <w:left w:val="nil"/>
              <w:bottom w:val="nil"/>
              <w:right w:val="single" w:sz="36" w:space="0" w:color="FFFFFF" w:themeColor="background1"/>
            </w:tcBorders>
            <w:shd w:val="clear" w:color="auto" w:fill="auto"/>
            <w:noWrap/>
            <w:vAlign w:val="center"/>
            <w:hideMark/>
          </w:tcPr>
          <w:p w14:paraId="03A69F0F" w14:textId="77777777" w:rsidR="00B572F9" w:rsidRPr="00401D64" w:rsidRDefault="00B572F9" w:rsidP="00CD16CE">
            <w:pPr>
              <w:spacing w:line="240" w:lineRule="auto"/>
              <w:rPr>
                <w:rFonts w:cs="Times New Roman"/>
                <w:color w:val="000000"/>
                <w:sz w:val="20"/>
                <w:szCs w:val="20"/>
              </w:rPr>
            </w:pPr>
            <w:r w:rsidRPr="00401D64">
              <w:rPr>
                <w:rFonts w:cs="Times New Roman"/>
                <w:color w:val="000000"/>
                <w:sz w:val="20"/>
                <w:szCs w:val="20"/>
              </w:rPr>
              <w:t>R</w:t>
            </w:r>
            <w:r>
              <w:rPr>
                <w:rFonts w:cs="Times New Roman"/>
                <w:color w:val="000000"/>
                <w:sz w:val="20"/>
                <w:szCs w:val="20"/>
              </w:rPr>
              <w:t>est</w:t>
            </w:r>
            <w:r w:rsidRPr="00401D64">
              <w:rPr>
                <w:rFonts w:cs="Times New Roman"/>
                <w:color w:val="000000"/>
                <w:sz w:val="20"/>
                <w:szCs w:val="20"/>
                <w:vertAlign w:val="superscript"/>
              </w:rPr>
              <w:t>‡</w:t>
            </w:r>
          </w:p>
        </w:tc>
        <w:tc>
          <w:tcPr>
            <w:tcW w:w="900" w:type="dxa"/>
            <w:tcBorders>
              <w:top w:val="nil"/>
              <w:left w:val="single" w:sz="36" w:space="0" w:color="FFFFFF" w:themeColor="background1"/>
              <w:bottom w:val="nil"/>
              <w:right w:val="single" w:sz="36" w:space="0" w:color="FFFFFF" w:themeColor="background1"/>
            </w:tcBorders>
            <w:shd w:val="clear" w:color="auto" w:fill="auto"/>
            <w:noWrap/>
            <w:vAlign w:val="center"/>
            <w:hideMark/>
          </w:tcPr>
          <w:p w14:paraId="2A30B960"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0.38</w:t>
            </w:r>
          </w:p>
        </w:tc>
        <w:tc>
          <w:tcPr>
            <w:tcW w:w="780" w:type="dxa"/>
            <w:tcBorders>
              <w:top w:val="nil"/>
              <w:left w:val="single" w:sz="36" w:space="0" w:color="FFFFFF" w:themeColor="background1"/>
              <w:bottom w:val="nil"/>
              <w:right w:val="single" w:sz="36" w:space="0" w:color="FFFFFF" w:themeColor="background1"/>
            </w:tcBorders>
            <w:shd w:val="clear" w:color="auto" w:fill="auto"/>
            <w:noWrap/>
            <w:vAlign w:val="center"/>
            <w:hideMark/>
          </w:tcPr>
          <w:p w14:paraId="2A4450D2"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0.823</w:t>
            </w:r>
          </w:p>
        </w:tc>
        <w:tc>
          <w:tcPr>
            <w:tcW w:w="84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19DD63EE"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1.59</w:t>
            </w:r>
          </w:p>
        </w:tc>
        <w:tc>
          <w:tcPr>
            <w:tcW w:w="78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5D4F5A8E"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0.201</w:t>
            </w:r>
          </w:p>
        </w:tc>
        <w:tc>
          <w:tcPr>
            <w:tcW w:w="84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4851E329"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1.76</w:t>
            </w:r>
          </w:p>
        </w:tc>
        <w:tc>
          <w:tcPr>
            <w:tcW w:w="78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0884731D"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0.162</w:t>
            </w:r>
          </w:p>
        </w:tc>
        <w:tc>
          <w:tcPr>
            <w:tcW w:w="84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5C40E37E"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w:t>
            </w:r>
          </w:p>
        </w:tc>
        <w:tc>
          <w:tcPr>
            <w:tcW w:w="72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40644F4F" w14:textId="77777777" w:rsidR="00B572F9" w:rsidRPr="00401D64" w:rsidRDefault="00B572F9" w:rsidP="00CD16CE">
            <w:pPr>
              <w:spacing w:line="240" w:lineRule="auto"/>
              <w:jc w:val="center"/>
              <w:rPr>
                <w:rFonts w:cs="Times New Roman"/>
                <w:b/>
                <w:bCs/>
                <w:color w:val="000000"/>
                <w:sz w:val="20"/>
                <w:szCs w:val="20"/>
              </w:rPr>
            </w:pPr>
            <w:r w:rsidRPr="00401D64">
              <w:rPr>
                <w:rFonts w:cs="Times New Roman"/>
                <w:b/>
                <w:bCs/>
                <w:color w:val="000000"/>
                <w:sz w:val="20"/>
                <w:szCs w:val="20"/>
              </w:rPr>
              <w:t>-</w:t>
            </w:r>
          </w:p>
        </w:tc>
        <w:tc>
          <w:tcPr>
            <w:tcW w:w="90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6343712C"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2.48</w:t>
            </w:r>
          </w:p>
        </w:tc>
        <w:tc>
          <w:tcPr>
            <w:tcW w:w="78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2D599F45"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0.059</w:t>
            </w:r>
          </w:p>
        </w:tc>
        <w:tc>
          <w:tcPr>
            <w:tcW w:w="84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623FDE53"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1.94</w:t>
            </w:r>
          </w:p>
        </w:tc>
        <w:tc>
          <w:tcPr>
            <w:tcW w:w="728" w:type="dxa"/>
            <w:tcBorders>
              <w:top w:val="nil"/>
              <w:left w:val="single" w:sz="36" w:space="0" w:color="FFFFFF" w:themeColor="background1"/>
              <w:bottom w:val="nil"/>
              <w:right w:val="single" w:sz="12" w:space="0" w:color="FFFFFF"/>
            </w:tcBorders>
            <w:shd w:val="clear" w:color="auto" w:fill="auto"/>
            <w:vAlign w:val="center"/>
            <w:hideMark/>
          </w:tcPr>
          <w:p w14:paraId="47410233"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0.123</w:t>
            </w:r>
          </w:p>
        </w:tc>
      </w:tr>
      <w:tr w:rsidR="00B572F9" w:rsidRPr="00401D64" w14:paraId="2A9ACDB4" w14:textId="77777777" w:rsidTr="002A59E2">
        <w:trPr>
          <w:trHeight w:val="288"/>
        </w:trPr>
        <w:tc>
          <w:tcPr>
            <w:tcW w:w="2250" w:type="dxa"/>
            <w:tcBorders>
              <w:top w:val="nil"/>
              <w:left w:val="nil"/>
              <w:bottom w:val="nil"/>
              <w:right w:val="nil"/>
            </w:tcBorders>
            <w:shd w:val="clear" w:color="000000" w:fill="D9D9D9"/>
            <w:noWrap/>
            <w:vAlign w:val="center"/>
            <w:hideMark/>
          </w:tcPr>
          <w:p w14:paraId="6A5804BB" w14:textId="77777777" w:rsidR="00B572F9" w:rsidRPr="00401D64" w:rsidRDefault="00B572F9" w:rsidP="00CD16CE">
            <w:pPr>
              <w:spacing w:line="240" w:lineRule="auto"/>
              <w:rPr>
                <w:rFonts w:cs="Times New Roman"/>
                <w:color w:val="000000"/>
                <w:sz w:val="20"/>
                <w:szCs w:val="20"/>
              </w:rPr>
            </w:pPr>
            <w:r w:rsidRPr="00401D64">
              <w:rPr>
                <w:rFonts w:cs="Times New Roman"/>
                <w:color w:val="000000"/>
                <w:sz w:val="20"/>
                <w:szCs w:val="20"/>
              </w:rPr>
              <w:t>Y</w:t>
            </w:r>
            <w:r>
              <w:rPr>
                <w:rFonts w:cs="Times New Roman"/>
                <w:color w:val="000000"/>
                <w:sz w:val="20"/>
                <w:szCs w:val="20"/>
              </w:rPr>
              <w:t>ear</w:t>
            </w:r>
          </w:p>
        </w:tc>
        <w:tc>
          <w:tcPr>
            <w:tcW w:w="900" w:type="dxa"/>
            <w:tcBorders>
              <w:top w:val="nil"/>
              <w:left w:val="nil"/>
              <w:bottom w:val="nil"/>
              <w:right w:val="nil"/>
            </w:tcBorders>
            <w:shd w:val="clear" w:color="000000" w:fill="D9D9D9"/>
            <w:noWrap/>
            <w:vAlign w:val="center"/>
            <w:hideMark/>
          </w:tcPr>
          <w:p w14:paraId="4DBA7CD5"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5.92</w:t>
            </w:r>
          </w:p>
        </w:tc>
        <w:tc>
          <w:tcPr>
            <w:tcW w:w="780" w:type="dxa"/>
            <w:tcBorders>
              <w:top w:val="nil"/>
              <w:left w:val="nil"/>
              <w:bottom w:val="nil"/>
              <w:right w:val="nil"/>
            </w:tcBorders>
            <w:shd w:val="clear" w:color="000000" w:fill="D9D9D9"/>
            <w:noWrap/>
            <w:vAlign w:val="center"/>
            <w:hideMark/>
          </w:tcPr>
          <w:p w14:paraId="0653DDBC"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0.043</w:t>
            </w:r>
          </w:p>
        </w:tc>
        <w:tc>
          <w:tcPr>
            <w:tcW w:w="840" w:type="dxa"/>
            <w:tcBorders>
              <w:top w:val="nil"/>
              <w:left w:val="nil"/>
              <w:bottom w:val="nil"/>
              <w:right w:val="nil"/>
            </w:tcBorders>
            <w:shd w:val="clear" w:color="000000" w:fill="D9D9D9"/>
            <w:vAlign w:val="center"/>
            <w:hideMark/>
          </w:tcPr>
          <w:p w14:paraId="5A6E2D6B"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14.36</w:t>
            </w:r>
          </w:p>
        </w:tc>
        <w:tc>
          <w:tcPr>
            <w:tcW w:w="780" w:type="dxa"/>
            <w:tcBorders>
              <w:top w:val="nil"/>
              <w:left w:val="nil"/>
              <w:bottom w:val="nil"/>
              <w:right w:val="nil"/>
            </w:tcBorders>
            <w:shd w:val="clear" w:color="000000" w:fill="D9D9D9"/>
            <w:vAlign w:val="center"/>
            <w:hideMark/>
          </w:tcPr>
          <w:p w14:paraId="4FD13D95"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0.007</w:t>
            </w:r>
          </w:p>
        </w:tc>
        <w:tc>
          <w:tcPr>
            <w:tcW w:w="840" w:type="dxa"/>
            <w:tcBorders>
              <w:top w:val="nil"/>
              <w:left w:val="nil"/>
              <w:bottom w:val="nil"/>
              <w:right w:val="nil"/>
            </w:tcBorders>
            <w:shd w:val="clear" w:color="000000" w:fill="D9D9D9"/>
            <w:vAlign w:val="center"/>
            <w:hideMark/>
          </w:tcPr>
          <w:p w14:paraId="2934638F"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106.46</w:t>
            </w:r>
          </w:p>
        </w:tc>
        <w:tc>
          <w:tcPr>
            <w:tcW w:w="780" w:type="dxa"/>
            <w:tcBorders>
              <w:top w:val="nil"/>
              <w:left w:val="nil"/>
              <w:bottom w:val="nil"/>
              <w:right w:val="nil"/>
            </w:tcBorders>
            <w:shd w:val="clear" w:color="000000" w:fill="D9D9D9"/>
            <w:vAlign w:val="center"/>
            <w:hideMark/>
          </w:tcPr>
          <w:p w14:paraId="59DC240A"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&lt;0.001</w:t>
            </w:r>
          </w:p>
        </w:tc>
        <w:tc>
          <w:tcPr>
            <w:tcW w:w="840" w:type="dxa"/>
            <w:tcBorders>
              <w:top w:val="nil"/>
              <w:left w:val="nil"/>
              <w:bottom w:val="nil"/>
              <w:right w:val="nil"/>
            </w:tcBorders>
            <w:shd w:val="clear" w:color="000000" w:fill="D9D9D9"/>
            <w:vAlign w:val="center"/>
            <w:hideMark/>
          </w:tcPr>
          <w:p w14:paraId="6D5F6B39"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w:t>
            </w:r>
          </w:p>
        </w:tc>
        <w:tc>
          <w:tcPr>
            <w:tcW w:w="720" w:type="dxa"/>
            <w:tcBorders>
              <w:top w:val="nil"/>
              <w:left w:val="nil"/>
              <w:bottom w:val="nil"/>
              <w:right w:val="nil"/>
            </w:tcBorders>
            <w:shd w:val="clear" w:color="000000" w:fill="D9D9D9"/>
            <w:vAlign w:val="center"/>
            <w:hideMark/>
          </w:tcPr>
          <w:p w14:paraId="00A15083"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w:t>
            </w:r>
          </w:p>
        </w:tc>
        <w:tc>
          <w:tcPr>
            <w:tcW w:w="900" w:type="dxa"/>
            <w:tcBorders>
              <w:top w:val="nil"/>
              <w:left w:val="nil"/>
              <w:bottom w:val="nil"/>
              <w:right w:val="nil"/>
            </w:tcBorders>
            <w:shd w:val="clear" w:color="000000" w:fill="D9D9D9"/>
            <w:vAlign w:val="center"/>
            <w:hideMark/>
          </w:tcPr>
          <w:p w14:paraId="479A6D28"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3.79</w:t>
            </w:r>
          </w:p>
        </w:tc>
        <w:tc>
          <w:tcPr>
            <w:tcW w:w="780" w:type="dxa"/>
            <w:tcBorders>
              <w:top w:val="nil"/>
              <w:left w:val="nil"/>
              <w:bottom w:val="nil"/>
              <w:right w:val="nil"/>
            </w:tcBorders>
            <w:shd w:val="clear" w:color="000000" w:fill="D9D9D9"/>
            <w:vAlign w:val="center"/>
            <w:hideMark/>
          </w:tcPr>
          <w:p w14:paraId="0A5A80E3"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0.069</w:t>
            </w:r>
          </w:p>
        </w:tc>
        <w:tc>
          <w:tcPr>
            <w:tcW w:w="840" w:type="dxa"/>
            <w:tcBorders>
              <w:top w:val="nil"/>
              <w:left w:val="nil"/>
              <w:bottom w:val="nil"/>
              <w:right w:val="nil"/>
            </w:tcBorders>
            <w:shd w:val="clear" w:color="000000" w:fill="D9D9D9"/>
            <w:vAlign w:val="center"/>
            <w:hideMark/>
          </w:tcPr>
          <w:p w14:paraId="4D0F2BE0"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1.77</w:t>
            </w:r>
          </w:p>
        </w:tc>
        <w:tc>
          <w:tcPr>
            <w:tcW w:w="728" w:type="dxa"/>
            <w:tcBorders>
              <w:top w:val="nil"/>
              <w:left w:val="nil"/>
              <w:bottom w:val="nil"/>
              <w:right w:val="nil"/>
            </w:tcBorders>
            <w:shd w:val="clear" w:color="000000" w:fill="D9D9D9"/>
            <w:vAlign w:val="center"/>
            <w:hideMark/>
          </w:tcPr>
          <w:p w14:paraId="5A131F0B"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0.180</w:t>
            </w:r>
          </w:p>
        </w:tc>
      </w:tr>
      <w:tr w:rsidR="00B572F9" w:rsidRPr="00401D64" w14:paraId="6832CAAE" w14:textId="77777777" w:rsidTr="002A59E2">
        <w:trPr>
          <w:trHeight w:val="288"/>
        </w:trPr>
        <w:tc>
          <w:tcPr>
            <w:tcW w:w="2250" w:type="dxa"/>
            <w:tcBorders>
              <w:top w:val="nil"/>
              <w:left w:val="nil"/>
              <w:bottom w:val="nil"/>
              <w:right w:val="nil"/>
            </w:tcBorders>
            <w:shd w:val="clear" w:color="auto" w:fill="auto"/>
            <w:noWrap/>
            <w:vAlign w:val="center"/>
            <w:hideMark/>
          </w:tcPr>
          <w:p w14:paraId="0FD22AAA" w14:textId="77777777" w:rsidR="00B572F9" w:rsidRPr="00401D64" w:rsidRDefault="00B572F9" w:rsidP="00CD16CE">
            <w:pPr>
              <w:spacing w:line="240" w:lineRule="auto"/>
              <w:rPr>
                <w:rFonts w:cs="Times New Roman"/>
                <w:color w:val="000000"/>
                <w:sz w:val="20"/>
                <w:szCs w:val="20"/>
              </w:rPr>
            </w:pPr>
            <w:r w:rsidRPr="00401D64">
              <w:rPr>
                <w:rFonts w:cs="Times New Roman"/>
                <w:color w:val="000000"/>
                <w:sz w:val="20"/>
                <w:szCs w:val="20"/>
              </w:rPr>
              <w:t>R</w:t>
            </w:r>
            <w:r>
              <w:rPr>
                <w:rFonts w:cs="Times New Roman"/>
                <w:color w:val="000000"/>
                <w:sz w:val="20"/>
                <w:szCs w:val="20"/>
              </w:rPr>
              <w:t>est</w:t>
            </w:r>
            <w:r w:rsidRPr="00401D64">
              <w:rPr>
                <w:rFonts w:cs="Times New Roman"/>
                <w:color w:val="000000"/>
                <w:sz w:val="20"/>
                <w:szCs w:val="20"/>
              </w:rPr>
              <w:t xml:space="preserve"> x Y</w:t>
            </w:r>
            <w:r>
              <w:rPr>
                <w:rFonts w:cs="Times New Roman"/>
                <w:color w:val="000000"/>
                <w:sz w:val="20"/>
                <w:szCs w:val="20"/>
              </w:rPr>
              <w:t>ear</w:t>
            </w:r>
          </w:p>
        </w:tc>
        <w:tc>
          <w:tcPr>
            <w:tcW w:w="900" w:type="dxa"/>
            <w:tcBorders>
              <w:top w:val="nil"/>
              <w:left w:val="nil"/>
              <w:bottom w:val="nil"/>
              <w:right w:val="nil"/>
            </w:tcBorders>
            <w:shd w:val="clear" w:color="auto" w:fill="auto"/>
            <w:noWrap/>
            <w:vAlign w:val="center"/>
            <w:hideMark/>
          </w:tcPr>
          <w:p w14:paraId="0CBB7F0C"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0.48</w:t>
            </w:r>
          </w:p>
        </w:tc>
        <w:tc>
          <w:tcPr>
            <w:tcW w:w="780" w:type="dxa"/>
            <w:tcBorders>
              <w:top w:val="nil"/>
              <w:left w:val="nil"/>
              <w:bottom w:val="nil"/>
              <w:right w:val="nil"/>
            </w:tcBorders>
            <w:shd w:val="clear" w:color="auto" w:fill="auto"/>
            <w:noWrap/>
            <w:vAlign w:val="center"/>
            <w:hideMark/>
          </w:tcPr>
          <w:p w14:paraId="1005A72F"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0.868</w:t>
            </w:r>
          </w:p>
        </w:tc>
        <w:tc>
          <w:tcPr>
            <w:tcW w:w="840" w:type="dxa"/>
            <w:tcBorders>
              <w:top w:val="nil"/>
              <w:left w:val="nil"/>
              <w:bottom w:val="nil"/>
              <w:right w:val="nil"/>
            </w:tcBorders>
            <w:shd w:val="clear" w:color="auto" w:fill="auto"/>
            <w:vAlign w:val="center"/>
            <w:hideMark/>
          </w:tcPr>
          <w:p w14:paraId="43EB75EA"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1.14</w:t>
            </w:r>
          </w:p>
        </w:tc>
        <w:tc>
          <w:tcPr>
            <w:tcW w:w="780" w:type="dxa"/>
            <w:tcBorders>
              <w:top w:val="nil"/>
              <w:left w:val="nil"/>
              <w:bottom w:val="nil"/>
              <w:right w:val="nil"/>
            </w:tcBorders>
            <w:shd w:val="clear" w:color="auto" w:fill="auto"/>
            <w:vAlign w:val="center"/>
            <w:hideMark/>
          </w:tcPr>
          <w:p w14:paraId="3B17628E"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0.351</w:t>
            </w:r>
          </w:p>
        </w:tc>
        <w:tc>
          <w:tcPr>
            <w:tcW w:w="840" w:type="dxa"/>
            <w:tcBorders>
              <w:top w:val="nil"/>
              <w:left w:val="nil"/>
              <w:bottom w:val="nil"/>
              <w:right w:val="nil"/>
            </w:tcBorders>
            <w:shd w:val="clear" w:color="auto" w:fill="auto"/>
            <w:vAlign w:val="center"/>
            <w:hideMark/>
          </w:tcPr>
          <w:p w14:paraId="0B2CC58B"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1.34</w:t>
            </w:r>
          </w:p>
        </w:tc>
        <w:tc>
          <w:tcPr>
            <w:tcW w:w="780" w:type="dxa"/>
            <w:tcBorders>
              <w:top w:val="nil"/>
              <w:left w:val="nil"/>
              <w:bottom w:val="nil"/>
              <w:right w:val="nil"/>
            </w:tcBorders>
            <w:shd w:val="clear" w:color="auto" w:fill="auto"/>
            <w:vAlign w:val="center"/>
            <w:hideMark/>
          </w:tcPr>
          <w:p w14:paraId="4FA324CF"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0.248</w:t>
            </w:r>
          </w:p>
        </w:tc>
        <w:tc>
          <w:tcPr>
            <w:tcW w:w="840" w:type="dxa"/>
            <w:tcBorders>
              <w:top w:val="nil"/>
              <w:left w:val="nil"/>
              <w:bottom w:val="nil"/>
              <w:right w:val="nil"/>
            </w:tcBorders>
            <w:shd w:val="clear" w:color="auto" w:fill="auto"/>
            <w:vAlign w:val="center"/>
            <w:hideMark/>
          </w:tcPr>
          <w:p w14:paraId="40C805B2"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w:t>
            </w:r>
          </w:p>
        </w:tc>
        <w:tc>
          <w:tcPr>
            <w:tcW w:w="720" w:type="dxa"/>
            <w:tcBorders>
              <w:top w:val="nil"/>
              <w:left w:val="nil"/>
              <w:bottom w:val="nil"/>
              <w:right w:val="nil"/>
            </w:tcBorders>
            <w:shd w:val="clear" w:color="auto" w:fill="auto"/>
            <w:vAlign w:val="center"/>
            <w:hideMark/>
          </w:tcPr>
          <w:p w14:paraId="548F581A" w14:textId="77777777" w:rsidR="00B572F9" w:rsidRPr="00401D64" w:rsidRDefault="00B572F9" w:rsidP="00CD16CE">
            <w:pPr>
              <w:spacing w:line="240" w:lineRule="auto"/>
              <w:jc w:val="center"/>
              <w:rPr>
                <w:rFonts w:cs="Times New Roman"/>
                <w:b/>
                <w:bCs/>
                <w:color w:val="000000"/>
                <w:sz w:val="20"/>
                <w:szCs w:val="20"/>
              </w:rPr>
            </w:pPr>
            <w:r w:rsidRPr="00401D64">
              <w:rPr>
                <w:rFonts w:cs="Times New Roman"/>
                <w:b/>
                <w:bCs/>
                <w:color w:val="000000"/>
                <w:sz w:val="20"/>
                <w:szCs w:val="20"/>
              </w:rPr>
              <w:t>-</w:t>
            </w:r>
          </w:p>
        </w:tc>
        <w:tc>
          <w:tcPr>
            <w:tcW w:w="900" w:type="dxa"/>
            <w:tcBorders>
              <w:top w:val="nil"/>
              <w:left w:val="nil"/>
              <w:bottom w:val="nil"/>
              <w:right w:val="nil"/>
            </w:tcBorders>
            <w:shd w:val="clear" w:color="auto" w:fill="auto"/>
            <w:vAlign w:val="center"/>
            <w:hideMark/>
          </w:tcPr>
          <w:p w14:paraId="1A33C081"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2.34</w:t>
            </w:r>
          </w:p>
        </w:tc>
        <w:tc>
          <w:tcPr>
            <w:tcW w:w="780" w:type="dxa"/>
            <w:tcBorders>
              <w:top w:val="nil"/>
              <w:left w:val="nil"/>
              <w:bottom w:val="nil"/>
              <w:right w:val="nil"/>
            </w:tcBorders>
            <w:shd w:val="clear" w:color="auto" w:fill="auto"/>
            <w:vAlign w:val="center"/>
            <w:hideMark/>
          </w:tcPr>
          <w:p w14:paraId="4E6CCD49"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0.030</w:t>
            </w:r>
          </w:p>
        </w:tc>
        <w:tc>
          <w:tcPr>
            <w:tcW w:w="840" w:type="dxa"/>
            <w:tcBorders>
              <w:top w:val="nil"/>
              <w:left w:val="single" w:sz="12" w:space="0" w:color="FFFFFF"/>
              <w:bottom w:val="nil"/>
              <w:right w:val="nil"/>
            </w:tcBorders>
            <w:shd w:val="clear" w:color="auto" w:fill="auto"/>
            <w:vAlign w:val="center"/>
            <w:hideMark/>
          </w:tcPr>
          <w:p w14:paraId="3F0C3ABE"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0.57</w:t>
            </w:r>
          </w:p>
        </w:tc>
        <w:tc>
          <w:tcPr>
            <w:tcW w:w="728" w:type="dxa"/>
            <w:tcBorders>
              <w:top w:val="nil"/>
              <w:left w:val="nil"/>
              <w:bottom w:val="nil"/>
              <w:right w:val="nil"/>
            </w:tcBorders>
            <w:shd w:val="clear" w:color="auto" w:fill="auto"/>
            <w:vAlign w:val="center"/>
            <w:hideMark/>
          </w:tcPr>
          <w:p w14:paraId="533660F7"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0.798</w:t>
            </w:r>
          </w:p>
        </w:tc>
      </w:tr>
      <w:tr w:rsidR="00B572F9" w:rsidRPr="00401D64" w14:paraId="37C8D8AC" w14:textId="77777777" w:rsidTr="002A59E2">
        <w:trPr>
          <w:trHeight w:val="288"/>
        </w:trPr>
        <w:tc>
          <w:tcPr>
            <w:tcW w:w="2250" w:type="dxa"/>
            <w:tcBorders>
              <w:top w:val="nil"/>
              <w:left w:val="nil"/>
              <w:bottom w:val="nil"/>
              <w:right w:val="nil"/>
            </w:tcBorders>
            <w:shd w:val="clear" w:color="000000" w:fill="D9D9D9"/>
            <w:noWrap/>
            <w:vAlign w:val="center"/>
            <w:hideMark/>
          </w:tcPr>
          <w:p w14:paraId="7F966513" w14:textId="77777777" w:rsidR="00B572F9" w:rsidRPr="00401D64" w:rsidRDefault="00B572F9" w:rsidP="00CD16CE">
            <w:pPr>
              <w:spacing w:line="240" w:lineRule="auto"/>
              <w:rPr>
                <w:rFonts w:cs="Times New Roman"/>
                <w:color w:val="000000"/>
                <w:sz w:val="20"/>
                <w:szCs w:val="20"/>
              </w:rPr>
            </w:pPr>
            <w:r w:rsidRPr="00401D64">
              <w:rPr>
                <w:rFonts w:cs="Times New Roman"/>
                <w:color w:val="000000"/>
                <w:sz w:val="20"/>
                <w:szCs w:val="20"/>
              </w:rPr>
              <w:t>P</w:t>
            </w:r>
            <w:r>
              <w:rPr>
                <w:rFonts w:cs="Times New Roman"/>
                <w:color w:val="000000"/>
                <w:sz w:val="20"/>
                <w:szCs w:val="20"/>
              </w:rPr>
              <w:t>eriod</w:t>
            </w:r>
          </w:p>
        </w:tc>
        <w:tc>
          <w:tcPr>
            <w:tcW w:w="900" w:type="dxa"/>
            <w:tcBorders>
              <w:top w:val="nil"/>
              <w:left w:val="nil"/>
              <w:bottom w:val="nil"/>
              <w:right w:val="nil"/>
            </w:tcBorders>
            <w:shd w:val="clear" w:color="000000" w:fill="D9D9D9"/>
            <w:noWrap/>
            <w:vAlign w:val="center"/>
            <w:hideMark/>
          </w:tcPr>
          <w:p w14:paraId="47B0915F"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8.02</w:t>
            </w:r>
          </w:p>
        </w:tc>
        <w:tc>
          <w:tcPr>
            <w:tcW w:w="780" w:type="dxa"/>
            <w:tcBorders>
              <w:top w:val="nil"/>
              <w:left w:val="nil"/>
              <w:bottom w:val="nil"/>
              <w:right w:val="nil"/>
            </w:tcBorders>
            <w:shd w:val="clear" w:color="000000" w:fill="D9D9D9"/>
            <w:noWrap/>
            <w:vAlign w:val="center"/>
            <w:hideMark/>
          </w:tcPr>
          <w:p w14:paraId="5BC5D2EF"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0.008</w:t>
            </w:r>
          </w:p>
        </w:tc>
        <w:tc>
          <w:tcPr>
            <w:tcW w:w="840" w:type="dxa"/>
            <w:tcBorders>
              <w:top w:val="nil"/>
              <w:left w:val="nil"/>
              <w:bottom w:val="nil"/>
              <w:right w:val="nil"/>
            </w:tcBorders>
            <w:shd w:val="clear" w:color="000000" w:fill="D9D9D9"/>
            <w:vAlign w:val="center"/>
            <w:hideMark/>
          </w:tcPr>
          <w:p w14:paraId="4F3A0A77"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0.06</w:t>
            </w:r>
          </w:p>
        </w:tc>
        <w:tc>
          <w:tcPr>
            <w:tcW w:w="780" w:type="dxa"/>
            <w:tcBorders>
              <w:top w:val="nil"/>
              <w:left w:val="nil"/>
              <w:bottom w:val="nil"/>
              <w:right w:val="nil"/>
            </w:tcBorders>
            <w:shd w:val="clear" w:color="000000" w:fill="D9D9D9"/>
            <w:vAlign w:val="center"/>
            <w:hideMark/>
          </w:tcPr>
          <w:p w14:paraId="00B069CD"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0.816</w:t>
            </w:r>
          </w:p>
        </w:tc>
        <w:tc>
          <w:tcPr>
            <w:tcW w:w="840" w:type="dxa"/>
            <w:tcBorders>
              <w:top w:val="nil"/>
              <w:left w:val="nil"/>
              <w:bottom w:val="nil"/>
              <w:right w:val="nil"/>
            </w:tcBorders>
            <w:shd w:val="clear" w:color="000000" w:fill="D9D9D9"/>
            <w:vAlign w:val="center"/>
            <w:hideMark/>
          </w:tcPr>
          <w:p w14:paraId="0AD78689"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232.82</w:t>
            </w:r>
          </w:p>
        </w:tc>
        <w:tc>
          <w:tcPr>
            <w:tcW w:w="780" w:type="dxa"/>
            <w:tcBorders>
              <w:top w:val="nil"/>
              <w:left w:val="nil"/>
              <w:bottom w:val="nil"/>
              <w:right w:val="nil"/>
            </w:tcBorders>
            <w:shd w:val="clear" w:color="000000" w:fill="D9D9D9"/>
            <w:vAlign w:val="center"/>
            <w:hideMark/>
          </w:tcPr>
          <w:p w14:paraId="0950FDEE"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&lt;0.001</w:t>
            </w:r>
          </w:p>
        </w:tc>
        <w:tc>
          <w:tcPr>
            <w:tcW w:w="840" w:type="dxa"/>
            <w:tcBorders>
              <w:top w:val="nil"/>
              <w:left w:val="nil"/>
              <w:bottom w:val="nil"/>
              <w:right w:val="nil"/>
            </w:tcBorders>
            <w:shd w:val="clear" w:color="000000" w:fill="D9D9D9"/>
            <w:vAlign w:val="center"/>
            <w:hideMark/>
          </w:tcPr>
          <w:p w14:paraId="032A4F5F"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w:t>
            </w:r>
          </w:p>
        </w:tc>
        <w:tc>
          <w:tcPr>
            <w:tcW w:w="720" w:type="dxa"/>
            <w:tcBorders>
              <w:top w:val="nil"/>
              <w:left w:val="nil"/>
              <w:bottom w:val="nil"/>
              <w:right w:val="nil"/>
            </w:tcBorders>
            <w:shd w:val="clear" w:color="000000" w:fill="D9D9D9"/>
            <w:vAlign w:val="center"/>
            <w:hideMark/>
          </w:tcPr>
          <w:p w14:paraId="09339850"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w:t>
            </w:r>
          </w:p>
        </w:tc>
        <w:tc>
          <w:tcPr>
            <w:tcW w:w="900" w:type="dxa"/>
            <w:tcBorders>
              <w:top w:val="nil"/>
              <w:left w:val="nil"/>
              <w:bottom w:val="nil"/>
              <w:right w:val="nil"/>
            </w:tcBorders>
            <w:shd w:val="clear" w:color="000000" w:fill="D9D9D9"/>
            <w:vAlign w:val="center"/>
            <w:hideMark/>
          </w:tcPr>
          <w:p w14:paraId="1B66F804"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0.96</w:t>
            </w:r>
          </w:p>
        </w:tc>
        <w:tc>
          <w:tcPr>
            <w:tcW w:w="780" w:type="dxa"/>
            <w:tcBorders>
              <w:top w:val="nil"/>
              <w:left w:val="nil"/>
              <w:bottom w:val="nil"/>
              <w:right w:val="nil"/>
            </w:tcBorders>
            <w:shd w:val="clear" w:color="000000" w:fill="D9D9D9"/>
            <w:vAlign w:val="center"/>
            <w:hideMark/>
          </w:tcPr>
          <w:p w14:paraId="58457417"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0.333</w:t>
            </w:r>
          </w:p>
        </w:tc>
        <w:tc>
          <w:tcPr>
            <w:tcW w:w="840" w:type="dxa"/>
            <w:tcBorders>
              <w:top w:val="nil"/>
              <w:left w:val="nil"/>
              <w:bottom w:val="nil"/>
              <w:right w:val="nil"/>
            </w:tcBorders>
            <w:shd w:val="clear" w:color="000000" w:fill="D9D9D9"/>
            <w:vAlign w:val="center"/>
            <w:hideMark/>
          </w:tcPr>
          <w:p w14:paraId="7B8389F7"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0.00</w:t>
            </w:r>
          </w:p>
        </w:tc>
        <w:tc>
          <w:tcPr>
            <w:tcW w:w="728" w:type="dxa"/>
            <w:tcBorders>
              <w:top w:val="nil"/>
              <w:left w:val="nil"/>
              <w:bottom w:val="nil"/>
              <w:right w:val="nil"/>
            </w:tcBorders>
            <w:shd w:val="clear" w:color="000000" w:fill="D9D9D9"/>
            <w:vAlign w:val="center"/>
            <w:hideMark/>
          </w:tcPr>
          <w:p w14:paraId="0050D35A"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0.966</w:t>
            </w:r>
          </w:p>
        </w:tc>
      </w:tr>
      <w:tr w:rsidR="00B572F9" w:rsidRPr="00401D64" w14:paraId="0AB12DCA" w14:textId="77777777" w:rsidTr="002A59E2">
        <w:trPr>
          <w:trHeight w:val="288"/>
        </w:trPr>
        <w:tc>
          <w:tcPr>
            <w:tcW w:w="2250" w:type="dxa"/>
            <w:tcBorders>
              <w:top w:val="nil"/>
              <w:left w:val="nil"/>
              <w:bottom w:val="nil"/>
              <w:right w:val="nil"/>
            </w:tcBorders>
            <w:shd w:val="clear" w:color="auto" w:fill="auto"/>
            <w:noWrap/>
            <w:vAlign w:val="center"/>
            <w:hideMark/>
          </w:tcPr>
          <w:p w14:paraId="2F2D0213" w14:textId="77777777" w:rsidR="00B572F9" w:rsidRPr="00401D64" w:rsidRDefault="00B572F9" w:rsidP="00CD16CE">
            <w:pPr>
              <w:spacing w:line="240" w:lineRule="auto"/>
              <w:rPr>
                <w:rFonts w:cs="Times New Roman"/>
                <w:color w:val="000000"/>
                <w:sz w:val="20"/>
                <w:szCs w:val="20"/>
              </w:rPr>
            </w:pPr>
            <w:r w:rsidRPr="00401D64">
              <w:rPr>
                <w:rFonts w:cs="Times New Roman"/>
                <w:color w:val="000000"/>
                <w:sz w:val="20"/>
                <w:szCs w:val="20"/>
              </w:rPr>
              <w:t>R</w:t>
            </w:r>
            <w:r>
              <w:rPr>
                <w:rFonts w:cs="Times New Roman"/>
                <w:color w:val="000000"/>
                <w:sz w:val="20"/>
                <w:szCs w:val="20"/>
              </w:rPr>
              <w:t>est</w:t>
            </w:r>
            <w:r w:rsidRPr="00401D64">
              <w:rPr>
                <w:rFonts w:cs="Times New Roman"/>
                <w:color w:val="000000"/>
                <w:sz w:val="20"/>
                <w:szCs w:val="20"/>
              </w:rPr>
              <w:t xml:space="preserve"> x P</w:t>
            </w:r>
            <w:r>
              <w:rPr>
                <w:rFonts w:cs="Times New Roman"/>
                <w:color w:val="000000"/>
                <w:sz w:val="20"/>
                <w:szCs w:val="20"/>
              </w:rPr>
              <w:t>eriod</w:t>
            </w:r>
          </w:p>
        </w:tc>
        <w:tc>
          <w:tcPr>
            <w:tcW w:w="900" w:type="dxa"/>
            <w:tcBorders>
              <w:top w:val="nil"/>
              <w:left w:val="nil"/>
              <w:bottom w:val="nil"/>
              <w:right w:val="nil"/>
            </w:tcBorders>
            <w:shd w:val="clear" w:color="auto" w:fill="auto"/>
            <w:noWrap/>
            <w:vAlign w:val="center"/>
            <w:hideMark/>
          </w:tcPr>
          <w:p w14:paraId="6CB54E9E"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0.24</w:t>
            </w:r>
          </w:p>
        </w:tc>
        <w:tc>
          <w:tcPr>
            <w:tcW w:w="780" w:type="dxa"/>
            <w:tcBorders>
              <w:top w:val="nil"/>
              <w:left w:val="nil"/>
              <w:bottom w:val="nil"/>
              <w:right w:val="nil"/>
            </w:tcBorders>
            <w:shd w:val="clear" w:color="auto" w:fill="auto"/>
            <w:noWrap/>
            <w:vAlign w:val="center"/>
            <w:hideMark/>
          </w:tcPr>
          <w:p w14:paraId="0295FAB0"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0.915</w:t>
            </w:r>
          </w:p>
        </w:tc>
        <w:tc>
          <w:tcPr>
            <w:tcW w:w="840" w:type="dxa"/>
            <w:tcBorders>
              <w:top w:val="nil"/>
              <w:left w:val="nil"/>
              <w:bottom w:val="nil"/>
              <w:right w:val="nil"/>
            </w:tcBorders>
            <w:shd w:val="clear" w:color="auto" w:fill="auto"/>
            <w:vAlign w:val="center"/>
            <w:hideMark/>
          </w:tcPr>
          <w:p w14:paraId="4EBEEC02"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1.39</w:t>
            </w:r>
          </w:p>
        </w:tc>
        <w:tc>
          <w:tcPr>
            <w:tcW w:w="780" w:type="dxa"/>
            <w:tcBorders>
              <w:top w:val="nil"/>
              <w:left w:val="nil"/>
              <w:bottom w:val="nil"/>
              <w:right w:val="nil"/>
            </w:tcBorders>
            <w:shd w:val="clear" w:color="auto" w:fill="auto"/>
            <w:vAlign w:val="center"/>
            <w:hideMark/>
          </w:tcPr>
          <w:p w14:paraId="0D70D9CE"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0.260</w:t>
            </w:r>
          </w:p>
        </w:tc>
        <w:tc>
          <w:tcPr>
            <w:tcW w:w="840" w:type="dxa"/>
            <w:tcBorders>
              <w:top w:val="nil"/>
              <w:left w:val="nil"/>
              <w:bottom w:val="nil"/>
              <w:right w:val="nil"/>
            </w:tcBorders>
            <w:shd w:val="clear" w:color="auto" w:fill="auto"/>
            <w:vAlign w:val="center"/>
            <w:hideMark/>
          </w:tcPr>
          <w:p w14:paraId="3D606C7B"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1.69</w:t>
            </w:r>
          </w:p>
        </w:tc>
        <w:tc>
          <w:tcPr>
            <w:tcW w:w="780" w:type="dxa"/>
            <w:tcBorders>
              <w:top w:val="nil"/>
              <w:left w:val="nil"/>
              <w:bottom w:val="nil"/>
              <w:right w:val="nil"/>
            </w:tcBorders>
            <w:shd w:val="clear" w:color="auto" w:fill="auto"/>
            <w:vAlign w:val="center"/>
            <w:hideMark/>
          </w:tcPr>
          <w:p w14:paraId="372E90D0"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0.179</w:t>
            </w:r>
          </w:p>
        </w:tc>
        <w:tc>
          <w:tcPr>
            <w:tcW w:w="840" w:type="dxa"/>
            <w:tcBorders>
              <w:top w:val="nil"/>
              <w:left w:val="nil"/>
              <w:bottom w:val="nil"/>
              <w:right w:val="nil"/>
            </w:tcBorders>
            <w:shd w:val="clear" w:color="auto" w:fill="auto"/>
            <w:vAlign w:val="center"/>
            <w:hideMark/>
          </w:tcPr>
          <w:p w14:paraId="10764525"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w:t>
            </w:r>
          </w:p>
        </w:tc>
        <w:tc>
          <w:tcPr>
            <w:tcW w:w="720" w:type="dxa"/>
            <w:tcBorders>
              <w:top w:val="nil"/>
              <w:left w:val="nil"/>
              <w:bottom w:val="nil"/>
              <w:right w:val="nil"/>
            </w:tcBorders>
            <w:shd w:val="clear" w:color="auto" w:fill="auto"/>
            <w:vAlign w:val="center"/>
            <w:hideMark/>
          </w:tcPr>
          <w:p w14:paraId="24475E28"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w:t>
            </w:r>
          </w:p>
        </w:tc>
        <w:tc>
          <w:tcPr>
            <w:tcW w:w="900" w:type="dxa"/>
            <w:tcBorders>
              <w:top w:val="nil"/>
              <w:left w:val="nil"/>
              <w:bottom w:val="nil"/>
              <w:right w:val="nil"/>
            </w:tcBorders>
            <w:shd w:val="clear" w:color="auto" w:fill="auto"/>
            <w:vAlign w:val="center"/>
            <w:hideMark/>
          </w:tcPr>
          <w:p w14:paraId="60F3E378"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0.57</w:t>
            </w:r>
          </w:p>
        </w:tc>
        <w:tc>
          <w:tcPr>
            <w:tcW w:w="780" w:type="dxa"/>
            <w:tcBorders>
              <w:top w:val="nil"/>
              <w:left w:val="nil"/>
              <w:bottom w:val="nil"/>
              <w:right w:val="nil"/>
            </w:tcBorders>
            <w:shd w:val="clear" w:color="auto" w:fill="auto"/>
            <w:vAlign w:val="center"/>
            <w:hideMark/>
          </w:tcPr>
          <w:p w14:paraId="076A629E"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0.683</w:t>
            </w:r>
          </w:p>
        </w:tc>
        <w:tc>
          <w:tcPr>
            <w:tcW w:w="840" w:type="dxa"/>
            <w:tcBorders>
              <w:top w:val="nil"/>
              <w:left w:val="single" w:sz="12" w:space="0" w:color="FFFFFF"/>
              <w:bottom w:val="nil"/>
              <w:right w:val="nil"/>
            </w:tcBorders>
            <w:shd w:val="clear" w:color="auto" w:fill="auto"/>
            <w:vAlign w:val="center"/>
            <w:hideMark/>
          </w:tcPr>
          <w:p w14:paraId="1755E9B8"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0.19</w:t>
            </w:r>
          </w:p>
        </w:tc>
        <w:tc>
          <w:tcPr>
            <w:tcW w:w="728" w:type="dxa"/>
            <w:tcBorders>
              <w:top w:val="nil"/>
              <w:left w:val="nil"/>
              <w:bottom w:val="nil"/>
              <w:right w:val="nil"/>
            </w:tcBorders>
            <w:shd w:val="clear" w:color="auto" w:fill="auto"/>
            <w:vAlign w:val="center"/>
            <w:hideMark/>
          </w:tcPr>
          <w:p w14:paraId="55F3F2A9"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0.941</w:t>
            </w:r>
          </w:p>
        </w:tc>
      </w:tr>
      <w:tr w:rsidR="00B572F9" w:rsidRPr="00401D64" w14:paraId="40557F63" w14:textId="77777777" w:rsidTr="002A59E2">
        <w:trPr>
          <w:trHeight w:val="288"/>
        </w:trPr>
        <w:tc>
          <w:tcPr>
            <w:tcW w:w="2250" w:type="dxa"/>
            <w:tcBorders>
              <w:top w:val="nil"/>
              <w:left w:val="nil"/>
              <w:bottom w:val="nil"/>
              <w:right w:val="nil"/>
            </w:tcBorders>
            <w:shd w:val="clear" w:color="000000" w:fill="D9D9D9"/>
            <w:noWrap/>
            <w:vAlign w:val="center"/>
            <w:hideMark/>
          </w:tcPr>
          <w:p w14:paraId="4A36638B" w14:textId="77777777" w:rsidR="00B572F9" w:rsidRPr="00401D64" w:rsidRDefault="00B572F9" w:rsidP="00CD16CE">
            <w:pPr>
              <w:spacing w:line="240" w:lineRule="auto"/>
              <w:rPr>
                <w:rFonts w:cs="Times New Roman"/>
                <w:color w:val="000000"/>
                <w:sz w:val="20"/>
                <w:szCs w:val="20"/>
              </w:rPr>
            </w:pPr>
            <w:r w:rsidRPr="00401D64">
              <w:rPr>
                <w:rFonts w:cs="Times New Roman"/>
                <w:color w:val="000000"/>
                <w:sz w:val="20"/>
                <w:szCs w:val="20"/>
              </w:rPr>
              <w:t>Y</w:t>
            </w:r>
            <w:r>
              <w:rPr>
                <w:rFonts w:cs="Times New Roman"/>
                <w:color w:val="000000"/>
                <w:sz w:val="20"/>
                <w:szCs w:val="20"/>
              </w:rPr>
              <w:t>ear</w:t>
            </w:r>
            <w:r w:rsidRPr="00401D64">
              <w:rPr>
                <w:rFonts w:cs="Times New Roman"/>
                <w:color w:val="000000"/>
                <w:sz w:val="20"/>
                <w:szCs w:val="20"/>
              </w:rPr>
              <w:t xml:space="preserve"> x P</w:t>
            </w:r>
            <w:r>
              <w:rPr>
                <w:rFonts w:cs="Times New Roman"/>
                <w:color w:val="000000"/>
                <w:sz w:val="20"/>
                <w:szCs w:val="20"/>
              </w:rPr>
              <w:t>eriod</w:t>
            </w:r>
          </w:p>
        </w:tc>
        <w:tc>
          <w:tcPr>
            <w:tcW w:w="900" w:type="dxa"/>
            <w:tcBorders>
              <w:top w:val="nil"/>
              <w:left w:val="nil"/>
              <w:bottom w:val="nil"/>
              <w:right w:val="nil"/>
            </w:tcBorders>
            <w:shd w:val="clear" w:color="000000" w:fill="D9D9D9"/>
            <w:noWrap/>
            <w:vAlign w:val="center"/>
            <w:hideMark/>
          </w:tcPr>
          <w:p w14:paraId="23959813"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6.76</w:t>
            </w:r>
          </w:p>
        </w:tc>
        <w:tc>
          <w:tcPr>
            <w:tcW w:w="780" w:type="dxa"/>
            <w:tcBorders>
              <w:top w:val="nil"/>
              <w:left w:val="nil"/>
              <w:bottom w:val="nil"/>
              <w:right w:val="nil"/>
            </w:tcBorders>
            <w:shd w:val="clear" w:color="000000" w:fill="D9D9D9"/>
            <w:noWrap/>
            <w:vAlign w:val="center"/>
            <w:hideMark/>
          </w:tcPr>
          <w:p w14:paraId="3CF7DCCE"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0.003</w:t>
            </w:r>
          </w:p>
        </w:tc>
        <w:tc>
          <w:tcPr>
            <w:tcW w:w="840" w:type="dxa"/>
            <w:tcBorders>
              <w:top w:val="nil"/>
              <w:left w:val="nil"/>
              <w:bottom w:val="nil"/>
              <w:right w:val="nil"/>
            </w:tcBorders>
            <w:shd w:val="clear" w:color="000000" w:fill="D9D9D9"/>
            <w:vAlign w:val="center"/>
            <w:hideMark/>
          </w:tcPr>
          <w:p w14:paraId="0BDEA4C1"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2.71</w:t>
            </w:r>
          </w:p>
        </w:tc>
        <w:tc>
          <w:tcPr>
            <w:tcW w:w="780" w:type="dxa"/>
            <w:tcBorders>
              <w:top w:val="nil"/>
              <w:left w:val="nil"/>
              <w:bottom w:val="nil"/>
              <w:right w:val="nil"/>
            </w:tcBorders>
            <w:shd w:val="clear" w:color="000000" w:fill="D9D9D9"/>
            <w:vAlign w:val="center"/>
            <w:hideMark/>
          </w:tcPr>
          <w:p w14:paraId="77633263"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0.076</w:t>
            </w:r>
          </w:p>
        </w:tc>
        <w:tc>
          <w:tcPr>
            <w:tcW w:w="840" w:type="dxa"/>
            <w:tcBorders>
              <w:top w:val="nil"/>
              <w:left w:val="nil"/>
              <w:bottom w:val="nil"/>
              <w:right w:val="nil"/>
            </w:tcBorders>
            <w:shd w:val="clear" w:color="000000" w:fill="D9D9D9"/>
            <w:vAlign w:val="center"/>
            <w:hideMark/>
          </w:tcPr>
          <w:p w14:paraId="3390FB99"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142.46</w:t>
            </w:r>
          </w:p>
        </w:tc>
        <w:tc>
          <w:tcPr>
            <w:tcW w:w="780" w:type="dxa"/>
            <w:tcBorders>
              <w:top w:val="nil"/>
              <w:left w:val="nil"/>
              <w:bottom w:val="nil"/>
              <w:right w:val="nil"/>
            </w:tcBorders>
            <w:shd w:val="clear" w:color="000000" w:fill="D9D9D9"/>
            <w:vAlign w:val="center"/>
            <w:hideMark/>
          </w:tcPr>
          <w:p w14:paraId="5C10EB55"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&lt;0.001</w:t>
            </w:r>
          </w:p>
        </w:tc>
        <w:tc>
          <w:tcPr>
            <w:tcW w:w="840" w:type="dxa"/>
            <w:tcBorders>
              <w:top w:val="nil"/>
              <w:left w:val="nil"/>
              <w:bottom w:val="nil"/>
              <w:right w:val="nil"/>
            </w:tcBorders>
            <w:shd w:val="clear" w:color="000000" w:fill="D9D9D9"/>
            <w:vAlign w:val="center"/>
            <w:hideMark/>
          </w:tcPr>
          <w:p w14:paraId="1020F20D"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w:t>
            </w:r>
          </w:p>
        </w:tc>
        <w:tc>
          <w:tcPr>
            <w:tcW w:w="720" w:type="dxa"/>
            <w:tcBorders>
              <w:top w:val="nil"/>
              <w:left w:val="nil"/>
              <w:bottom w:val="nil"/>
              <w:right w:val="nil"/>
            </w:tcBorders>
            <w:shd w:val="clear" w:color="000000" w:fill="D9D9D9"/>
            <w:vAlign w:val="center"/>
            <w:hideMark/>
          </w:tcPr>
          <w:p w14:paraId="5AF28BDA" w14:textId="77777777" w:rsidR="00B572F9" w:rsidRPr="00401D64" w:rsidRDefault="00B572F9" w:rsidP="00CD16CE">
            <w:pPr>
              <w:spacing w:line="240" w:lineRule="auto"/>
              <w:jc w:val="center"/>
              <w:rPr>
                <w:rFonts w:cs="Times New Roman"/>
                <w:b/>
                <w:bCs/>
                <w:color w:val="000000"/>
                <w:sz w:val="20"/>
                <w:szCs w:val="20"/>
              </w:rPr>
            </w:pPr>
            <w:r w:rsidRPr="00401D64">
              <w:rPr>
                <w:rFonts w:cs="Times New Roman"/>
                <w:b/>
                <w:bCs/>
                <w:color w:val="000000"/>
                <w:sz w:val="20"/>
                <w:szCs w:val="20"/>
              </w:rPr>
              <w:t>-</w:t>
            </w:r>
          </w:p>
        </w:tc>
        <w:tc>
          <w:tcPr>
            <w:tcW w:w="900" w:type="dxa"/>
            <w:tcBorders>
              <w:top w:val="nil"/>
              <w:left w:val="nil"/>
              <w:bottom w:val="nil"/>
              <w:right w:val="nil"/>
            </w:tcBorders>
            <w:shd w:val="clear" w:color="000000" w:fill="D9D9D9"/>
            <w:vAlign w:val="center"/>
            <w:hideMark/>
          </w:tcPr>
          <w:p w14:paraId="25EC0DB4"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3.52</w:t>
            </w:r>
          </w:p>
        </w:tc>
        <w:tc>
          <w:tcPr>
            <w:tcW w:w="780" w:type="dxa"/>
            <w:tcBorders>
              <w:top w:val="nil"/>
              <w:left w:val="nil"/>
              <w:bottom w:val="nil"/>
              <w:right w:val="nil"/>
            </w:tcBorders>
            <w:shd w:val="clear" w:color="000000" w:fill="D9D9D9"/>
            <w:vAlign w:val="center"/>
            <w:hideMark/>
          </w:tcPr>
          <w:p w14:paraId="6BD66E42" w14:textId="77777777" w:rsidR="00B572F9" w:rsidRPr="00401D64" w:rsidRDefault="00B572F9" w:rsidP="00CD16CE">
            <w:pPr>
              <w:spacing w:line="240" w:lineRule="auto"/>
              <w:jc w:val="right"/>
              <w:rPr>
                <w:rFonts w:cs="Times New Roman"/>
                <w:b/>
                <w:bCs/>
                <w:color w:val="000000"/>
                <w:sz w:val="20"/>
                <w:szCs w:val="20"/>
              </w:rPr>
            </w:pPr>
            <w:r w:rsidRPr="00401D64">
              <w:rPr>
                <w:rFonts w:cs="Times New Roman"/>
                <w:b/>
                <w:bCs/>
                <w:color w:val="000000"/>
                <w:sz w:val="20"/>
                <w:szCs w:val="20"/>
              </w:rPr>
              <w:t>0.036</w:t>
            </w:r>
          </w:p>
        </w:tc>
        <w:tc>
          <w:tcPr>
            <w:tcW w:w="840" w:type="dxa"/>
            <w:tcBorders>
              <w:top w:val="nil"/>
              <w:left w:val="nil"/>
              <w:bottom w:val="nil"/>
              <w:right w:val="nil"/>
            </w:tcBorders>
            <w:shd w:val="clear" w:color="000000" w:fill="D9D9D9"/>
            <w:vAlign w:val="center"/>
            <w:hideMark/>
          </w:tcPr>
          <w:p w14:paraId="1C50B8D7"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0.05</w:t>
            </w:r>
          </w:p>
        </w:tc>
        <w:tc>
          <w:tcPr>
            <w:tcW w:w="728" w:type="dxa"/>
            <w:tcBorders>
              <w:top w:val="nil"/>
              <w:left w:val="nil"/>
              <w:bottom w:val="nil"/>
              <w:right w:val="nil"/>
            </w:tcBorders>
            <w:shd w:val="clear" w:color="000000" w:fill="D9D9D9"/>
            <w:vAlign w:val="center"/>
            <w:hideMark/>
          </w:tcPr>
          <w:p w14:paraId="5FCFC215"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0.948</w:t>
            </w:r>
          </w:p>
        </w:tc>
      </w:tr>
      <w:tr w:rsidR="00B572F9" w:rsidRPr="00401D64" w14:paraId="5C67A5C7" w14:textId="77777777" w:rsidTr="002A59E2">
        <w:trPr>
          <w:trHeight w:val="300"/>
        </w:trPr>
        <w:tc>
          <w:tcPr>
            <w:tcW w:w="2250" w:type="dxa"/>
            <w:tcBorders>
              <w:top w:val="nil"/>
              <w:left w:val="nil"/>
              <w:bottom w:val="single" w:sz="12" w:space="0" w:color="auto"/>
              <w:right w:val="nil"/>
            </w:tcBorders>
            <w:shd w:val="clear" w:color="auto" w:fill="auto"/>
            <w:noWrap/>
            <w:vAlign w:val="center"/>
            <w:hideMark/>
          </w:tcPr>
          <w:p w14:paraId="2B04D80D" w14:textId="77777777" w:rsidR="00B572F9" w:rsidRPr="00401D64" w:rsidRDefault="00B572F9" w:rsidP="00CD16CE">
            <w:pPr>
              <w:spacing w:line="240" w:lineRule="auto"/>
              <w:rPr>
                <w:rFonts w:cs="Times New Roman"/>
                <w:color w:val="000000"/>
                <w:sz w:val="20"/>
                <w:szCs w:val="20"/>
              </w:rPr>
            </w:pPr>
            <w:r w:rsidRPr="00401D64">
              <w:rPr>
                <w:rFonts w:cs="Times New Roman"/>
                <w:color w:val="000000"/>
                <w:sz w:val="20"/>
                <w:szCs w:val="20"/>
              </w:rPr>
              <w:t>R</w:t>
            </w:r>
            <w:r>
              <w:rPr>
                <w:rFonts w:cs="Times New Roman"/>
                <w:color w:val="000000"/>
                <w:sz w:val="20"/>
                <w:szCs w:val="20"/>
              </w:rPr>
              <w:t>est</w:t>
            </w:r>
            <w:r w:rsidRPr="00401D64">
              <w:rPr>
                <w:rFonts w:cs="Times New Roman"/>
                <w:color w:val="000000"/>
                <w:sz w:val="20"/>
                <w:szCs w:val="20"/>
              </w:rPr>
              <w:t xml:space="preserve"> x Y</w:t>
            </w:r>
            <w:r>
              <w:rPr>
                <w:rFonts w:cs="Times New Roman"/>
                <w:color w:val="000000"/>
                <w:sz w:val="20"/>
                <w:szCs w:val="20"/>
              </w:rPr>
              <w:t>ear</w:t>
            </w:r>
            <w:r w:rsidRPr="00401D64">
              <w:rPr>
                <w:rFonts w:cs="Times New Roman"/>
                <w:color w:val="000000"/>
                <w:sz w:val="20"/>
                <w:szCs w:val="20"/>
              </w:rPr>
              <w:t xml:space="preserve"> x P</w:t>
            </w:r>
            <w:r>
              <w:rPr>
                <w:rFonts w:cs="Times New Roman"/>
                <w:color w:val="000000"/>
                <w:sz w:val="20"/>
                <w:szCs w:val="20"/>
              </w:rPr>
              <w:t>eriod</w:t>
            </w:r>
          </w:p>
        </w:tc>
        <w:tc>
          <w:tcPr>
            <w:tcW w:w="900" w:type="dxa"/>
            <w:tcBorders>
              <w:top w:val="nil"/>
              <w:left w:val="nil"/>
              <w:bottom w:val="single" w:sz="12" w:space="0" w:color="auto"/>
              <w:right w:val="nil"/>
            </w:tcBorders>
            <w:shd w:val="clear" w:color="auto" w:fill="auto"/>
            <w:noWrap/>
            <w:vAlign w:val="center"/>
            <w:hideMark/>
          </w:tcPr>
          <w:p w14:paraId="73E13174"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0.58</w:t>
            </w:r>
          </w:p>
        </w:tc>
        <w:tc>
          <w:tcPr>
            <w:tcW w:w="780" w:type="dxa"/>
            <w:tcBorders>
              <w:top w:val="nil"/>
              <w:left w:val="nil"/>
              <w:bottom w:val="single" w:sz="12" w:space="0" w:color="auto"/>
              <w:right w:val="nil"/>
            </w:tcBorders>
            <w:shd w:val="clear" w:color="auto" w:fill="auto"/>
            <w:noWrap/>
            <w:vAlign w:val="center"/>
            <w:hideMark/>
          </w:tcPr>
          <w:p w14:paraId="21331AF7"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0.791</w:t>
            </w:r>
          </w:p>
        </w:tc>
        <w:tc>
          <w:tcPr>
            <w:tcW w:w="840" w:type="dxa"/>
            <w:tcBorders>
              <w:top w:val="nil"/>
              <w:left w:val="nil"/>
              <w:bottom w:val="single" w:sz="12" w:space="0" w:color="auto"/>
              <w:right w:val="nil"/>
            </w:tcBorders>
            <w:shd w:val="clear" w:color="auto" w:fill="auto"/>
            <w:vAlign w:val="center"/>
            <w:hideMark/>
          </w:tcPr>
          <w:p w14:paraId="409E37E4"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1.72</w:t>
            </w:r>
          </w:p>
        </w:tc>
        <w:tc>
          <w:tcPr>
            <w:tcW w:w="780" w:type="dxa"/>
            <w:tcBorders>
              <w:top w:val="nil"/>
              <w:left w:val="nil"/>
              <w:bottom w:val="single" w:sz="12" w:space="0" w:color="auto"/>
              <w:right w:val="nil"/>
            </w:tcBorders>
            <w:shd w:val="clear" w:color="auto" w:fill="auto"/>
            <w:vAlign w:val="center"/>
            <w:hideMark/>
          </w:tcPr>
          <w:p w14:paraId="10D30E95"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0.114</w:t>
            </w:r>
          </w:p>
        </w:tc>
        <w:tc>
          <w:tcPr>
            <w:tcW w:w="840" w:type="dxa"/>
            <w:tcBorders>
              <w:top w:val="nil"/>
              <w:left w:val="nil"/>
              <w:bottom w:val="single" w:sz="12" w:space="0" w:color="auto"/>
              <w:right w:val="nil"/>
            </w:tcBorders>
            <w:shd w:val="clear" w:color="auto" w:fill="auto"/>
            <w:vAlign w:val="center"/>
            <w:hideMark/>
          </w:tcPr>
          <w:p w14:paraId="0BE31B10"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1.35</w:t>
            </w:r>
          </w:p>
        </w:tc>
        <w:tc>
          <w:tcPr>
            <w:tcW w:w="780" w:type="dxa"/>
            <w:tcBorders>
              <w:top w:val="nil"/>
              <w:left w:val="nil"/>
              <w:bottom w:val="single" w:sz="12" w:space="0" w:color="auto"/>
              <w:right w:val="nil"/>
            </w:tcBorders>
            <w:shd w:val="clear" w:color="auto" w:fill="auto"/>
            <w:vAlign w:val="center"/>
            <w:hideMark/>
          </w:tcPr>
          <w:p w14:paraId="2291D961"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0.243</w:t>
            </w:r>
          </w:p>
        </w:tc>
        <w:tc>
          <w:tcPr>
            <w:tcW w:w="840" w:type="dxa"/>
            <w:tcBorders>
              <w:top w:val="nil"/>
              <w:left w:val="nil"/>
              <w:bottom w:val="single" w:sz="12" w:space="0" w:color="auto"/>
              <w:right w:val="nil"/>
            </w:tcBorders>
            <w:shd w:val="clear" w:color="auto" w:fill="auto"/>
            <w:vAlign w:val="center"/>
            <w:hideMark/>
          </w:tcPr>
          <w:p w14:paraId="504D2A4A"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w:t>
            </w:r>
          </w:p>
        </w:tc>
        <w:tc>
          <w:tcPr>
            <w:tcW w:w="720" w:type="dxa"/>
            <w:tcBorders>
              <w:top w:val="nil"/>
              <w:left w:val="nil"/>
              <w:bottom w:val="single" w:sz="12" w:space="0" w:color="auto"/>
              <w:right w:val="nil"/>
            </w:tcBorders>
            <w:shd w:val="clear" w:color="auto" w:fill="auto"/>
            <w:vAlign w:val="center"/>
            <w:hideMark/>
          </w:tcPr>
          <w:p w14:paraId="3B5C40BC" w14:textId="77777777" w:rsidR="00B572F9" w:rsidRPr="00401D64" w:rsidRDefault="00B572F9" w:rsidP="00CD16CE">
            <w:pPr>
              <w:spacing w:line="240" w:lineRule="auto"/>
              <w:jc w:val="center"/>
              <w:rPr>
                <w:rFonts w:cs="Times New Roman"/>
                <w:color w:val="000000"/>
                <w:sz w:val="20"/>
                <w:szCs w:val="20"/>
              </w:rPr>
            </w:pPr>
            <w:r w:rsidRPr="00401D64">
              <w:rPr>
                <w:rFonts w:cs="Times New Roman"/>
                <w:color w:val="000000"/>
                <w:sz w:val="20"/>
                <w:szCs w:val="20"/>
              </w:rPr>
              <w:t>-</w:t>
            </w:r>
          </w:p>
        </w:tc>
        <w:tc>
          <w:tcPr>
            <w:tcW w:w="900" w:type="dxa"/>
            <w:tcBorders>
              <w:top w:val="nil"/>
              <w:left w:val="nil"/>
              <w:bottom w:val="single" w:sz="12" w:space="0" w:color="auto"/>
              <w:right w:val="nil"/>
            </w:tcBorders>
            <w:shd w:val="clear" w:color="auto" w:fill="auto"/>
            <w:vAlign w:val="center"/>
            <w:hideMark/>
          </w:tcPr>
          <w:p w14:paraId="5D2C3CB2"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0.66</w:t>
            </w:r>
          </w:p>
        </w:tc>
        <w:tc>
          <w:tcPr>
            <w:tcW w:w="780" w:type="dxa"/>
            <w:tcBorders>
              <w:top w:val="nil"/>
              <w:left w:val="nil"/>
              <w:bottom w:val="single" w:sz="12" w:space="0" w:color="auto"/>
              <w:right w:val="nil"/>
            </w:tcBorders>
            <w:shd w:val="clear" w:color="auto" w:fill="auto"/>
            <w:vAlign w:val="center"/>
            <w:hideMark/>
          </w:tcPr>
          <w:p w14:paraId="05214EB0"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0.728</w:t>
            </w:r>
          </w:p>
        </w:tc>
        <w:tc>
          <w:tcPr>
            <w:tcW w:w="840" w:type="dxa"/>
            <w:tcBorders>
              <w:top w:val="nil"/>
              <w:left w:val="single" w:sz="12" w:space="0" w:color="FFFFFF"/>
              <w:bottom w:val="single" w:sz="12" w:space="0" w:color="auto"/>
              <w:right w:val="nil"/>
            </w:tcBorders>
            <w:shd w:val="clear" w:color="auto" w:fill="auto"/>
            <w:vAlign w:val="center"/>
            <w:hideMark/>
          </w:tcPr>
          <w:p w14:paraId="69D45721"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0.31</w:t>
            </w:r>
          </w:p>
        </w:tc>
        <w:tc>
          <w:tcPr>
            <w:tcW w:w="728" w:type="dxa"/>
            <w:tcBorders>
              <w:top w:val="nil"/>
              <w:left w:val="nil"/>
              <w:bottom w:val="single" w:sz="12" w:space="0" w:color="auto"/>
              <w:right w:val="nil"/>
            </w:tcBorders>
            <w:shd w:val="clear" w:color="auto" w:fill="auto"/>
            <w:vAlign w:val="center"/>
            <w:hideMark/>
          </w:tcPr>
          <w:p w14:paraId="121F78BD" w14:textId="77777777" w:rsidR="00B572F9" w:rsidRPr="00401D64" w:rsidRDefault="00B572F9" w:rsidP="00CD16CE">
            <w:pPr>
              <w:spacing w:line="240" w:lineRule="auto"/>
              <w:jc w:val="right"/>
              <w:rPr>
                <w:rFonts w:cs="Times New Roman"/>
                <w:color w:val="000000"/>
                <w:sz w:val="20"/>
                <w:szCs w:val="20"/>
              </w:rPr>
            </w:pPr>
            <w:r w:rsidRPr="00401D64">
              <w:rPr>
                <w:rFonts w:cs="Times New Roman"/>
                <w:color w:val="000000"/>
                <w:sz w:val="20"/>
                <w:szCs w:val="20"/>
              </w:rPr>
              <w:t>0.961</w:t>
            </w:r>
          </w:p>
        </w:tc>
      </w:tr>
    </w:tbl>
    <w:p w14:paraId="0F4FA933" w14:textId="1E9469A0" w:rsidR="00B572F9" w:rsidRPr="00BC2376" w:rsidRDefault="00B572F9" w:rsidP="00B572F9">
      <w:pPr>
        <w:spacing w:line="240" w:lineRule="auto"/>
        <w:rPr>
          <w:rFonts w:eastAsia="Calibri" w:cs="Times New Roman"/>
          <w:bCs/>
        </w:rPr>
      </w:pPr>
      <w:r w:rsidRPr="00BC2376">
        <w:rPr>
          <w:rFonts w:eastAsia="Calibri" w:cs="Times New Roman"/>
          <w:bCs/>
        </w:rPr>
        <w:t>†SG = switchgrass, BESU = black-eyed susan, DITI = dixie ticktrefoil, ILB</w:t>
      </w:r>
      <w:r w:rsidR="005C4B11">
        <w:rPr>
          <w:rFonts w:eastAsia="Calibri" w:cs="Times New Roman"/>
          <w:bCs/>
        </w:rPr>
        <w:t>F</w:t>
      </w:r>
      <w:r w:rsidRPr="00BC2376">
        <w:rPr>
          <w:rFonts w:eastAsia="Calibri" w:cs="Times New Roman"/>
          <w:bCs/>
        </w:rPr>
        <w:t xml:space="preserve"> = Illinois bundleflower, LANC = lanceleaf coreopsis, MAXI = maximilian sunflower, OXEY = oxeye sunflower, PCON = purple coneflower, PLAC = plains coreopsis, PPCL = purple prairie clover, PPEA = partridge pea, UPRT = upright coneflower </w:t>
      </w:r>
    </w:p>
    <w:p w14:paraId="7E1ABE33" w14:textId="1DD4341F" w:rsidR="00B572F9" w:rsidRDefault="00B572F9" w:rsidP="00B572F9">
      <w:pPr>
        <w:pStyle w:val="Paragraphs"/>
        <w:spacing w:line="240" w:lineRule="auto"/>
        <w:ind w:firstLine="0"/>
        <w:rPr>
          <w:rFonts w:eastAsia="Calibri" w:cs="Times New Roman"/>
          <w:bCs/>
        </w:rPr>
      </w:pPr>
      <w:r w:rsidRPr="00BC2376">
        <w:rPr>
          <w:rFonts w:eastAsia="Calibri" w:cs="Times New Roman"/>
          <w:bCs/>
        </w:rPr>
        <w:t>‡</w:t>
      </w:r>
      <w:r w:rsidR="00C97F99">
        <w:rPr>
          <w:rFonts w:eastAsia="Calibri" w:cs="Times New Roman"/>
          <w:bCs/>
        </w:rPr>
        <w:t>Rest</w:t>
      </w:r>
      <w:r w:rsidRPr="00BC2376">
        <w:rPr>
          <w:rFonts w:eastAsia="Calibri" w:cs="Times New Roman"/>
          <w:bCs/>
        </w:rPr>
        <w:t xml:space="preserve"> = </w:t>
      </w:r>
      <w:r w:rsidR="00C97F99">
        <w:rPr>
          <w:rFonts w:eastAsia="Calibri" w:cs="Times New Roman"/>
          <w:bCs/>
        </w:rPr>
        <w:t>Grazing</w:t>
      </w:r>
      <w:r w:rsidRPr="00BC2376">
        <w:rPr>
          <w:rFonts w:eastAsia="Calibri" w:cs="Times New Roman"/>
          <w:bCs/>
        </w:rPr>
        <w:t xml:space="preserve"> treatment (no rest, early rest, middle rest, late rest, or no graze); Year = 2018, 2019, or 2020; </w:t>
      </w:r>
      <w:bookmarkStart w:id="192" w:name="_Hlk65632393"/>
      <w:r w:rsidRPr="00BC2376">
        <w:rPr>
          <w:rFonts w:eastAsia="Calibri" w:cs="Times New Roman"/>
          <w:bCs/>
        </w:rPr>
        <w:t xml:space="preserve">Period = </w:t>
      </w:r>
      <w:r w:rsidR="00C91ACA" w:rsidRPr="00BC2376">
        <w:rPr>
          <w:rFonts w:eastAsia="Calibri" w:cs="Times New Roman"/>
          <w:bCs/>
        </w:rPr>
        <w:t>pre-</w:t>
      </w:r>
      <w:r w:rsidR="00352189">
        <w:rPr>
          <w:rFonts w:eastAsia="Calibri" w:cs="Times New Roman"/>
          <w:bCs/>
        </w:rPr>
        <w:t xml:space="preserve"> </w:t>
      </w:r>
      <w:r w:rsidR="00C91ACA" w:rsidRPr="00BC2376">
        <w:rPr>
          <w:rFonts w:eastAsia="Calibri" w:cs="Times New Roman"/>
          <w:bCs/>
        </w:rPr>
        <w:t xml:space="preserve">(May) </w:t>
      </w:r>
      <w:r w:rsidRPr="00BC2376">
        <w:rPr>
          <w:rFonts w:eastAsia="Calibri" w:cs="Times New Roman"/>
          <w:bCs/>
        </w:rPr>
        <w:t xml:space="preserve">or </w:t>
      </w:r>
      <w:r w:rsidR="00C91ACA" w:rsidRPr="00BC2376">
        <w:rPr>
          <w:rFonts w:eastAsia="Calibri" w:cs="Times New Roman"/>
          <w:bCs/>
        </w:rPr>
        <w:t>post-</w:t>
      </w:r>
      <w:r w:rsidRPr="00BC2376">
        <w:rPr>
          <w:rFonts w:eastAsia="Calibri" w:cs="Times New Roman"/>
          <w:bCs/>
        </w:rPr>
        <w:t>grazing</w:t>
      </w:r>
      <w:r w:rsidR="00C91ACA" w:rsidRPr="00BC2376">
        <w:rPr>
          <w:rFonts w:eastAsia="Calibri" w:cs="Times New Roman"/>
          <w:bCs/>
        </w:rPr>
        <w:t xml:space="preserve"> (</w:t>
      </w:r>
      <w:r w:rsidR="000218C6">
        <w:rPr>
          <w:rFonts w:eastAsia="Calibri" w:cs="Times New Roman"/>
          <w:bCs/>
        </w:rPr>
        <w:t>late August/</w:t>
      </w:r>
      <w:r w:rsidR="000218C6" w:rsidRPr="00BC2376">
        <w:rPr>
          <w:rFonts w:eastAsia="Calibri" w:cs="Times New Roman"/>
          <w:bCs/>
        </w:rPr>
        <w:t>September</w:t>
      </w:r>
      <w:r w:rsidR="00C91ACA" w:rsidRPr="00BC2376">
        <w:rPr>
          <w:rFonts w:eastAsia="Calibri" w:cs="Times New Roman"/>
          <w:bCs/>
        </w:rPr>
        <w:t>)</w:t>
      </w:r>
      <w:bookmarkEnd w:id="192"/>
    </w:p>
    <w:bookmarkEnd w:id="190"/>
    <w:p w14:paraId="70E0583C" w14:textId="77777777" w:rsidR="0022011B" w:rsidRPr="00BC2376" w:rsidRDefault="0022011B" w:rsidP="00B572F9">
      <w:pPr>
        <w:pStyle w:val="Paragraphs"/>
        <w:spacing w:line="240" w:lineRule="auto"/>
        <w:ind w:firstLine="0"/>
        <w:rPr>
          <w:rFonts w:eastAsia="Calibri" w:cs="Times New Roman"/>
          <w:bCs/>
        </w:rPr>
      </w:pPr>
    </w:p>
    <w:p w14:paraId="1E7428E1" w14:textId="77777777" w:rsidR="00C80DFD" w:rsidRDefault="00C80DFD" w:rsidP="00B572F9">
      <w:pPr>
        <w:pStyle w:val="Paragraphs"/>
        <w:spacing w:line="240" w:lineRule="auto"/>
        <w:ind w:firstLine="0"/>
        <w:sectPr w:rsidR="00C80DFD" w:rsidSect="00B572F9">
          <w:pgSz w:w="15840" w:h="12240" w:orient="landscape" w:code="1"/>
          <w:pgMar w:top="1440" w:right="1800" w:bottom="1872" w:left="1800" w:header="720" w:footer="1440" w:gutter="0"/>
          <w:cols w:space="720"/>
          <w:noEndnote/>
          <w:docGrid w:linePitch="360"/>
        </w:sectPr>
      </w:pPr>
    </w:p>
    <w:p w14:paraId="136EF3AE" w14:textId="3CA7C735" w:rsidR="007B6DCE" w:rsidRPr="00BC2376" w:rsidRDefault="007B6DCE" w:rsidP="00A01E34">
      <w:pPr>
        <w:pStyle w:val="Tables"/>
        <w:spacing w:before="0" w:after="60"/>
        <w:rPr>
          <w:b/>
        </w:rPr>
      </w:pPr>
      <w:bookmarkStart w:id="193" w:name="_Toc72300406"/>
      <w:r w:rsidRPr="00BC2376">
        <w:lastRenderedPageBreak/>
        <w:t>Table 2.</w:t>
      </w:r>
      <w:r>
        <w:t>6</w:t>
      </w:r>
      <w:r w:rsidRPr="00BC2376">
        <w:t xml:space="preserve">.  </w:t>
      </w:r>
      <w:bookmarkStart w:id="194" w:name="_Hlk67163897"/>
      <w:r w:rsidRPr="00BC2376">
        <w:t>Black-eyed susan mean plant density (plants m</w:t>
      </w:r>
      <w:r w:rsidRPr="00BC2376">
        <w:rPr>
          <w:vertAlign w:val="superscript"/>
        </w:rPr>
        <w:t>-2</w:t>
      </w:r>
      <w:r w:rsidRPr="00BC2376">
        <w:t>) in a switchgrass pasture</w:t>
      </w:r>
      <w:r w:rsidRPr="001157ED">
        <w:t xml:space="preserve"> </w:t>
      </w:r>
      <w:r w:rsidRPr="00BC2376">
        <w:t xml:space="preserve">for native </w:t>
      </w:r>
      <w:r w:rsidR="00706798">
        <w:t xml:space="preserve">grass </w:t>
      </w:r>
      <w:r w:rsidRPr="00BC2376">
        <w:t>pasture grazing experiment, 2018-2020, University of Tennessee – Northeast Tennessee AgResearch and Education Center, Greeneville, TN.</w:t>
      </w:r>
      <w:bookmarkEnd w:id="193"/>
      <w:bookmarkEnd w:id="194"/>
    </w:p>
    <w:tbl>
      <w:tblPr>
        <w:tblW w:w="7282" w:type="dxa"/>
        <w:tblLook w:val="04A0" w:firstRow="1" w:lastRow="0" w:firstColumn="1" w:lastColumn="0" w:noHBand="0" w:noVBand="1"/>
      </w:tblPr>
      <w:tblGrid>
        <w:gridCol w:w="1620"/>
        <w:gridCol w:w="900"/>
        <w:gridCol w:w="1072"/>
        <w:gridCol w:w="840"/>
        <w:gridCol w:w="1072"/>
        <w:gridCol w:w="706"/>
        <w:gridCol w:w="1072"/>
      </w:tblGrid>
      <w:tr w:rsidR="007B6DCE" w:rsidRPr="00BC2376" w14:paraId="4E11FF4A" w14:textId="77777777" w:rsidTr="0037107A">
        <w:trPr>
          <w:trHeight w:val="312"/>
        </w:trPr>
        <w:tc>
          <w:tcPr>
            <w:tcW w:w="1620" w:type="dxa"/>
            <w:tcBorders>
              <w:top w:val="single" w:sz="12" w:space="0" w:color="auto"/>
              <w:left w:val="nil"/>
              <w:bottom w:val="nil"/>
              <w:right w:val="single" w:sz="36" w:space="0" w:color="FFFFFF" w:themeColor="background1"/>
            </w:tcBorders>
            <w:shd w:val="clear" w:color="auto" w:fill="auto"/>
            <w:noWrap/>
            <w:vAlign w:val="bottom"/>
            <w:hideMark/>
          </w:tcPr>
          <w:p w14:paraId="2287085C" w14:textId="77777777" w:rsidR="007B6DCE" w:rsidRPr="00BC2376" w:rsidRDefault="007B6DCE" w:rsidP="00D3370F">
            <w:pPr>
              <w:spacing w:line="240" w:lineRule="auto"/>
              <w:rPr>
                <w:rFonts w:cs="Times New Roman"/>
                <w:color w:val="000000"/>
                <w:sz w:val="20"/>
                <w:szCs w:val="20"/>
              </w:rPr>
            </w:pPr>
            <w:r w:rsidRPr="00BC2376">
              <w:rPr>
                <w:rFonts w:cs="Times New Roman"/>
                <w:color w:val="000000"/>
                <w:sz w:val="20"/>
                <w:szCs w:val="20"/>
              </w:rPr>
              <w:t> </w:t>
            </w:r>
          </w:p>
        </w:tc>
        <w:tc>
          <w:tcPr>
            <w:tcW w:w="1972"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315877D1"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2018</w:t>
            </w:r>
          </w:p>
        </w:tc>
        <w:tc>
          <w:tcPr>
            <w:tcW w:w="1912"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29F96C93"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2019</w:t>
            </w:r>
          </w:p>
        </w:tc>
        <w:tc>
          <w:tcPr>
            <w:tcW w:w="1778" w:type="dxa"/>
            <w:gridSpan w:val="2"/>
            <w:tcBorders>
              <w:top w:val="single" w:sz="12" w:space="0" w:color="auto"/>
              <w:left w:val="single" w:sz="36" w:space="0" w:color="FFFFFF" w:themeColor="background1"/>
              <w:bottom w:val="single" w:sz="12" w:space="0" w:color="auto"/>
            </w:tcBorders>
            <w:shd w:val="clear" w:color="auto" w:fill="auto"/>
            <w:vAlign w:val="center"/>
            <w:hideMark/>
          </w:tcPr>
          <w:p w14:paraId="60C704DA"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2020</w:t>
            </w:r>
          </w:p>
        </w:tc>
      </w:tr>
      <w:tr w:rsidR="007B6DCE" w:rsidRPr="00BC2376" w14:paraId="3626D3D8" w14:textId="77777777" w:rsidTr="0037107A">
        <w:trPr>
          <w:trHeight w:val="312"/>
        </w:trPr>
        <w:tc>
          <w:tcPr>
            <w:tcW w:w="1620" w:type="dxa"/>
            <w:tcBorders>
              <w:top w:val="nil"/>
              <w:left w:val="nil"/>
              <w:bottom w:val="single" w:sz="12" w:space="0" w:color="auto"/>
              <w:right w:val="single" w:sz="36" w:space="0" w:color="FFFFFF" w:themeColor="background1"/>
            </w:tcBorders>
            <w:shd w:val="clear" w:color="auto" w:fill="auto"/>
            <w:noWrap/>
            <w:vAlign w:val="center"/>
            <w:hideMark/>
          </w:tcPr>
          <w:p w14:paraId="237BA52F" w14:textId="77777777" w:rsidR="007B6DCE" w:rsidRPr="00BC2376" w:rsidRDefault="007B6DCE" w:rsidP="00D3370F">
            <w:pPr>
              <w:spacing w:line="240" w:lineRule="auto"/>
              <w:rPr>
                <w:rFonts w:cs="Times New Roman"/>
                <w:color w:val="000000"/>
                <w:sz w:val="20"/>
                <w:szCs w:val="20"/>
              </w:rPr>
            </w:pPr>
            <w:r w:rsidRPr="00BC2376">
              <w:rPr>
                <w:rFonts w:cs="Times New Roman"/>
                <w:color w:val="000000"/>
                <w:sz w:val="20"/>
                <w:szCs w:val="20"/>
              </w:rPr>
              <w:t>Effect</w:t>
            </w:r>
            <w:r w:rsidRPr="00BC2376">
              <w:rPr>
                <w:rFonts w:cs="Times New Roman"/>
                <w:color w:val="000000"/>
                <w:sz w:val="20"/>
                <w:szCs w:val="20"/>
                <w:vertAlign w:val="superscript"/>
              </w:rPr>
              <w:t>†</w:t>
            </w:r>
          </w:p>
        </w:tc>
        <w:tc>
          <w:tcPr>
            <w:tcW w:w="90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597CB3BF" w14:textId="77777777" w:rsidR="007B6DCE" w:rsidRPr="00BC2376" w:rsidRDefault="007B6DCE" w:rsidP="00D3370F">
            <w:pPr>
              <w:spacing w:line="240" w:lineRule="auto"/>
              <w:jc w:val="center"/>
              <w:rPr>
                <w:rFonts w:cs="Times New Roman"/>
                <w:color w:val="000000"/>
                <w:sz w:val="20"/>
                <w:szCs w:val="20"/>
              </w:rPr>
            </w:pPr>
            <w:r>
              <w:rPr>
                <w:rFonts w:cs="Times New Roman"/>
                <w:color w:val="000000"/>
                <w:sz w:val="20"/>
                <w:szCs w:val="20"/>
              </w:rPr>
              <w:t>Pre</w:t>
            </w:r>
          </w:p>
        </w:tc>
        <w:tc>
          <w:tcPr>
            <w:tcW w:w="1072"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20087EA8" w14:textId="77777777" w:rsidR="007B6DCE" w:rsidRPr="00BC2376" w:rsidRDefault="007B6DCE" w:rsidP="00D3370F">
            <w:pPr>
              <w:spacing w:line="240" w:lineRule="auto"/>
              <w:jc w:val="center"/>
              <w:rPr>
                <w:rFonts w:cs="Times New Roman"/>
                <w:color w:val="000000"/>
                <w:sz w:val="20"/>
                <w:szCs w:val="20"/>
              </w:rPr>
            </w:pPr>
            <w:r>
              <w:rPr>
                <w:rFonts w:cs="Times New Roman"/>
                <w:color w:val="000000"/>
                <w:sz w:val="20"/>
                <w:szCs w:val="20"/>
              </w:rPr>
              <w:t>Post</w:t>
            </w:r>
          </w:p>
        </w:tc>
        <w:tc>
          <w:tcPr>
            <w:tcW w:w="84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00EFA576" w14:textId="77777777" w:rsidR="007B6DCE" w:rsidRPr="00BC2376" w:rsidRDefault="007B6DCE" w:rsidP="00D3370F">
            <w:pPr>
              <w:spacing w:line="240" w:lineRule="auto"/>
              <w:jc w:val="center"/>
              <w:rPr>
                <w:rFonts w:cs="Times New Roman"/>
                <w:color w:val="000000"/>
                <w:sz w:val="20"/>
                <w:szCs w:val="20"/>
              </w:rPr>
            </w:pPr>
            <w:r>
              <w:rPr>
                <w:rFonts w:cs="Times New Roman"/>
                <w:color w:val="000000"/>
                <w:sz w:val="20"/>
                <w:szCs w:val="20"/>
              </w:rPr>
              <w:t>Pre</w:t>
            </w:r>
          </w:p>
        </w:tc>
        <w:tc>
          <w:tcPr>
            <w:tcW w:w="1072"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04AB5CB7" w14:textId="77777777" w:rsidR="007B6DCE" w:rsidRPr="00BC2376" w:rsidRDefault="007B6DCE" w:rsidP="00D3370F">
            <w:pPr>
              <w:spacing w:line="240" w:lineRule="auto"/>
              <w:jc w:val="center"/>
              <w:rPr>
                <w:rFonts w:cs="Times New Roman"/>
                <w:color w:val="000000"/>
                <w:sz w:val="20"/>
                <w:szCs w:val="20"/>
              </w:rPr>
            </w:pPr>
            <w:r>
              <w:rPr>
                <w:rFonts w:cs="Times New Roman"/>
                <w:color w:val="000000"/>
                <w:sz w:val="20"/>
                <w:szCs w:val="20"/>
              </w:rPr>
              <w:t>Post</w:t>
            </w:r>
          </w:p>
        </w:tc>
        <w:tc>
          <w:tcPr>
            <w:tcW w:w="706"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3D10787A" w14:textId="77777777" w:rsidR="007B6DCE" w:rsidRPr="00BC2376" w:rsidRDefault="007B6DCE" w:rsidP="00D3370F">
            <w:pPr>
              <w:spacing w:line="240" w:lineRule="auto"/>
              <w:jc w:val="center"/>
              <w:rPr>
                <w:rFonts w:cs="Times New Roman"/>
                <w:color w:val="000000"/>
                <w:sz w:val="20"/>
                <w:szCs w:val="20"/>
              </w:rPr>
            </w:pPr>
            <w:r>
              <w:rPr>
                <w:rFonts w:cs="Times New Roman"/>
                <w:color w:val="000000"/>
                <w:sz w:val="20"/>
                <w:szCs w:val="20"/>
              </w:rPr>
              <w:t>Pre</w:t>
            </w:r>
          </w:p>
        </w:tc>
        <w:tc>
          <w:tcPr>
            <w:tcW w:w="1072" w:type="dxa"/>
            <w:tcBorders>
              <w:top w:val="nil"/>
              <w:left w:val="single" w:sz="36" w:space="0" w:color="FFFFFF" w:themeColor="background1"/>
              <w:bottom w:val="single" w:sz="12" w:space="0" w:color="auto"/>
            </w:tcBorders>
            <w:shd w:val="clear" w:color="auto" w:fill="auto"/>
            <w:vAlign w:val="center"/>
            <w:hideMark/>
          </w:tcPr>
          <w:p w14:paraId="3BEAB4CC" w14:textId="77777777" w:rsidR="007B6DCE" w:rsidRPr="00BC2376" w:rsidRDefault="007B6DCE" w:rsidP="00D3370F">
            <w:pPr>
              <w:spacing w:line="240" w:lineRule="auto"/>
              <w:jc w:val="center"/>
              <w:rPr>
                <w:rFonts w:cs="Times New Roman"/>
                <w:color w:val="000000"/>
                <w:sz w:val="20"/>
                <w:szCs w:val="20"/>
              </w:rPr>
            </w:pPr>
            <w:r>
              <w:rPr>
                <w:rFonts w:cs="Times New Roman"/>
                <w:color w:val="000000"/>
                <w:sz w:val="20"/>
                <w:szCs w:val="20"/>
              </w:rPr>
              <w:t>Post</w:t>
            </w:r>
          </w:p>
        </w:tc>
      </w:tr>
      <w:tr w:rsidR="00D22234" w:rsidRPr="00BC2376" w14:paraId="26441CB9" w14:textId="77777777" w:rsidTr="00A55538">
        <w:trPr>
          <w:trHeight w:val="324"/>
        </w:trPr>
        <w:tc>
          <w:tcPr>
            <w:tcW w:w="1620" w:type="dxa"/>
            <w:tcBorders>
              <w:top w:val="nil"/>
              <w:left w:val="nil"/>
              <w:bottom w:val="nil"/>
              <w:right w:val="single" w:sz="36" w:space="0" w:color="FFFFFF" w:themeColor="background1"/>
            </w:tcBorders>
            <w:shd w:val="clear" w:color="auto" w:fill="auto"/>
            <w:noWrap/>
            <w:vAlign w:val="center"/>
          </w:tcPr>
          <w:p w14:paraId="6670588F" w14:textId="77777777" w:rsidR="00D22234" w:rsidRPr="00BC2376" w:rsidRDefault="00D22234" w:rsidP="00D3370F">
            <w:pPr>
              <w:spacing w:line="240" w:lineRule="auto"/>
              <w:rPr>
                <w:rFonts w:cs="Times New Roman"/>
                <w:color w:val="000000"/>
                <w:sz w:val="20"/>
                <w:szCs w:val="20"/>
              </w:rPr>
            </w:pPr>
          </w:p>
        </w:tc>
        <w:tc>
          <w:tcPr>
            <w:tcW w:w="5662" w:type="dxa"/>
            <w:gridSpan w:val="6"/>
            <w:tcBorders>
              <w:top w:val="nil"/>
              <w:left w:val="single" w:sz="36" w:space="0" w:color="FFFFFF" w:themeColor="background1"/>
              <w:bottom w:val="nil"/>
            </w:tcBorders>
            <w:shd w:val="clear" w:color="auto" w:fill="auto"/>
            <w:noWrap/>
            <w:vAlign w:val="center"/>
          </w:tcPr>
          <w:p w14:paraId="283577DD" w14:textId="2DB36D88" w:rsidR="00D22234" w:rsidRPr="00BC2376" w:rsidRDefault="00D22234" w:rsidP="00D3370F">
            <w:pPr>
              <w:spacing w:line="240" w:lineRule="auto"/>
              <w:jc w:val="center"/>
              <w:rPr>
                <w:rFonts w:cs="Times New Roman"/>
                <w:color w:val="000000"/>
                <w:sz w:val="20"/>
                <w:szCs w:val="20"/>
              </w:rPr>
            </w:pPr>
            <w:r>
              <w:rPr>
                <w:rFonts w:cs="Times New Roman"/>
                <w:color w:val="000000"/>
                <w:sz w:val="20"/>
                <w:szCs w:val="20"/>
              </w:rPr>
              <w:t>-----------------------------------plants m</w:t>
            </w:r>
            <w:r w:rsidRPr="00D215CC">
              <w:rPr>
                <w:rFonts w:cs="Times New Roman"/>
                <w:color w:val="000000"/>
                <w:sz w:val="20"/>
                <w:szCs w:val="20"/>
                <w:vertAlign w:val="superscript"/>
              </w:rPr>
              <w:t>-2</w:t>
            </w:r>
            <w:r>
              <w:rPr>
                <w:rFonts w:cs="Times New Roman"/>
                <w:color w:val="000000"/>
                <w:sz w:val="20"/>
                <w:szCs w:val="20"/>
              </w:rPr>
              <w:t>----------------------------------</w:t>
            </w:r>
          </w:p>
        </w:tc>
      </w:tr>
      <w:tr w:rsidR="007B6DCE" w:rsidRPr="00BC2376" w14:paraId="674241BC" w14:textId="77777777" w:rsidTr="0037107A">
        <w:trPr>
          <w:trHeight w:val="324"/>
        </w:trPr>
        <w:tc>
          <w:tcPr>
            <w:tcW w:w="1620" w:type="dxa"/>
            <w:tcBorders>
              <w:top w:val="nil"/>
              <w:left w:val="nil"/>
              <w:bottom w:val="nil"/>
              <w:right w:val="single" w:sz="36" w:space="0" w:color="FFFFFF" w:themeColor="background1"/>
            </w:tcBorders>
            <w:shd w:val="clear" w:color="auto" w:fill="auto"/>
            <w:noWrap/>
            <w:vAlign w:val="center"/>
            <w:hideMark/>
          </w:tcPr>
          <w:p w14:paraId="0A99E83A" w14:textId="77777777" w:rsidR="007B6DCE" w:rsidRPr="00BC2376" w:rsidRDefault="007B6DCE" w:rsidP="00D3370F">
            <w:pPr>
              <w:spacing w:line="240" w:lineRule="auto"/>
              <w:rPr>
                <w:rFonts w:cs="Times New Roman"/>
                <w:color w:val="000000"/>
                <w:sz w:val="20"/>
                <w:szCs w:val="20"/>
              </w:rPr>
            </w:pPr>
            <w:r w:rsidRPr="00BC2376">
              <w:rPr>
                <w:rFonts w:cs="Times New Roman"/>
                <w:color w:val="000000"/>
                <w:sz w:val="20"/>
                <w:szCs w:val="20"/>
              </w:rPr>
              <w:t>No Rest</w:t>
            </w:r>
          </w:p>
        </w:tc>
        <w:tc>
          <w:tcPr>
            <w:tcW w:w="900" w:type="dxa"/>
            <w:tcBorders>
              <w:top w:val="nil"/>
              <w:left w:val="single" w:sz="36" w:space="0" w:color="FFFFFF" w:themeColor="background1"/>
              <w:bottom w:val="nil"/>
              <w:right w:val="single" w:sz="36" w:space="0" w:color="FFFFFF" w:themeColor="background1"/>
            </w:tcBorders>
            <w:shd w:val="clear" w:color="auto" w:fill="auto"/>
            <w:noWrap/>
            <w:vAlign w:val="center"/>
          </w:tcPr>
          <w:p w14:paraId="4D6EBBFB"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42.0 a*</w:t>
            </w:r>
          </w:p>
        </w:tc>
        <w:tc>
          <w:tcPr>
            <w:tcW w:w="1072" w:type="dxa"/>
            <w:tcBorders>
              <w:top w:val="nil"/>
              <w:left w:val="single" w:sz="36" w:space="0" w:color="FFFFFF" w:themeColor="background1"/>
              <w:bottom w:val="nil"/>
              <w:right w:val="single" w:sz="36" w:space="0" w:color="FFFFFF" w:themeColor="background1"/>
            </w:tcBorders>
            <w:shd w:val="clear" w:color="auto" w:fill="auto"/>
            <w:noWrap/>
            <w:vAlign w:val="center"/>
          </w:tcPr>
          <w:p w14:paraId="2C2E6DE4"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2.8 d</w:t>
            </w:r>
          </w:p>
        </w:tc>
        <w:tc>
          <w:tcPr>
            <w:tcW w:w="840" w:type="dxa"/>
            <w:tcBorders>
              <w:top w:val="nil"/>
              <w:left w:val="single" w:sz="36" w:space="0" w:color="FFFFFF" w:themeColor="background1"/>
              <w:bottom w:val="nil"/>
              <w:right w:val="single" w:sz="36" w:space="0" w:color="FFFFFF" w:themeColor="background1"/>
            </w:tcBorders>
            <w:shd w:val="clear" w:color="auto" w:fill="auto"/>
            <w:noWrap/>
            <w:vAlign w:val="center"/>
          </w:tcPr>
          <w:p w14:paraId="0C3A9847"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2.0 d</w:t>
            </w:r>
          </w:p>
        </w:tc>
        <w:tc>
          <w:tcPr>
            <w:tcW w:w="1072" w:type="dxa"/>
            <w:tcBorders>
              <w:top w:val="nil"/>
              <w:left w:val="single" w:sz="36" w:space="0" w:color="FFFFFF" w:themeColor="background1"/>
              <w:bottom w:val="nil"/>
              <w:right w:val="single" w:sz="36" w:space="0" w:color="FFFFFF" w:themeColor="background1"/>
            </w:tcBorders>
            <w:shd w:val="clear" w:color="auto" w:fill="auto"/>
            <w:noWrap/>
            <w:vAlign w:val="center"/>
          </w:tcPr>
          <w:p w14:paraId="3EF0841B"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1.0 d</w:t>
            </w:r>
          </w:p>
        </w:tc>
        <w:tc>
          <w:tcPr>
            <w:tcW w:w="706" w:type="dxa"/>
            <w:tcBorders>
              <w:top w:val="nil"/>
              <w:left w:val="single" w:sz="36" w:space="0" w:color="FFFFFF" w:themeColor="background1"/>
              <w:bottom w:val="nil"/>
              <w:right w:val="single" w:sz="36" w:space="0" w:color="FFFFFF" w:themeColor="background1"/>
            </w:tcBorders>
            <w:shd w:val="clear" w:color="auto" w:fill="auto"/>
            <w:vAlign w:val="center"/>
          </w:tcPr>
          <w:p w14:paraId="2C08CF02"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0.3 d</w:t>
            </w:r>
          </w:p>
        </w:tc>
        <w:tc>
          <w:tcPr>
            <w:tcW w:w="1072" w:type="dxa"/>
            <w:tcBorders>
              <w:top w:val="nil"/>
              <w:left w:val="single" w:sz="36" w:space="0" w:color="FFFFFF" w:themeColor="background1"/>
              <w:bottom w:val="nil"/>
            </w:tcBorders>
            <w:shd w:val="clear" w:color="auto" w:fill="auto"/>
            <w:vAlign w:val="center"/>
          </w:tcPr>
          <w:p w14:paraId="68FA5957"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1.3 d</w:t>
            </w:r>
          </w:p>
        </w:tc>
      </w:tr>
      <w:tr w:rsidR="007B6DCE" w:rsidRPr="00BC2376" w14:paraId="415805F5" w14:textId="77777777" w:rsidTr="0037107A">
        <w:trPr>
          <w:trHeight w:val="288"/>
        </w:trPr>
        <w:tc>
          <w:tcPr>
            <w:tcW w:w="1620" w:type="dxa"/>
            <w:tcBorders>
              <w:top w:val="nil"/>
              <w:left w:val="nil"/>
              <w:bottom w:val="nil"/>
              <w:right w:val="nil"/>
            </w:tcBorders>
            <w:shd w:val="clear" w:color="000000" w:fill="D9D9D9"/>
            <w:noWrap/>
            <w:vAlign w:val="center"/>
            <w:hideMark/>
          </w:tcPr>
          <w:p w14:paraId="73E0AF0C" w14:textId="77777777" w:rsidR="007B6DCE" w:rsidRPr="00BC2376" w:rsidRDefault="007B6DCE" w:rsidP="00D3370F">
            <w:pPr>
              <w:spacing w:line="240" w:lineRule="auto"/>
              <w:rPr>
                <w:rFonts w:cs="Times New Roman"/>
                <w:color w:val="000000"/>
                <w:sz w:val="20"/>
                <w:szCs w:val="20"/>
              </w:rPr>
            </w:pPr>
            <w:r w:rsidRPr="00BC2376">
              <w:rPr>
                <w:rFonts w:cs="Times New Roman"/>
                <w:color w:val="000000"/>
                <w:sz w:val="20"/>
                <w:szCs w:val="20"/>
              </w:rPr>
              <w:t>Early Rest</w:t>
            </w:r>
          </w:p>
        </w:tc>
        <w:tc>
          <w:tcPr>
            <w:tcW w:w="900" w:type="dxa"/>
            <w:tcBorders>
              <w:top w:val="nil"/>
              <w:left w:val="nil"/>
              <w:bottom w:val="nil"/>
              <w:right w:val="nil"/>
            </w:tcBorders>
            <w:shd w:val="clear" w:color="000000" w:fill="D9D9D9"/>
            <w:noWrap/>
            <w:vAlign w:val="center"/>
          </w:tcPr>
          <w:p w14:paraId="0DA852D4"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43.3 a</w:t>
            </w:r>
          </w:p>
        </w:tc>
        <w:tc>
          <w:tcPr>
            <w:tcW w:w="1072" w:type="dxa"/>
            <w:tcBorders>
              <w:top w:val="nil"/>
              <w:left w:val="nil"/>
              <w:bottom w:val="nil"/>
              <w:right w:val="nil"/>
            </w:tcBorders>
            <w:shd w:val="clear" w:color="000000" w:fill="D9D9D9"/>
            <w:noWrap/>
            <w:vAlign w:val="center"/>
          </w:tcPr>
          <w:p w14:paraId="0D7E3F0C"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1.8 d</w:t>
            </w:r>
          </w:p>
        </w:tc>
        <w:tc>
          <w:tcPr>
            <w:tcW w:w="840" w:type="dxa"/>
            <w:tcBorders>
              <w:top w:val="nil"/>
              <w:left w:val="nil"/>
              <w:bottom w:val="nil"/>
              <w:right w:val="nil"/>
            </w:tcBorders>
            <w:shd w:val="clear" w:color="000000" w:fill="D9D9D9"/>
            <w:noWrap/>
            <w:vAlign w:val="center"/>
          </w:tcPr>
          <w:p w14:paraId="3F457365"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3.5 d</w:t>
            </w:r>
          </w:p>
        </w:tc>
        <w:tc>
          <w:tcPr>
            <w:tcW w:w="1072" w:type="dxa"/>
            <w:tcBorders>
              <w:top w:val="nil"/>
              <w:left w:val="nil"/>
              <w:bottom w:val="nil"/>
              <w:right w:val="nil"/>
            </w:tcBorders>
            <w:shd w:val="clear" w:color="000000" w:fill="D9D9D9"/>
            <w:noWrap/>
            <w:vAlign w:val="center"/>
          </w:tcPr>
          <w:p w14:paraId="6668C0D5"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7.3 d</w:t>
            </w:r>
          </w:p>
        </w:tc>
        <w:tc>
          <w:tcPr>
            <w:tcW w:w="706" w:type="dxa"/>
            <w:tcBorders>
              <w:top w:val="nil"/>
              <w:left w:val="nil"/>
              <w:bottom w:val="nil"/>
              <w:right w:val="nil"/>
            </w:tcBorders>
            <w:shd w:val="clear" w:color="000000" w:fill="D9D9D9"/>
            <w:vAlign w:val="center"/>
          </w:tcPr>
          <w:p w14:paraId="5BBA8EBC"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1.1 d</w:t>
            </w:r>
          </w:p>
        </w:tc>
        <w:tc>
          <w:tcPr>
            <w:tcW w:w="1072" w:type="dxa"/>
            <w:tcBorders>
              <w:top w:val="nil"/>
              <w:left w:val="nil"/>
              <w:bottom w:val="nil"/>
              <w:right w:val="nil"/>
            </w:tcBorders>
            <w:shd w:val="clear" w:color="000000" w:fill="D9D9D9"/>
            <w:vAlign w:val="center"/>
          </w:tcPr>
          <w:p w14:paraId="1F029698"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1.9 d</w:t>
            </w:r>
          </w:p>
        </w:tc>
      </w:tr>
      <w:tr w:rsidR="007B6DCE" w:rsidRPr="00BC2376" w14:paraId="1C513E96" w14:textId="77777777" w:rsidTr="0037107A">
        <w:trPr>
          <w:trHeight w:val="288"/>
        </w:trPr>
        <w:tc>
          <w:tcPr>
            <w:tcW w:w="1620" w:type="dxa"/>
            <w:tcBorders>
              <w:top w:val="nil"/>
              <w:left w:val="nil"/>
              <w:bottom w:val="nil"/>
              <w:right w:val="nil"/>
            </w:tcBorders>
            <w:shd w:val="clear" w:color="auto" w:fill="auto"/>
            <w:noWrap/>
            <w:vAlign w:val="center"/>
            <w:hideMark/>
          </w:tcPr>
          <w:p w14:paraId="68E95F71" w14:textId="77777777" w:rsidR="007B6DCE" w:rsidRPr="00BC2376" w:rsidRDefault="007B6DCE" w:rsidP="00D3370F">
            <w:pPr>
              <w:spacing w:line="240" w:lineRule="auto"/>
              <w:rPr>
                <w:rFonts w:cs="Times New Roman"/>
                <w:color w:val="000000"/>
                <w:sz w:val="20"/>
                <w:szCs w:val="20"/>
              </w:rPr>
            </w:pPr>
            <w:r w:rsidRPr="00BC2376">
              <w:rPr>
                <w:rFonts w:cs="Times New Roman"/>
                <w:color w:val="000000"/>
                <w:sz w:val="20"/>
                <w:szCs w:val="20"/>
              </w:rPr>
              <w:t>Middle Rest</w:t>
            </w:r>
          </w:p>
        </w:tc>
        <w:tc>
          <w:tcPr>
            <w:tcW w:w="900" w:type="dxa"/>
            <w:tcBorders>
              <w:top w:val="nil"/>
              <w:left w:val="single" w:sz="12" w:space="0" w:color="FFFFFF"/>
              <w:bottom w:val="nil"/>
              <w:right w:val="nil"/>
            </w:tcBorders>
            <w:shd w:val="clear" w:color="auto" w:fill="auto"/>
            <w:noWrap/>
            <w:vAlign w:val="center"/>
          </w:tcPr>
          <w:p w14:paraId="5BFF7147"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30.5 b</w:t>
            </w:r>
          </w:p>
        </w:tc>
        <w:tc>
          <w:tcPr>
            <w:tcW w:w="1072" w:type="dxa"/>
            <w:tcBorders>
              <w:top w:val="nil"/>
              <w:left w:val="nil"/>
              <w:bottom w:val="nil"/>
              <w:right w:val="nil"/>
            </w:tcBorders>
            <w:shd w:val="clear" w:color="auto" w:fill="auto"/>
            <w:noWrap/>
            <w:vAlign w:val="center"/>
          </w:tcPr>
          <w:p w14:paraId="71A99AF7"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1.8 d</w:t>
            </w:r>
          </w:p>
        </w:tc>
        <w:tc>
          <w:tcPr>
            <w:tcW w:w="840" w:type="dxa"/>
            <w:tcBorders>
              <w:top w:val="nil"/>
              <w:left w:val="nil"/>
              <w:bottom w:val="nil"/>
              <w:right w:val="nil"/>
            </w:tcBorders>
            <w:shd w:val="clear" w:color="auto" w:fill="auto"/>
            <w:noWrap/>
            <w:vAlign w:val="center"/>
          </w:tcPr>
          <w:p w14:paraId="12AADE55"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1.0 d</w:t>
            </w:r>
          </w:p>
        </w:tc>
        <w:tc>
          <w:tcPr>
            <w:tcW w:w="1072" w:type="dxa"/>
            <w:tcBorders>
              <w:top w:val="nil"/>
              <w:left w:val="nil"/>
              <w:bottom w:val="nil"/>
              <w:right w:val="nil"/>
            </w:tcBorders>
            <w:shd w:val="clear" w:color="auto" w:fill="auto"/>
            <w:noWrap/>
            <w:vAlign w:val="center"/>
          </w:tcPr>
          <w:p w14:paraId="40202C3C"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3.0 d</w:t>
            </w:r>
          </w:p>
        </w:tc>
        <w:tc>
          <w:tcPr>
            <w:tcW w:w="706" w:type="dxa"/>
            <w:tcBorders>
              <w:top w:val="nil"/>
              <w:left w:val="nil"/>
              <w:bottom w:val="nil"/>
              <w:right w:val="nil"/>
            </w:tcBorders>
            <w:shd w:val="clear" w:color="auto" w:fill="auto"/>
            <w:vAlign w:val="center"/>
          </w:tcPr>
          <w:p w14:paraId="2D4DCCF8"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7.3 d</w:t>
            </w:r>
          </w:p>
        </w:tc>
        <w:tc>
          <w:tcPr>
            <w:tcW w:w="1072" w:type="dxa"/>
            <w:tcBorders>
              <w:top w:val="nil"/>
              <w:left w:val="nil"/>
              <w:bottom w:val="nil"/>
              <w:right w:val="nil"/>
            </w:tcBorders>
            <w:shd w:val="clear" w:color="auto" w:fill="auto"/>
            <w:vAlign w:val="center"/>
          </w:tcPr>
          <w:p w14:paraId="1CBD1166"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0.8 d</w:t>
            </w:r>
          </w:p>
        </w:tc>
      </w:tr>
      <w:tr w:rsidR="007B6DCE" w:rsidRPr="00BC2376" w14:paraId="6F2D6608" w14:textId="77777777" w:rsidTr="0037107A">
        <w:trPr>
          <w:trHeight w:val="288"/>
        </w:trPr>
        <w:tc>
          <w:tcPr>
            <w:tcW w:w="1620" w:type="dxa"/>
            <w:tcBorders>
              <w:top w:val="nil"/>
              <w:left w:val="nil"/>
              <w:bottom w:val="nil"/>
              <w:right w:val="nil"/>
            </w:tcBorders>
            <w:shd w:val="clear" w:color="000000" w:fill="D9D9D9"/>
            <w:noWrap/>
            <w:vAlign w:val="center"/>
            <w:hideMark/>
          </w:tcPr>
          <w:p w14:paraId="73DAD3BC" w14:textId="77777777" w:rsidR="007B6DCE" w:rsidRPr="00BC2376" w:rsidRDefault="007B6DCE" w:rsidP="00D3370F">
            <w:pPr>
              <w:spacing w:line="240" w:lineRule="auto"/>
              <w:rPr>
                <w:rFonts w:cs="Times New Roman"/>
                <w:color w:val="000000"/>
                <w:sz w:val="20"/>
                <w:szCs w:val="20"/>
              </w:rPr>
            </w:pPr>
            <w:r w:rsidRPr="00BC2376">
              <w:rPr>
                <w:rFonts w:cs="Times New Roman"/>
                <w:color w:val="000000"/>
                <w:sz w:val="20"/>
                <w:szCs w:val="20"/>
              </w:rPr>
              <w:t>Late Rest</w:t>
            </w:r>
          </w:p>
        </w:tc>
        <w:tc>
          <w:tcPr>
            <w:tcW w:w="900" w:type="dxa"/>
            <w:tcBorders>
              <w:top w:val="nil"/>
              <w:left w:val="nil"/>
              <w:bottom w:val="nil"/>
              <w:right w:val="nil"/>
            </w:tcBorders>
            <w:shd w:val="clear" w:color="000000" w:fill="D9D9D9"/>
            <w:noWrap/>
            <w:vAlign w:val="center"/>
          </w:tcPr>
          <w:p w14:paraId="2CF9CBEF"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19.0 c</w:t>
            </w:r>
          </w:p>
        </w:tc>
        <w:tc>
          <w:tcPr>
            <w:tcW w:w="1072" w:type="dxa"/>
            <w:tcBorders>
              <w:top w:val="nil"/>
              <w:left w:val="nil"/>
              <w:bottom w:val="nil"/>
              <w:right w:val="nil"/>
            </w:tcBorders>
            <w:shd w:val="clear" w:color="000000" w:fill="D9D9D9"/>
            <w:noWrap/>
            <w:vAlign w:val="center"/>
          </w:tcPr>
          <w:p w14:paraId="06115463"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2.5 d</w:t>
            </w:r>
          </w:p>
        </w:tc>
        <w:tc>
          <w:tcPr>
            <w:tcW w:w="840" w:type="dxa"/>
            <w:tcBorders>
              <w:top w:val="nil"/>
              <w:left w:val="nil"/>
              <w:bottom w:val="nil"/>
              <w:right w:val="nil"/>
            </w:tcBorders>
            <w:shd w:val="clear" w:color="000000" w:fill="D9D9D9"/>
            <w:noWrap/>
            <w:vAlign w:val="center"/>
          </w:tcPr>
          <w:p w14:paraId="61DF1528"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0.3 d</w:t>
            </w:r>
          </w:p>
        </w:tc>
        <w:tc>
          <w:tcPr>
            <w:tcW w:w="1072" w:type="dxa"/>
            <w:tcBorders>
              <w:top w:val="nil"/>
              <w:left w:val="nil"/>
              <w:bottom w:val="nil"/>
              <w:right w:val="nil"/>
            </w:tcBorders>
            <w:shd w:val="clear" w:color="000000" w:fill="D9D9D9"/>
            <w:noWrap/>
            <w:vAlign w:val="center"/>
          </w:tcPr>
          <w:p w14:paraId="463B8C67"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0.5 d</w:t>
            </w:r>
          </w:p>
        </w:tc>
        <w:tc>
          <w:tcPr>
            <w:tcW w:w="706" w:type="dxa"/>
            <w:tcBorders>
              <w:top w:val="nil"/>
              <w:left w:val="nil"/>
              <w:bottom w:val="nil"/>
              <w:right w:val="nil"/>
            </w:tcBorders>
            <w:shd w:val="clear" w:color="000000" w:fill="D9D9D9"/>
            <w:vAlign w:val="center"/>
          </w:tcPr>
          <w:p w14:paraId="75862255"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0.9 d</w:t>
            </w:r>
          </w:p>
        </w:tc>
        <w:tc>
          <w:tcPr>
            <w:tcW w:w="1072" w:type="dxa"/>
            <w:tcBorders>
              <w:top w:val="nil"/>
              <w:left w:val="nil"/>
              <w:bottom w:val="nil"/>
              <w:right w:val="nil"/>
            </w:tcBorders>
            <w:shd w:val="clear" w:color="000000" w:fill="D9D9D9"/>
            <w:vAlign w:val="center"/>
          </w:tcPr>
          <w:p w14:paraId="35E00BB1"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0.0 d</w:t>
            </w:r>
          </w:p>
        </w:tc>
      </w:tr>
      <w:tr w:rsidR="007B6DCE" w:rsidRPr="00BC2376" w14:paraId="562E9E62" w14:textId="77777777" w:rsidTr="0037107A">
        <w:trPr>
          <w:trHeight w:val="288"/>
        </w:trPr>
        <w:tc>
          <w:tcPr>
            <w:tcW w:w="1620" w:type="dxa"/>
            <w:tcBorders>
              <w:top w:val="nil"/>
              <w:left w:val="nil"/>
              <w:bottom w:val="single" w:sz="12" w:space="0" w:color="auto"/>
              <w:right w:val="nil"/>
            </w:tcBorders>
            <w:shd w:val="clear" w:color="auto" w:fill="auto"/>
            <w:noWrap/>
            <w:vAlign w:val="center"/>
            <w:hideMark/>
          </w:tcPr>
          <w:p w14:paraId="3BB02DDA" w14:textId="77777777" w:rsidR="007B6DCE" w:rsidRPr="00BC2376" w:rsidRDefault="007B6DCE" w:rsidP="00D3370F">
            <w:pPr>
              <w:spacing w:line="240" w:lineRule="auto"/>
              <w:rPr>
                <w:rFonts w:cs="Times New Roman"/>
                <w:color w:val="000000"/>
                <w:sz w:val="20"/>
                <w:szCs w:val="20"/>
              </w:rPr>
            </w:pPr>
            <w:r w:rsidRPr="00BC2376">
              <w:rPr>
                <w:rFonts w:cs="Times New Roman"/>
                <w:color w:val="000000"/>
                <w:sz w:val="20"/>
                <w:szCs w:val="20"/>
              </w:rPr>
              <w:t>No Graze</w:t>
            </w:r>
          </w:p>
        </w:tc>
        <w:tc>
          <w:tcPr>
            <w:tcW w:w="900" w:type="dxa"/>
            <w:tcBorders>
              <w:top w:val="nil"/>
              <w:left w:val="single" w:sz="12" w:space="0" w:color="FFFFFF"/>
              <w:bottom w:val="single" w:sz="12" w:space="0" w:color="auto"/>
              <w:right w:val="nil"/>
            </w:tcBorders>
            <w:shd w:val="clear" w:color="auto" w:fill="auto"/>
            <w:noWrap/>
            <w:vAlign w:val="center"/>
          </w:tcPr>
          <w:p w14:paraId="70DBE23A"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22.8 bc</w:t>
            </w:r>
          </w:p>
        </w:tc>
        <w:tc>
          <w:tcPr>
            <w:tcW w:w="1072" w:type="dxa"/>
            <w:tcBorders>
              <w:top w:val="nil"/>
              <w:left w:val="nil"/>
              <w:bottom w:val="single" w:sz="12" w:space="0" w:color="auto"/>
              <w:right w:val="nil"/>
            </w:tcBorders>
            <w:shd w:val="clear" w:color="auto" w:fill="auto"/>
            <w:noWrap/>
            <w:vAlign w:val="center"/>
          </w:tcPr>
          <w:p w14:paraId="3E82C9B3"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0.3 d</w:t>
            </w:r>
          </w:p>
        </w:tc>
        <w:tc>
          <w:tcPr>
            <w:tcW w:w="840" w:type="dxa"/>
            <w:tcBorders>
              <w:top w:val="nil"/>
              <w:left w:val="nil"/>
              <w:bottom w:val="single" w:sz="12" w:space="0" w:color="auto"/>
              <w:right w:val="nil"/>
            </w:tcBorders>
            <w:shd w:val="clear" w:color="auto" w:fill="auto"/>
            <w:noWrap/>
            <w:vAlign w:val="center"/>
          </w:tcPr>
          <w:p w14:paraId="3A80B0F8"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6.5 d</w:t>
            </w:r>
          </w:p>
        </w:tc>
        <w:tc>
          <w:tcPr>
            <w:tcW w:w="1072" w:type="dxa"/>
            <w:tcBorders>
              <w:top w:val="nil"/>
              <w:left w:val="nil"/>
              <w:bottom w:val="single" w:sz="12" w:space="0" w:color="auto"/>
              <w:right w:val="nil"/>
            </w:tcBorders>
            <w:shd w:val="clear" w:color="auto" w:fill="auto"/>
            <w:noWrap/>
            <w:vAlign w:val="center"/>
          </w:tcPr>
          <w:p w14:paraId="7611E4DF"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4.2 d</w:t>
            </w:r>
          </w:p>
        </w:tc>
        <w:tc>
          <w:tcPr>
            <w:tcW w:w="706" w:type="dxa"/>
            <w:tcBorders>
              <w:top w:val="nil"/>
              <w:left w:val="nil"/>
              <w:bottom w:val="single" w:sz="12" w:space="0" w:color="auto"/>
              <w:right w:val="nil"/>
            </w:tcBorders>
            <w:shd w:val="clear" w:color="auto" w:fill="auto"/>
            <w:vAlign w:val="center"/>
          </w:tcPr>
          <w:p w14:paraId="2786237E"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6.6 d</w:t>
            </w:r>
          </w:p>
        </w:tc>
        <w:tc>
          <w:tcPr>
            <w:tcW w:w="1072" w:type="dxa"/>
            <w:tcBorders>
              <w:top w:val="nil"/>
              <w:left w:val="nil"/>
              <w:bottom w:val="single" w:sz="12" w:space="0" w:color="auto"/>
              <w:right w:val="nil"/>
            </w:tcBorders>
            <w:shd w:val="clear" w:color="auto" w:fill="auto"/>
            <w:vAlign w:val="center"/>
          </w:tcPr>
          <w:p w14:paraId="600C6294" w14:textId="77777777" w:rsidR="007B6DCE" w:rsidRPr="00BC2376" w:rsidRDefault="007B6DCE" w:rsidP="00D3370F">
            <w:pPr>
              <w:spacing w:line="240" w:lineRule="auto"/>
              <w:jc w:val="center"/>
              <w:rPr>
                <w:rFonts w:cs="Times New Roman"/>
                <w:color w:val="000000"/>
                <w:sz w:val="20"/>
                <w:szCs w:val="20"/>
              </w:rPr>
            </w:pPr>
            <w:r w:rsidRPr="00BC2376">
              <w:rPr>
                <w:rFonts w:cs="Times New Roman"/>
                <w:color w:val="000000"/>
                <w:sz w:val="20"/>
                <w:szCs w:val="20"/>
              </w:rPr>
              <w:t>1.5 d</w:t>
            </w:r>
          </w:p>
        </w:tc>
      </w:tr>
    </w:tbl>
    <w:p w14:paraId="557EEE8A" w14:textId="77777777" w:rsidR="007B6DCE" w:rsidRPr="00BC2376" w:rsidRDefault="007B6DCE" w:rsidP="007B6DCE">
      <w:pPr>
        <w:spacing w:line="240" w:lineRule="auto"/>
        <w:rPr>
          <w:rFonts w:eastAsia="Calibri" w:cs="Times New Roman"/>
        </w:rPr>
      </w:pPr>
      <w:bookmarkStart w:id="195" w:name="_Hlk67164892"/>
      <w:r w:rsidRPr="00BC2376">
        <w:rPr>
          <w:rFonts w:eastAsia="Calibri" w:cs="Times New Roman"/>
        </w:rPr>
        <w:t xml:space="preserve">*Different letters indicate significant difference at α = 0.05 for </w:t>
      </w:r>
      <w:r>
        <w:rPr>
          <w:rFonts w:eastAsia="Calibri" w:cs="Times New Roman"/>
        </w:rPr>
        <w:t xml:space="preserve">Rest x </w:t>
      </w:r>
      <w:r w:rsidRPr="00BC2376">
        <w:rPr>
          <w:rFonts w:eastAsia="Calibri" w:cs="Times New Roman"/>
        </w:rPr>
        <w:t>Year x Period interaction (Fisher’s least significant difference).</w:t>
      </w:r>
    </w:p>
    <w:bookmarkEnd w:id="195"/>
    <w:p w14:paraId="01921547" w14:textId="44EE8A54" w:rsidR="007B6DCE" w:rsidRPr="00BC2376" w:rsidRDefault="007B6DCE" w:rsidP="007B6DCE">
      <w:pPr>
        <w:spacing w:line="240" w:lineRule="auto"/>
        <w:rPr>
          <w:rFonts w:cs="Times New Roman"/>
        </w:rPr>
      </w:pPr>
      <w:r w:rsidRPr="00BC2376">
        <w:rPr>
          <w:rFonts w:eastAsia="Calibri" w:cs="Times New Roman"/>
        </w:rPr>
        <w:t>†</w:t>
      </w:r>
      <w:r w:rsidR="00C97F99">
        <w:rPr>
          <w:rFonts w:eastAsia="Calibri" w:cs="Times New Roman"/>
        </w:rPr>
        <w:t>Grazing</w:t>
      </w:r>
      <w:r w:rsidRPr="00BC2376">
        <w:rPr>
          <w:rFonts w:eastAsia="Calibri" w:cs="Times New Roman"/>
        </w:rPr>
        <w:t xml:space="preserve"> treatment (no rest, early rest, middle rest, late rest, or no graze)</w:t>
      </w:r>
      <w:bookmarkStart w:id="196" w:name="_Hlk65632801"/>
      <w:r>
        <w:rPr>
          <w:rFonts w:eastAsia="Calibri" w:cs="Times New Roman"/>
        </w:rPr>
        <w:t xml:space="preserve">; Year = 2018, 2019, or 2020; </w:t>
      </w:r>
      <w:bookmarkEnd w:id="196"/>
      <w:r>
        <w:rPr>
          <w:rFonts w:eastAsia="Calibri" w:cs="Times New Roman"/>
        </w:rPr>
        <w:t xml:space="preserve">Period = Pre = </w:t>
      </w:r>
      <w:r>
        <w:rPr>
          <w:rFonts w:eastAsia="Calibri" w:cs="Times New Roman"/>
          <w:bCs/>
        </w:rPr>
        <w:t xml:space="preserve">pre-grazing </w:t>
      </w:r>
      <w:r w:rsidRPr="00BC2376">
        <w:rPr>
          <w:rFonts w:eastAsia="Calibri" w:cs="Times New Roman"/>
          <w:bCs/>
        </w:rPr>
        <w:t>(May)</w:t>
      </w:r>
      <w:r>
        <w:rPr>
          <w:rFonts w:eastAsia="Calibri" w:cs="Times New Roman"/>
          <w:bCs/>
        </w:rPr>
        <w:t xml:space="preserve"> or P</w:t>
      </w:r>
      <w:r w:rsidRPr="00BC2376">
        <w:rPr>
          <w:rFonts w:eastAsia="Calibri" w:cs="Times New Roman"/>
          <w:bCs/>
        </w:rPr>
        <w:t>ost</w:t>
      </w:r>
      <w:r>
        <w:rPr>
          <w:rFonts w:eastAsia="Calibri" w:cs="Times New Roman"/>
          <w:bCs/>
        </w:rPr>
        <w:t xml:space="preserve"> = post</w:t>
      </w:r>
      <w:r w:rsidRPr="00BC2376">
        <w:rPr>
          <w:rFonts w:eastAsia="Calibri" w:cs="Times New Roman"/>
          <w:bCs/>
        </w:rPr>
        <w:t>-grazing (</w:t>
      </w:r>
      <w:r>
        <w:rPr>
          <w:rFonts w:eastAsia="Calibri" w:cs="Times New Roman"/>
          <w:bCs/>
        </w:rPr>
        <w:t>late August/</w:t>
      </w:r>
      <w:r w:rsidRPr="00BC2376">
        <w:rPr>
          <w:rFonts w:eastAsia="Calibri" w:cs="Times New Roman"/>
          <w:bCs/>
        </w:rPr>
        <w:t>September)</w:t>
      </w:r>
    </w:p>
    <w:p w14:paraId="2684F5EF" w14:textId="77777777" w:rsidR="00D215CC" w:rsidRDefault="00D215CC" w:rsidP="00C80DFD">
      <w:pPr>
        <w:spacing w:line="240" w:lineRule="auto"/>
        <w:rPr>
          <w:rFonts w:eastAsia="Calibri" w:cs="Times New Roman"/>
        </w:rPr>
      </w:pPr>
    </w:p>
    <w:p w14:paraId="04A944BC" w14:textId="77777777" w:rsidR="00B572F9" w:rsidRDefault="00B572F9" w:rsidP="00B572F9">
      <w:pPr>
        <w:spacing w:line="240" w:lineRule="auto"/>
        <w:rPr>
          <w:rFonts w:cs="Times New Roman"/>
          <w:b/>
          <w:bCs/>
        </w:rPr>
      </w:pPr>
    </w:p>
    <w:p w14:paraId="03824E10" w14:textId="3E6D5D83" w:rsidR="00F330B8" w:rsidRDefault="00F330B8" w:rsidP="00B572F9">
      <w:pPr>
        <w:spacing w:line="240" w:lineRule="auto"/>
        <w:rPr>
          <w:rFonts w:cs="Times New Roman"/>
          <w:b/>
          <w:bCs/>
        </w:rPr>
        <w:sectPr w:rsidR="00F330B8" w:rsidSect="00172787">
          <w:pgSz w:w="12240" w:h="15840" w:code="1"/>
          <w:pgMar w:top="1440" w:right="1800" w:bottom="1872" w:left="1800" w:header="720" w:footer="1440" w:gutter="0"/>
          <w:cols w:space="720"/>
          <w:noEndnote/>
          <w:docGrid w:linePitch="360"/>
        </w:sectPr>
      </w:pPr>
    </w:p>
    <w:p w14:paraId="4932B564" w14:textId="1B300A40" w:rsidR="00540815" w:rsidRPr="00BC2376" w:rsidRDefault="00B572F9" w:rsidP="00A01E34">
      <w:pPr>
        <w:pStyle w:val="Tables"/>
        <w:spacing w:before="0" w:after="60"/>
        <w:rPr>
          <w:b/>
        </w:rPr>
      </w:pPr>
      <w:bookmarkStart w:id="197" w:name="_Toc72300407"/>
      <w:r w:rsidRPr="00BC2376">
        <w:lastRenderedPageBreak/>
        <w:t>Table 2.</w:t>
      </w:r>
      <w:r w:rsidR="0037107A">
        <w:t>7</w:t>
      </w:r>
      <w:r w:rsidRPr="00BC2376">
        <w:t xml:space="preserve">. </w:t>
      </w:r>
      <w:r w:rsidR="00540815" w:rsidRPr="00BC2376">
        <w:t xml:space="preserve"> Mean plant density (plants m</w:t>
      </w:r>
      <w:r w:rsidR="00540815" w:rsidRPr="00BC2376">
        <w:rPr>
          <w:vertAlign w:val="superscript"/>
        </w:rPr>
        <w:t>-2</w:t>
      </w:r>
      <w:r w:rsidR="00540815" w:rsidRPr="00BC2376">
        <w:t xml:space="preserve">) </w:t>
      </w:r>
      <w:r w:rsidR="00540815">
        <w:t xml:space="preserve">for DITI, LANC, and PPEA </w:t>
      </w:r>
      <w:r w:rsidR="00705F63">
        <w:t>for</w:t>
      </w:r>
      <w:r w:rsidR="00540815" w:rsidRPr="00BC2376">
        <w:t xml:space="preserve"> </w:t>
      </w:r>
      <w:r w:rsidR="00C97F99">
        <w:t>grazing t</w:t>
      </w:r>
      <w:r w:rsidR="00705F63">
        <w:t xml:space="preserve">reatment </w:t>
      </w:r>
      <w:r w:rsidR="00C97F99">
        <w:t>by</w:t>
      </w:r>
      <w:r w:rsidR="00540815" w:rsidRPr="00BC2376">
        <w:t xml:space="preserve"> year i</w:t>
      </w:r>
      <w:r w:rsidR="00540815">
        <w:t xml:space="preserve">n a switchgrass </w:t>
      </w:r>
      <w:r w:rsidR="00540815" w:rsidRPr="00BC2376">
        <w:t>pasture</w:t>
      </w:r>
      <w:r w:rsidR="00540815" w:rsidRPr="001157ED">
        <w:t xml:space="preserve"> </w:t>
      </w:r>
      <w:r w:rsidR="00540815" w:rsidRPr="00BC2376">
        <w:t xml:space="preserve">for native </w:t>
      </w:r>
      <w:r w:rsidR="00706798">
        <w:t xml:space="preserve">grass </w:t>
      </w:r>
      <w:r w:rsidR="00540815" w:rsidRPr="00BC2376">
        <w:t>pasture grazing experiment, 2018-2020, University of Tennessee – Northeast Tennessee AgResearch and Education Center, Greeneville, TN.</w:t>
      </w:r>
      <w:bookmarkEnd w:id="197"/>
    </w:p>
    <w:tbl>
      <w:tblPr>
        <w:tblW w:w="11718" w:type="dxa"/>
        <w:tblLook w:val="04A0" w:firstRow="1" w:lastRow="0" w:firstColumn="1" w:lastColumn="0" w:noHBand="0" w:noVBand="1"/>
      </w:tblPr>
      <w:tblGrid>
        <w:gridCol w:w="1350"/>
        <w:gridCol w:w="1152"/>
        <w:gridCol w:w="1152"/>
        <w:gridCol w:w="1152"/>
        <w:gridCol w:w="1152"/>
        <w:gridCol w:w="1152"/>
        <w:gridCol w:w="1152"/>
        <w:gridCol w:w="1152"/>
        <w:gridCol w:w="1152"/>
        <w:gridCol w:w="1152"/>
      </w:tblGrid>
      <w:tr w:rsidR="00351531" w:rsidRPr="00BC2376" w14:paraId="0A2CA33A" w14:textId="77777777" w:rsidTr="00540815">
        <w:trPr>
          <w:trHeight w:val="312"/>
        </w:trPr>
        <w:tc>
          <w:tcPr>
            <w:tcW w:w="1350" w:type="dxa"/>
            <w:tcBorders>
              <w:top w:val="single" w:sz="12" w:space="0" w:color="auto"/>
              <w:left w:val="nil"/>
              <w:bottom w:val="single" w:sz="12" w:space="0" w:color="FFFFFF" w:themeColor="background1"/>
              <w:right w:val="single" w:sz="36" w:space="0" w:color="FFFFFF" w:themeColor="background1"/>
            </w:tcBorders>
            <w:shd w:val="clear" w:color="auto" w:fill="auto"/>
            <w:noWrap/>
            <w:vAlign w:val="center"/>
          </w:tcPr>
          <w:p w14:paraId="365EE92C" w14:textId="77777777" w:rsidR="007B6DCE" w:rsidRPr="00BC2376" w:rsidRDefault="007B6DCE" w:rsidP="00351531">
            <w:pPr>
              <w:spacing w:line="240" w:lineRule="auto"/>
              <w:rPr>
                <w:rFonts w:cs="Times New Roman"/>
                <w:color w:val="000000"/>
                <w:sz w:val="20"/>
                <w:szCs w:val="20"/>
              </w:rPr>
            </w:pPr>
          </w:p>
        </w:tc>
        <w:tc>
          <w:tcPr>
            <w:tcW w:w="3456" w:type="dxa"/>
            <w:gridSpan w:val="3"/>
            <w:tcBorders>
              <w:top w:val="single" w:sz="12" w:space="0" w:color="auto"/>
              <w:left w:val="single" w:sz="36" w:space="0" w:color="FFFFFF" w:themeColor="background1"/>
              <w:bottom w:val="single" w:sz="12" w:space="0" w:color="auto"/>
            </w:tcBorders>
            <w:shd w:val="clear" w:color="auto" w:fill="auto"/>
            <w:noWrap/>
            <w:vAlign w:val="center"/>
          </w:tcPr>
          <w:p w14:paraId="2A281B98" w14:textId="545B5E9D" w:rsidR="007B6DCE" w:rsidRPr="00BC2376" w:rsidRDefault="007B6DCE" w:rsidP="00351531">
            <w:pPr>
              <w:spacing w:line="240" w:lineRule="auto"/>
              <w:jc w:val="center"/>
              <w:rPr>
                <w:rFonts w:cs="Times New Roman"/>
                <w:color w:val="000000"/>
                <w:sz w:val="20"/>
                <w:szCs w:val="20"/>
              </w:rPr>
            </w:pPr>
            <w:r>
              <w:rPr>
                <w:rFonts w:cs="Times New Roman"/>
                <w:color w:val="000000"/>
                <w:sz w:val="20"/>
                <w:szCs w:val="20"/>
              </w:rPr>
              <w:t>DITI</w:t>
            </w:r>
            <w:r w:rsidR="00540815" w:rsidRPr="00540815">
              <w:rPr>
                <w:rFonts w:cs="Times New Roman"/>
                <w:color w:val="000000"/>
                <w:sz w:val="20"/>
                <w:szCs w:val="20"/>
                <w:vertAlign w:val="superscript"/>
              </w:rPr>
              <w:t>†</w:t>
            </w:r>
          </w:p>
        </w:tc>
        <w:tc>
          <w:tcPr>
            <w:tcW w:w="3456" w:type="dxa"/>
            <w:gridSpan w:val="3"/>
            <w:tcBorders>
              <w:top w:val="single" w:sz="12" w:space="0" w:color="auto"/>
              <w:left w:val="single" w:sz="36" w:space="0" w:color="FFFFFF" w:themeColor="background1"/>
              <w:bottom w:val="single" w:sz="12" w:space="0" w:color="auto"/>
            </w:tcBorders>
            <w:vAlign w:val="center"/>
          </w:tcPr>
          <w:p w14:paraId="393A3C3E" w14:textId="5DFB8622" w:rsidR="007B6DCE" w:rsidRPr="00BC2376" w:rsidRDefault="00CF7A38" w:rsidP="00CF7A38">
            <w:pPr>
              <w:tabs>
                <w:tab w:val="left" w:pos="1121"/>
              </w:tabs>
              <w:spacing w:line="240" w:lineRule="auto"/>
              <w:rPr>
                <w:rFonts w:cs="Times New Roman"/>
                <w:color w:val="000000"/>
                <w:sz w:val="20"/>
                <w:szCs w:val="20"/>
              </w:rPr>
            </w:pPr>
            <w:r>
              <w:rPr>
                <w:rFonts w:cs="Times New Roman"/>
                <w:color w:val="000000"/>
                <w:sz w:val="20"/>
                <w:szCs w:val="20"/>
              </w:rPr>
              <w:t xml:space="preserve">                         </w:t>
            </w:r>
            <w:r w:rsidR="007B6DCE">
              <w:rPr>
                <w:rFonts w:cs="Times New Roman"/>
                <w:color w:val="000000"/>
                <w:sz w:val="20"/>
                <w:szCs w:val="20"/>
              </w:rPr>
              <w:t>LANC</w:t>
            </w:r>
          </w:p>
        </w:tc>
        <w:tc>
          <w:tcPr>
            <w:tcW w:w="3456" w:type="dxa"/>
            <w:gridSpan w:val="3"/>
            <w:tcBorders>
              <w:top w:val="single" w:sz="12" w:space="0" w:color="auto"/>
              <w:left w:val="single" w:sz="36" w:space="0" w:color="FFFFFF" w:themeColor="background1"/>
              <w:bottom w:val="single" w:sz="12" w:space="0" w:color="auto"/>
            </w:tcBorders>
            <w:vAlign w:val="center"/>
          </w:tcPr>
          <w:p w14:paraId="48E4BCD2" w14:textId="36ABCDA3" w:rsidR="007B6DCE" w:rsidRPr="00BC2376" w:rsidRDefault="007B6DCE" w:rsidP="00351531">
            <w:pPr>
              <w:spacing w:line="240" w:lineRule="auto"/>
              <w:jc w:val="center"/>
              <w:rPr>
                <w:rFonts w:cs="Times New Roman"/>
                <w:color w:val="000000"/>
                <w:sz w:val="20"/>
                <w:szCs w:val="20"/>
              </w:rPr>
            </w:pPr>
            <w:r>
              <w:rPr>
                <w:rFonts w:cs="Times New Roman"/>
                <w:color w:val="000000"/>
                <w:sz w:val="20"/>
                <w:szCs w:val="20"/>
              </w:rPr>
              <w:t>PPEA</w:t>
            </w:r>
          </w:p>
        </w:tc>
      </w:tr>
      <w:tr w:rsidR="007B6DCE" w:rsidRPr="00BC2376" w14:paraId="50893DE7" w14:textId="023CAF94" w:rsidTr="00540815">
        <w:trPr>
          <w:trHeight w:val="312"/>
        </w:trPr>
        <w:tc>
          <w:tcPr>
            <w:tcW w:w="1350" w:type="dxa"/>
            <w:tcBorders>
              <w:top w:val="single" w:sz="12" w:space="0" w:color="FFFFFF" w:themeColor="background1"/>
              <w:left w:val="nil"/>
              <w:bottom w:val="single" w:sz="12" w:space="0" w:color="auto"/>
              <w:right w:val="single" w:sz="36" w:space="0" w:color="FFFFFF" w:themeColor="background1"/>
            </w:tcBorders>
            <w:shd w:val="clear" w:color="auto" w:fill="auto"/>
            <w:noWrap/>
            <w:vAlign w:val="center"/>
            <w:hideMark/>
          </w:tcPr>
          <w:p w14:paraId="57837093" w14:textId="31437FFA" w:rsidR="007B6DCE" w:rsidRPr="00BC2376" w:rsidRDefault="007B6DCE" w:rsidP="00351531">
            <w:pPr>
              <w:spacing w:line="240" w:lineRule="auto"/>
              <w:rPr>
                <w:rFonts w:cs="Times New Roman"/>
                <w:color w:val="000000"/>
                <w:sz w:val="20"/>
                <w:szCs w:val="20"/>
              </w:rPr>
            </w:pPr>
            <w:bookmarkStart w:id="198" w:name="_Hlk63466311"/>
            <w:r w:rsidRPr="00BC2376">
              <w:rPr>
                <w:rFonts w:cs="Times New Roman"/>
                <w:color w:val="000000"/>
                <w:sz w:val="20"/>
                <w:szCs w:val="20"/>
              </w:rPr>
              <w:t> Effect</w:t>
            </w:r>
            <w:r w:rsidR="00540815">
              <w:rPr>
                <w:rFonts w:cs="Times New Roman"/>
                <w:color w:val="000000"/>
                <w:sz w:val="20"/>
                <w:szCs w:val="20"/>
                <w:vertAlign w:val="superscript"/>
              </w:rPr>
              <w:t>‡</w:t>
            </w:r>
          </w:p>
        </w:tc>
        <w:tc>
          <w:tcPr>
            <w:tcW w:w="1152"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6882A76B" w14:textId="67E34A37"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2018</w:t>
            </w:r>
          </w:p>
        </w:tc>
        <w:tc>
          <w:tcPr>
            <w:tcW w:w="1152"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775DA2E9" w14:textId="3972102C"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2019</w:t>
            </w:r>
          </w:p>
        </w:tc>
        <w:tc>
          <w:tcPr>
            <w:tcW w:w="1152" w:type="dxa"/>
            <w:tcBorders>
              <w:top w:val="single" w:sz="12" w:space="0" w:color="auto"/>
              <w:left w:val="single" w:sz="36" w:space="0" w:color="FFFFFF" w:themeColor="background1"/>
              <w:bottom w:val="single" w:sz="12" w:space="0" w:color="auto"/>
            </w:tcBorders>
            <w:shd w:val="clear" w:color="auto" w:fill="auto"/>
            <w:vAlign w:val="center"/>
            <w:hideMark/>
          </w:tcPr>
          <w:p w14:paraId="5E3FCC30" w14:textId="7E846DB7"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2020</w:t>
            </w:r>
          </w:p>
        </w:tc>
        <w:tc>
          <w:tcPr>
            <w:tcW w:w="1152" w:type="dxa"/>
            <w:tcBorders>
              <w:top w:val="single" w:sz="12" w:space="0" w:color="auto"/>
              <w:left w:val="single" w:sz="36" w:space="0" w:color="FFFFFF" w:themeColor="background1"/>
              <w:bottom w:val="single" w:sz="12" w:space="0" w:color="auto"/>
            </w:tcBorders>
            <w:vAlign w:val="center"/>
          </w:tcPr>
          <w:p w14:paraId="2ED33E70" w14:textId="0BA61BC8"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Pr>
                <w:rFonts w:cs="Times New Roman"/>
                <w:color w:val="000000"/>
                <w:sz w:val="20"/>
                <w:szCs w:val="20"/>
              </w:rPr>
              <w:t>2018</w:t>
            </w:r>
          </w:p>
        </w:tc>
        <w:tc>
          <w:tcPr>
            <w:tcW w:w="1152" w:type="dxa"/>
            <w:tcBorders>
              <w:top w:val="single" w:sz="12" w:space="0" w:color="auto"/>
              <w:left w:val="single" w:sz="36" w:space="0" w:color="FFFFFF" w:themeColor="background1"/>
              <w:bottom w:val="single" w:sz="12" w:space="0" w:color="auto"/>
            </w:tcBorders>
            <w:vAlign w:val="center"/>
          </w:tcPr>
          <w:p w14:paraId="31911F43" w14:textId="48A561CF"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Pr>
                <w:rFonts w:cs="Times New Roman"/>
                <w:color w:val="000000"/>
                <w:sz w:val="20"/>
                <w:szCs w:val="20"/>
              </w:rPr>
              <w:t>2019</w:t>
            </w:r>
          </w:p>
        </w:tc>
        <w:tc>
          <w:tcPr>
            <w:tcW w:w="1152" w:type="dxa"/>
            <w:tcBorders>
              <w:top w:val="single" w:sz="12" w:space="0" w:color="auto"/>
              <w:left w:val="single" w:sz="36" w:space="0" w:color="FFFFFF" w:themeColor="background1"/>
              <w:bottom w:val="single" w:sz="12" w:space="0" w:color="auto"/>
            </w:tcBorders>
            <w:vAlign w:val="center"/>
          </w:tcPr>
          <w:p w14:paraId="7D604FF1" w14:textId="21760B8A"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Pr>
                <w:rFonts w:cs="Times New Roman"/>
                <w:color w:val="000000"/>
                <w:sz w:val="20"/>
                <w:szCs w:val="20"/>
              </w:rPr>
              <w:t>2020</w:t>
            </w:r>
          </w:p>
        </w:tc>
        <w:tc>
          <w:tcPr>
            <w:tcW w:w="1152" w:type="dxa"/>
            <w:tcBorders>
              <w:top w:val="single" w:sz="12" w:space="0" w:color="auto"/>
              <w:left w:val="single" w:sz="36" w:space="0" w:color="FFFFFF" w:themeColor="background1"/>
              <w:bottom w:val="single" w:sz="12" w:space="0" w:color="auto"/>
            </w:tcBorders>
            <w:vAlign w:val="center"/>
          </w:tcPr>
          <w:p w14:paraId="6D28687A" w14:textId="017FDE0B"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Pr>
                <w:rFonts w:cs="Times New Roman"/>
                <w:color w:val="000000"/>
                <w:sz w:val="20"/>
                <w:szCs w:val="20"/>
              </w:rPr>
              <w:t>2018</w:t>
            </w:r>
          </w:p>
        </w:tc>
        <w:tc>
          <w:tcPr>
            <w:tcW w:w="1152" w:type="dxa"/>
            <w:tcBorders>
              <w:top w:val="single" w:sz="12" w:space="0" w:color="auto"/>
              <w:left w:val="single" w:sz="36" w:space="0" w:color="FFFFFF" w:themeColor="background1"/>
              <w:bottom w:val="single" w:sz="12" w:space="0" w:color="auto"/>
            </w:tcBorders>
            <w:vAlign w:val="center"/>
          </w:tcPr>
          <w:p w14:paraId="423CF481" w14:textId="26C227DC"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Pr>
                <w:rFonts w:cs="Times New Roman"/>
                <w:color w:val="000000"/>
                <w:sz w:val="20"/>
                <w:szCs w:val="20"/>
              </w:rPr>
              <w:t>2019</w:t>
            </w:r>
          </w:p>
        </w:tc>
        <w:tc>
          <w:tcPr>
            <w:tcW w:w="1152" w:type="dxa"/>
            <w:tcBorders>
              <w:top w:val="single" w:sz="12" w:space="0" w:color="auto"/>
              <w:left w:val="single" w:sz="36" w:space="0" w:color="FFFFFF" w:themeColor="background1"/>
              <w:bottom w:val="single" w:sz="12" w:space="0" w:color="auto"/>
            </w:tcBorders>
            <w:vAlign w:val="center"/>
          </w:tcPr>
          <w:p w14:paraId="377CBDB9" w14:textId="11F2B2CD"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Pr>
                <w:rFonts w:cs="Times New Roman"/>
                <w:color w:val="000000"/>
                <w:sz w:val="20"/>
                <w:szCs w:val="20"/>
              </w:rPr>
              <w:t>2020</w:t>
            </w:r>
          </w:p>
        </w:tc>
      </w:tr>
      <w:tr w:rsidR="00540815" w:rsidRPr="00BC2376" w14:paraId="006E9A85" w14:textId="77777777" w:rsidTr="00540815">
        <w:trPr>
          <w:trHeight w:val="324"/>
        </w:trPr>
        <w:tc>
          <w:tcPr>
            <w:tcW w:w="1350" w:type="dxa"/>
            <w:tcBorders>
              <w:top w:val="single" w:sz="12" w:space="0" w:color="auto"/>
              <w:left w:val="nil"/>
              <w:bottom w:val="single" w:sz="12" w:space="0" w:color="FFFFFF" w:themeColor="background1"/>
              <w:right w:val="single" w:sz="36" w:space="0" w:color="FFFFFF" w:themeColor="background1"/>
            </w:tcBorders>
            <w:shd w:val="clear" w:color="auto" w:fill="auto"/>
            <w:noWrap/>
            <w:vAlign w:val="center"/>
          </w:tcPr>
          <w:p w14:paraId="59F1907E" w14:textId="77777777" w:rsidR="00540815" w:rsidRPr="00BC2376" w:rsidRDefault="00540815" w:rsidP="00351531">
            <w:pPr>
              <w:spacing w:line="240" w:lineRule="auto"/>
              <w:rPr>
                <w:rFonts w:cs="Times New Roman"/>
                <w:color w:val="000000"/>
                <w:sz w:val="20"/>
                <w:szCs w:val="20"/>
              </w:rPr>
            </w:pPr>
          </w:p>
        </w:tc>
        <w:tc>
          <w:tcPr>
            <w:tcW w:w="10368" w:type="dxa"/>
            <w:gridSpan w:val="9"/>
            <w:tcBorders>
              <w:top w:val="single" w:sz="12" w:space="0" w:color="auto"/>
              <w:left w:val="single" w:sz="36" w:space="0" w:color="FFFFFF" w:themeColor="background1"/>
            </w:tcBorders>
            <w:shd w:val="clear" w:color="auto" w:fill="auto"/>
            <w:noWrap/>
            <w:vAlign w:val="center"/>
          </w:tcPr>
          <w:p w14:paraId="450C3589" w14:textId="056F63AC" w:rsidR="00540815" w:rsidRPr="007B6DCE" w:rsidRDefault="00540815" w:rsidP="00351531">
            <w:pPr>
              <w:spacing w:line="240" w:lineRule="auto"/>
              <w:jc w:val="center"/>
              <w:rPr>
                <w:rFonts w:cs="Times New Roman"/>
                <w:color w:val="000000"/>
                <w:sz w:val="20"/>
                <w:szCs w:val="20"/>
              </w:rPr>
            </w:pPr>
            <w:r>
              <w:rPr>
                <w:rFonts w:cs="Times New Roman"/>
                <w:color w:val="000000"/>
                <w:sz w:val="20"/>
                <w:szCs w:val="20"/>
              </w:rPr>
              <w:t>----------------------------------------------------------------plants m</w:t>
            </w:r>
            <w:r w:rsidRPr="007B6DCE">
              <w:rPr>
                <w:rFonts w:cs="Times New Roman"/>
                <w:color w:val="000000"/>
                <w:sz w:val="20"/>
                <w:szCs w:val="20"/>
                <w:vertAlign w:val="superscript"/>
              </w:rPr>
              <w:t>-2</w:t>
            </w:r>
            <w:r>
              <w:rPr>
                <w:rFonts w:cs="Times New Roman"/>
                <w:color w:val="000000"/>
                <w:sz w:val="20"/>
                <w:szCs w:val="20"/>
              </w:rPr>
              <w:t>-------------------------------------------------------------------</w:t>
            </w:r>
          </w:p>
        </w:tc>
      </w:tr>
      <w:tr w:rsidR="00351531" w:rsidRPr="00BC2376" w14:paraId="4712637B" w14:textId="47873946" w:rsidTr="00540815">
        <w:trPr>
          <w:trHeight w:val="324"/>
        </w:trPr>
        <w:tc>
          <w:tcPr>
            <w:tcW w:w="1350" w:type="dxa"/>
            <w:tcBorders>
              <w:top w:val="single" w:sz="12" w:space="0" w:color="FFFFFF" w:themeColor="background1"/>
              <w:left w:val="nil"/>
              <w:bottom w:val="nil"/>
              <w:right w:val="single" w:sz="36" w:space="0" w:color="FFFFFF" w:themeColor="background1"/>
            </w:tcBorders>
            <w:shd w:val="clear" w:color="auto" w:fill="auto"/>
            <w:noWrap/>
            <w:vAlign w:val="center"/>
            <w:hideMark/>
          </w:tcPr>
          <w:p w14:paraId="3C18B969" w14:textId="77777777" w:rsidR="007B6DCE" w:rsidRPr="00BC2376" w:rsidRDefault="007B6DCE" w:rsidP="00351531">
            <w:pPr>
              <w:spacing w:line="240" w:lineRule="auto"/>
              <w:rPr>
                <w:rFonts w:cs="Times New Roman"/>
                <w:color w:val="000000"/>
                <w:sz w:val="20"/>
                <w:szCs w:val="20"/>
              </w:rPr>
            </w:pPr>
            <w:r w:rsidRPr="00BC2376">
              <w:rPr>
                <w:rFonts w:cs="Times New Roman"/>
                <w:color w:val="000000"/>
                <w:sz w:val="20"/>
                <w:szCs w:val="20"/>
              </w:rPr>
              <w:t>No Rest</w:t>
            </w:r>
          </w:p>
        </w:tc>
        <w:tc>
          <w:tcPr>
            <w:tcW w:w="1152" w:type="dxa"/>
            <w:tcBorders>
              <w:top w:val="single" w:sz="12" w:space="0" w:color="FFFFFF" w:themeColor="background1"/>
              <w:left w:val="single" w:sz="36" w:space="0" w:color="FFFFFF" w:themeColor="background1"/>
              <w:bottom w:val="nil"/>
              <w:right w:val="single" w:sz="36" w:space="0" w:color="FFFFFF" w:themeColor="background1"/>
            </w:tcBorders>
            <w:shd w:val="clear" w:color="auto" w:fill="auto"/>
            <w:noWrap/>
            <w:vAlign w:val="center"/>
          </w:tcPr>
          <w:p w14:paraId="1B8DB99A" w14:textId="7F56736D"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1.3 b*</w:t>
            </w:r>
          </w:p>
        </w:tc>
        <w:tc>
          <w:tcPr>
            <w:tcW w:w="1152" w:type="dxa"/>
            <w:tcBorders>
              <w:top w:val="single" w:sz="12" w:space="0" w:color="FFFFFF" w:themeColor="background1"/>
              <w:left w:val="single" w:sz="36" w:space="0" w:color="FFFFFF" w:themeColor="background1"/>
              <w:bottom w:val="nil"/>
              <w:right w:val="single" w:sz="36" w:space="0" w:color="FFFFFF" w:themeColor="background1"/>
            </w:tcBorders>
            <w:shd w:val="clear" w:color="auto" w:fill="auto"/>
            <w:noWrap/>
            <w:vAlign w:val="center"/>
          </w:tcPr>
          <w:p w14:paraId="27161539" w14:textId="739C4950"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1.3 b</w:t>
            </w:r>
          </w:p>
        </w:tc>
        <w:tc>
          <w:tcPr>
            <w:tcW w:w="1152" w:type="dxa"/>
            <w:tcBorders>
              <w:top w:val="single" w:sz="12" w:space="0" w:color="FFFFFF" w:themeColor="background1"/>
              <w:left w:val="single" w:sz="36" w:space="0" w:color="FFFFFF" w:themeColor="background1"/>
              <w:bottom w:val="nil"/>
            </w:tcBorders>
            <w:shd w:val="clear" w:color="auto" w:fill="auto"/>
            <w:vAlign w:val="center"/>
          </w:tcPr>
          <w:p w14:paraId="1539021A" w14:textId="1675ABA3"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0.5 b</w:t>
            </w:r>
          </w:p>
        </w:tc>
        <w:tc>
          <w:tcPr>
            <w:tcW w:w="1152" w:type="dxa"/>
            <w:tcBorders>
              <w:top w:val="single" w:sz="12" w:space="0" w:color="FFFFFF" w:themeColor="background1"/>
              <w:left w:val="single" w:sz="36" w:space="0" w:color="FFFFFF" w:themeColor="background1"/>
              <w:bottom w:val="nil"/>
              <w:right w:val="single" w:sz="36" w:space="0" w:color="FFFFFF" w:themeColor="background1"/>
            </w:tcBorders>
            <w:shd w:val="clear" w:color="auto" w:fill="auto"/>
            <w:vAlign w:val="center"/>
          </w:tcPr>
          <w:p w14:paraId="5464C24B" w14:textId="353EC52F"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15.5 e</w:t>
            </w:r>
          </w:p>
        </w:tc>
        <w:tc>
          <w:tcPr>
            <w:tcW w:w="1152" w:type="dxa"/>
            <w:tcBorders>
              <w:top w:val="single" w:sz="12" w:space="0" w:color="FFFFFF" w:themeColor="background1"/>
              <w:left w:val="single" w:sz="36" w:space="0" w:color="FFFFFF" w:themeColor="background1"/>
              <w:bottom w:val="nil"/>
              <w:right w:val="single" w:sz="36" w:space="0" w:color="FFFFFF" w:themeColor="background1"/>
            </w:tcBorders>
            <w:shd w:val="clear" w:color="auto" w:fill="auto"/>
            <w:vAlign w:val="center"/>
          </w:tcPr>
          <w:p w14:paraId="037C1627" w14:textId="44CBBE41"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31.3 ab</w:t>
            </w:r>
          </w:p>
        </w:tc>
        <w:tc>
          <w:tcPr>
            <w:tcW w:w="1152" w:type="dxa"/>
            <w:tcBorders>
              <w:top w:val="single" w:sz="12" w:space="0" w:color="FFFFFF" w:themeColor="background1"/>
              <w:left w:val="single" w:sz="36" w:space="0" w:color="FFFFFF" w:themeColor="background1"/>
              <w:bottom w:val="nil"/>
            </w:tcBorders>
            <w:shd w:val="clear" w:color="auto" w:fill="auto"/>
            <w:vAlign w:val="center"/>
          </w:tcPr>
          <w:p w14:paraId="3FA28C11" w14:textId="03016BBB"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1.0 f</w:t>
            </w:r>
          </w:p>
        </w:tc>
        <w:tc>
          <w:tcPr>
            <w:tcW w:w="1152" w:type="dxa"/>
            <w:tcBorders>
              <w:top w:val="single" w:sz="12" w:space="0" w:color="FFFFFF" w:themeColor="background1"/>
              <w:left w:val="single" w:sz="36" w:space="0" w:color="FFFFFF" w:themeColor="background1"/>
              <w:bottom w:val="nil"/>
              <w:right w:val="single" w:sz="36" w:space="0" w:color="FFFFFF" w:themeColor="background1"/>
            </w:tcBorders>
            <w:shd w:val="clear" w:color="auto" w:fill="auto"/>
            <w:vAlign w:val="center"/>
          </w:tcPr>
          <w:p w14:paraId="29AD0ED1" w14:textId="20F78BF1"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0.0 b</w:t>
            </w:r>
          </w:p>
        </w:tc>
        <w:tc>
          <w:tcPr>
            <w:tcW w:w="1152" w:type="dxa"/>
            <w:tcBorders>
              <w:top w:val="single" w:sz="12" w:space="0" w:color="FFFFFF" w:themeColor="background1"/>
              <w:left w:val="single" w:sz="36" w:space="0" w:color="FFFFFF" w:themeColor="background1"/>
              <w:bottom w:val="nil"/>
              <w:right w:val="single" w:sz="36" w:space="0" w:color="FFFFFF" w:themeColor="background1"/>
            </w:tcBorders>
            <w:shd w:val="clear" w:color="auto" w:fill="auto"/>
            <w:vAlign w:val="center"/>
          </w:tcPr>
          <w:p w14:paraId="6F1E4057" w14:textId="140B2B92"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0.1 b</w:t>
            </w:r>
          </w:p>
        </w:tc>
        <w:tc>
          <w:tcPr>
            <w:tcW w:w="1152" w:type="dxa"/>
            <w:tcBorders>
              <w:top w:val="single" w:sz="12" w:space="0" w:color="FFFFFF" w:themeColor="background1"/>
              <w:left w:val="single" w:sz="36" w:space="0" w:color="FFFFFF" w:themeColor="background1"/>
              <w:bottom w:val="nil"/>
            </w:tcBorders>
            <w:shd w:val="clear" w:color="auto" w:fill="auto"/>
            <w:vAlign w:val="center"/>
          </w:tcPr>
          <w:p w14:paraId="76973054" w14:textId="2C6BDE2C"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0.0 b</w:t>
            </w:r>
          </w:p>
        </w:tc>
      </w:tr>
      <w:tr w:rsidR="007B6DCE" w:rsidRPr="00BC2376" w14:paraId="66E7CBCF" w14:textId="212607EB" w:rsidTr="00540815">
        <w:trPr>
          <w:trHeight w:val="288"/>
        </w:trPr>
        <w:tc>
          <w:tcPr>
            <w:tcW w:w="1350" w:type="dxa"/>
            <w:tcBorders>
              <w:top w:val="nil"/>
              <w:left w:val="nil"/>
              <w:bottom w:val="nil"/>
              <w:right w:val="nil"/>
            </w:tcBorders>
            <w:shd w:val="clear" w:color="000000" w:fill="D9D9D9"/>
            <w:noWrap/>
            <w:vAlign w:val="center"/>
            <w:hideMark/>
          </w:tcPr>
          <w:p w14:paraId="277F3CD4" w14:textId="77777777" w:rsidR="007B6DCE" w:rsidRPr="00BC2376" w:rsidRDefault="007B6DCE" w:rsidP="00351531">
            <w:pPr>
              <w:spacing w:line="240" w:lineRule="auto"/>
              <w:rPr>
                <w:rFonts w:cs="Times New Roman"/>
                <w:color w:val="000000"/>
                <w:sz w:val="20"/>
                <w:szCs w:val="20"/>
              </w:rPr>
            </w:pPr>
            <w:r w:rsidRPr="00BC2376">
              <w:rPr>
                <w:rFonts w:cs="Times New Roman"/>
                <w:color w:val="000000"/>
                <w:sz w:val="20"/>
                <w:szCs w:val="20"/>
              </w:rPr>
              <w:t>Early Rest</w:t>
            </w:r>
          </w:p>
        </w:tc>
        <w:tc>
          <w:tcPr>
            <w:tcW w:w="1152" w:type="dxa"/>
            <w:tcBorders>
              <w:top w:val="nil"/>
              <w:left w:val="nil"/>
              <w:bottom w:val="nil"/>
              <w:right w:val="nil"/>
            </w:tcBorders>
            <w:shd w:val="clear" w:color="000000" w:fill="D9D9D9"/>
            <w:noWrap/>
            <w:vAlign w:val="center"/>
          </w:tcPr>
          <w:p w14:paraId="574D4E02" w14:textId="2635D706"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0.8 b</w:t>
            </w:r>
          </w:p>
        </w:tc>
        <w:tc>
          <w:tcPr>
            <w:tcW w:w="1152" w:type="dxa"/>
            <w:tcBorders>
              <w:top w:val="nil"/>
              <w:left w:val="nil"/>
              <w:bottom w:val="nil"/>
              <w:right w:val="nil"/>
            </w:tcBorders>
            <w:shd w:val="clear" w:color="000000" w:fill="D9D9D9"/>
            <w:noWrap/>
            <w:vAlign w:val="center"/>
          </w:tcPr>
          <w:p w14:paraId="4BB67705" w14:textId="018195D8"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0.7 b</w:t>
            </w:r>
          </w:p>
        </w:tc>
        <w:tc>
          <w:tcPr>
            <w:tcW w:w="1152" w:type="dxa"/>
            <w:tcBorders>
              <w:top w:val="nil"/>
              <w:left w:val="nil"/>
              <w:bottom w:val="nil"/>
              <w:right w:val="nil"/>
            </w:tcBorders>
            <w:shd w:val="clear" w:color="000000" w:fill="D9D9D9"/>
            <w:vAlign w:val="center"/>
          </w:tcPr>
          <w:p w14:paraId="3200E1EB" w14:textId="621FF852"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0.6 b</w:t>
            </w:r>
          </w:p>
        </w:tc>
        <w:tc>
          <w:tcPr>
            <w:tcW w:w="1152" w:type="dxa"/>
            <w:tcBorders>
              <w:top w:val="nil"/>
              <w:left w:val="nil"/>
              <w:bottom w:val="nil"/>
              <w:right w:val="nil"/>
            </w:tcBorders>
            <w:shd w:val="clear" w:color="000000" w:fill="D9D9D9"/>
            <w:vAlign w:val="center"/>
          </w:tcPr>
          <w:p w14:paraId="6C1D78D1" w14:textId="036E543F"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351531">
              <w:rPr>
                <w:rFonts w:cs="Times New Roman"/>
                <w:color w:val="000000"/>
                <w:sz w:val="20"/>
                <w:szCs w:val="20"/>
              </w:rPr>
              <w:t>1</w:t>
            </w:r>
            <w:r w:rsidR="007B6DCE" w:rsidRPr="00BC2376">
              <w:rPr>
                <w:rFonts w:cs="Times New Roman"/>
                <w:color w:val="000000"/>
                <w:sz w:val="20"/>
                <w:szCs w:val="20"/>
              </w:rPr>
              <w:t>9.3 de</w:t>
            </w:r>
          </w:p>
        </w:tc>
        <w:tc>
          <w:tcPr>
            <w:tcW w:w="1152" w:type="dxa"/>
            <w:tcBorders>
              <w:top w:val="nil"/>
              <w:left w:val="nil"/>
              <w:bottom w:val="nil"/>
              <w:right w:val="nil"/>
            </w:tcBorders>
            <w:shd w:val="clear" w:color="000000" w:fill="D9D9D9"/>
            <w:vAlign w:val="center"/>
          </w:tcPr>
          <w:p w14:paraId="73211CC4" w14:textId="43198337"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38.4 a</w:t>
            </w:r>
          </w:p>
        </w:tc>
        <w:tc>
          <w:tcPr>
            <w:tcW w:w="1152" w:type="dxa"/>
            <w:tcBorders>
              <w:top w:val="nil"/>
              <w:left w:val="nil"/>
              <w:bottom w:val="nil"/>
              <w:right w:val="nil"/>
            </w:tcBorders>
            <w:shd w:val="clear" w:color="000000" w:fill="D9D9D9"/>
            <w:vAlign w:val="center"/>
          </w:tcPr>
          <w:p w14:paraId="26F8CBC7" w14:textId="688EA3A5"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0.3 f</w:t>
            </w:r>
          </w:p>
        </w:tc>
        <w:tc>
          <w:tcPr>
            <w:tcW w:w="1152" w:type="dxa"/>
            <w:tcBorders>
              <w:top w:val="nil"/>
              <w:left w:val="nil"/>
              <w:bottom w:val="nil"/>
              <w:right w:val="nil"/>
            </w:tcBorders>
            <w:shd w:val="clear" w:color="000000" w:fill="D9D9D9"/>
            <w:vAlign w:val="center"/>
          </w:tcPr>
          <w:p w14:paraId="4B0A9085" w14:textId="29C0A3D8"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0.1 b</w:t>
            </w:r>
          </w:p>
        </w:tc>
        <w:tc>
          <w:tcPr>
            <w:tcW w:w="1152" w:type="dxa"/>
            <w:tcBorders>
              <w:top w:val="nil"/>
              <w:left w:val="nil"/>
              <w:bottom w:val="nil"/>
              <w:right w:val="nil"/>
            </w:tcBorders>
            <w:shd w:val="clear" w:color="000000" w:fill="D9D9D9"/>
            <w:vAlign w:val="center"/>
          </w:tcPr>
          <w:p w14:paraId="6F572976" w14:textId="0B32DD69"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1.2 a</w:t>
            </w:r>
          </w:p>
        </w:tc>
        <w:tc>
          <w:tcPr>
            <w:tcW w:w="1152" w:type="dxa"/>
            <w:tcBorders>
              <w:top w:val="nil"/>
              <w:left w:val="nil"/>
              <w:bottom w:val="nil"/>
              <w:right w:val="nil"/>
            </w:tcBorders>
            <w:shd w:val="clear" w:color="000000" w:fill="D9D9D9"/>
            <w:vAlign w:val="center"/>
          </w:tcPr>
          <w:p w14:paraId="7DDE8A53" w14:textId="6E383F85"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0.0 b</w:t>
            </w:r>
          </w:p>
        </w:tc>
      </w:tr>
      <w:tr w:rsidR="00540815" w:rsidRPr="00BC2376" w14:paraId="2F5127FE" w14:textId="5D6D9919" w:rsidTr="00540815">
        <w:trPr>
          <w:trHeight w:val="288"/>
        </w:trPr>
        <w:tc>
          <w:tcPr>
            <w:tcW w:w="1350" w:type="dxa"/>
            <w:tcBorders>
              <w:top w:val="nil"/>
              <w:left w:val="nil"/>
              <w:bottom w:val="nil"/>
              <w:right w:val="nil"/>
            </w:tcBorders>
            <w:shd w:val="clear" w:color="auto" w:fill="auto"/>
            <w:noWrap/>
            <w:vAlign w:val="center"/>
            <w:hideMark/>
          </w:tcPr>
          <w:p w14:paraId="6582C36D" w14:textId="77777777" w:rsidR="007B6DCE" w:rsidRPr="00BC2376" w:rsidRDefault="007B6DCE" w:rsidP="00351531">
            <w:pPr>
              <w:spacing w:line="240" w:lineRule="auto"/>
              <w:rPr>
                <w:rFonts w:cs="Times New Roman"/>
                <w:color w:val="000000"/>
                <w:sz w:val="20"/>
                <w:szCs w:val="20"/>
              </w:rPr>
            </w:pPr>
            <w:r w:rsidRPr="00BC2376">
              <w:rPr>
                <w:rFonts w:cs="Times New Roman"/>
                <w:color w:val="000000"/>
                <w:sz w:val="20"/>
                <w:szCs w:val="20"/>
              </w:rPr>
              <w:t>Middle Rest</w:t>
            </w:r>
          </w:p>
        </w:tc>
        <w:tc>
          <w:tcPr>
            <w:tcW w:w="1152" w:type="dxa"/>
            <w:tcBorders>
              <w:top w:val="nil"/>
              <w:left w:val="single" w:sz="12" w:space="0" w:color="FFFFFF"/>
              <w:bottom w:val="nil"/>
              <w:right w:val="nil"/>
            </w:tcBorders>
            <w:shd w:val="clear" w:color="auto" w:fill="auto"/>
            <w:noWrap/>
            <w:vAlign w:val="center"/>
          </w:tcPr>
          <w:p w14:paraId="649016C5" w14:textId="17D2E141"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1.4 b</w:t>
            </w:r>
          </w:p>
        </w:tc>
        <w:tc>
          <w:tcPr>
            <w:tcW w:w="1152" w:type="dxa"/>
            <w:tcBorders>
              <w:top w:val="nil"/>
              <w:left w:val="nil"/>
              <w:bottom w:val="nil"/>
              <w:right w:val="nil"/>
            </w:tcBorders>
            <w:shd w:val="clear" w:color="auto" w:fill="auto"/>
            <w:noWrap/>
            <w:vAlign w:val="center"/>
          </w:tcPr>
          <w:p w14:paraId="06C66C2C" w14:textId="38CA05CB"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0.5 b</w:t>
            </w:r>
          </w:p>
        </w:tc>
        <w:tc>
          <w:tcPr>
            <w:tcW w:w="1152" w:type="dxa"/>
            <w:tcBorders>
              <w:top w:val="nil"/>
              <w:left w:val="nil"/>
              <w:bottom w:val="nil"/>
              <w:right w:val="nil"/>
            </w:tcBorders>
            <w:shd w:val="clear" w:color="auto" w:fill="auto"/>
            <w:vAlign w:val="center"/>
          </w:tcPr>
          <w:p w14:paraId="053076FB" w14:textId="383204A9"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1.3 b</w:t>
            </w:r>
          </w:p>
        </w:tc>
        <w:tc>
          <w:tcPr>
            <w:tcW w:w="1152" w:type="dxa"/>
            <w:tcBorders>
              <w:top w:val="nil"/>
              <w:left w:val="single" w:sz="12" w:space="0" w:color="FFFFFF"/>
              <w:bottom w:val="nil"/>
              <w:right w:val="nil"/>
            </w:tcBorders>
            <w:shd w:val="clear" w:color="auto" w:fill="auto"/>
            <w:vAlign w:val="center"/>
          </w:tcPr>
          <w:p w14:paraId="36447D16" w14:textId="442232E5"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24.6 bcd</w:t>
            </w:r>
          </w:p>
        </w:tc>
        <w:tc>
          <w:tcPr>
            <w:tcW w:w="1152" w:type="dxa"/>
            <w:tcBorders>
              <w:top w:val="nil"/>
              <w:left w:val="nil"/>
              <w:bottom w:val="nil"/>
              <w:right w:val="nil"/>
            </w:tcBorders>
            <w:shd w:val="clear" w:color="auto" w:fill="auto"/>
            <w:vAlign w:val="center"/>
          </w:tcPr>
          <w:p w14:paraId="7EC460D6" w14:textId="04516EEF"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23.0 b-e</w:t>
            </w:r>
            <w:r w:rsidRPr="00540815">
              <w:rPr>
                <w:rFonts w:cs="Times New Roman"/>
                <w:color w:val="000000"/>
                <w:sz w:val="20"/>
                <w:szCs w:val="20"/>
                <w:vertAlign w:val="superscript"/>
              </w:rPr>
              <w:t>§</w:t>
            </w:r>
          </w:p>
        </w:tc>
        <w:tc>
          <w:tcPr>
            <w:tcW w:w="1152" w:type="dxa"/>
            <w:tcBorders>
              <w:top w:val="nil"/>
              <w:left w:val="nil"/>
              <w:bottom w:val="nil"/>
              <w:right w:val="nil"/>
            </w:tcBorders>
            <w:shd w:val="clear" w:color="auto" w:fill="auto"/>
            <w:vAlign w:val="center"/>
          </w:tcPr>
          <w:p w14:paraId="0AEF0D6D" w14:textId="4328F26C"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3.0 f</w:t>
            </w:r>
          </w:p>
        </w:tc>
        <w:tc>
          <w:tcPr>
            <w:tcW w:w="1152" w:type="dxa"/>
            <w:tcBorders>
              <w:top w:val="nil"/>
              <w:left w:val="single" w:sz="12" w:space="0" w:color="FFFFFF"/>
              <w:bottom w:val="nil"/>
              <w:right w:val="nil"/>
            </w:tcBorders>
            <w:shd w:val="clear" w:color="auto" w:fill="auto"/>
            <w:vAlign w:val="center"/>
          </w:tcPr>
          <w:p w14:paraId="5097332A" w14:textId="5D74AD63"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0.1 b</w:t>
            </w:r>
          </w:p>
        </w:tc>
        <w:tc>
          <w:tcPr>
            <w:tcW w:w="1152" w:type="dxa"/>
            <w:tcBorders>
              <w:top w:val="nil"/>
              <w:left w:val="nil"/>
              <w:bottom w:val="nil"/>
              <w:right w:val="nil"/>
            </w:tcBorders>
            <w:shd w:val="clear" w:color="auto" w:fill="auto"/>
            <w:vAlign w:val="center"/>
          </w:tcPr>
          <w:p w14:paraId="5392BF5A" w14:textId="7E95D91C"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0.0 b</w:t>
            </w:r>
          </w:p>
        </w:tc>
        <w:tc>
          <w:tcPr>
            <w:tcW w:w="1152" w:type="dxa"/>
            <w:tcBorders>
              <w:top w:val="nil"/>
              <w:left w:val="nil"/>
              <w:bottom w:val="nil"/>
              <w:right w:val="nil"/>
            </w:tcBorders>
            <w:shd w:val="clear" w:color="auto" w:fill="auto"/>
            <w:vAlign w:val="center"/>
          </w:tcPr>
          <w:p w14:paraId="3FC3CB84" w14:textId="5E9CFDA3"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0.0 b</w:t>
            </w:r>
          </w:p>
        </w:tc>
      </w:tr>
      <w:tr w:rsidR="007B6DCE" w:rsidRPr="00BC2376" w14:paraId="3E1900F0" w14:textId="55636F67" w:rsidTr="00540815">
        <w:trPr>
          <w:trHeight w:val="288"/>
        </w:trPr>
        <w:tc>
          <w:tcPr>
            <w:tcW w:w="1350" w:type="dxa"/>
            <w:tcBorders>
              <w:top w:val="nil"/>
              <w:left w:val="nil"/>
              <w:bottom w:val="nil"/>
              <w:right w:val="nil"/>
            </w:tcBorders>
            <w:shd w:val="clear" w:color="000000" w:fill="D9D9D9"/>
            <w:noWrap/>
            <w:vAlign w:val="center"/>
            <w:hideMark/>
          </w:tcPr>
          <w:p w14:paraId="57780693" w14:textId="77777777" w:rsidR="007B6DCE" w:rsidRPr="00BC2376" w:rsidRDefault="007B6DCE" w:rsidP="00351531">
            <w:pPr>
              <w:spacing w:line="240" w:lineRule="auto"/>
              <w:rPr>
                <w:rFonts w:cs="Times New Roman"/>
                <w:color w:val="000000"/>
                <w:sz w:val="20"/>
                <w:szCs w:val="20"/>
              </w:rPr>
            </w:pPr>
            <w:r w:rsidRPr="00BC2376">
              <w:rPr>
                <w:rFonts w:cs="Times New Roman"/>
                <w:color w:val="000000"/>
                <w:sz w:val="20"/>
                <w:szCs w:val="20"/>
              </w:rPr>
              <w:t>Late Rest</w:t>
            </w:r>
          </w:p>
        </w:tc>
        <w:tc>
          <w:tcPr>
            <w:tcW w:w="1152" w:type="dxa"/>
            <w:tcBorders>
              <w:top w:val="nil"/>
              <w:left w:val="nil"/>
              <w:bottom w:val="nil"/>
              <w:right w:val="nil"/>
            </w:tcBorders>
            <w:shd w:val="clear" w:color="000000" w:fill="D9D9D9"/>
            <w:noWrap/>
            <w:vAlign w:val="center"/>
          </w:tcPr>
          <w:p w14:paraId="32A1244C" w14:textId="196C401A"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0.4 b</w:t>
            </w:r>
          </w:p>
        </w:tc>
        <w:tc>
          <w:tcPr>
            <w:tcW w:w="1152" w:type="dxa"/>
            <w:tcBorders>
              <w:top w:val="nil"/>
              <w:left w:val="nil"/>
              <w:bottom w:val="nil"/>
              <w:right w:val="nil"/>
            </w:tcBorders>
            <w:shd w:val="clear" w:color="000000" w:fill="D9D9D9"/>
            <w:noWrap/>
            <w:vAlign w:val="center"/>
          </w:tcPr>
          <w:p w14:paraId="6AFA4ADA" w14:textId="18504760"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1.8 b</w:t>
            </w:r>
          </w:p>
        </w:tc>
        <w:tc>
          <w:tcPr>
            <w:tcW w:w="1152" w:type="dxa"/>
            <w:tcBorders>
              <w:top w:val="nil"/>
              <w:left w:val="nil"/>
              <w:bottom w:val="nil"/>
              <w:right w:val="nil"/>
            </w:tcBorders>
            <w:shd w:val="clear" w:color="000000" w:fill="D9D9D9"/>
            <w:vAlign w:val="center"/>
          </w:tcPr>
          <w:p w14:paraId="1F1685D5" w14:textId="1552F250"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4.5 b</w:t>
            </w:r>
          </w:p>
        </w:tc>
        <w:tc>
          <w:tcPr>
            <w:tcW w:w="1152" w:type="dxa"/>
            <w:tcBorders>
              <w:top w:val="nil"/>
              <w:left w:val="nil"/>
              <w:bottom w:val="nil"/>
              <w:right w:val="nil"/>
            </w:tcBorders>
            <w:shd w:val="clear" w:color="000000" w:fill="D9D9D9"/>
            <w:vAlign w:val="center"/>
          </w:tcPr>
          <w:p w14:paraId="456EE95A" w14:textId="1FFFD89A"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22.1 cde</w:t>
            </w:r>
          </w:p>
        </w:tc>
        <w:tc>
          <w:tcPr>
            <w:tcW w:w="1152" w:type="dxa"/>
            <w:tcBorders>
              <w:top w:val="nil"/>
              <w:left w:val="nil"/>
              <w:bottom w:val="nil"/>
              <w:right w:val="nil"/>
            </w:tcBorders>
            <w:shd w:val="clear" w:color="000000" w:fill="D9D9D9"/>
            <w:vAlign w:val="center"/>
          </w:tcPr>
          <w:p w14:paraId="4AF26798" w14:textId="42E91EDA"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29.6 abc</w:t>
            </w:r>
          </w:p>
        </w:tc>
        <w:tc>
          <w:tcPr>
            <w:tcW w:w="1152" w:type="dxa"/>
            <w:tcBorders>
              <w:top w:val="nil"/>
              <w:left w:val="nil"/>
              <w:bottom w:val="nil"/>
              <w:right w:val="nil"/>
            </w:tcBorders>
            <w:shd w:val="clear" w:color="000000" w:fill="D9D9D9"/>
            <w:vAlign w:val="center"/>
          </w:tcPr>
          <w:p w14:paraId="072B3C60" w14:textId="14E8DEEC"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2.8 f</w:t>
            </w:r>
          </w:p>
        </w:tc>
        <w:tc>
          <w:tcPr>
            <w:tcW w:w="1152" w:type="dxa"/>
            <w:tcBorders>
              <w:top w:val="nil"/>
              <w:left w:val="nil"/>
              <w:bottom w:val="nil"/>
              <w:right w:val="nil"/>
            </w:tcBorders>
            <w:shd w:val="clear" w:color="000000" w:fill="D9D9D9"/>
            <w:vAlign w:val="center"/>
          </w:tcPr>
          <w:p w14:paraId="62B5A433" w14:textId="75CF9F50"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0.3 b</w:t>
            </w:r>
          </w:p>
        </w:tc>
        <w:tc>
          <w:tcPr>
            <w:tcW w:w="1152" w:type="dxa"/>
            <w:tcBorders>
              <w:top w:val="nil"/>
              <w:left w:val="nil"/>
              <w:bottom w:val="nil"/>
              <w:right w:val="nil"/>
            </w:tcBorders>
            <w:shd w:val="clear" w:color="000000" w:fill="D9D9D9"/>
            <w:vAlign w:val="center"/>
          </w:tcPr>
          <w:p w14:paraId="6D6913F0" w14:textId="665C2FFA"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0.4 b</w:t>
            </w:r>
          </w:p>
        </w:tc>
        <w:tc>
          <w:tcPr>
            <w:tcW w:w="1152" w:type="dxa"/>
            <w:tcBorders>
              <w:top w:val="nil"/>
              <w:left w:val="nil"/>
              <w:bottom w:val="nil"/>
              <w:right w:val="nil"/>
            </w:tcBorders>
            <w:shd w:val="clear" w:color="000000" w:fill="D9D9D9"/>
            <w:vAlign w:val="center"/>
          </w:tcPr>
          <w:p w14:paraId="732ECF1A" w14:textId="5173D1CE"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0.2 b</w:t>
            </w:r>
          </w:p>
        </w:tc>
      </w:tr>
      <w:tr w:rsidR="00540815" w:rsidRPr="00BC2376" w14:paraId="47846D7E" w14:textId="65CC0E75" w:rsidTr="00540815">
        <w:trPr>
          <w:trHeight w:val="288"/>
        </w:trPr>
        <w:tc>
          <w:tcPr>
            <w:tcW w:w="1350" w:type="dxa"/>
            <w:tcBorders>
              <w:top w:val="nil"/>
              <w:left w:val="nil"/>
              <w:bottom w:val="single" w:sz="12" w:space="0" w:color="auto"/>
              <w:right w:val="nil"/>
            </w:tcBorders>
            <w:shd w:val="clear" w:color="auto" w:fill="auto"/>
            <w:noWrap/>
            <w:vAlign w:val="center"/>
            <w:hideMark/>
          </w:tcPr>
          <w:p w14:paraId="6045D8BE" w14:textId="77777777" w:rsidR="007B6DCE" w:rsidRPr="00BC2376" w:rsidRDefault="007B6DCE" w:rsidP="00351531">
            <w:pPr>
              <w:spacing w:line="240" w:lineRule="auto"/>
              <w:rPr>
                <w:rFonts w:cs="Times New Roman"/>
                <w:color w:val="000000"/>
                <w:sz w:val="20"/>
                <w:szCs w:val="20"/>
              </w:rPr>
            </w:pPr>
            <w:r w:rsidRPr="00BC2376">
              <w:rPr>
                <w:rFonts w:cs="Times New Roman"/>
                <w:color w:val="000000"/>
                <w:sz w:val="20"/>
                <w:szCs w:val="20"/>
              </w:rPr>
              <w:t>No Graze</w:t>
            </w:r>
          </w:p>
        </w:tc>
        <w:tc>
          <w:tcPr>
            <w:tcW w:w="1152" w:type="dxa"/>
            <w:tcBorders>
              <w:top w:val="nil"/>
              <w:left w:val="single" w:sz="12" w:space="0" w:color="FFFFFF"/>
              <w:bottom w:val="single" w:sz="12" w:space="0" w:color="auto"/>
              <w:right w:val="nil"/>
            </w:tcBorders>
            <w:shd w:val="clear" w:color="auto" w:fill="auto"/>
            <w:noWrap/>
            <w:vAlign w:val="center"/>
          </w:tcPr>
          <w:p w14:paraId="7298DDE4" w14:textId="631335FF"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0.0 b</w:t>
            </w:r>
          </w:p>
        </w:tc>
        <w:tc>
          <w:tcPr>
            <w:tcW w:w="1152" w:type="dxa"/>
            <w:tcBorders>
              <w:top w:val="nil"/>
              <w:left w:val="nil"/>
              <w:bottom w:val="single" w:sz="12" w:space="0" w:color="auto"/>
              <w:right w:val="nil"/>
            </w:tcBorders>
            <w:shd w:val="clear" w:color="auto" w:fill="auto"/>
            <w:noWrap/>
            <w:vAlign w:val="center"/>
          </w:tcPr>
          <w:p w14:paraId="6D85711B" w14:textId="6962ADC4"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3.7 b</w:t>
            </w:r>
          </w:p>
        </w:tc>
        <w:tc>
          <w:tcPr>
            <w:tcW w:w="1152" w:type="dxa"/>
            <w:tcBorders>
              <w:top w:val="nil"/>
              <w:left w:val="nil"/>
              <w:bottom w:val="single" w:sz="12" w:space="0" w:color="auto"/>
              <w:right w:val="nil"/>
            </w:tcBorders>
            <w:shd w:val="clear" w:color="auto" w:fill="auto"/>
            <w:vAlign w:val="center"/>
          </w:tcPr>
          <w:p w14:paraId="33510D9F" w14:textId="0E2D2494"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16.1 a</w:t>
            </w:r>
          </w:p>
        </w:tc>
        <w:tc>
          <w:tcPr>
            <w:tcW w:w="1152" w:type="dxa"/>
            <w:tcBorders>
              <w:top w:val="nil"/>
              <w:left w:val="single" w:sz="12" w:space="0" w:color="FFFFFF"/>
              <w:bottom w:val="single" w:sz="12" w:space="0" w:color="auto"/>
              <w:right w:val="nil"/>
            </w:tcBorders>
            <w:shd w:val="clear" w:color="auto" w:fill="auto"/>
            <w:vAlign w:val="center"/>
          </w:tcPr>
          <w:p w14:paraId="192ECCD7" w14:textId="54AE49E4"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14.3 e</w:t>
            </w:r>
          </w:p>
        </w:tc>
        <w:tc>
          <w:tcPr>
            <w:tcW w:w="1152" w:type="dxa"/>
            <w:tcBorders>
              <w:top w:val="nil"/>
              <w:left w:val="nil"/>
              <w:bottom w:val="single" w:sz="12" w:space="0" w:color="auto"/>
              <w:right w:val="nil"/>
            </w:tcBorders>
            <w:shd w:val="clear" w:color="auto" w:fill="auto"/>
            <w:vAlign w:val="center"/>
          </w:tcPr>
          <w:p w14:paraId="68138F51" w14:textId="7F290F3B"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351531">
              <w:rPr>
                <w:rFonts w:cs="Times New Roman"/>
                <w:color w:val="000000"/>
                <w:sz w:val="20"/>
                <w:szCs w:val="20"/>
              </w:rPr>
              <w:t>3</w:t>
            </w:r>
            <w:r w:rsidR="007B6DCE" w:rsidRPr="00BC2376">
              <w:rPr>
                <w:rFonts w:cs="Times New Roman"/>
                <w:color w:val="000000"/>
                <w:sz w:val="20"/>
                <w:szCs w:val="20"/>
              </w:rPr>
              <w:t>4.2 a</w:t>
            </w:r>
          </w:p>
        </w:tc>
        <w:tc>
          <w:tcPr>
            <w:tcW w:w="1152" w:type="dxa"/>
            <w:tcBorders>
              <w:top w:val="nil"/>
              <w:left w:val="nil"/>
              <w:bottom w:val="single" w:sz="12" w:space="0" w:color="auto"/>
              <w:right w:val="nil"/>
            </w:tcBorders>
            <w:shd w:val="clear" w:color="auto" w:fill="auto"/>
            <w:vAlign w:val="center"/>
          </w:tcPr>
          <w:p w14:paraId="480938A9" w14:textId="44BCB45D"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1.9 f</w:t>
            </w:r>
          </w:p>
        </w:tc>
        <w:tc>
          <w:tcPr>
            <w:tcW w:w="1152" w:type="dxa"/>
            <w:tcBorders>
              <w:top w:val="nil"/>
              <w:left w:val="single" w:sz="12" w:space="0" w:color="FFFFFF"/>
              <w:bottom w:val="single" w:sz="12" w:space="0" w:color="auto"/>
              <w:right w:val="nil"/>
            </w:tcBorders>
            <w:shd w:val="clear" w:color="auto" w:fill="auto"/>
            <w:vAlign w:val="center"/>
          </w:tcPr>
          <w:p w14:paraId="60537BA3" w14:textId="292D17F4"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0.1 b</w:t>
            </w:r>
          </w:p>
        </w:tc>
        <w:tc>
          <w:tcPr>
            <w:tcW w:w="1152" w:type="dxa"/>
            <w:tcBorders>
              <w:top w:val="nil"/>
              <w:left w:val="nil"/>
              <w:bottom w:val="single" w:sz="12" w:space="0" w:color="auto"/>
              <w:right w:val="nil"/>
            </w:tcBorders>
            <w:shd w:val="clear" w:color="auto" w:fill="auto"/>
            <w:vAlign w:val="center"/>
          </w:tcPr>
          <w:p w14:paraId="7DBB13F2" w14:textId="15CFE56B"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0.4 b</w:t>
            </w:r>
          </w:p>
        </w:tc>
        <w:tc>
          <w:tcPr>
            <w:tcW w:w="1152" w:type="dxa"/>
            <w:tcBorders>
              <w:top w:val="nil"/>
              <w:left w:val="nil"/>
              <w:bottom w:val="single" w:sz="12" w:space="0" w:color="auto"/>
              <w:right w:val="nil"/>
            </w:tcBorders>
            <w:shd w:val="clear" w:color="auto" w:fill="auto"/>
            <w:vAlign w:val="center"/>
          </w:tcPr>
          <w:p w14:paraId="0CF93529" w14:textId="63B923B2" w:rsidR="007B6DCE" w:rsidRPr="00BC2376" w:rsidRDefault="00540815" w:rsidP="00351531">
            <w:pPr>
              <w:spacing w:line="240" w:lineRule="auto"/>
              <w:rPr>
                <w:rFonts w:cs="Times New Roman"/>
                <w:color w:val="000000"/>
                <w:sz w:val="20"/>
                <w:szCs w:val="20"/>
              </w:rPr>
            </w:pPr>
            <w:r>
              <w:rPr>
                <w:rFonts w:cs="Times New Roman"/>
                <w:color w:val="000000"/>
                <w:sz w:val="20"/>
                <w:szCs w:val="20"/>
              </w:rPr>
              <w:t xml:space="preserve">   </w:t>
            </w:r>
            <w:r w:rsidR="007B6DCE" w:rsidRPr="00BC2376">
              <w:rPr>
                <w:rFonts w:cs="Times New Roman"/>
                <w:color w:val="000000"/>
                <w:sz w:val="20"/>
                <w:szCs w:val="20"/>
              </w:rPr>
              <w:t>0.5 b</w:t>
            </w:r>
          </w:p>
        </w:tc>
      </w:tr>
    </w:tbl>
    <w:bookmarkEnd w:id="198"/>
    <w:p w14:paraId="5BC7E538" w14:textId="23C591C6" w:rsidR="00CF7A38" w:rsidRDefault="00CF7A38" w:rsidP="00CF7A38">
      <w:pPr>
        <w:spacing w:line="240" w:lineRule="auto"/>
        <w:rPr>
          <w:rFonts w:eastAsia="Calibri" w:cs="Times New Roman"/>
        </w:rPr>
      </w:pPr>
      <w:r w:rsidRPr="00BC2376">
        <w:rPr>
          <w:rFonts w:eastAsia="Calibri" w:cs="Times New Roman"/>
        </w:rPr>
        <w:t>†</w:t>
      </w:r>
      <w:r w:rsidRPr="00BC2376">
        <w:rPr>
          <w:rFonts w:eastAsia="Calibri" w:cs="Times New Roman"/>
          <w:bCs/>
        </w:rPr>
        <w:t>DITI = dixie ticktrefoil, LANC = lanceleaf coreopsis, PPEA = partridge pea</w:t>
      </w:r>
    </w:p>
    <w:p w14:paraId="66DD6B65" w14:textId="41A72977" w:rsidR="00CF7A38" w:rsidRDefault="00CF7A38" w:rsidP="00CF7A38">
      <w:pPr>
        <w:spacing w:line="240" w:lineRule="auto"/>
        <w:rPr>
          <w:rFonts w:eastAsia="Calibri" w:cs="Times New Roman"/>
        </w:rPr>
      </w:pPr>
      <w:r>
        <w:rPr>
          <w:rFonts w:eastAsia="Calibri" w:cs="Times New Roman"/>
        </w:rPr>
        <w:t>‡</w:t>
      </w:r>
      <w:r w:rsidR="00C97F99">
        <w:rPr>
          <w:rFonts w:eastAsia="Calibri" w:cs="Times New Roman"/>
        </w:rPr>
        <w:t>Grazing</w:t>
      </w:r>
      <w:r w:rsidRPr="00BC2376">
        <w:rPr>
          <w:rFonts w:eastAsia="Calibri" w:cs="Times New Roman"/>
        </w:rPr>
        <w:t xml:space="preserve"> treatment (no rest, early rest, middle rest, late rest, or no graze); Year = 2018, 2019, or 2020</w:t>
      </w:r>
    </w:p>
    <w:p w14:paraId="55BE6DE2" w14:textId="6BB71605" w:rsidR="00CF7A38" w:rsidRPr="00BC2376" w:rsidRDefault="00CF7A38" w:rsidP="00CF7A38">
      <w:pPr>
        <w:spacing w:line="240" w:lineRule="auto"/>
        <w:rPr>
          <w:rFonts w:cs="Times New Roman"/>
        </w:rPr>
      </w:pPr>
      <w:r>
        <w:rPr>
          <w:rFonts w:eastAsia="Calibri" w:cs="Times New Roman"/>
        </w:rPr>
        <w:t xml:space="preserve">§Letter groups consisting of four or more sequential letters are written with the first and last letter with a dash in between </w:t>
      </w:r>
    </w:p>
    <w:p w14:paraId="173718EE" w14:textId="26C9B2CF" w:rsidR="00CF7A38" w:rsidRDefault="00CF7A38" w:rsidP="00CF7A38">
      <w:pPr>
        <w:spacing w:line="240" w:lineRule="auto"/>
        <w:rPr>
          <w:rFonts w:eastAsia="Calibri" w:cs="Times New Roman"/>
        </w:rPr>
      </w:pPr>
      <w:r w:rsidRPr="00BC2376">
        <w:t xml:space="preserve">*Different letters </w:t>
      </w:r>
      <w:r>
        <w:t xml:space="preserve">within a species </w:t>
      </w:r>
      <w:r w:rsidRPr="00BC2376">
        <w:t xml:space="preserve">indicate significant difference at α = 0.05 for </w:t>
      </w:r>
      <w:r>
        <w:t xml:space="preserve">Rest x </w:t>
      </w:r>
      <w:r w:rsidRPr="00BC2376">
        <w:t>Year interaction (Fisher’s least significant difference).</w:t>
      </w:r>
    </w:p>
    <w:p w14:paraId="0FBA7BA9" w14:textId="77777777" w:rsidR="00C91ACA" w:rsidRDefault="00C91ACA" w:rsidP="00B572F9">
      <w:pPr>
        <w:spacing w:line="240" w:lineRule="auto"/>
        <w:rPr>
          <w:rFonts w:cs="Times New Roman"/>
          <w:b/>
          <w:bCs/>
        </w:rPr>
        <w:sectPr w:rsidR="00C91ACA" w:rsidSect="00172787">
          <w:pgSz w:w="15840" w:h="12240" w:orient="landscape" w:code="1"/>
          <w:pgMar w:top="1440" w:right="1800" w:bottom="1872" w:left="1800" w:header="720" w:footer="1440" w:gutter="0"/>
          <w:cols w:space="720"/>
          <w:noEndnote/>
          <w:docGrid w:linePitch="360"/>
        </w:sectPr>
      </w:pPr>
    </w:p>
    <w:p w14:paraId="01591047" w14:textId="43E8B71E" w:rsidR="0037107A" w:rsidRPr="00BC2376" w:rsidRDefault="0037107A" w:rsidP="00A01E34">
      <w:pPr>
        <w:pStyle w:val="Tables"/>
        <w:spacing w:before="0" w:after="60"/>
        <w:rPr>
          <w:b/>
        </w:rPr>
      </w:pPr>
      <w:bookmarkStart w:id="199" w:name="_Toc72300408"/>
      <w:bookmarkStart w:id="200" w:name="_Hlk67612381"/>
      <w:bookmarkStart w:id="201" w:name="_Hlk67619871"/>
      <w:r w:rsidRPr="00BC2376">
        <w:lastRenderedPageBreak/>
        <w:t>Table 2</w:t>
      </w:r>
      <w:r>
        <w:t>.8.</w:t>
      </w:r>
      <w:r w:rsidRPr="00BC2376">
        <w:t xml:space="preserve">  Mean plant density (plants m</w:t>
      </w:r>
      <w:r w:rsidRPr="00BC2376">
        <w:rPr>
          <w:vertAlign w:val="superscript"/>
        </w:rPr>
        <w:t>-2</w:t>
      </w:r>
      <w:r w:rsidRPr="00BC2376">
        <w:t xml:space="preserve">) </w:t>
      </w:r>
      <w:r>
        <w:t>for DITI, LANC, OXEY, PLAC, and PPEA for</w:t>
      </w:r>
      <w:r w:rsidRPr="00BC2376">
        <w:t xml:space="preserve"> period </w:t>
      </w:r>
      <w:r>
        <w:t>by year</w:t>
      </w:r>
      <w:r w:rsidRPr="00BC2376">
        <w:t xml:space="preserve"> i</w:t>
      </w:r>
      <w:r>
        <w:t xml:space="preserve">n a switchgrass </w:t>
      </w:r>
      <w:r w:rsidRPr="00BC2376">
        <w:t>pasture</w:t>
      </w:r>
      <w:r w:rsidRPr="001157ED">
        <w:t xml:space="preserve"> </w:t>
      </w:r>
      <w:r w:rsidRPr="00BC2376">
        <w:t xml:space="preserve">for native </w:t>
      </w:r>
      <w:r w:rsidR="00706798">
        <w:t xml:space="preserve">grass </w:t>
      </w:r>
      <w:r w:rsidRPr="00BC2376">
        <w:t>pasture grazing experiment, 2018-2020, University of Tennessee – Northeast Tennessee AgResearch and Education Center, Greeneville, TN.</w:t>
      </w:r>
      <w:bookmarkEnd w:id="199"/>
    </w:p>
    <w:tbl>
      <w:tblPr>
        <w:tblW w:w="7020" w:type="dxa"/>
        <w:tblLook w:val="04A0" w:firstRow="1" w:lastRow="0" w:firstColumn="1" w:lastColumn="0" w:noHBand="0" w:noVBand="1"/>
      </w:tblPr>
      <w:tblGrid>
        <w:gridCol w:w="2070"/>
        <w:gridCol w:w="1080"/>
        <w:gridCol w:w="990"/>
        <w:gridCol w:w="990"/>
        <w:gridCol w:w="990"/>
        <w:gridCol w:w="900"/>
      </w:tblGrid>
      <w:tr w:rsidR="0037107A" w:rsidRPr="00BC2376" w14:paraId="3EBF8A14" w14:textId="77777777" w:rsidTr="0037107A">
        <w:trPr>
          <w:trHeight w:val="312"/>
        </w:trPr>
        <w:tc>
          <w:tcPr>
            <w:tcW w:w="2070" w:type="dxa"/>
            <w:tcBorders>
              <w:top w:val="single" w:sz="12" w:space="0" w:color="auto"/>
              <w:left w:val="nil"/>
              <w:bottom w:val="single" w:sz="12" w:space="0" w:color="auto"/>
              <w:right w:val="single" w:sz="36" w:space="0" w:color="FFFFFF" w:themeColor="background1"/>
            </w:tcBorders>
            <w:shd w:val="clear" w:color="auto" w:fill="auto"/>
            <w:noWrap/>
            <w:vAlign w:val="center"/>
            <w:hideMark/>
          </w:tcPr>
          <w:bookmarkEnd w:id="200"/>
          <w:p w14:paraId="50D224B8" w14:textId="77777777" w:rsidR="0037107A" w:rsidRPr="00BC2376" w:rsidRDefault="0037107A" w:rsidP="00D3370F">
            <w:pPr>
              <w:spacing w:line="240" w:lineRule="auto"/>
              <w:rPr>
                <w:rFonts w:cs="Times New Roman"/>
                <w:color w:val="000000"/>
                <w:sz w:val="20"/>
                <w:szCs w:val="20"/>
              </w:rPr>
            </w:pPr>
            <w:r w:rsidRPr="00BC2376">
              <w:rPr>
                <w:rFonts w:cs="Times New Roman"/>
                <w:color w:val="000000"/>
                <w:sz w:val="20"/>
                <w:szCs w:val="20"/>
              </w:rPr>
              <w:t>Period/Year</w:t>
            </w:r>
          </w:p>
        </w:tc>
        <w:tc>
          <w:tcPr>
            <w:tcW w:w="1080"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28D79823"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DITI</w:t>
            </w:r>
            <w:r w:rsidRPr="00565016">
              <w:rPr>
                <w:rFonts w:eastAsia="Calibri" w:cs="Times New Roman"/>
                <w:vertAlign w:val="superscript"/>
              </w:rPr>
              <w:t>†</w:t>
            </w:r>
          </w:p>
        </w:tc>
        <w:tc>
          <w:tcPr>
            <w:tcW w:w="990"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71F44E3A"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LANC</w:t>
            </w:r>
          </w:p>
        </w:tc>
        <w:tc>
          <w:tcPr>
            <w:tcW w:w="990"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446A0D44"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OXEY</w:t>
            </w:r>
          </w:p>
        </w:tc>
        <w:tc>
          <w:tcPr>
            <w:tcW w:w="990"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338BCFD5"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PLAC</w:t>
            </w:r>
          </w:p>
        </w:tc>
        <w:tc>
          <w:tcPr>
            <w:tcW w:w="900" w:type="dxa"/>
            <w:tcBorders>
              <w:top w:val="single" w:sz="12" w:space="0" w:color="auto"/>
              <w:left w:val="single" w:sz="36" w:space="0" w:color="FFFFFF" w:themeColor="background1"/>
              <w:bottom w:val="single" w:sz="12" w:space="0" w:color="auto"/>
            </w:tcBorders>
            <w:shd w:val="clear" w:color="auto" w:fill="auto"/>
            <w:vAlign w:val="center"/>
            <w:hideMark/>
          </w:tcPr>
          <w:p w14:paraId="15B0E7F6"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PPEA</w:t>
            </w:r>
          </w:p>
        </w:tc>
      </w:tr>
      <w:tr w:rsidR="0037107A" w:rsidRPr="00BC2376" w14:paraId="4E56ED58" w14:textId="77777777" w:rsidTr="0037107A">
        <w:trPr>
          <w:trHeight w:val="324"/>
        </w:trPr>
        <w:tc>
          <w:tcPr>
            <w:tcW w:w="2070" w:type="dxa"/>
            <w:tcBorders>
              <w:top w:val="single" w:sz="12" w:space="0" w:color="auto"/>
              <w:left w:val="nil"/>
              <w:bottom w:val="single" w:sz="12" w:space="0" w:color="FFFFFF" w:themeColor="background1"/>
              <w:right w:val="single" w:sz="36" w:space="0" w:color="FFFFFF" w:themeColor="background1"/>
            </w:tcBorders>
            <w:noWrap/>
            <w:vAlign w:val="center"/>
          </w:tcPr>
          <w:p w14:paraId="55210691" w14:textId="77777777" w:rsidR="0037107A" w:rsidRDefault="0037107A" w:rsidP="00D3370F">
            <w:pPr>
              <w:spacing w:line="240" w:lineRule="auto"/>
              <w:rPr>
                <w:rFonts w:cs="Times New Roman"/>
                <w:color w:val="000000"/>
                <w:sz w:val="20"/>
                <w:szCs w:val="20"/>
              </w:rPr>
            </w:pPr>
          </w:p>
        </w:tc>
        <w:tc>
          <w:tcPr>
            <w:tcW w:w="4950" w:type="dxa"/>
            <w:gridSpan w:val="5"/>
            <w:tcBorders>
              <w:top w:val="single" w:sz="12" w:space="0" w:color="auto"/>
              <w:left w:val="single" w:sz="36" w:space="0" w:color="FFFFFF" w:themeColor="background1"/>
            </w:tcBorders>
            <w:shd w:val="clear" w:color="auto" w:fill="auto"/>
            <w:noWrap/>
            <w:vAlign w:val="center"/>
          </w:tcPr>
          <w:p w14:paraId="6F05D8B1" w14:textId="77777777" w:rsidR="0037107A" w:rsidRDefault="0037107A" w:rsidP="00D3370F">
            <w:pPr>
              <w:spacing w:line="240" w:lineRule="auto"/>
              <w:jc w:val="center"/>
              <w:rPr>
                <w:rFonts w:cs="Times New Roman"/>
                <w:color w:val="000000"/>
                <w:sz w:val="20"/>
                <w:szCs w:val="20"/>
              </w:rPr>
            </w:pPr>
            <w:r>
              <w:rPr>
                <w:rFonts w:cs="Times New Roman"/>
                <w:color w:val="000000"/>
                <w:sz w:val="20"/>
                <w:szCs w:val="20"/>
              </w:rPr>
              <w:t>-----------------------------plants m</w:t>
            </w:r>
            <w:r w:rsidRPr="00D215CC">
              <w:rPr>
                <w:rFonts w:cs="Times New Roman"/>
                <w:color w:val="000000"/>
                <w:sz w:val="20"/>
                <w:szCs w:val="20"/>
                <w:vertAlign w:val="superscript"/>
              </w:rPr>
              <w:t>-2</w:t>
            </w:r>
            <w:r>
              <w:rPr>
                <w:rFonts w:cs="Times New Roman"/>
                <w:color w:val="000000"/>
                <w:sz w:val="20"/>
                <w:szCs w:val="20"/>
              </w:rPr>
              <w:t>-------------------------</w:t>
            </w:r>
          </w:p>
        </w:tc>
      </w:tr>
      <w:tr w:rsidR="0037107A" w:rsidRPr="00BC2376" w14:paraId="67825CA4" w14:textId="77777777" w:rsidTr="0037107A">
        <w:trPr>
          <w:trHeight w:val="324"/>
        </w:trPr>
        <w:tc>
          <w:tcPr>
            <w:tcW w:w="2070" w:type="dxa"/>
            <w:tcBorders>
              <w:top w:val="single" w:sz="12" w:space="0" w:color="FFFFFF" w:themeColor="background1"/>
              <w:left w:val="nil"/>
              <w:bottom w:val="nil"/>
              <w:right w:val="single" w:sz="36" w:space="0" w:color="FFFFFF" w:themeColor="background1"/>
            </w:tcBorders>
            <w:noWrap/>
            <w:vAlign w:val="center"/>
            <w:hideMark/>
          </w:tcPr>
          <w:p w14:paraId="77DC2A4C" w14:textId="77777777" w:rsidR="0037107A" w:rsidRPr="00BC2376" w:rsidRDefault="0037107A" w:rsidP="00D3370F">
            <w:pPr>
              <w:spacing w:line="240" w:lineRule="auto"/>
              <w:rPr>
                <w:rFonts w:cs="Times New Roman"/>
                <w:color w:val="000000"/>
                <w:sz w:val="20"/>
                <w:szCs w:val="20"/>
              </w:rPr>
            </w:pPr>
            <w:r>
              <w:rPr>
                <w:rFonts w:cs="Times New Roman"/>
                <w:color w:val="000000"/>
                <w:sz w:val="20"/>
                <w:szCs w:val="20"/>
              </w:rPr>
              <w:t>Pre-grazing</w:t>
            </w:r>
            <w:r w:rsidRPr="00BC2376">
              <w:rPr>
                <w:rFonts w:cs="Times New Roman"/>
                <w:color w:val="000000"/>
                <w:sz w:val="20"/>
                <w:szCs w:val="20"/>
              </w:rPr>
              <w:t xml:space="preserve"> 2018</w:t>
            </w:r>
            <w:r>
              <w:rPr>
                <w:rFonts w:cs="Times New Roman"/>
                <w:color w:val="000000"/>
                <w:sz w:val="20"/>
                <w:szCs w:val="20"/>
                <w:vertAlign w:val="superscript"/>
              </w:rPr>
              <w:t>‡</w:t>
            </w:r>
          </w:p>
        </w:tc>
        <w:tc>
          <w:tcPr>
            <w:tcW w:w="1080" w:type="dxa"/>
            <w:tcBorders>
              <w:left w:val="single" w:sz="36" w:space="0" w:color="FFFFFF" w:themeColor="background1"/>
              <w:bottom w:val="nil"/>
              <w:right w:val="single" w:sz="36" w:space="0" w:color="FFFFFF" w:themeColor="background1"/>
            </w:tcBorders>
            <w:shd w:val="clear" w:color="auto" w:fill="auto"/>
            <w:noWrap/>
            <w:vAlign w:val="center"/>
          </w:tcPr>
          <w:p w14:paraId="544FA3F0"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 xml:space="preserve">  0.8 b*</w:t>
            </w:r>
          </w:p>
        </w:tc>
        <w:tc>
          <w:tcPr>
            <w:tcW w:w="990" w:type="dxa"/>
            <w:tcBorders>
              <w:left w:val="single" w:sz="36" w:space="0" w:color="FFFFFF" w:themeColor="background1"/>
              <w:bottom w:val="nil"/>
              <w:right w:val="single" w:sz="36" w:space="0" w:color="FFFFFF" w:themeColor="background1"/>
            </w:tcBorders>
            <w:shd w:val="clear" w:color="auto" w:fill="auto"/>
            <w:noWrap/>
            <w:vAlign w:val="center"/>
          </w:tcPr>
          <w:p w14:paraId="0E51119F"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19.6 b</w:t>
            </w:r>
          </w:p>
        </w:tc>
        <w:tc>
          <w:tcPr>
            <w:tcW w:w="990" w:type="dxa"/>
            <w:tcBorders>
              <w:left w:val="single" w:sz="36" w:space="0" w:color="FFFFFF" w:themeColor="background1"/>
              <w:bottom w:val="nil"/>
              <w:right w:val="single" w:sz="36" w:space="0" w:color="FFFFFF" w:themeColor="background1"/>
            </w:tcBorders>
            <w:vAlign w:val="center"/>
          </w:tcPr>
          <w:p w14:paraId="571DB5A9"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0.4 c</w:t>
            </w:r>
          </w:p>
        </w:tc>
        <w:tc>
          <w:tcPr>
            <w:tcW w:w="990" w:type="dxa"/>
            <w:tcBorders>
              <w:left w:val="single" w:sz="36" w:space="0" w:color="FFFFFF" w:themeColor="background1"/>
              <w:bottom w:val="nil"/>
              <w:right w:val="single" w:sz="36" w:space="0" w:color="FFFFFF" w:themeColor="background1"/>
            </w:tcBorders>
            <w:vAlign w:val="center"/>
          </w:tcPr>
          <w:p w14:paraId="29CEF760"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32.3 a</w:t>
            </w:r>
          </w:p>
        </w:tc>
        <w:tc>
          <w:tcPr>
            <w:tcW w:w="900" w:type="dxa"/>
            <w:tcBorders>
              <w:left w:val="single" w:sz="36" w:space="0" w:color="FFFFFF" w:themeColor="background1"/>
              <w:bottom w:val="nil"/>
            </w:tcBorders>
            <w:shd w:val="clear" w:color="auto" w:fill="auto"/>
            <w:vAlign w:val="center"/>
          </w:tcPr>
          <w:p w14:paraId="03F4F5B2"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0.1 b</w:t>
            </w:r>
          </w:p>
        </w:tc>
      </w:tr>
      <w:tr w:rsidR="0037107A" w:rsidRPr="00BC2376" w14:paraId="51EFB9F9" w14:textId="77777777" w:rsidTr="0037107A">
        <w:trPr>
          <w:trHeight w:val="288"/>
        </w:trPr>
        <w:tc>
          <w:tcPr>
            <w:tcW w:w="2070" w:type="dxa"/>
            <w:tcBorders>
              <w:top w:val="nil"/>
              <w:left w:val="nil"/>
              <w:bottom w:val="nil"/>
              <w:right w:val="nil"/>
            </w:tcBorders>
            <w:shd w:val="clear" w:color="000000" w:fill="D9D9D9"/>
            <w:noWrap/>
            <w:vAlign w:val="center"/>
            <w:hideMark/>
          </w:tcPr>
          <w:p w14:paraId="0F28FB83" w14:textId="77777777" w:rsidR="0037107A" w:rsidRPr="00BC2376" w:rsidRDefault="0037107A" w:rsidP="00D3370F">
            <w:pPr>
              <w:spacing w:line="240" w:lineRule="auto"/>
              <w:rPr>
                <w:rFonts w:cs="Times New Roman"/>
                <w:color w:val="000000"/>
                <w:sz w:val="20"/>
                <w:szCs w:val="20"/>
              </w:rPr>
            </w:pPr>
            <w:r>
              <w:rPr>
                <w:rFonts w:cs="Times New Roman"/>
                <w:color w:val="000000"/>
                <w:sz w:val="20"/>
                <w:szCs w:val="20"/>
              </w:rPr>
              <w:t>Post-grazing</w:t>
            </w:r>
            <w:r w:rsidRPr="00BC2376">
              <w:rPr>
                <w:rFonts w:cs="Times New Roman"/>
                <w:color w:val="000000"/>
                <w:sz w:val="20"/>
                <w:szCs w:val="20"/>
              </w:rPr>
              <w:t xml:space="preserve"> 2018</w:t>
            </w:r>
          </w:p>
        </w:tc>
        <w:tc>
          <w:tcPr>
            <w:tcW w:w="1080" w:type="dxa"/>
            <w:tcBorders>
              <w:top w:val="nil"/>
              <w:left w:val="single" w:sz="12" w:space="0" w:color="D9D9D9" w:themeColor="background1" w:themeShade="D9"/>
              <w:bottom w:val="nil"/>
              <w:right w:val="single" w:sz="12" w:space="0" w:color="D9D9D9" w:themeColor="background1" w:themeShade="D9"/>
            </w:tcBorders>
            <w:shd w:val="clear" w:color="000000" w:fill="D9D9D9"/>
            <w:noWrap/>
            <w:vAlign w:val="center"/>
          </w:tcPr>
          <w:p w14:paraId="324594B3"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0.8 b</w:t>
            </w:r>
          </w:p>
        </w:tc>
        <w:tc>
          <w:tcPr>
            <w:tcW w:w="990" w:type="dxa"/>
            <w:tcBorders>
              <w:top w:val="nil"/>
              <w:left w:val="single" w:sz="12" w:space="0" w:color="D9D9D9" w:themeColor="background1" w:themeShade="D9"/>
              <w:bottom w:val="nil"/>
              <w:right w:val="single" w:sz="12" w:space="0" w:color="D9D9D9" w:themeColor="background1" w:themeShade="D9"/>
            </w:tcBorders>
            <w:shd w:val="clear" w:color="000000" w:fill="D9D9D9"/>
            <w:noWrap/>
            <w:vAlign w:val="center"/>
          </w:tcPr>
          <w:p w14:paraId="32667523"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18.8 b</w:t>
            </w:r>
          </w:p>
        </w:tc>
        <w:tc>
          <w:tcPr>
            <w:tcW w:w="990" w:type="dxa"/>
            <w:tcBorders>
              <w:top w:val="nil"/>
              <w:left w:val="single" w:sz="12" w:space="0" w:color="D9D9D9" w:themeColor="background1" w:themeShade="D9"/>
              <w:bottom w:val="nil"/>
              <w:right w:val="single" w:sz="12" w:space="0" w:color="D9D9D9" w:themeColor="background1" w:themeShade="D9"/>
            </w:tcBorders>
            <w:shd w:val="clear" w:color="000000" w:fill="D9D9D9"/>
            <w:vAlign w:val="center"/>
          </w:tcPr>
          <w:p w14:paraId="1FA89EF3"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1.0 c</w:t>
            </w:r>
          </w:p>
        </w:tc>
        <w:tc>
          <w:tcPr>
            <w:tcW w:w="990" w:type="dxa"/>
            <w:tcBorders>
              <w:top w:val="nil"/>
              <w:left w:val="single" w:sz="12" w:space="0" w:color="D9D9D9" w:themeColor="background1" w:themeShade="D9"/>
              <w:bottom w:val="nil"/>
              <w:right w:val="single" w:sz="12" w:space="0" w:color="D9D9D9" w:themeColor="background1" w:themeShade="D9"/>
            </w:tcBorders>
            <w:shd w:val="clear" w:color="000000" w:fill="D9D9D9"/>
            <w:vAlign w:val="center"/>
          </w:tcPr>
          <w:p w14:paraId="22E6A4F3"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 xml:space="preserve">  0.4 b</w:t>
            </w:r>
          </w:p>
        </w:tc>
        <w:tc>
          <w:tcPr>
            <w:tcW w:w="900" w:type="dxa"/>
            <w:tcBorders>
              <w:top w:val="nil"/>
              <w:left w:val="single" w:sz="12" w:space="0" w:color="D9D9D9" w:themeColor="background1" w:themeShade="D9"/>
              <w:bottom w:val="nil"/>
              <w:right w:val="nil"/>
            </w:tcBorders>
            <w:shd w:val="clear" w:color="000000" w:fill="D9D9D9"/>
            <w:vAlign w:val="center"/>
          </w:tcPr>
          <w:p w14:paraId="0552BB7F"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0.2 b</w:t>
            </w:r>
          </w:p>
        </w:tc>
      </w:tr>
      <w:tr w:rsidR="0037107A" w:rsidRPr="00BC2376" w14:paraId="248EC743" w14:textId="77777777" w:rsidTr="0037107A">
        <w:trPr>
          <w:trHeight w:val="288"/>
        </w:trPr>
        <w:tc>
          <w:tcPr>
            <w:tcW w:w="2070" w:type="dxa"/>
            <w:tcBorders>
              <w:top w:val="nil"/>
              <w:left w:val="nil"/>
              <w:bottom w:val="nil"/>
              <w:right w:val="nil"/>
            </w:tcBorders>
            <w:noWrap/>
            <w:vAlign w:val="center"/>
            <w:hideMark/>
          </w:tcPr>
          <w:p w14:paraId="74BE6031" w14:textId="77777777" w:rsidR="0037107A" w:rsidRPr="00BC2376" w:rsidRDefault="0037107A" w:rsidP="00D3370F">
            <w:pPr>
              <w:spacing w:line="240" w:lineRule="auto"/>
              <w:rPr>
                <w:rFonts w:cs="Times New Roman"/>
                <w:color w:val="000000"/>
                <w:sz w:val="20"/>
                <w:szCs w:val="20"/>
              </w:rPr>
            </w:pPr>
            <w:r>
              <w:rPr>
                <w:rFonts w:cs="Times New Roman"/>
                <w:color w:val="000000"/>
                <w:sz w:val="20"/>
                <w:szCs w:val="20"/>
              </w:rPr>
              <w:t>Pre-grazing</w:t>
            </w:r>
            <w:r w:rsidRPr="00BC2376">
              <w:rPr>
                <w:rFonts w:cs="Times New Roman"/>
                <w:color w:val="000000"/>
                <w:sz w:val="20"/>
                <w:szCs w:val="20"/>
              </w:rPr>
              <w:t xml:space="preserve"> 2019</w:t>
            </w:r>
          </w:p>
        </w:tc>
        <w:tc>
          <w:tcPr>
            <w:tcW w:w="1080" w:type="dxa"/>
            <w:tcBorders>
              <w:top w:val="nil"/>
              <w:left w:val="single" w:sz="12" w:space="0" w:color="FFFFFF"/>
              <w:bottom w:val="nil"/>
              <w:right w:val="nil"/>
            </w:tcBorders>
            <w:shd w:val="clear" w:color="auto" w:fill="auto"/>
            <w:noWrap/>
            <w:vAlign w:val="center"/>
          </w:tcPr>
          <w:p w14:paraId="467D36BB"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1.2 b</w:t>
            </w:r>
          </w:p>
        </w:tc>
        <w:tc>
          <w:tcPr>
            <w:tcW w:w="990" w:type="dxa"/>
            <w:tcBorders>
              <w:top w:val="nil"/>
              <w:left w:val="nil"/>
              <w:bottom w:val="nil"/>
              <w:right w:val="nil"/>
            </w:tcBorders>
            <w:shd w:val="clear" w:color="auto" w:fill="auto"/>
            <w:noWrap/>
            <w:vAlign w:val="center"/>
          </w:tcPr>
          <w:p w14:paraId="4CA97262"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44.8 a</w:t>
            </w:r>
          </w:p>
        </w:tc>
        <w:tc>
          <w:tcPr>
            <w:tcW w:w="990" w:type="dxa"/>
            <w:tcBorders>
              <w:top w:val="nil"/>
              <w:left w:val="nil"/>
              <w:bottom w:val="nil"/>
              <w:right w:val="nil"/>
            </w:tcBorders>
            <w:vAlign w:val="center"/>
          </w:tcPr>
          <w:p w14:paraId="1B95FA43"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 xml:space="preserve">  3.7 ab</w:t>
            </w:r>
          </w:p>
        </w:tc>
        <w:tc>
          <w:tcPr>
            <w:tcW w:w="990" w:type="dxa"/>
            <w:tcBorders>
              <w:top w:val="nil"/>
              <w:left w:val="nil"/>
              <w:bottom w:val="nil"/>
              <w:right w:val="nil"/>
            </w:tcBorders>
            <w:vAlign w:val="center"/>
          </w:tcPr>
          <w:p w14:paraId="63AE9BF4"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 xml:space="preserve">  1.1 b</w:t>
            </w:r>
          </w:p>
        </w:tc>
        <w:tc>
          <w:tcPr>
            <w:tcW w:w="900" w:type="dxa"/>
            <w:tcBorders>
              <w:top w:val="nil"/>
              <w:left w:val="nil"/>
              <w:bottom w:val="nil"/>
              <w:right w:val="nil"/>
            </w:tcBorders>
            <w:shd w:val="clear" w:color="auto" w:fill="auto"/>
            <w:vAlign w:val="center"/>
          </w:tcPr>
          <w:p w14:paraId="3CA1C1A6"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0.7 a</w:t>
            </w:r>
          </w:p>
        </w:tc>
      </w:tr>
      <w:tr w:rsidR="0037107A" w:rsidRPr="00BC2376" w14:paraId="32D774A3" w14:textId="77777777" w:rsidTr="0037107A">
        <w:trPr>
          <w:trHeight w:val="288"/>
        </w:trPr>
        <w:tc>
          <w:tcPr>
            <w:tcW w:w="2070" w:type="dxa"/>
            <w:tcBorders>
              <w:top w:val="nil"/>
              <w:left w:val="nil"/>
              <w:bottom w:val="nil"/>
              <w:right w:val="nil"/>
            </w:tcBorders>
            <w:shd w:val="clear" w:color="000000" w:fill="D9D9D9"/>
            <w:noWrap/>
            <w:vAlign w:val="center"/>
            <w:hideMark/>
          </w:tcPr>
          <w:p w14:paraId="147F1389" w14:textId="77777777" w:rsidR="0037107A" w:rsidRPr="00BC2376" w:rsidRDefault="0037107A" w:rsidP="00D3370F">
            <w:pPr>
              <w:spacing w:line="240" w:lineRule="auto"/>
              <w:rPr>
                <w:rFonts w:cs="Times New Roman"/>
                <w:color w:val="000000"/>
                <w:sz w:val="20"/>
                <w:szCs w:val="20"/>
              </w:rPr>
            </w:pPr>
            <w:r>
              <w:rPr>
                <w:rFonts w:cs="Times New Roman"/>
                <w:color w:val="000000"/>
                <w:sz w:val="20"/>
                <w:szCs w:val="20"/>
              </w:rPr>
              <w:t>Post-grazing</w:t>
            </w:r>
            <w:r w:rsidRPr="00BC2376">
              <w:rPr>
                <w:rFonts w:cs="Times New Roman"/>
                <w:color w:val="000000"/>
                <w:sz w:val="20"/>
                <w:szCs w:val="20"/>
              </w:rPr>
              <w:t xml:space="preserve"> 2019</w:t>
            </w:r>
          </w:p>
        </w:tc>
        <w:tc>
          <w:tcPr>
            <w:tcW w:w="1080" w:type="dxa"/>
            <w:tcBorders>
              <w:top w:val="nil"/>
              <w:left w:val="single" w:sz="12" w:space="0" w:color="D9D9D9" w:themeColor="background1" w:themeShade="D9"/>
              <w:bottom w:val="nil"/>
              <w:right w:val="single" w:sz="12" w:space="0" w:color="D9D9D9" w:themeColor="background1" w:themeShade="D9"/>
            </w:tcBorders>
            <w:shd w:val="clear" w:color="000000" w:fill="D9D9D9"/>
            <w:noWrap/>
            <w:vAlign w:val="center"/>
          </w:tcPr>
          <w:p w14:paraId="6A1D191A"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2.0 b</w:t>
            </w:r>
          </w:p>
        </w:tc>
        <w:tc>
          <w:tcPr>
            <w:tcW w:w="990" w:type="dxa"/>
            <w:tcBorders>
              <w:top w:val="nil"/>
              <w:left w:val="single" w:sz="12" w:space="0" w:color="D9D9D9" w:themeColor="background1" w:themeShade="D9"/>
              <w:bottom w:val="nil"/>
              <w:right w:val="single" w:sz="12" w:space="0" w:color="D9D9D9" w:themeColor="background1" w:themeShade="D9"/>
            </w:tcBorders>
            <w:shd w:val="clear" w:color="000000" w:fill="D9D9D9"/>
            <w:noWrap/>
            <w:vAlign w:val="center"/>
          </w:tcPr>
          <w:p w14:paraId="7958EC55"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17.8 b</w:t>
            </w:r>
          </w:p>
        </w:tc>
        <w:tc>
          <w:tcPr>
            <w:tcW w:w="990" w:type="dxa"/>
            <w:tcBorders>
              <w:top w:val="nil"/>
              <w:left w:val="single" w:sz="12" w:space="0" w:color="D9D9D9" w:themeColor="background1" w:themeShade="D9"/>
              <w:bottom w:val="nil"/>
              <w:right w:val="single" w:sz="12" w:space="0" w:color="D9D9D9" w:themeColor="background1" w:themeShade="D9"/>
            </w:tcBorders>
            <w:shd w:val="clear" w:color="000000" w:fill="D9D9D9"/>
            <w:vAlign w:val="center"/>
          </w:tcPr>
          <w:p w14:paraId="636F7CAD"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 xml:space="preserve">  3.0 bc</w:t>
            </w:r>
          </w:p>
        </w:tc>
        <w:tc>
          <w:tcPr>
            <w:tcW w:w="990" w:type="dxa"/>
            <w:tcBorders>
              <w:top w:val="nil"/>
              <w:left w:val="single" w:sz="12" w:space="0" w:color="D9D9D9" w:themeColor="background1" w:themeShade="D9"/>
              <w:bottom w:val="nil"/>
              <w:right w:val="single" w:sz="12" w:space="0" w:color="D9D9D9" w:themeColor="background1" w:themeShade="D9"/>
            </w:tcBorders>
            <w:shd w:val="clear" w:color="000000" w:fill="D9D9D9"/>
            <w:vAlign w:val="center"/>
          </w:tcPr>
          <w:p w14:paraId="470EE62B"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 xml:space="preserve">  0.0 b</w:t>
            </w:r>
          </w:p>
        </w:tc>
        <w:tc>
          <w:tcPr>
            <w:tcW w:w="900" w:type="dxa"/>
            <w:tcBorders>
              <w:top w:val="nil"/>
              <w:left w:val="single" w:sz="12" w:space="0" w:color="D9D9D9" w:themeColor="background1" w:themeShade="D9"/>
              <w:bottom w:val="nil"/>
              <w:right w:val="nil"/>
            </w:tcBorders>
            <w:shd w:val="clear" w:color="000000" w:fill="D9D9D9"/>
            <w:vAlign w:val="center"/>
          </w:tcPr>
          <w:p w14:paraId="21A0D9FD"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0.2 b</w:t>
            </w:r>
          </w:p>
        </w:tc>
      </w:tr>
      <w:tr w:rsidR="0037107A" w:rsidRPr="00BC2376" w14:paraId="4885CA1C" w14:textId="77777777" w:rsidTr="0037107A">
        <w:trPr>
          <w:trHeight w:val="288"/>
        </w:trPr>
        <w:tc>
          <w:tcPr>
            <w:tcW w:w="2070" w:type="dxa"/>
            <w:tcBorders>
              <w:top w:val="nil"/>
              <w:left w:val="nil"/>
              <w:bottom w:val="nil"/>
              <w:right w:val="nil"/>
            </w:tcBorders>
            <w:noWrap/>
            <w:vAlign w:val="center"/>
            <w:hideMark/>
          </w:tcPr>
          <w:p w14:paraId="0EA24DC3" w14:textId="77777777" w:rsidR="0037107A" w:rsidRPr="00BC2376" w:rsidRDefault="0037107A" w:rsidP="00D3370F">
            <w:pPr>
              <w:spacing w:line="240" w:lineRule="auto"/>
              <w:rPr>
                <w:rFonts w:cs="Times New Roman"/>
                <w:color w:val="000000"/>
                <w:sz w:val="20"/>
                <w:szCs w:val="20"/>
              </w:rPr>
            </w:pPr>
            <w:r>
              <w:rPr>
                <w:rFonts w:cs="Times New Roman"/>
                <w:color w:val="000000"/>
                <w:sz w:val="20"/>
                <w:szCs w:val="20"/>
              </w:rPr>
              <w:t>Pre-grazing</w:t>
            </w:r>
            <w:r w:rsidRPr="00BC2376">
              <w:rPr>
                <w:rFonts w:cs="Times New Roman"/>
                <w:color w:val="000000"/>
                <w:sz w:val="20"/>
                <w:szCs w:val="20"/>
              </w:rPr>
              <w:t xml:space="preserve"> 2020</w:t>
            </w:r>
          </w:p>
        </w:tc>
        <w:tc>
          <w:tcPr>
            <w:tcW w:w="1080" w:type="dxa"/>
            <w:tcBorders>
              <w:top w:val="nil"/>
              <w:left w:val="single" w:sz="12" w:space="0" w:color="FFFFFF"/>
              <w:bottom w:val="nil"/>
              <w:right w:val="nil"/>
            </w:tcBorders>
            <w:shd w:val="clear" w:color="auto" w:fill="auto"/>
            <w:noWrap/>
            <w:vAlign w:val="center"/>
          </w:tcPr>
          <w:p w14:paraId="038DDC54"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6.9 a</w:t>
            </w:r>
          </w:p>
        </w:tc>
        <w:tc>
          <w:tcPr>
            <w:tcW w:w="990" w:type="dxa"/>
            <w:tcBorders>
              <w:top w:val="nil"/>
              <w:left w:val="nil"/>
              <w:bottom w:val="nil"/>
              <w:right w:val="nil"/>
            </w:tcBorders>
            <w:shd w:val="clear" w:color="auto" w:fill="auto"/>
            <w:noWrap/>
            <w:vAlign w:val="center"/>
          </w:tcPr>
          <w:p w14:paraId="744A359D"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 xml:space="preserve">  2.4 c</w:t>
            </w:r>
          </w:p>
        </w:tc>
        <w:tc>
          <w:tcPr>
            <w:tcW w:w="990" w:type="dxa"/>
            <w:tcBorders>
              <w:top w:val="nil"/>
              <w:left w:val="nil"/>
              <w:bottom w:val="nil"/>
              <w:right w:val="nil"/>
            </w:tcBorders>
            <w:vAlign w:val="center"/>
          </w:tcPr>
          <w:p w14:paraId="5DF7C397"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 xml:space="preserve"> 6.1 a</w:t>
            </w:r>
          </w:p>
        </w:tc>
        <w:tc>
          <w:tcPr>
            <w:tcW w:w="990" w:type="dxa"/>
            <w:tcBorders>
              <w:top w:val="nil"/>
              <w:left w:val="nil"/>
              <w:bottom w:val="nil"/>
              <w:right w:val="nil"/>
            </w:tcBorders>
            <w:vAlign w:val="center"/>
          </w:tcPr>
          <w:p w14:paraId="051765EE"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 xml:space="preserve">  1.7 b</w:t>
            </w:r>
          </w:p>
        </w:tc>
        <w:tc>
          <w:tcPr>
            <w:tcW w:w="900" w:type="dxa"/>
            <w:tcBorders>
              <w:top w:val="nil"/>
              <w:left w:val="nil"/>
              <w:bottom w:val="nil"/>
              <w:right w:val="nil"/>
            </w:tcBorders>
            <w:shd w:val="clear" w:color="auto" w:fill="auto"/>
            <w:vAlign w:val="center"/>
          </w:tcPr>
          <w:p w14:paraId="6DAE086A"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0.1 b</w:t>
            </w:r>
          </w:p>
        </w:tc>
      </w:tr>
      <w:tr w:rsidR="0037107A" w:rsidRPr="00BC2376" w14:paraId="3A0F511C" w14:textId="77777777" w:rsidTr="0037107A">
        <w:trPr>
          <w:trHeight w:val="288"/>
        </w:trPr>
        <w:tc>
          <w:tcPr>
            <w:tcW w:w="2070" w:type="dxa"/>
            <w:tcBorders>
              <w:top w:val="nil"/>
              <w:left w:val="nil"/>
              <w:bottom w:val="single" w:sz="12" w:space="0" w:color="auto"/>
              <w:right w:val="single" w:sz="12" w:space="0" w:color="D9D9D9" w:themeColor="background1" w:themeShade="D9"/>
            </w:tcBorders>
            <w:shd w:val="clear" w:color="auto" w:fill="D9D9D9" w:themeFill="background1" w:themeFillShade="D9"/>
            <w:noWrap/>
            <w:vAlign w:val="center"/>
          </w:tcPr>
          <w:p w14:paraId="4FA77AE6" w14:textId="77777777" w:rsidR="0037107A" w:rsidRPr="00BC2376" w:rsidRDefault="0037107A" w:rsidP="00D3370F">
            <w:pPr>
              <w:spacing w:line="240" w:lineRule="auto"/>
              <w:rPr>
                <w:rFonts w:cs="Times New Roman"/>
                <w:color w:val="000000"/>
                <w:sz w:val="20"/>
                <w:szCs w:val="20"/>
              </w:rPr>
            </w:pPr>
            <w:r>
              <w:rPr>
                <w:rFonts w:cs="Times New Roman"/>
                <w:color w:val="000000"/>
                <w:sz w:val="20"/>
                <w:szCs w:val="20"/>
              </w:rPr>
              <w:t>Post-grazing</w:t>
            </w:r>
            <w:r w:rsidRPr="00BC2376">
              <w:rPr>
                <w:rFonts w:cs="Times New Roman"/>
                <w:color w:val="000000"/>
                <w:sz w:val="20"/>
                <w:szCs w:val="20"/>
              </w:rPr>
              <w:t xml:space="preserve"> 2020</w:t>
            </w:r>
          </w:p>
        </w:tc>
        <w:tc>
          <w:tcPr>
            <w:tcW w:w="1080" w:type="dxa"/>
            <w:tcBorders>
              <w:top w:val="nil"/>
              <w:left w:val="single" w:sz="12" w:space="0" w:color="D9D9D9" w:themeColor="background1" w:themeShade="D9"/>
              <w:bottom w:val="single" w:sz="12" w:space="0" w:color="auto"/>
              <w:right w:val="single" w:sz="12" w:space="0" w:color="D9D9D9" w:themeColor="background1" w:themeShade="D9"/>
            </w:tcBorders>
            <w:shd w:val="clear" w:color="auto" w:fill="D9D9D9" w:themeFill="background1" w:themeFillShade="D9"/>
            <w:noWrap/>
            <w:vAlign w:val="center"/>
          </w:tcPr>
          <w:p w14:paraId="6722A484"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2.2 b</w:t>
            </w:r>
          </w:p>
        </w:tc>
        <w:tc>
          <w:tcPr>
            <w:tcW w:w="990" w:type="dxa"/>
            <w:tcBorders>
              <w:top w:val="nil"/>
              <w:left w:val="single" w:sz="12" w:space="0" w:color="D9D9D9" w:themeColor="background1" w:themeShade="D9"/>
              <w:bottom w:val="single" w:sz="12" w:space="0" w:color="auto"/>
              <w:right w:val="single" w:sz="12" w:space="0" w:color="D9D9D9" w:themeColor="background1" w:themeShade="D9"/>
            </w:tcBorders>
            <w:shd w:val="clear" w:color="auto" w:fill="D9D9D9" w:themeFill="background1" w:themeFillShade="D9"/>
            <w:noWrap/>
            <w:vAlign w:val="center"/>
          </w:tcPr>
          <w:p w14:paraId="370E496D"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 xml:space="preserve">  1.2 c</w:t>
            </w:r>
          </w:p>
        </w:tc>
        <w:tc>
          <w:tcPr>
            <w:tcW w:w="990" w:type="dxa"/>
            <w:tcBorders>
              <w:top w:val="nil"/>
              <w:left w:val="single" w:sz="12" w:space="0" w:color="D9D9D9" w:themeColor="background1" w:themeShade="D9"/>
              <w:bottom w:val="single" w:sz="12" w:space="0" w:color="auto"/>
              <w:right w:val="single" w:sz="12" w:space="0" w:color="D9D9D9" w:themeColor="background1" w:themeShade="D9"/>
            </w:tcBorders>
            <w:shd w:val="clear" w:color="auto" w:fill="D9D9D9" w:themeFill="background1" w:themeFillShade="D9"/>
            <w:vAlign w:val="center"/>
          </w:tcPr>
          <w:p w14:paraId="3A239C89"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 xml:space="preserve">   2.1 bc</w:t>
            </w:r>
          </w:p>
        </w:tc>
        <w:tc>
          <w:tcPr>
            <w:tcW w:w="990" w:type="dxa"/>
            <w:tcBorders>
              <w:top w:val="nil"/>
              <w:left w:val="single" w:sz="12" w:space="0" w:color="D9D9D9" w:themeColor="background1" w:themeShade="D9"/>
              <w:bottom w:val="single" w:sz="12" w:space="0" w:color="auto"/>
              <w:right w:val="single" w:sz="12" w:space="0" w:color="D9D9D9" w:themeColor="background1" w:themeShade="D9"/>
            </w:tcBorders>
            <w:shd w:val="clear" w:color="auto" w:fill="D9D9D9" w:themeFill="background1" w:themeFillShade="D9"/>
            <w:vAlign w:val="center"/>
          </w:tcPr>
          <w:p w14:paraId="0339079E"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 xml:space="preserve">  0.0 b</w:t>
            </w:r>
          </w:p>
        </w:tc>
        <w:tc>
          <w:tcPr>
            <w:tcW w:w="900" w:type="dxa"/>
            <w:tcBorders>
              <w:top w:val="nil"/>
              <w:left w:val="single" w:sz="12" w:space="0" w:color="D9D9D9" w:themeColor="background1" w:themeShade="D9"/>
              <w:bottom w:val="single" w:sz="12" w:space="0" w:color="auto"/>
              <w:right w:val="nil"/>
            </w:tcBorders>
            <w:shd w:val="clear" w:color="auto" w:fill="D9D9D9" w:themeFill="background1" w:themeFillShade="D9"/>
            <w:vAlign w:val="center"/>
          </w:tcPr>
          <w:p w14:paraId="3DE5F5B1" w14:textId="77777777" w:rsidR="0037107A" w:rsidRPr="00BC2376" w:rsidRDefault="0037107A" w:rsidP="00D3370F">
            <w:pPr>
              <w:spacing w:line="240" w:lineRule="auto"/>
              <w:jc w:val="center"/>
              <w:rPr>
                <w:rFonts w:cs="Times New Roman"/>
                <w:color w:val="000000"/>
                <w:sz w:val="20"/>
                <w:szCs w:val="20"/>
              </w:rPr>
            </w:pPr>
            <w:r>
              <w:rPr>
                <w:rFonts w:cs="Times New Roman"/>
                <w:color w:val="000000"/>
                <w:sz w:val="20"/>
                <w:szCs w:val="20"/>
              </w:rPr>
              <w:t>0.1 b</w:t>
            </w:r>
          </w:p>
        </w:tc>
      </w:tr>
    </w:tbl>
    <w:p w14:paraId="78A7666D" w14:textId="77777777" w:rsidR="0037107A" w:rsidRDefault="0037107A" w:rsidP="0037107A">
      <w:pPr>
        <w:spacing w:line="240" w:lineRule="auto"/>
        <w:rPr>
          <w:rFonts w:eastAsia="Calibri" w:cs="Times New Roman"/>
        </w:rPr>
      </w:pPr>
      <w:bookmarkStart w:id="202" w:name="_Hlk67612442"/>
      <w:r w:rsidRPr="00BC2376">
        <w:rPr>
          <w:rFonts w:eastAsia="Calibri" w:cs="Times New Roman"/>
        </w:rPr>
        <w:t>†</w:t>
      </w:r>
      <w:r w:rsidRPr="00BC2376">
        <w:rPr>
          <w:rFonts w:eastAsia="Calibri" w:cs="Times New Roman"/>
          <w:bCs/>
        </w:rPr>
        <w:t>DITI = dixie ticktrefoil, LANC = lanceleaf coreopsis, OXEY = oxeye sunflower, PLAC = plains coreopsis, PPEA = partridge pea</w:t>
      </w:r>
    </w:p>
    <w:p w14:paraId="491159D6" w14:textId="77777777" w:rsidR="0037107A" w:rsidRDefault="0037107A" w:rsidP="0037107A">
      <w:pPr>
        <w:spacing w:line="240" w:lineRule="auto"/>
        <w:rPr>
          <w:rFonts w:eastAsia="Calibri" w:cs="Times New Roman"/>
        </w:rPr>
      </w:pPr>
      <w:r>
        <w:rPr>
          <w:rFonts w:eastAsia="Calibri" w:cs="Times New Roman"/>
        </w:rPr>
        <w:t>‡Pre-grazing 2018, 2019, 2020 = May; Post-grazing 2018, 2019 = September; Post-grazing 2020 = August</w:t>
      </w:r>
    </w:p>
    <w:p w14:paraId="39B0327F" w14:textId="5F562A7A" w:rsidR="0037107A" w:rsidRDefault="0037107A" w:rsidP="0037107A">
      <w:pPr>
        <w:spacing w:line="240" w:lineRule="auto"/>
      </w:pPr>
      <w:r w:rsidRPr="00BC2376">
        <w:t xml:space="preserve">*Different letters </w:t>
      </w:r>
      <w:r>
        <w:t xml:space="preserve">within a column </w:t>
      </w:r>
      <w:r w:rsidRPr="00BC2376">
        <w:t>indicate significant difference at α = 0.05 for Year x Period interaction (Fisher’s least significant difference).</w:t>
      </w:r>
    </w:p>
    <w:p w14:paraId="07A86FDA" w14:textId="77777777" w:rsidR="00F84C04" w:rsidRDefault="00F84C04" w:rsidP="0037107A">
      <w:pPr>
        <w:spacing w:line="240" w:lineRule="auto"/>
      </w:pPr>
    </w:p>
    <w:p w14:paraId="43744A60" w14:textId="77777777" w:rsidR="00F84C04" w:rsidRDefault="00F84C04" w:rsidP="0037107A">
      <w:pPr>
        <w:spacing w:line="240" w:lineRule="auto"/>
        <w:sectPr w:rsidR="00F84C04" w:rsidSect="002A59E2">
          <w:pgSz w:w="12240" w:h="15840" w:code="1"/>
          <w:pgMar w:top="1440" w:right="1800" w:bottom="1872" w:left="1800" w:header="720" w:footer="1440" w:gutter="0"/>
          <w:cols w:space="720"/>
          <w:noEndnote/>
          <w:docGrid w:linePitch="360"/>
        </w:sectPr>
      </w:pPr>
    </w:p>
    <w:p w14:paraId="4E432EDC" w14:textId="5649FC45" w:rsidR="00F84C04" w:rsidRPr="00BC2376" w:rsidRDefault="00F84C04" w:rsidP="00A01E34">
      <w:pPr>
        <w:pStyle w:val="Tables"/>
        <w:spacing w:before="0" w:after="60"/>
        <w:rPr>
          <w:b/>
        </w:rPr>
      </w:pPr>
      <w:bookmarkStart w:id="203" w:name="_Toc72300409"/>
      <w:bookmarkStart w:id="204" w:name="_Hlk69700256"/>
      <w:r w:rsidRPr="00BC2376">
        <w:lastRenderedPageBreak/>
        <w:t>Table 2</w:t>
      </w:r>
      <w:r>
        <w:t>.9.</w:t>
      </w:r>
      <w:r w:rsidRPr="00BC2376">
        <w:t xml:space="preserve">  </w:t>
      </w:r>
      <w:r>
        <w:t xml:space="preserve">Forb species overall rank for abundance, persistence, and flowering for </w:t>
      </w:r>
      <w:r w:rsidRPr="00BC2376">
        <w:t xml:space="preserve">11 native forb species </w:t>
      </w:r>
      <w:r>
        <w:t>planted</w:t>
      </w:r>
      <w:r w:rsidRPr="00BC2376">
        <w:t xml:space="preserve"> within </w:t>
      </w:r>
      <w:r>
        <w:t>switchgrass and big bluestem/</w:t>
      </w:r>
      <w:r w:rsidR="00CA684B">
        <w:t>i</w:t>
      </w:r>
      <w:r w:rsidR="003D3A24">
        <w:t>ndiangrass</w:t>
      </w:r>
      <w:r>
        <w:t xml:space="preserve"> </w:t>
      </w:r>
      <w:r w:rsidRPr="00BC2376">
        <w:t>pasture</w:t>
      </w:r>
      <w:r>
        <w:t>s</w:t>
      </w:r>
      <w:r w:rsidRPr="00BC2376">
        <w:t xml:space="preserve"> for native </w:t>
      </w:r>
      <w:r>
        <w:t xml:space="preserve">grass </w:t>
      </w:r>
      <w:r w:rsidRPr="00BC2376">
        <w:t>pasture grazing experiments, 2018-2020, University of Tennessee – Northeast Tennessee AgResearch and Education Center, Greeneville, TN.</w:t>
      </w:r>
      <w:bookmarkEnd w:id="203"/>
    </w:p>
    <w:tbl>
      <w:tblPr>
        <w:tblW w:w="8721" w:type="dxa"/>
        <w:tblLook w:val="04A0" w:firstRow="1" w:lastRow="0" w:firstColumn="1" w:lastColumn="0" w:noHBand="0" w:noVBand="1"/>
      </w:tblPr>
      <w:tblGrid>
        <w:gridCol w:w="905"/>
        <w:gridCol w:w="1255"/>
        <w:gridCol w:w="904"/>
        <w:gridCol w:w="1127"/>
        <w:gridCol w:w="904"/>
        <w:gridCol w:w="1043"/>
        <w:gridCol w:w="980"/>
        <w:gridCol w:w="898"/>
        <w:gridCol w:w="881"/>
      </w:tblGrid>
      <w:tr w:rsidR="00F84C04" w:rsidRPr="0022011B" w14:paraId="258A1583" w14:textId="77777777" w:rsidTr="00F84C04">
        <w:trPr>
          <w:trHeight w:val="289"/>
        </w:trPr>
        <w:tc>
          <w:tcPr>
            <w:tcW w:w="8721" w:type="dxa"/>
            <w:gridSpan w:val="9"/>
            <w:tcBorders>
              <w:top w:val="single" w:sz="12" w:space="0" w:color="auto"/>
              <w:left w:val="nil"/>
              <w:right w:val="nil"/>
            </w:tcBorders>
            <w:shd w:val="clear" w:color="auto" w:fill="auto"/>
            <w:noWrap/>
            <w:vAlign w:val="center"/>
            <w:hideMark/>
          </w:tcPr>
          <w:p w14:paraId="026987C4" w14:textId="77777777" w:rsidR="00F84C04" w:rsidRPr="0022011B" w:rsidRDefault="00F84C04" w:rsidP="00E40C28">
            <w:pPr>
              <w:spacing w:line="240" w:lineRule="auto"/>
              <w:jc w:val="center"/>
              <w:rPr>
                <w:rFonts w:cs="Times New Roman"/>
                <w:sz w:val="20"/>
                <w:szCs w:val="20"/>
              </w:rPr>
            </w:pPr>
            <w:r>
              <w:rPr>
                <w:rFonts w:cs="Times New Roman"/>
                <w:color w:val="000000"/>
                <w:sz w:val="20"/>
                <w:szCs w:val="20"/>
              </w:rPr>
              <w:t>Switchgrass</w:t>
            </w:r>
          </w:p>
        </w:tc>
      </w:tr>
      <w:tr w:rsidR="00F84C04" w:rsidRPr="0022011B" w14:paraId="64504F77" w14:textId="77777777" w:rsidTr="00F84C04">
        <w:trPr>
          <w:trHeight w:val="289"/>
        </w:trPr>
        <w:tc>
          <w:tcPr>
            <w:tcW w:w="905" w:type="dxa"/>
            <w:tcBorders>
              <w:top w:val="single" w:sz="12" w:space="0" w:color="000000" w:themeColor="text1"/>
              <w:left w:val="nil"/>
              <w:bottom w:val="single" w:sz="12" w:space="0" w:color="auto"/>
              <w:right w:val="single" w:sz="36" w:space="0" w:color="FFFFFF" w:themeColor="background1"/>
            </w:tcBorders>
            <w:shd w:val="clear" w:color="auto" w:fill="auto"/>
            <w:noWrap/>
            <w:vAlign w:val="bottom"/>
            <w:hideMark/>
          </w:tcPr>
          <w:p w14:paraId="3D681BFB" w14:textId="77777777" w:rsidR="00F84C04" w:rsidRPr="0022011B" w:rsidRDefault="00F84C04" w:rsidP="00E40C28">
            <w:pPr>
              <w:spacing w:line="240" w:lineRule="auto"/>
              <w:jc w:val="center"/>
              <w:rPr>
                <w:rFonts w:cs="Times New Roman"/>
                <w:sz w:val="20"/>
                <w:szCs w:val="20"/>
              </w:rPr>
            </w:pPr>
            <w:r>
              <w:rPr>
                <w:rFonts w:cs="Times New Roman"/>
                <w:sz w:val="20"/>
                <w:szCs w:val="20"/>
              </w:rPr>
              <w:t>Forb Species</w:t>
            </w:r>
            <w:r w:rsidRPr="00D90908">
              <w:rPr>
                <w:rFonts w:cs="Times New Roman"/>
                <w:color w:val="000000"/>
                <w:sz w:val="20"/>
                <w:szCs w:val="20"/>
                <w:vertAlign w:val="superscript"/>
              </w:rPr>
              <w:t>†</w:t>
            </w:r>
          </w:p>
        </w:tc>
        <w:tc>
          <w:tcPr>
            <w:tcW w:w="1255"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bottom"/>
            <w:hideMark/>
          </w:tcPr>
          <w:p w14:paraId="77DADCC0" w14:textId="77777777" w:rsidR="00F84C04" w:rsidRDefault="00F84C04" w:rsidP="00E40C28">
            <w:pPr>
              <w:spacing w:line="240" w:lineRule="auto"/>
              <w:jc w:val="center"/>
              <w:rPr>
                <w:rFonts w:cs="Times New Roman"/>
                <w:color w:val="000000"/>
                <w:sz w:val="20"/>
                <w:szCs w:val="20"/>
              </w:rPr>
            </w:pPr>
            <w:r w:rsidRPr="00F84C04">
              <w:rPr>
                <w:rFonts w:cs="Times New Roman"/>
                <w:color w:val="000000"/>
                <w:sz w:val="20"/>
                <w:szCs w:val="20"/>
              </w:rPr>
              <w:t>Abundance</w:t>
            </w:r>
          </w:p>
          <w:p w14:paraId="5E065169" w14:textId="334C2470" w:rsidR="00F84C04" w:rsidRPr="0022011B" w:rsidRDefault="00F84C04" w:rsidP="00E40C28">
            <w:pPr>
              <w:spacing w:line="240" w:lineRule="auto"/>
              <w:jc w:val="center"/>
              <w:rPr>
                <w:rFonts w:cs="Times New Roman"/>
                <w:color w:val="000000"/>
                <w:sz w:val="20"/>
                <w:szCs w:val="20"/>
              </w:rPr>
            </w:pPr>
            <w:r>
              <w:rPr>
                <w:rFonts w:cs="Times New Roman"/>
                <w:color w:val="000000"/>
                <w:sz w:val="20"/>
                <w:szCs w:val="20"/>
              </w:rPr>
              <w:t>(total plants m</w:t>
            </w:r>
            <w:r w:rsidRPr="00F84C04">
              <w:rPr>
                <w:rFonts w:cs="Times New Roman"/>
                <w:color w:val="000000"/>
                <w:sz w:val="20"/>
                <w:szCs w:val="20"/>
                <w:vertAlign w:val="superscript"/>
              </w:rPr>
              <w:t>-2</w:t>
            </w:r>
            <w:r>
              <w:rPr>
                <w:rFonts w:cs="Times New Roman"/>
                <w:color w:val="000000"/>
                <w:sz w:val="20"/>
                <w:szCs w:val="20"/>
              </w:rPr>
              <w:t>)</w:t>
            </w:r>
            <w:r w:rsidRPr="00D90908">
              <w:rPr>
                <w:rFonts w:cs="Times New Roman"/>
                <w:color w:val="000000"/>
                <w:sz w:val="20"/>
                <w:szCs w:val="20"/>
                <w:vertAlign w:val="superscript"/>
              </w:rPr>
              <w:t>‡</w:t>
            </w:r>
          </w:p>
        </w:tc>
        <w:tc>
          <w:tcPr>
            <w:tcW w:w="904"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bottom"/>
            <w:hideMark/>
          </w:tcPr>
          <w:p w14:paraId="336E1232" w14:textId="77777777" w:rsidR="00F84C04" w:rsidRPr="00F66D9A" w:rsidRDefault="00F84C04" w:rsidP="00E40C28">
            <w:pPr>
              <w:spacing w:line="240" w:lineRule="auto"/>
              <w:jc w:val="center"/>
              <w:rPr>
                <w:rFonts w:eastAsia="Calibri" w:cs="Times New Roman"/>
                <w:vertAlign w:val="superscript"/>
              </w:rPr>
            </w:pPr>
            <w:r>
              <w:rPr>
                <w:rFonts w:cs="Times New Roman"/>
                <w:color w:val="000000"/>
                <w:sz w:val="20"/>
                <w:szCs w:val="20"/>
              </w:rPr>
              <w:t>2020 Plants m</w:t>
            </w:r>
            <w:r w:rsidRPr="00CE037B">
              <w:rPr>
                <w:rFonts w:cs="Times New Roman"/>
                <w:color w:val="000000"/>
                <w:sz w:val="20"/>
                <w:szCs w:val="20"/>
                <w:vertAlign w:val="superscript"/>
              </w:rPr>
              <w:t>-2</w:t>
            </w:r>
            <w:r w:rsidRPr="00F66D9A">
              <w:rPr>
                <w:rFonts w:eastAsia="Calibri" w:cs="Times New Roman"/>
                <w:bCs/>
                <w:vertAlign w:val="superscript"/>
              </w:rPr>
              <w:t>§</w:t>
            </w:r>
          </w:p>
        </w:tc>
        <w:tc>
          <w:tcPr>
            <w:tcW w:w="947"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bottom"/>
            <w:hideMark/>
          </w:tcPr>
          <w:p w14:paraId="20BCD4F8" w14:textId="1CBFB891" w:rsidR="00F84C04" w:rsidRPr="0022011B" w:rsidRDefault="00F84C04" w:rsidP="00E40C28">
            <w:pPr>
              <w:spacing w:line="240" w:lineRule="auto"/>
              <w:jc w:val="center"/>
              <w:rPr>
                <w:rFonts w:cs="Times New Roman"/>
                <w:color w:val="000000"/>
                <w:sz w:val="20"/>
                <w:szCs w:val="20"/>
              </w:rPr>
            </w:pPr>
            <w:r>
              <w:rPr>
                <w:rFonts w:cs="Times New Roman"/>
                <w:color w:val="000000"/>
                <w:sz w:val="20"/>
                <w:szCs w:val="20"/>
              </w:rPr>
              <w:t>Abundance Rank</w:t>
            </w:r>
          </w:p>
        </w:tc>
        <w:tc>
          <w:tcPr>
            <w:tcW w:w="904"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bottom"/>
            <w:hideMark/>
          </w:tcPr>
          <w:p w14:paraId="0742E88B" w14:textId="77777777" w:rsidR="00F84C04" w:rsidRPr="0022011B" w:rsidRDefault="00F84C04" w:rsidP="00E40C28">
            <w:pPr>
              <w:spacing w:line="240" w:lineRule="auto"/>
              <w:jc w:val="center"/>
              <w:rPr>
                <w:rFonts w:cs="Times New Roman"/>
                <w:color w:val="000000"/>
                <w:sz w:val="20"/>
                <w:szCs w:val="20"/>
              </w:rPr>
            </w:pPr>
            <w:r w:rsidRPr="0022011B">
              <w:rPr>
                <w:rFonts w:cs="Times New Roman"/>
                <w:color w:val="000000"/>
                <w:sz w:val="20"/>
                <w:szCs w:val="20"/>
              </w:rPr>
              <w:t>2020</w:t>
            </w:r>
            <w:r>
              <w:rPr>
                <w:rFonts w:cs="Times New Roman"/>
                <w:color w:val="000000"/>
                <w:sz w:val="20"/>
                <w:szCs w:val="20"/>
              </w:rPr>
              <w:t xml:space="preserve"> Plants Rank</w:t>
            </w:r>
          </w:p>
        </w:tc>
        <w:tc>
          <w:tcPr>
            <w:tcW w:w="1043"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bottom"/>
            <w:hideMark/>
          </w:tcPr>
          <w:p w14:paraId="42F30064" w14:textId="77777777" w:rsidR="0092769F" w:rsidRDefault="00F84C04" w:rsidP="0092769F">
            <w:pPr>
              <w:spacing w:line="240" w:lineRule="auto"/>
              <w:jc w:val="center"/>
              <w:rPr>
                <w:rFonts w:cs="Times New Roman"/>
                <w:color w:val="000000"/>
                <w:sz w:val="20"/>
                <w:szCs w:val="20"/>
              </w:rPr>
            </w:pPr>
            <w:r w:rsidRPr="0022011B">
              <w:rPr>
                <w:rFonts w:cs="Times New Roman"/>
                <w:color w:val="000000"/>
                <w:sz w:val="20"/>
                <w:szCs w:val="20"/>
              </w:rPr>
              <w:t>Flowerin</w:t>
            </w:r>
            <w:r>
              <w:rPr>
                <w:rFonts w:cs="Times New Roman"/>
                <w:color w:val="000000"/>
                <w:sz w:val="20"/>
                <w:szCs w:val="20"/>
              </w:rPr>
              <w:t>g</w:t>
            </w:r>
          </w:p>
          <w:p w14:paraId="2CDFC3AF" w14:textId="4B1F4392" w:rsidR="00F84C04" w:rsidRPr="0022011B" w:rsidRDefault="0092769F" w:rsidP="0092769F">
            <w:pPr>
              <w:spacing w:line="240" w:lineRule="auto"/>
              <w:jc w:val="center"/>
              <w:rPr>
                <w:rFonts w:cs="Times New Roman"/>
                <w:color w:val="000000"/>
                <w:sz w:val="20"/>
                <w:szCs w:val="20"/>
              </w:rPr>
            </w:pPr>
            <w:r>
              <w:rPr>
                <w:rFonts w:cs="Times New Roman"/>
                <w:color w:val="000000"/>
                <w:sz w:val="20"/>
                <w:szCs w:val="20"/>
              </w:rPr>
              <w:t>Period</w:t>
            </w:r>
            <w:r w:rsidR="00F84C04">
              <w:rPr>
                <w:rFonts w:cs="Times New Roman"/>
                <w:color w:val="000000"/>
                <w:sz w:val="20"/>
                <w:szCs w:val="20"/>
              </w:rPr>
              <w:t xml:space="preserve"> Rank</w:t>
            </w:r>
          </w:p>
        </w:tc>
        <w:tc>
          <w:tcPr>
            <w:tcW w:w="980"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bottom"/>
            <w:hideMark/>
          </w:tcPr>
          <w:p w14:paraId="1F62EA57" w14:textId="77777777" w:rsidR="00F84C04" w:rsidRPr="001D01B0" w:rsidRDefault="00F84C04" w:rsidP="00E40C28">
            <w:pPr>
              <w:spacing w:line="240" w:lineRule="auto"/>
              <w:jc w:val="center"/>
              <w:rPr>
                <w:rFonts w:cs="Times New Roman"/>
                <w:color w:val="000000"/>
                <w:sz w:val="20"/>
                <w:szCs w:val="20"/>
              </w:rPr>
            </w:pPr>
            <w:r>
              <w:rPr>
                <w:rFonts w:cs="Times New Roman"/>
                <w:color w:val="000000"/>
                <w:sz w:val="20"/>
                <w:szCs w:val="20"/>
              </w:rPr>
              <w:t>Blooms plant</w:t>
            </w:r>
            <w:r w:rsidRPr="00D90908">
              <w:rPr>
                <w:rFonts w:cs="Times New Roman"/>
                <w:color w:val="000000"/>
                <w:sz w:val="20"/>
                <w:szCs w:val="20"/>
                <w:vertAlign w:val="superscript"/>
              </w:rPr>
              <w:t>-1</w:t>
            </w:r>
            <w:r>
              <w:rPr>
                <w:rFonts w:cs="Times New Roman"/>
                <w:color w:val="000000"/>
                <w:sz w:val="20"/>
                <w:szCs w:val="20"/>
              </w:rPr>
              <w:t xml:space="preserve"> Rank</w:t>
            </w:r>
          </w:p>
        </w:tc>
        <w:tc>
          <w:tcPr>
            <w:tcW w:w="898"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bottom"/>
          </w:tcPr>
          <w:p w14:paraId="30C4D64F" w14:textId="77777777" w:rsidR="00F84C04" w:rsidRPr="0022011B" w:rsidRDefault="00F84C04" w:rsidP="00E40C28">
            <w:pPr>
              <w:spacing w:line="240" w:lineRule="auto"/>
              <w:jc w:val="center"/>
              <w:rPr>
                <w:rFonts w:cs="Times New Roman"/>
                <w:color w:val="000000"/>
                <w:sz w:val="20"/>
                <w:szCs w:val="20"/>
              </w:rPr>
            </w:pPr>
            <w:r>
              <w:rPr>
                <w:rFonts w:cs="Times New Roman"/>
                <w:color w:val="000000"/>
                <w:sz w:val="20"/>
                <w:szCs w:val="20"/>
              </w:rPr>
              <w:t>Rank Average</w:t>
            </w:r>
          </w:p>
        </w:tc>
        <w:tc>
          <w:tcPr>
            <w:tcW w:w="881" w:type="dxa"/>
            <w:tcBorders>
              <w:top w:val="single" w:sz="12" w:space="0" w:color="auto"/>
              <w:left w:val="single" w:sz="36" w:space="0" w:color="FFFFFF" w:themeColor="background1"/>
              <w:bottom w:val="single" w:sz="12" w:space="0" w:color="auto"/>
              <w:right w:val="nil"/>
            </w:tcBorders>
            <w:shd w:val="clear" w:color="auto" w:fill="auto"/>
            <w:noWrap/>
            <w:vAlign w:val="bottom"/>
            <w:hideMark/>
          </w:tcPr>
          <w:p w14:paraId="0A5E7237" w14:textId="77777777" w:rsidR="00F84C04" w:rsidRPr="0022011B" w:rsidRDefault="00F84C04" w:rsidP="00E40C28">
            <w:pPr>
              <w:spacing w:line="240" w:lineRule="auto"/>
              <w:jc w:val="center"/>
              <w:rPr>
                <w:rFonts w:cs="Times New Roman"/>
                <w:color w:val="000000"/>
                <w:sz w:val="20"/>
                <w:szCs w:val="20"/>
              </w:rPr>
            </w:pPr>
            <w:r>
              <w:rPr>
                <w:rFonts w:cs="Times New Roman"/>
                <w:color w:val="000000"/>
                <w:sz w:val="20"/>
                <w:szCs w:val="20"/>
              </w:rPr>
              <w:t xml:space="preserve">Overall </w:t>
            </w:r>
            <w:r w:rsidRPr="0022011B">
              <w:rPr>
                <w:rFonts w:cs="Times New Roman"/>
                <w:color w:val="000000"/>
                <w:sz w:val="20"/>
                <w:szCs w:val="20"/>
              </w:rPr>
              <w:t>Rank</w:t>
            </w:r>
            <w:r w:rsidRPr="000D0EE3">
              <w:rPr>
                <w:rFonts w:cs="Times New Roman"/>
                <w:color w:val="000000"/>
                <w:sz w:val="20"/>
                <w:szCs w:val="20"/>
                <w:vertAlign w:val="superscript"/>
              </w:rPr>
              <w:t>⁋</w:t>
            </w:r>
          </w:p>
        </w:tc>
      </w:tr>
      <w:tr w:rsidR="00F84C04" w:rsidRPr="0022011B" w14:paraId="03D8E8C5" w14:textId="77777777" w:rsidTr="00F84C04">
        <w:trPr>
          <w:trHeight w:val="289"/>
        </w:trPr>
        <w:tc>
          <w:tcPr>
            <w:tcW w:w="905" w:type="dxa"/>
            <w:tcBorders>
              <w:top w:val="single" w:sz="12" w:space="0" w:color="auto"/>
              <w:left w:val="nil"/>
              <w:bottom w:val="nil"/>
              <w:right w:val="single" w:sz="36" w:space="0" w:color="FFFFFF" w:themeColor="background1"/>
            </w:tcBorders>
            <w:shd w:val="clear" w:color="auto" w:fill="auto"/>
            <w:noWrap/>
            <w:vAlign w:val="center"/>
            <w:hideMark/>
          </w:tcPr>
          <w:p w14:paraId="78057DDD"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BESU</w:t>
            </w:r>
          </w:p>
        </w:tc>
        <w:tc>
          <w:tcPr>
            <w:tcW w:w="1255"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hideMark/>
          </w:tcPr>
          <w:p w14:paraId="05BA8E3C"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43.4</w:t>
            </w:r>
          </w:p>
        </w:tc>
        <w:tc>
          <w:tcPr>
            <w:tcW w:w="904"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hideMark/>
          </w:tcPr>
          <w:p w14:paraId="60EF4C84"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1.1</w:t>
            </w:r>
          </w:p>
        </w:tc>
        <w:tc>
          <w:tcPr>
            <w:tcW w:w="947"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hideMark/>
          </w:tcPr>
          <w:p w14:paraId="5757510C"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w:t>
            </w:r>
          </w:p>
        </w:tc>
        <w:tc>
          <w:tcPr>
            <w:tcW w:w="904"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hideMark/>
          </w:tcPr>
          <w:p w14:paraId="4BCD252E"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5</w:t>
            </w:r>
          </w:p>
        </w:tc>
        <w:tc>
          <w:tcPr>
            <w:tcW w:w="1043"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hideMark/>
          </w:tcPr>
          <w:p w14:paraId="18183E2A"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w:t>
            </w:r>
          </w:p>
        </w:tc>
        <w:tc>
          <w:tcPr>
            <w:tcW w:w="980"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hideMark/>
          </w:tcPr>
          <w:p w14:paraId="75158CAC"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5</w:t>
            </w:r>
          </w:p>
        </w:tc>
        <w:tc>
          <w:tcPr>
            <w:tcW w:w="898"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hideMark/>
          </w:tcPr>
          <w:p w14:paraId="56C2A442"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3.5</w:t>
            </w:r>
          </w:p>
        </w:tc>
        <w:tc>
          <w:tcPr>
            <w:tcW w:w="881" w:type="dxa"/>
            <w:tcBorders>
              <w:top w:val="single" w:sz="12" w:space="0" w:color="auto"/>
              <w:left w:val="single" w:sz="36" w:space="0" w:color="FFFFFF" w:themeColor="background1"/>
              <w:bottom w:val="nil"/>
              <w:right w:val="nil"/>
            </w:tcBorders>
            <w:shd w:val="clear" w:color="auto" w:fill="auto"/>
            <w:noWrap/>
            <w:vAlign w:val="center"/>
            <w:hideMark/>
          </w:tcPr>
          <w:p w14:paraId="042468E6"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4</w:t>
            </w:r>
          </w:p>
        </w:tc>
      </w:tr>
      <w:tr w:rsidR="00F84C04" w:rsidRPr="0022011B" w14:paraId="64A9AF6E" w14:textId="77777777" w:rsidTr="00F84C04">
        <w:trPr>
          <w:trHeight w:val="289"/>
        </w:trPr>
        <w:tc>
          <w:tcPr>
            <w:tcW w:w="905" w:type="dxa"/>
            <w:tcBorders>
              <w:top w:val="nil"/>
              <w:left w:val="nil"/>
              <w:bottom w:val="nil"/>
              <w:right w:val="nil"/>
            </w:tcBorders>
            <w:shd w:val="clear" w:color="000000" w:fill="D9D9D9"/>
            <w:noWrap/>
            <w:vAlign w:val="center"/>
            <w:hideMark/>
          </w:tcPr>
          <w:p w14:paraId="33667D4C"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DITI</w:t>
            </w:r>
          </w:p>
        </w:tc>
        <w:tc>
          <w:tcPr>
            <w:tcW w:w="1255" w:type="dxa"/>
            <w:tcBorders>
              <w:top w:val="nil"/>
              <w:left w:val="nil"/>
              <w:bottom w:val="nil"/>
              <w:right w:val="nil"/>
            </w:tcBorders>
            <w:shd w:val="clear" w:color="000000" w:fill="D9D9D9"/>
            <w:noWrap/>
            <w:vAlign w:val="center"/>
            <w:hideMark/>
          </w:tcPr>
          <w:p w14:paraId="7DE19B21"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13.8</w:t>
            </w:r>
          </w:p>
        </w:tc>
        <w:tc>
          <w:tcPr>
            <w:tcW w:w="904" w:type="dxa"/>
            <w:tcBorders>
              <w:top w:val="nil"/>
              <w:left w:val="nil"/>
              <w:bottom w:val="nil"/>
              <w:right w:val="nil"/>
            </w:tcBorders>
            <w:shd w:val="clear" w:color="000000" w:fill="D9D9D9"/>
            <w:noWrap/>
            <w:vAlign w:val="center"/>
            <w:hideMark/>
          </w:tcPr>
          <w:p w14:paraId="53094EFA"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2.2</w:t>
            </w:r>
          </w:p>
        </w:tc>
        <w:tc>
          <w:tcPr>
            <w:tcW w:w="947" w:type="dxa"/>
            <w:tcBorders>
              <w:top w:val="nil"/>
              <w:left w:val="nil"/>
              <w:bottom w:val="nil"/>
              <w:right w:val="nil"/>
            </w:tcBorders>
            <w:shd w:val="clear" w:color="000000" w:fill="D9D9D9"/>
            <w:noWrap/>
            <w:vAlign w:val="center"/>
            <w:hideMark/>
          </w:tcPr>
          <w:p w14:paraId="2727AEC1"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6</w:t>
            </w:r>
          </w:p>
        </w:tc>
        <w:tc>
          <w:tcPr>
            <w:tcW w:w="904" w:type="dxa"/>
            <w:tcBorders>
              <w:top w:val="nil"/>
              <w:left w:val="nil"/>
              <w:bottom w:val="nil"/>
              <w:right w:val="nil"/>
            </w:tcBorders>
            <w:shd w:val="clear" w:color="000000" w:fill="D9D9D9"/>
            <w:noWrap/>
            <w:vAlign w:val="center"/>
            <w:hideMark/>
          </w:tcPr>
          <w:p w14:paraId="3867E51A"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w:t>
            </w:r>
          </w:p>
        </w:tc>
        <w:tc>
          <w:tcPr>
            <w:tcW w:w="1043" w:type="dxa"/>
            <w:tcBorders>
              <w:top w:val="nil"/>
              <w:left w:val="nil"/>
              <w:bottom w:val="nil"/>
              <w:right w:val="nil"/>
            </w:tcBorders>
            <w:shd w:val="clear" w:color="000000" w:fill="D9D9D9"/>
            <w:noWrap/>
            <w:vAlign w:val="center"/>
            <w:hideMark/>
          </w:tcPr>
          <w:p w14:paraId="04CCD8C3"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6</w:t>
            </w:r>
          </w:p>
        </w:tc>
        <w:tc>
          <w:tcPr>
            <w:tcW w:w="980" w:type="dxa"/>
            <w:tcBorders>
              <w:top w:val="nil"/>
              <w:left w:val="nil"/>
              <w:bottom w:val="nil"/>
              <w:right w:val="nil"/>
            </w:tcBorders>
            <w:shd w:val="clear" w:color="000000" w:fill="D9D9D9"/>
            <w:noWrap/>
            <w:vAlign w:val="center"/>
            <w:hideMark/>
          </w:tcPr>
          <w:p w14:paraId="41A45ACD"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w:t>
            </w:r>
          </w:p>
        </w:tc>
        <w:tc>
          <w:tcPr>
            <w:tcW w:w="898" w:type="dxa"/>
            <w:tcBorders>
              <w:top w:val="nil"/>
              <w:left w:val="nil"/>
              <w:bottom w:val="nil"/>
              <w:right w:val="nil"/>
            </w:tcBorders>
            <w:shd w:val="clear" w:color="000000" w:fill="D9D9D9"/>
            <w:noWrap/>
            <w:vAlign w:val="center"/>
            <w:hideMark/>
          </w:tcPr>
          <w:p w14:paraId="593C3985"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4.0</w:t>
            </w:r>
          </w:p>
        </w:tc>
        <w:tc>
          <w:tcPr>
            <w:tcW w:w="881" w:type="dxa"/>
            <w:tcBorders>
              <w:top w:val="nil"/>
              <w:left w:val="nil"/>
              <w:bottom w:val="nil"/>
              <w:right w:val="nil"/>
            </w:tcBorders>
            <w:shd w:val="clear" w:color="000000" w:fill="D9D9D9"/>
            <w:noWrap/>
            <w:vAlign w:val="center"/>
            <w:hideMark/>
          </w:tcPr>
          <w:p w14:paraId="7677955B"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5</w:t>
            </w:r>
          </w:p>
        </w:tc>
      </w:tr>
      <w:tr w:rsidR="00F84C04" w:rsidRPr="0022011B" w14:paraId="4A718816" w14:textId="77777777" w:rsidTr="00F84C04">
        <w:trPr>
          <w:trHeight w:val="289"/>
        </w:trPr>
        <w:tc>
          <w:tcPr>
            <w:tcW w:w="905" w:type="dxa"/>
            <w:tcBorders>
              <w:top w:val="nil"/>
              <w:left w:val="nil"/>
              <w:bottom w:val="nil"/>
              <w:right w:val="nil"/>
            </w:tcBorders>
            <w:shd w:val="clear" w:color="auto" w:fill="auto"/>
            <w:noWrap/>
            <w:vAlign w:val="center"/>
            <w:hideMark/>
          </w:tcPr>
          <w:p w14:paraId="5CBBF40A"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ILBF</w:t>
            </w:r>
          </w:p>
        </w:tc>
        <w:tc>
          <w:tcPr>
            <w:tcW w:w="1255" w:type="dxa"/>
            <w:tcBorders>
              <w:top w:val="nil"/>
              <w:left w:val="nil"/>
              <w:bottom w:val="nil"/>
              <w:right w:val="nil"/>
            </w:tcBorders>
            <w:shd w:val="clear" w:color="auto" w:fill="auto"/>
            <w:noWrap/>
            <w:vAlign w:val="center"/>
            <w:hideMark/>
          </w:tcPr>
          <w:p w14:paraId="318DFEBF"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0.3</w:t>
            </w:r>
          </w:p>
        </w:tc>
        <w:tc>
          <w:tcPr>
            <w:tcW w:w="904" w:type="dxa"/>
            <w:tcBorders>
              <w:top w:val="nil"/>
              <w:left w:val="nil"/>
              <w:bottom w:val="nil"/>
              <w:right w:val="nil"/>
            </w:tcBorders>
            <w:shd w:val="clear" w:color="auto" w:fill="auto"/>
            <w:noWrap/>
            <w:vAlign w:val="center"/>
            <w:hideMark/>
          </w:tcPr>
          <w:p w14:paraId="2F72BA6F"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0.1</w:t>
            </w:r>
          </w:p>
        </w:tc>
        <w:tc>
          <w:tcPr>
            <w:tcW w:w="947" w:type="dxa"/>
            <w:tcBorders>
              <w:top w:val="nil"/>
              <w:left w:val="nil"/>
              <w:bottom w:val="nil"/>
              <w:right w:val="nil"/>
            </w:tcBorders>
            <w:shd w:val="clear" w:color="auto" w:fill="auto"/>
            <w:noWrap/>
            <w:vAlign w:val="center"/>
            <w:hideMark/>
          </w:tcPr>
          <w:p w14:paraId="5F66EE04"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10</w:t>
            </w:r>
          </w:p>
        </w:tc>
        <w:tc>
          <w:tcPr>
            <w:tcW w:w="904" w:type="dxa"/>
            <w:tcBorders>
              <w:top w:val="nil"/>
              <w:left w:val="nil"/>
              <w:bottom w:val="nil"/>
              <w:right w:val="nil"/>
            </w:tcBorders>
            <w:shd w:val="clear" w:color="auto" w:fill="auto"/>
            <w:noWrap/>
            <w:vAlign w:val="center"/>
            <w:hideMark/>
          </w:tcPr>
          <w:p w14:paraId="0AC60A6A"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7</w:t>
            </w:r>
          </w:p>
        </w:tc>
        <w:tc>
          <w:tcPr>
            <w:tcW w:w="1043" w:type="dxa"/>
            <w:tcBorders>
              <w:top w:val="nil"/>
              <w:left w:val="nil"/>
              <w:bottom w:val="nil"/>
              <w:right w:val="nil"/>
            </w:tcBorders>
            <w:shd w:val="clear" w:color="auto" w:fill="auto"/>
            <w:noWrap/>
            <w:vAlign w:val="center"/>
            <w:hideMark/>
          </w:tcPr>
          <w:p w14:paraId="6A8A3AC1"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7</w:t>
            </w:r>
          </w:p>
        </w:tc>
        <w:tc>
          <w:tcPr>
            <w:tcW w:w="980" w:type="dxa"/>
            <w:tcBorders>
              <w:top w:val="nil"/>
              <w:left w:val="nil"/>
              <w:bottom w:val="nil"/>
              <w:right w:val="nil"/>
            </w:tcBorders>
            <w:shd w:val="clear" w:color="auto" w:fill="auto"/>
            <w:noWrap/>
            <w:vAlign w:val="center"/>
            <w:hideMark/>
          </w:tcPr>
          <w:p w14:paraId="53FCEB6F"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6</w:t>
            </w:r>
          </w:p>
        </w:tc>
        <w:tc>
          <w:tcPr>
            <w:tcW w:w="898" w:type="dxa"/>
            <w:tcBorders>
              <w:top w:val="nil"/>
              <w:left w:val="nil"/>
              <w:bottom w:val="nil"/>
              <w:right w:val="nil"/>
            </w:tcBorders>
            <w:shd w:val="clear" w:color="auto" w:fill="auto"/>
            <w:noWrap/>
            <w:vAlign w:val="center"/>
            <w:hideMark/>
          </w:tcPr>
          <w:p w14:paraId="28E0DBB1"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7.5</w:t>
            </w:r>
          </w:p>
        </w:tc>
        <w:tc>
          <w:tcPr>
            <w:tcW w:w="881" w:type="dxa"/>
            <w:tcBorders>
              <w:top w:val="nil"/>
              <w:left w:val="nil"/>
              <w:bottom w:val="nil"/>
              <w:right w:val="nil"/>
            </w:tcBorders>
            <w:shd w:val="clear" w:color="auto" w:fill="auto"/>
            <w:noWrap/>
            <w:vAlign w:val="center"/>
            <w:hideMark/>
          </w:tcPr>
          <w:p w14:paraId="5558CB06"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10</w:t>
            </w:r>
          </w:p>
        </w:tc>
      </w:tr>
      <w:tr w:rsidR="00F84C04" w:rsidRPr="0022011B" w14:paraId="0C029818" w14:textId="77777777" w:rsidTr="00F84C04">
        <w:trPr>
          <w:trHeight w:val="289"/>
        </w:trPr>
        <w:tc>
          <w:tcPr>
            <w:tcW w:w="905" w:type="dxa"/>
            <w:tcBorders>
              <w:top w:val="nil"/>
              <w:left w:val="nil"/>
              <w:bottom w:val="nil"/>
              <w:right w:val="nil"/>
            </w:tcBorders>
            <w:shd w:val="clear" w:color="000000" w:fill="D9D9D9"/>
            <w:noWrap/>
            <w:vAlign w:val="center"/>
            <w:hideMark/>
          </w:tcPr>
          <w:p w14:paraId="007E84D8"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LANC</w:t>
            </w:r>
          </w:p>
        </w:tc>
        <w:tc>
          <w:tcPr>
            <w:tcW w:w="1255" w:type="dxa"/>
            <w:tcBorders>
              <w:top w:val="nil"/>
              <w:left w:val="nil"/>
              <w:bottom w:val="nil"/>
              <w:right w:val="nil"/>
            </w:tcBorders>
            <w:shd w:val="clear" w:color="000000" w:fill="D9D9D9"/>
            <w:noWrap/>
            <w:vAlign w:val="center"/>
            <w:hideMark/>
          </w:tcPr>
          <w:p w14:paraId="10BB0593"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104.5</w:t>
            </w:r>
          </w:p>
        </w:tc>
        <w:tc>
          <w:tcPr>
            <w:tcW w:w="904" w:type="dxa"/>
            <w:tcBorders>
              <w:top w:val="nil"/>
              <w:left w:val="nil"/>
              <w:bottom w:val="nil"/>
              <w:right w:val="nil"/>
            </w:tcBorders>
            <w:shd w:val="clear" w:color="000000" w:fill="D9D9D9"/>
            <w:noWrap/>
            <w:vAlign w:val="center"/>
            <w:hideMark/>
          </w:tcPr>
          <w:p w14:paraId="71D1873B"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1.2</w:t>
            </w:r>
          </w:p>
        </w:tc>
        <w:tc>
          <w:tcPr>
            <w:tcW w:w="947" w:type="dxa"/>
            <w:tcBorders>
              <w:top w:val="nil"/>
              <w:left w:val="nil"/>
              <w:bottom w:val="nil"/>
              <w:right w:val="nil"/>
            </w:tcBorders>
            <w:shd w:val="clear" w:color="000000" w:fill="D9D9D9"/>
            <w:noWrap/>
            <w:vAlign w:val="center"/>
            <w:hideMark/>
          </w:tcPr>
          <w:p w14:paraId="0E3DDBEF"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w:t>
            </w:r>
          </w:p>
        </w:tc>
        <w:tc>
          <w:tcPr>
            <w:tcW w:w="904" w:type="dxa"/>
            <w:tcBorders>
              <w:top w:val="nil"/>
              <w:left w:val="nil"/>
              <w:bottom w:val="nil"/>
              <w:right w:val="nil"/>
            </w:tcBorders>
            <w:shd w:val="clear" w:color="000000" w:fill="D9D9D9"/>
            <w:noWrap/>
            <w:vAlign w:val="center"/>
            <w:hideMark/>
          </w:tcPr>
          <w:p w14:paraId="762B147F"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4</w:t>
            </w:r>
          </w:p>
        </w:tc>
        <w:tc>
          <w:tcPr>
            <w:tcW w:w="1043" w:type="dxa"/>
            <w:tcBorders>
              <w:top w:val="nil"/>
              <w:left w:val="nil"/>
              <w:bottom w:val="nil"/>
              <w:right w:val="nil"/>
            </w:tcBorders>
            <w:shd w:val="clear" w:color="000000" w:fill="D9D9D9"/>
            <w:noWrap/>
            <w:vAlign w:val="center"/>
            <w:hideMark/>
          </w:tcPr>
          <w:p w14:paraId="6DBE4093"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w:t>
            </w:r>
          </w:p>
        </w:tc>
        <w:tc>
          <w:tcPr>
            <w:tcW w:w="980" w:type="dxa"/>
            <w:tcBorders>
              <w:top w:val="nil"/>
              <w:left w:val="nil"/>
              <w:bottom w:val="nil"/>
              <w:right w:val="nil"/>
            </w:tcBorders>
            <w:shd w:val="clear" w:color="000000" w:fill="D9D9D9"/>
            <w:noWrap/>
            <w:vAlign w:val="center"/>
            <w:hideMark/>
          </w:tcPr>
          <w:p w14:paraId="36C02BBB"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3</w:t>
            </w:r>
          </w:p>
        </w:tc>
        <w:tc>
          <w:tcPr>
            <w:tcW w:w="898" w:type="dxa"/>
            <w:tcBorders>
              <w:top w:val="nil"/>
              <w:left w:val="nil"/>
              <w:bottom w:val="nil"/>
              <w:right w:val="nil"/>
            </w:tcBorders>
            <w:shd w:val="clear" w:color="000000" w:fill="D9D9D9"/>
            <w:noWrap/>
            <w:vAlign w:val="center"/>
            <w:hideMark/>
          </w:tcPr>
          <w:p w14:paraId="055A872B"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2.3</w:t>
            </w:r>
          </w:p>
        </w:tc>
        <w:tc>
          <w:tcPr>
            <w:tcW w:w="881" w:type="dxa"/>
            <w:tcBorders>
              <w:top w:val="nil"/>
              <w:left w:val="nil"/>
              <w:bottom w:val="nil"/>
              <w:right w:val="nil"/>
            </w:tcBorders>
            <w:shd w:val="clear" w:color="000000" w:fill="D9D9D9"/>
            <w:noWrap/>
            <w:vAlign w:val="center"/>
            <w:hideMark/>
          </w:tcPr>
          <w:p w14:paraId="7D00351D"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1</w:t>
            </w:r>
          </w:p>
        </w:tc>
      </w:tr>
      <w:tr w:rsidR="00F84C04" w:rsidRPr="0022011B" w14:paraId="6A4CE6B2" w14:textId="77777777" w:rsidTr="00F84C04">
        <w:trPr>
          <w:trHeight w:val="289"/>
        </w:trPr>
        <w:tc>
          <w:tcPr>
            <w:tcW w:w="905" w:type="dxa"/>
            <w:tcBorders>
              <w:top w:val="nil"/>
              <w:left w:val="nil"/>
              <w:bottom w:val="nil"/>
              <w:right w:val="nil"/>
            </w:tcBorders>
            <w:shd w:val="clear" w:color="auto" w:fill="auto"/>
            <w:noWrap/>
            <w:vAlign w:val="center"/>
            <w:hideMark/>
          </w:tcPr>
          <w:p w14:paraId="5A917C40"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MAXI</w:t>
            </w:r>
          </w:p>
        </w:tc>
        <w:tc>
          <w:tcPr>
            <w:tcW w:w="1255" w:type="dxa"/>
            <w:tcBorders>
              <w:top w:val="nil"/>
              <w:left w:val="nil"/>
              <w:bottom w:val="nil"/>
              <w:right w:val="nil"/>
            </w:tcBorders>
            <w:shd w:val="clear" w:color="auto" w:fill="auto"/>
            <w:noWrap/>
            <w:vAlign w:val="center"/>
            <w:hideMark/>
          </w:tcPr>
          <w:p w14:paraId="1A58918C"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5.0</w:t>
            </w:r>
          </w:p>
        </w:tc>
        <w:tc>
          <w:tcPr>
            <w:tcW w:w="904" w:type="dxa"/>
            <w:tcBorders>
              <w:top w:val="nil"/>
              <w:left w:val="nil"/>
              <w:bottom w:val="nil"/>
              <w:right w:val="nil"/>
            </w:tcBorders>
            <w:shd w:val="clear" w:color="auto" w:fill="auto"/>
            <w:noWrap/>
            <w:vAlign w:val="center"/>
            <w:hideMark/>
          </w:tcPr>
          <w:p w14:paraId="52D469B8"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0.7</w:t>
            </w:r>
          </w:p>
        </w:tc>
        <w:tc>
          <w:tcPr>
            <w:tcW w:w="947" w:type="dxa"/>
            <w:tcBorders>
              <w:top w:val="nil"/>
              <w:left w:val="nil"/>
              <w:bottom w:val="nil"/>
              <w:right w:val="nil"/>
            </w:tcBorders>
            <w:shd w:val="clear" w:color="auto" w:fill="auto"/>
            <w:noWrap/>
            <w:vAlign w:val="center"/>
            <w:hideMark/>
          </w:tcPr>
          <w:p w14:paraId="39E8AB16"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7</w:t>
            </w:r>
          </w:p>
        </w:tc>
        <w:tc>
          <w:tcPr>
            <w:tcW w:w="904" w:type="dxa"/>
            <w:tcBorders>
              <w:top w:val="nil"/>
              <w:left w:val="nil"/>
              <w:bottom w:val="nil"/>
              <w:right w:val="nil"/>
            </w:tcBorders>
            <w:shd w:val="clear" w:color="auto" w:fill="auto"/>
            <w:noWrap/>
            <w:vAlign w:val="center"/>
            <w:hideMark/>
          </w:tcPr>
          <w:p w14:paraId="2DF82C68"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6</w:t>
            </w:r>
          </w:p>
        </w:tc>
        <w:tc>
          <w:tcPr>
            <w:tcW w:w="1043" w:type="dxa"/>
            <w:tcBorders>
              <w:top w:val="nil"/>
              <w:left w:val="nil"/>
              <w:bottom w:val="nil"/>
              <w:right w:val="nil"/>
            </w:tcBorders>
            <w:shd w:val="clear" w:color="auto" w:fill="auto"/>
            <w:noWrap/>
            <w:vAlign w:val="center"/>
            <w:hideMark/>
          </w:tcPr>
          <w:p w14:paraId="24CC5B37"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5</w:t>
            </w:r>
          </w:p>
        </w:tc>
        <w:tc>
          <w:tcPr>
            <w:tcW w:w="980" w:type="dxa"/>
            <w:tcBorders>
              <w:top w:val="nil"/>
              <w:left w:val="nil"/>
              <w:bottom w:val="nil"/>
              <w:right w:val="nil"/>
            </w:tcBorders>
            <w:shd w:val="clear" w:color="auto" w:fill="auto"/>
            <w:noWrap/>
            <w:vAlign w:val="center"/>
            <w:hideMark/>
          </w:tcPr>
          <w:p w14:paraId="4ED400C1"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w:t>
            </w:r>
          </w:p>
        </w:tc>
        <w:tc>
          <w:tcPr>
            <w:tcW w:w="898" w:type="dxa"/>
            <w:tcBorders>
              <w:top w:val="nil"/>
              <w:left w:val="nil"/>
              <w:bottom w:val="nil"/>
              <w:right w:val="nil"/>
            </w:tcBorders>
            <w:shd w:val="clear" w:color="auto" w:fill="auto"/>
            <w:noWrap/>
            <w:vAlign w:val="center"/>
            <w:hideMark/>
          </w:tcPr>
          <w:p w14:paraId="362DD9A9"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4.8</w:t>
            </w:r>
          </w:p>
        </w:tc>
        <w:tc>
          <w:tcPr>
            <w:tcW w:w="881" w:type="dxa"/>
            <w:tcBorders>
              <w:top w:val="nil"/>
              <w:left w:val="nil"/>
              <w:bottom w:val="nil"/>
              <w:right w:val="nil"/>
            </w:tcBorders>
            <w:shd w:val="clear" w:color="auto" w:fill="auto"/>
            <w:noWrap/>
            <w:vAlign w:val="center"/>
            <w:hideMark/>
          </w:tcPr>
          <w:p w14:paraId="1803F14D"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6</w:t>
            </w:r>
          </w:p>
        </w:tc>
      </w:tr>
      <w:tr w:rsidR="00F84C04" w:rsidRPr="0022011B" w14:paraId="7E339051" w14:textId="77777777" w:rsidTr="00F84C04">
        <w:trPr>
          <w:trHeight w:val="316"/>
        </w:trPr>
        <w:tc>
          <w:tcPr>
            <w:tcW w:w="905" w:type="dxa"/>
            <w:tcBorders>
              <w:top w:val="nil"/>
              <w:left w:val="nil"/>
              <w:bottom w:val="nil"/>
              <w:right w:val="nil"/>
            </w:tcBorders>
            <w:shd w:val="clear" w:color="000000" w:fill="D9D9D9"/>
            <w:noWrap/>
            <w:vAlign w:val="center"/>
            <w:hideMark/>
          </w:tcPr>
          <w:p w14:paraId="233B1EB2"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OXEY</w:t>
            </w:r>
          </w:p>
        </w:tc>
        <w:tc>
          <w:tcPr>
            <w:tcW w:w="1255" w:type="dxa"/>
            <w:tcBorders>
              <w:top w:val="nil"/>
              <w:left w:val="nil"/>
              <w:bottom w:val="nil"/>
              <w:right w:val="nil"/>
            </w:tcBorders>
            <w:shd w:val="clear" w:color="000000" w:fill="D9D9D9"/>
            <w:noWrap/>
            <w:vAlign w:val="center"/>
            <w:hideMark/>
          </w:tcPr>
          <w:p w14:paraId="2E1558F3"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16.2</w:t>
            </w:r>
          </w:p>
        </w:tc>
        <w:tc>
          <w:tcPr>
            <w:tcW w:w="904" w:type="dxa"/>
            <w:tcBorders>
              <w:top w:val="nil"/>
              <w:left w:val="nil"/>
              <w:bottom w:val="nil"/>
              <w:right w:val="nil"/>
            </w:tcBorders>
            <w:shd w:val="clear" w:color="000000" w:fill="D9D9D9"/>
            <w:noWrap/>
            <w:vAlign w:val="center"/>
            <w:hideMark/>
          </w:tcPr>
          <w:p w14:paraId="0402244B"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2.1</w:t>
            </w:r>
          </w:p>
        </w:tc>
        <w:tc>
          <w:tcPr>
            <w:tcW w:w="947" w:type="dxa"/>
            <w:tcBorders>
              <w:top w:val="nil"/>
              <w:left w:val="nil"/>
              <w:bottom w:val="nil"/>
              <w:right w:val="nil"/>
            </w:tcBorders>
            <w:shd w:val="clear" w:color="000000" w:fill="D9D9D9"/>
            <w:noWrap/>
            <w:vAlign w:val="center"/>
            <w:hideMark/>
          </w:tcPr>
          <w:p w14:paraId="613705B2"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5</w:t>
            </w:r>
          </w:p>
        </w:tc>
        <w:tc>
          <w:tcPr>
            <w:tcW w:w="904" w:type="dxa"/>
            <w:tcBorders>
              <w:top w:val="nil"/>
              <w:left w:val="nil"/>
              <w:bottom w:val="nil"/>
              <w:right w:val="nil"/>
            </w:tcBorders>
            <w:shd w:val="clear" w:color="000000" w:fill="D9D9D9"/>
            <w:noWrap/>
            <w:vAlign w:val="center"/>
            <w:hideMark/>
          </w:tcPr>
          <w:p w14:paraId="16E25D33"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3</w:t>
            </w:r>
          </w:p>
        </w:tc>
        <w:tc>
          <w:tcPr>
            <w:tcW w:w="1043" w:type="dxa"/>
            <w:tcBorders>
              <w:top w:val="nil"/>
              <w:left w:val="nil"/>
              <w:bottom w:val="nil"/>
              <w:right w:val="nil"/>
            </w:tcBorders>
            <w:shd w:val="clear" w:color="000000" w:fill="D9D9D9"/>
            <w:noWrap/>
            <w:vAlign w:val="center"/>
            <w:hideMark/>
          </w:tcPr>
          <w:p w14:paraId="051E37B6"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w:t>
            </w:r>
          </w:p>
        </w:tc>
        <w:tc>
          <w:tcPr>
            <w:tcW w:w="980" w:type="dxa"/>
            <w:tcBorders>
              <w:top w:val="nil"/>
              <w:left w:val="nil"/>
              <w:bottom w:val="nil"/>
              <w:right w:val="nil"/>
            </w:tcBorders>
            <w:shd w:val="clear" w:color="000000" w:fill="D9D9D9"/>
            <w:noWrap/>
            <w:vAlign w:val="center"/>
            <w:hideMark/>
          </w:tcPr>
          <w:p w14:paraId="734BEDD9"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4</w:t>
            </w:r>
          </w:p>
        </w:tc>
        <w:tc>
          <w:tcPr>
            <w:tcW w:w="898" w:type="dxa"/>
            <w:tcBorders>
              <w:top w:val="nil"/>
              <w:left w:val="nil"/>
              <w:bottom w:val="nil"/>
              <w:right w:val="nil"/>
            </w:tcBorders>
            <w:shd w:val="clear" w:color="000000" w:fill="D9D9D9"/>
            <w:noWrap/>
            <w:vAlign w:val="center"/>
            <w:hideMark/>
          </w:tcPr>
          <w:p w14:paraId="42F08888"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3.5</w:t>
            </w:r>
          </w:p>
        </w:tc>
        <w:tc>
          <w:tcPr>
            <w:tcW w:w="881" w:type="dxa"/>
            <w:tcBorders>
              <w:top w:val="nil"/>
              <w:left w:val="nil"/>
              <w:bottom w:val="nil"/>
              <w:right w:val="nil"/>
            </w:tcBorders>
            <w:shd w:val="clear" w:color="000000" w:fill="D9D9D9"/>
            <w:noWrap/>
            <w:vAlign w:val="center"/>
            <w:hideMark/>
          </w:tcPr>
          <w:p w14:paraId="20B2960F"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3</w:t>
            </w:r>
          </w:p>
        </w:tc>
      </w:tr>
      <w:tr w:rsidR="00F84C04" w:rsidRPr="0022011B" w14:paraId="3A4ED527" w14:textId="77777777" w:rsidTr="00F84C04">
        <w:trPr>
          <w:trHeight w:val="289"/>
        </w:trPr>
        <w:tc>
          <w:tcPr>
            <w:tcW w:w="905" w:type="dxa"/>
            <w:tcBorders>
              <w:top w:val="nil"/>
              <w:left w:val="nil"/>
              <w:bottom w:val="nil"/>
              <w:right w:val="nil"/>
            </w:tcBorders>
            <w:shd w:val="clear" w:color="auto" w:fill="auto"/>
            <w:noWrap/>
            <w:vAlign w:val="center"/>
            <w:hideMark/>
          </w:tcPr>
          <w:p w14:paraId="1B346F96"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PCON</w:t>
            </w:r>
          </w:p>
        </w:tc>
        <w:tc>
          <w:tcPr>
            <w:tcW w:w="1255" w:type="dxa"/>
            <w:tcBorders>
              <w:top w:val="nil"/>
              <w:left w:val="nil"/>
              <w:bottom w:val="nil"/>
              <w:right w:val="nil"/>
            </w:tcBorders>
            <w:shd w:val="clear" w:color="auto" w:fill="auto"/>
            <w:noWrap/>
            <w:vAlign w:val="center"/>
            <w:hideMark/>
          </w:tcPr>
          <w:p w14:paraId="45A98038"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21.4</w:t>
            </w:r>
          </w:p>
        </w:tc>
        <w:tc>
          <w:tcPr>
            <w:tcW w:w="904" w:type="dxa"/>
            <w:tcBorders>
              <w:top w:val="nil"/>
              <w:left w:val="nil"/>
              <w:bottom w:val="nil"/>
              <w:right w:val="nil"/>
            </w:tcBorders>
            <w:shd w:val="clear" w:color="auto" w:fill="auto"/>
            <w:noWrap/>
            <w:vAlign w:val="center"/>
            <w:hideMark/>
          </w:tcPr>
          <w:p w14:paraId="12A8BD10"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3.1</w:t>
            </w:r>
          </w:p>
        </w:tc>
        <w:tc>
          <w:tcPr>
            <w:tcW w:w="947" w:type="dxa"/>
            <w:tcBorders>
              <w:top w:val="nil"/>
              <w:left w:val="nil"/>
              <w:bottom w:val="nil"/>
              <w:right w:val="nil"/>
            </w:tcBorders>
            <w:shd w:val="clear" w:color="auto" w:fill="auto"/>
            <w:noWrap/>
            <w:vAlign w:val="center"/>
            <w:hideMark/>
          </w:tcPr>
          <w:p w14:paraId="6E69C4AF"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4</w:t>
            </w:r>
          </w:p>
        </w:tc>
        <w:tc>
          <w:tcPr>
            <w:tcW w:w="904" w:type="dxa"/>
            <w:tcBorders>
              <w:top w:val="nil"/>
              <w:left w:val="nil"/>
              <w:bottom w:val="nil"/>
              <w:right w:val="nil"/>
            </w:tcBorders>
            <w:shd w:val="clear" w:color="auto" w:fill="auto"/>
            <w:noWrap/>
            <w:vAlign w:val="center"/>
            <w:hideMark/>
          </w:tcPr>
          <w:p w14:paraId="6AAB5E6A"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w:t>
            </w:r>
          </w:p>
        </w:tc>
        <w:tc>
          <w:tcPr>
            <w:tcW w:w="1043" w:type="dxa"/>
            <w:tcBorders>
              <w:top w:val="nil"/>
              <w:left w:val="nil"/>
              <w:bottom w:val="nil"/>
              <w:right w:val="nil"/>
            </w:tcBorders>
            <w:shd w:val="clear" w:color="auto" w:fill="auto"/>
            <w:noWrap/>
            <w:vAlign w:val="center"/>
            <w:hideMark/>
          </w:tcPr>
          <w:p w14:paraId="4B51F7A0"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w:t>
            </w:r>
          </w:p>
        </w:tc>
        <w:tc>
          <w:tcPr>
            <w:tcW w:w="980" w:type="dxa"/>
            <w:tcBorders>
              <w:top w:val="nil"/>
              <w:left w:val="nil"/>
              <w:bottom w:val="nil"/>
              <w:right w:val="nil"/>
            </w:tcBorders>
            <w:shd w:val="clear" w:color="auto" w:fill="auto"/>
            <w:noWrap/>
            <w:vAlign w:val="center"/>
            <w:hideMark/>
          </w:tcPr>
          <w:p w14:paraId="22959D47"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5</w:t>
            </w:r>
          </w:p>
        </w:tc>
        <w:tc>
          <w:tcPr>
            <w:tcW w:w="898" w:type="dxa"/>
            <w:tcBorders>
              <w:top w:val="nil"/>
              <w:left w:val="nil"/>
              <w:bottom w:val="nil"/>
              <w:right w:val="nil"/>
            </w:tcBorders>
            <w:shd w:val="clear" w:color="auto" w:fill="auto"/>
            <w:noWrap/>
            <w:vAlign w:val="center"/>
            <w:hideMark/>
          </w:tcPr>
          <w:p w14:paraId="60BF72B3"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2.8</w:t>
            </w:r>
          </w:p>
        </w:tc>
        <w:tc>
          <w:tcPr>
            <w:tcW w:w="881" w:type="dxa"/>
            <w:tcBorders>
              <w:top w:val="nil"/>
              <w:left w:val="nil"/>
              <w:bottom w:val="nil"/>
              <w:right w:val="nil"/>
            </w:tcBorders>
            <w:shd w:val="clear" w:color="auto" w:fill="auto"/>
            <w:noWrap/>
            <w:vAlign w:val="center"/>
            <w:hideMark/>
          </w:tcPr>
          <w:p w14:paraId="2BA028ED"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2</w:t>
            </w:r>
          </w:p>
        </w:tc>
      </w:tr>
      <w:tr w:rsidR="00F84C04" w:rsidRPr="0022011B" w14:paraId="2E2A9FB7" w14:textId="77777777" w:rsidTr="00F84C04">
        <w:trPr>
          <w:trHeight w:val="289"/>
        </w:trPr>
        <w:tc>
          <w:tcPr>
            <w:tcW w:w="905" w:type="dxa"/>
            <w:tcBorders>
              <w:top w:val="nil"/>
              <w:left w:val="nil"/>
              <w:bottom w:val="nil"/>
              <w:right w:val="nil"/>
            </w:tcBorders>
            <w:shd w:val="clear" w:color="000000" w:fill="D9D9D9"/>
            <w:noWrap/>
            <w:vAlign w:val="center"/>
            <w:hideMark/>
          </w:tcPr>
          <w:p w14:paraId="7D5416D3"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PLAC</w:t>
            </w:r>
          </w:p>
        </w:tc>
        <w:tc>
          <w:tcPr>
            <w:tcW w:w="1255" w:type="dxa"/>
            <w:tcBorders>
              <w:top w:val="nil"/>
              <w:left w:val="nil"/>
              <w:bottom w:val="nil"/>
              <w:right w:val="nil"/>
            </w:tcBorders>
            <w:shd w:val="clear" w:color="000000" w:fill="D9D9D9"/>
            <w:noWrap/>
            <w:vAlign w:val="center"/>
            <w:hideMark/>
          </w:tcPr>
          <w:p w14:paraId="1DFC9ECE"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35.4</w:t>
            </w:r>
          </w:p>
        </w:tc>
        <w:tc>
          <w:tcPr>
            <w:tcW w:w="904" w:type="dxa"/>
            <w:tcBorders>
              <w:top w:val="nil"/>
              <w:left w:val="nil"/>
              <w:bottom w:val="nil"/>
              <w:right w:val="nil"/>
            </w:tcBorders>
            <w:shd w:val="clear" w:color="000000" w:fill="D9D9D9"/>
            <w:noWrap/>
            <w:vAlign w:val="center"/>
            <w:hideMark/>
          </w:tcPr>
          <w:p w14:paraId="7F650BF0"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0.0</w:t>
            </w:r>
          </w:p>
        </w:tc>
        <w:tc>
          <w:tcPr>
            <w:tcW w:w="947" w:type="dxa"/>
            <w:tcBorders>
              <w:top w:val="nil"/>
              <w:left w:val="nil"/>
              <w:bottom w:val="nil"/>
              <w:right w:val="nil"/>
            </w:tcBorders>
            <w:shd w:val="clear" w:color="000000" w:fill="D9D9D9"/>
            <w:noWrap/>
            <w:vAlign w:val="center"/>
            <w:hideMark/>
          </w:tcPr>
          <w:p w14:paraId="628804D9"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3</w:t>
            </w:r>
          </w:p>
        </w:tc>
        <w:tc>
          <w:tcPr>
            <w:tcW w:w="904" w:type="dxa"/>
            <w:tcBorders>
              <w:top w:val="nil"/>
              <w:left w:val="nil"/>
              <w:bottom w:val="nil"/>
              <w:right w:val="nil"/>
            </w:tcBorders>
            <w:shd w:val="clear" w:color="000000" w:fill="D9D9D9"/>
            <w:noWrap/>
            <w:vAlign w:val="center"/>
            <w:hideMark/>
          </w:tcPr>
          <w:p w14:paraId="172EF30B"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8</w:t>
            </w:r>
          </w:p>
        </w:tc>
        <w:tc>
          <w:tcPr>
            <w:tcW w:w="1043" w:type="dxa"/>
            <w:tcBorders>
              <w:top w:val="nil"/>
              <w:left w:val="nil"/>
              <w:bottom w:val="nil"/>
              <w:right w:val="nil"/>
            </w:tcBorders>
            <w:shd w:val="clear" w:color="000000" w:fill="D9D9D9"/>
            <w:noWrap/>
            <w:vAlign w:val="center"/>
            <w:hideMark/>
          </w:tcPr>
          <w:p w14:paraId="7F2EAA49"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4</w:t>
            </w:r>
          </w:p>
        </w:tc>
        <w:tc>
          <w:tcPr>
            <w:tcW w:w="980" w:type="dxa"/>
            <w:tcBorders>
              <w:top w:val="nil"/>
              <w:left w:val="nil"/>
              <w:bottom w:val="nil"/>
              <w:right w:val="nil"/>
            </w:tcBorders>
            <w:shd w:val="clear" w:color="000000" w:fill="D9D9D9"/>
            <w:noWrap/>
            <w:vAlign w:val="center"/>
            <w:hideMark/>
          </w:tcPr>
          <w:p w14:paraId="3C47A2B0"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5</w:t>
            </w:r>
          </w:p>
        </w:tc>
        <w:tc>
          <w:tcPr>
            <w:tcW w:w="898" w:type="dxa"/>
            <w:tcBorders>
              <w:top w:val="nil"/>
              <w:left w:val="nil"/>
              <w:bottom w:val="nil"/>
              <w:right w:val="nil"/>
            </w:tcBorders>
            <w:shd w:val="clear" w:color="000000" w:fill="D9D9D9"/>
            <w:noWrap/>
            <w:vAlign w:val="center"/>
            <w:hideMark/>
          </w:tcPr>
          <w:p w14:paraId="233910A2"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5.0</w:t>
            </w:r>
          </w:p>
        </w:tc>
        <w:tc>
          <w:tcPr>
            <w:tcW w:w="881" w:type="dxa"/>
            <w:tcBorders>
              <w:top w:val="nil"/>
              <w:left w:val="nil"/>
              <w:bottom w:val="nil"/>
              <w:right w:val="nil"/>
            </w:tcBorders>
            <w:shd w:val="clear" w:color="000000" w:fill="D9D9D9"/>
            <w:noWrap/>
            <w:vAlign w:val="center"/>
            <w:hideMark/>
          </w:tcPr>
          <w:p w14:paraId="5F3FD065"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7</w:t>
            </w:r>
          </w:p>
        </w:tc>
      </w:tr>
      <w:tr w:rsidR="00F84C04" w:rsidRPr="0022011B" w14:paraId="53FB4B18" w14:textId="77777777" w:rsidTr="00F84C04">
        <w:trPr>
          <w:trHeight w:val="289"/>
        </w:trPr>
        <w:tc>
          <w:tcPr>
            <w:tcW w:w="905" w:type="dxa"/>
            <w:tcBorders>
              <w:top w:val="nil"/>
              <w:left w:val="nil"/>
              <w:bottom w:val="nil"/>
              <w:right w:val="nil"/>
            </w:tcBorders>
            <w:shd w:val="clear" w:color="auto" w:fill="auto"/>
            <w:noWrap/>
            <w:vAlign w:val="center"/>
            <w:hideMark/>
          </w:tcPr>
          <w:p w14:paraId="343DEDF9"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PPCL</w:t>
            </w:r>
          </w:p>
        </w:tc>
        <w:tc>
          <w:tcPr>
            <w:tcW w:w="1255" w:type="dxa"/>
            <w:tcBorders>
              <w:top w:val="nil"/>
              <w:left w:val="nil"/>
              <w:bottom w:val="nil"/>
              <w:right w:val="nil"/>
            </w:tcBorders>
            <w:shd w:val="clear" w:color="auto" w:fill="auto"/>
            <w:noWrap/>
            <w:vAlign w:val="center"/>
            <w:hideMark/>
          </w:tcPr>
          <w:p w14:paraId="46DF2FAA"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0.0</w:t>
            </w:r>
          </w:p>
        </w:tc>
        <w:tc>
          <w:tcPr>
            <w:tcW w:w="904" w:type="dxa"/>
            <w:tcBorders>
              <w:top w:val="nil"/>
              <w:left w:val="nil"/>
              <w:bottom w:val="nil"/>
              <w:right w:val="nil"/>
            </w:tcBorders>
            <w:shd w:val="clear" w:color="auto" w:fill="auto"/>
            <w:noWrap/>
            <w:vAlign w:val="center"/>
            <w:hideMark/>
          </w:tcPr>
          <w:p w14:paraId="7B346E29"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0.0</w:t>
            </w:r>
          </w:p>
        </w:tc>
        <w:tc>
          <w:tcPr>
            <w:tcW w:w="947" w:type="dxa"/>
            <w:tcBorders>
              <w:top w:val="nil"/>
              <w:left w:val="nil"/>
              <w:bottom w:val="nil"/>
              <w:right w:val="nil"/>
            </w:tcBorders>
            <w:shd w:val="clear" w:color="auto" w:fill="auto"/>
            <w:noWrap/>
            <w:vAlign w:val="center"/>
            <w:hideMark/>
          </w:tcPr>
          <w:p w14:paraId="25732032"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11</w:t>
            </w:r>
          </w:p>
        </w:tc>
        <w:tc>
          <w:tcPr>
            <w:tcW w:w="904" w:type="dxa"/>
            <w:tcBorders>
              <w:top w:val="nil"/>
              <w:left w:val="nil"/>
              <w:bottom w:val="nil"/>
              <w:right w:val="nil"/>
            </w:tcBorders>
            <w:shd w:val="clear" w:color="auto" w:fill="auto"/>
            <w:noWrap/>
            <w:vAlign w:val="center"/>
            <w:hideMark/>
          </w:tcPr>
          <w:p w14:paraId="4CA6D709"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8</w:t>
            </w:r>
          </w:p>
        </w:tc>
        <w:tc>
          <w:tcPr>
            <w:tcW w:w="1043" w:type="dxa"/>
            <w:tcBorders>
              <w:top w:val="nil"/>
              <w:left w:val="nil"/>
              <w:bottom w:val="nil"/>
              <w:right w:val="nil"/>
            </w:tcBorders>
            <w:shd w:val="clear" w:color="auto" w:fill="auto"/>
            <w:noWrap/>
            <w:vAlign w:val="center"/>
            <w:hideMark/>
          </w:tcPr>
          <w:p w14:paraId="379448F0"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7</w:t>
            </w:r>
          </w:p>
        </w:tc>
        <w:tc>
          <w:tcPr>
            <w:tcW w:w="980" w:type="dxa"/>
            <w:tcBorders>
              <w:top w:val="nil"/>
              <w:left w:val="nil"/>
              <w:bottom w:val="nil"/>
              <w:right w:val="nil"/>
            </w:tcBorders>
            <w:shd w:val="clear" w:color="auto" w:fill="auto"/>
            <w:noWrap/>
            <w:vAlign w:val="center"/>
            <w:hideMark/>
          </w:tcPr>
          <w:p w14:paraId="4EBF02C4"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7</w:t>
            </w:r>
          </w:p>
        </w:tc>
        <w:tc>
          <w:tcPr>
            <w:tcW w:w="898" w:type="dxa"/>
            <w:tcBorders>
              <w:top w:val="nil"/>
              <w:left w:val="nil"/>
              <w:bottom w:val="nil"/>
              <w:right w:val="nil"/>
            </w:tcBorders>
            <w:shd w:val="clear" w:color="auto" w:fill="auto"/>
            <w:noWrap/>
            <w:vAlign w:val="center"/>
            <w:hideMark/>
          </w:tcPr>
          <w:p w14:paraId="10DA0268"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8.3</w:t>
            </w:r>
          </w:p>
        </w:tc>
        <w:tc>
          <w:tcPr>
            <w:tcW w:w="881" w:type="dxa"/>
            <w:tcBorders>
              <w:top w:val="nil"/>
              <w:left w:val="nil"/>
              <w:bottom w:val="nil"/>
              <w:right w:val="nil"/>
            </w:tcBorders>
            <w:shd w:val="clear" w:color="auto" w:fill="auto"/>
            <w:noWrap/>
            <w:vAlign w:val="center"/>
            <w:hideMark/>
          </w:tcPr>
          <w:p w14:paraId="169B0429"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11</w:t>
            </w:r>
          </w:p>
        </w:tc>
      </w:tr>
      <w:tr w:rsidR="00F84C04" w:rsidRPr="0022011B" w14:paraId="16A03EE2" w14:textId="77777777" w:rsidTr="00F84C04">
        <w:trPr>
          <w:trHeight w:val="289"/>
        </w:trPr>
        <w:tc>
          <w:tcPr>
            <w:tcW w:w="905" w:type="dxa"/>
            <w:tcBorders>
              <w:top w:val="nil"/>
              <w:left w:val="nil"/>
              <w:bottom w:val="nil"/>
              <w:right w:val="nil"/>
            </w:tcBorders>
            <w:shd w:val="clear" w:color="000000" w:fill="D9D9D9"/>
            <w:noWrap/>
            <w:vAlign w:val="center"/>
            <w:hideMark/>
          </w:tcPr>
          <w:p w14:paraId="6A7CCC61"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PPEA</w:t>
            </w:r>
          </w:p>
        </w:tc>
        <w:tc>
          <w:tcPr>
            <w:tcW w:w="1255" w:type="dxa"/>
            <w:tcBorders>
              <w:top w:val="nil"/>
              <w:left w:val="nil"/>
              <w:bottom w:val="nil"/>
              <w:right w:val="nil"/>
            </w:tcBorders>
            <w:shd w:val="clear" w:color="000000" w:fill="D9D9D9"/>
            <w:noWrap/>
            <w:vAlign w:val="center"/>
            <w:hideMark/>
          </w:tcPr>
          <w:p w14:paraId="50B99E52"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1.4</w:t>
            </w:r>
          </w:p>
        </w:tc>
        <w:tc>
          <w:tcPr>
            <w:tcW w:w="904" w:type="dxa"/>
            <w:tcBorders>
              <w:top w:val="nil"/>
              <w:left w:val="nil"/>
              <w:bottom w:val="nil"/>
              <w:right w:val="nil"/>
            </w:tcBorders>
            <w:shd w:val="clear" w:color="000000" w:fill="D9D9D9"/>
            <w:noWrap/>
            <w:vAlign w:val="center"/>
            <w:hideMark/>
          </w:tcPr>
          <w:p w14:paraId="7BFB9E01"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0.1</w:t>
            </w:r>
          </w:p>
        </w:tc>
        <w:tc>
          <w:tcPr>
            <w:tcW w:w="947" w:type="dxa"/>
            <w:tcBorders>
              <w:top w:val="nil"/>
              <w:left w:val="nil"/>
              <w:bottom w:val="nil"/>
              <w:right w:val="nil"/>
            </w:tcBorders>
            <w:shd w:val="clear" w:color="000000" w:fill="D9D9D9"/>
            <w:noWrap/>
            <w:vAlign w:val="center"/>
            <w:hideMark/>
          </w:tcPr>
          <w:p w14:paraId="7EE993FB"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8</w:t>
            </w:r>
          </w:p>
        </w:tc>
        <w:tc>
          <w:tcPr>
            <w:tcW w:w="904" w:type="dxa"/>
            <w:tcBorders>
              <w:top w:val="nil"/>
              <w:left w:val="nil"/>
              <w:bottom w:val="nil"/>
              <w:right w:val="nil"/>
            </w:tcBorders>
            <w:shd w:val="clear" w:color="000000" w:fill="D9D9D9"/>
            <w:noWrap/>
            <w:vAlign w:val="center"/>
            <w:hideMark/>
          </w:tcPr>
          <w:p w14:paraId="61DEFBB1"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7</w:t>
            </w:r>
          </w:p>
        </w:tc>
        <w:tc>
          <w:tcPr>
            <w:tcW w:w="1043" w:type="dxa"/>
            <w:tcBorders>
              <w:top w:val="nil"/>
              <w:left w:val="nil"/>
              <w:bottom w:val="nil"/>
              <w:right w:val="nil"/>
            </w:tcBorders>
            <w:shd w:val="clear" w:color="000000" w:fill="D9D9D9"/>
            <w:noWrap/>
            <w:vAlign w:val="center"/>
            <w:hideMark/>
          </w:tcPr>
          <w:p w14:paraId="426AAAB7"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3</w:t>
            </w:r>
          </w:p>
        </w:tc>
        <w:tc>
          <w:tcPr>
            <w:tcW w:w="980" w:type="dxa"/>
            <w:tcBorders>
              <w:top w:val="nil"/>
              <w:left w:val="nil"/>
              <w:bottom w:val="nil"/>
              <w:right w:val="nil"/>
            </w:tcBorders>
            <w:shd w:val="clear" w:color="000000" w:fill="D9D9D9"/>
            <w:noWrap/>
            <w:vAlign w:val="center"/>
            <w:hideMark/>
          </w:tcPr>
          <w:p w14:paraId="1123FA29"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4</w:t>
            </w:r>
          </w:p>
        </w:tc>
        <w:tc>
          <w:tcPr>
            <w:tcW w:w="898" w:type="dxa"/>
            <w:tcBorders>
              <w:top w:val="nil"/>
              <w:left w:val="nil"/>
              <w:bottom w:val="nil"/>
              <w:right w:val="nil"/>
            </w:tcBorders>
            <w:shd w:val="clear" w:color="000000" w:fill="D9D9D9"/>
            <w:noWrap/>
            <w:vAlign w:val="center"/>
            <w:hideMark/>
          </w:tcPr>
          <w:p w14:paraId="2C40BBE8"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5.5</w:t>
            </w:r>
          </w:p>
        </w:tc>
        <w:tc>
          <w:tcPr>
            <w:tcW w:w="881" w:type="dxa"/>
            <w:tcBorders>
              <w:top w:val="nil"/>
              <w:left w:val="nil"/>
              <w:bottom w:val="nil"/>
              <w:right w:val="nil"/>
            </w:tcBorders>
            <w:shd w:val="clear" w:color="000000" w:fill="D9D9D9"/>
            <w:noWrap/>
            <w:vAlign w:val="center"/>
            <w:hideMark/>
          </w:tcPr>
          <w:p w14:paraId="4A7571EC"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8</w:t>
            </w:r>
          </w:p>
        </w:tc>
      </w:tr>
      <w:tr w:rsidR="00F84C04" w:rsidRPr="0022011B" w14:paraId="3D7F6AFA" w14:textId="77777777" w:rsidTr="00F84C04">
        <w:trPr>
          <w:trHeight w:val="289"/>
        </w:trPr>
        <w:tc>
          <w:tcPr>
            <w:tcW w:w="905" w:type="dxa"/>
            <w:tcBorders>
              <w:top w:val="nil"/>
              <w:left w:val="nil"/>
              <w:bottom w:val="single" w:sz="12" w:space="0" w:color="auto"/>
              <w:right w:val="nil"/>
            </w:tcBorders>
            <w:shd w:val="clear" w:color="auto" w:fill="auto"/>
            <w:noWrap/>
            <w:vAlign w:val="center"/>
            <w:hideMark/>
          </w:tcPr>
          <w:p w14:paraId="1C9916E8"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UPRT</w:t>
            </w:r>
          </w:p>
        </w:tc>
        <w:tc>
          <w:tcPr>
            <w:tcW w:w="1255" w:type="dxa"/>
            <w:tcBorders>
              <w:top w:val="nil"/>
              <w:left w:val="nil"/>
              <w:bottom w:val="single" w:sz="12" w:space="0" w:color="auto"/>
              <w:right w:val="nil"/>
            </w:tcBorders>
            <w:shd w:val="clear" w:color="auto" w:fill="auto"/>
            <w:noWrap/>
            <w:vAlign w:val="center"/>
            <w:hideMark/>
          </w:tcPr>
          <w:p w14:paraId="38107B9A"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1.2</w:t>
            </w:r>
          </w:p>
        </w:tc>
        <w:tc>
          <w:tcPr>
            <w:tcW w:w="904" w:type="dxa"/>
            <w:tcBorders>
              <w:top w:val="nil"/>
              <w:left w:val="nil"/>
              <w:bottom w:val="single" w:sz="12" w:space="0" w:color="auto"/>
              <w:right w:val="nil"/>
            </w:tcBorders>
            <w:shd w:val="clear" w:color="auto" w:fill="auto"/>
            <w:noWrap/>
            <w:vAlign w:val="center"/>
            <w:hideMark/>
          </w:tcPr>
          <w:p w14:paraId="6B629B0F"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0.0</w:t>
            </w:r>
          </w:p>
        </w:tc>
        <w:tc>
          <w:tcPr>
            <w:tcW w:w="947" w:type="dxa"/>
            <w:tcBorders>
              <w:top w:val="nil"/>
              <w:left w:val="nil"/>
              <w:bottom w:val="single" w:sz="12" w:space="0" w:color="auto"/>
              <w:right w:val="nil"/>
            </w:tcBorders>
            <w:shd w:val="clear" w:color="auto" w:fill="auto"/>
            <w:noWrap/>
            <w:vAlign w:val="center"/>
            <w:hideMark/>
          </w:tcPr>
          <w:p w14:paraId="40E37FAB"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9</w:t>
            </w:r>
          </w:p>
        </w:tc>
        <w:tc>
          <w:tcPr>
            <w:tcW w:w="904" w:type="dxa"/>
            <w:tcBorders>
              <w:top w:val="nil"/>
              <w:left w:val="nil"/>
              <w:bottom w:val="single" w:sz="12" w:space="0" w:color="auto"/>
              <w:right w:val="nil"/>
            </w:tcBorders>
            <w:shd w:val="clear" w:color="auto" w:fill="auto"/>
            <w:noWrap/>
            <w:vAlign w:val="center"/>
            <w:hideMark/>
          </w:tcPr>
          <w:p w14:paraId="72A58847"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8</w:t>
            </w:r>
          </w:p>
        </w:tc>
        <w:tc>
          <w:tcPr>
            <w:tcW w:w="1043" w:type="dxa"/>
            <w:tcBorders>
              <w:top w:val="nil"/>
              <w:left w:val="nil"/>
              <w:bottom w:val="single" w:sz="12" w:space="0" w:color="auto"/>
              <w:right w:val="nil"/>
            </w:tcBorders>
            <w:shd w:val="clear" w:color="auto" w:fill="auto"/>
            <w:noWrap/>
            <w:vAlign w:val="center"/>
            <w:hideMark/>
          </w:tcPr>
          <w:p w14:paraId="5369FEBB"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w:t>
            </w:r>
          </w:p>
        </w:tc>
        <w:tc>
          <w:tcPr>
            <w:tcW w:w="980" w:type="dxa"/>
            <w:tcBorders>
              <w:top w:val="nil"/>
              <w:left w:val="nil"/>
              <w:bottom w:val="single" w:sz="12" w:space="0" w:color="auto"/>
              <w:right w:val="nil"/>
            </w:tcBorders>
            <w:shd w:val="clear" w:color="auto" w:fill="auto"/>
            <w:noWrap/>
            <w:vAlign w:val="center"/>
            <w:hideMark/>
          </w:tcPr>
          <w:p w14:paraId="245E3E5A"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5</w:t>
            </w:r>
          </w:p>
        </w:tc>
        <w:tc>
          <w:tcPr>
            <w:tcW w:w="898" w:type="dxa"/>
            <w:tcBorders>
              <w:top w:val="nil"/>
              <w:left w:val="nil"/>
              <w:bottom w:val="single" w:sz="12" w:space="0" w:color="auto"/>
              <w:right w:val="nil"/>
            </w:tcBorders>
            <w:shd w:val="clear" w:color="auto" w:fill="auto"/>
            <w:noWrap/>
            <w:vAlign w:val="center"/>
            <w:hideMark/>
          </w:tcPr>
          <w:p w14:paraId="4E8AC42F"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6.0</w:t>
            </w:r>
          </w:p>
        </w:tc>
        <w:tc>
          <w:tcPr>
            <w:tcW w:w="881" w:type="dxa"/>
            <w:tcBorders>
              <w:top w:val="nil"/>
              <w:left w:val="nil"/>
              <w:bottom w:val="single" w:sz="12" w:space="0" w:color="auto"/>
              <w:right w:val="nil"/>
            </w:tcBorders>
            <w:shd w:val="clear" w:color="auto" w:fill="auto"/>
            <w:noWrap/>
            <w:vAlign w:val="center"/>
            <w:hideMark/>
          </w:tcPr>
          <w:p w14:paraId="3C950F79"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9</w:t>
            </w:r>
          </w:p>
        </w:tc>
      </w:tr>
      <w:tr w:rsidR="00F84C04" w:rsidRPr="0022011B" w14:paraId="61DC0E9F" w14:textId="77777777" w:rsidTr="00F84C04">
        <w:trPr>
          <w:trHeight w:val="289"/>
        </w:trPr>
        <w:tc>
          <w:tcPr>
            <w:tcW w:w="8721" w:type="dxa"/>
            <w:gridSpan w:val="9"/>
            <w:tcBorders>
              <w:top w:val="single" w:sz="12" w:space="0" w:color="auto"/>
              <w:left w:val="nil"/>
              <w:bottom w:val="single" w:sz="4" w:space="0" w:color="FFFFFF" w:themeColor="background1"/>
              <w:right w:val="nil"/>
            </w:tcBorders>
            <w:shd w:val="clear" w:color="auto" w:fill="auto"/>
            <w:noWrap/>
            <w:vAlign w:val="center"/>
            <w:hideMark/>
          </w:tcPr>
          <w:p w14:paraId="5C37C060" w14:textId="77777777" w:rsidR="00F84C04" w:rsidRPr="0022011B" w:rsidRDefault="00F84C04" w:rsidP="00E40C28">
            <w:pPr>
              <w:spacing w:line="240" w:lineRule="auto"/>
              <w:jc w:val="center"/>
              <w:rPr>
                <w:rFonts w:cs="Times New Roman"/>
                <w:color w:val="000000"/>
                <w:sz w:val="20"/>
                <w:szCs w:val="20"/>
              </w:rPr>
            </w:pPr>
            <w:r>
              <w:rPr>
                <w:rFonts w:cs="Times New Roman"/>
                <w:color w:val="000000"/>
                <w:sz w:val="20"/>
                <w:szCs w:val="20"/>
              </w:rPr>
              <w:t>Big bluestem/Indiangrass</w:t>
            </w:r>
          </w:p>
        </w:tc>
      </w:tr>
      <w:tr w:rsidR="00F84C04" w:rsidRPr="0022011B" w14:paraId="359E4042" w14:textId="77777777" w:rsidTr="00F84C04">
        <w:trPr>
          <w:trHeight w:val="289"/>
        </w:trPr>
        <w:tc>
          <w:tcPr>
            <w:tcW w:w="905" w:type="dxa"/>
            <w:tcBorders>
              <w:top w:val="single" w:sz="12" w:space="0" w:color="000000" w:themeColor="text1"/>
              <w:left w:val="nil"/>
              <w:bottom w:val="single" w:sz="12" w:space="0" w:color="auto"/>
              <w:right w:val="single" w:sz="36" w:space="0" w:color="FFFFFF" w:themeColor="background1"/>
            </w:tcBorders>
            <w:shd w:val="clear" w:color="auto" w:fill="auto"/>
            <w:noWrap/>
            <w:vAlign w:val="bottom"/>
            <w:hideMark/>
          </w:tcPr>
          <w:p w14:paraId="5229CB3E" w14:textId="77777777" w:rsidR="00F84C04" w:rsidRPr="0022011B" w:rsidRDefault="00F84C04" w:rsidP="00E40C28">
            <w:pPr>
              <w:spacing w:line="240" w:lineRule="auto"/>
              <w:jc w:val="center"/>
              <w:rPr>
                <w:rFonts w:cs="Times New Roman"/>
                <w:sz w:val="20"/>
                <w:szCs w:val="20"/>
              </w:rPr>
            </w:pPr>
            <w:r>
              <w:rPr>
                <w:rFonts w:cs="Times New Roman"/>
                <w:sz w:val="20"/>
                <w:szCs w:val="20"/>
              </w:rPr>
              <w:t>Forb Species</w:t>
            </w:r>
            <w:r w:rsidRPr="00D90908">
              <w:rPr>
                <w:rFonts w:cs="Times New Roman"/>
                <w:color w:val="000000"/>
                <w:sz w:val="20"/>
                <w:szCs w:val="20"/>
                <w:vertAlign w:val="superscript"/>
              </w:rPr>
              <w:t>†</w:t>
            </w:r>
          </w:p>
        </w:tc>
        <w:tc>
          <w:tcPr>
            <w:tcW w:w="1255"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bottom"/>
            <w:hideMark/>
          </w:tcPr>
          <w:p w14:paraId="2398C574" w14:textId="77777777" w:rsidR="00F84C04" w:rsidRDefault="00F84C04" w:rsidP="00F84C04">
            <w:pPr>
              <w:spacing w:line="240" w:lineRule="auto"/>
              <w:jc w:val="center"/>
              <w:rPr>
                <w:rFonts w:cs="Times New Roman"/>
                <w:color w:val="000000"/>
                <w:sz w:val="20"/>
                <w:szCs w:val="20"/>
              </w:rPr>
            </w:pPr>
            <w:r w:rsidRPr="00F84C04">
              <w:rPr>
                <w:rFonts w:cs="Times New Roman"/>
                <w:color w:val="000000"/>
                <w:sz w:val="20"/>
                <w:szCs w:val="20"/>
              </w:rPr>
              <w:t>Abundance</w:t>
            </w:r>
          </w:p>
          <w:p w14:paraId="2866EF6D" w14:textId="36DBCAA8" w:rsidR="00F84C04" w:rsidRPr="0022011B" w:rsidRDefault="00F84C04" w:rsidP="00F84C04">
            <w:pPr>
              <w:spacing w:line="240" w:lineRule="auto"/>
              <w:jc w:val="center"/>
              <w:rPr>
                <w:rFonts w:cs="Times New Roman"/>
                <w:color w:val="000000"/>
                <w:sz w:val="20"/>
                <w:szCs w:val="20"/>
              </w:rPr>
            </w:pPr>
            <w:r>
              <w:rPr>
                <w:rFonts w:cs="Times New Roman"/>
                <w:color w:val="000000"/>
                <w:sz w:val="20"/>
                <w:szCs w:val="20"/>
              </w:rPr>
              <w:t>(total plants m</w:t>
            </w:r>
            <w:r w:rsidRPr="00F84C04">
              <w:rPr>
                <w:rFonts w:cs="Times New Roman"/>
                <w:color w:val="000000"/>
                <w:sz w:val="20"/>
                <w:szCs w:val="20"/>
                <w:vertAlign w:val="superscript"/>
              </w:rPr>
              <w:t>-2</w:t>
            </w:r>
            <w:r>
              <w:rPr>
                <w:rFonts w:cs="Times New Roman"/>
                <w:color w:val="000000"/>
                <w:sz w:val="20"/>
                <w:szCs w:val="20"/>
              </w:rPr>
              <w:t>)</w:t>
            </w:r>
            <w:r w:rsidRPr="00D90908">
              <w:rPr>
                <w:rFonts w:cs="Times New Roman"/>
                <w:color w:val="000000"/>
                <w:sz w:val="20"/>
                <w:szCs w:val="20"/>
                <w:vertAlign w:val="superscript"/>
              </w:rPr>
              <w:t>‡</w:t>
            </w:r>
          </w:p>
        </w:tc>
        <w:tc>
          <w:tcPr>
            <w:tcW w:w="904"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bottom"/>
            <w:hideMark/>
          </w:tcPr>
          <w:p w14:paraId="0FFC03A4" w14:textId="77777777" w:rsidR="00F84C04" w:rsidRPr="00F66D9A" w:rsidRDefault="00F84C04" w:rsidP="00E40C28">
            <w:pPr>
              <w:spacing w:line="240" w:lineRule="auto"/>
              <w:jc w:val="center"/>
              <w:rPr>
                <w:rFonts w:eastAsia="Calibri" w:cs="Times New Roman"/>
                <w:vertAlign w:val="superscript"/>
              </w:rPr>
            </w:pPr>
            <w:r>
              <w:rPr>
                <w:rFonts w:cs="Times New Roman"/>
                <w:color w:val="000000"/>
                <w:sz w:val="20"/>
                <w:szCs w:val="20"/>
              </w:rPr>
              <w:t>2020 Plants m</w:t>
            </w:r>
            <w:r w:rsidRPr="00CE037B">
              <w:rPr>
                <w:rFonts w:cs="Times New Roman"/>
                <w:color w:val="000000"/>
                <w:sz w:val="20"/>
                <w:szCs w:val="20"/>
                <w:vertAlign w:val="superscript"/>
              </w:rPr>
              <w:t>-2</w:t>
            </w:r>
            <w:r w:rsidRPr="00F66D9A">
              <w:rPr>
                <w:rFonts w:eastAsia="Calibri" w:cs="Times New Roman"/>
                <w:bCs/>
                <w:vertAlign w:val="superscript"/>
              </w:rPr>
              <w:t>§</w:t>
            </w:r>
          </w:p>
        </w:tc>
        <w:tc>
          <w:tcPr>
            <w:tcW w:w="947"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bottom"/>
            <w:hideMark/>
          </w:tcPr>
          <w:p w14:paraId="5224524A" w14:textId="38B9B7F8" w:rsidR="00F84C04" w:rsidRPr="0022011B" w:rsidRDefault="00F84C04" w:rsidP="00E40C28">
            <w:pPr>
              <w:spacing w:line="240" w:lineRule="auto"/>
              <w:jc w:val="center"/>
              <w:rPr>
                <w:rFonts w:cs="Times New Roman"/>
                <w:color w:val="000000"/>
                <w:sz w:val="20"/>
                <w:szCs w:val="20"/>
              </w:rPr>
            </w:pPr>
            <w:r>
              <w:rPr>
                <w:rFonts w:cs="Times New Roman"/>
                <w:color w:val="000000"/>
                <w:sz w:val="20"/>
                <w:szCs w:val="20"/>
              </w:rPr>
              <w:t>Abundance Rank</w:t>
            </w:r>
          </w:p>
        </w:tc>
        <w:tc>
          <w:tcPr>
            <w:tcW w:w="904"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bottom"/>
            <w:hideMark/>
          </w:tcPr>
          <w:p w14:paraId="5675C510" w14:textId="77777777" w:rsidR="00F84C04" w:rsidRPr="0022011B" w:rsidRDefault="00F84C04" w:rsidP="00E40C28">
            <w:pPr>
              <w:spacing w:line="240" w:lineRule="auto"/>
              <w:jc w:val="center"/>
              <w:rPr>
                <w:rFonts w:cs="Times New Roman"/>
                <w:color w:val="000000"/>
                <w:sz w:val="20"/>
                <w:szCs w:val="20"/>
              </w:rPr>
            </w:pPr>
            <w:r w:rsidRPr="0022011B">
              <w:rPr>
                <w:rFonts w:cs="Times New Roman"/>
                <w:color w:val="000000"/>
                <w:sz w:val="20"/>
                <w:szCs w:val="20"/>
              </w:rPr>
              <w:t>2020</w:t>
            </w:r>
            <w:r>
              <w:rPr>
                <w:rFonts w:cs="Times New Roman"/>
                <w:color w:val="000000"/>
                <w:sz w:val="20"/>
                <w:szCs w:val="20"/>
              </w:rPr>
              <w:t xml:space="preserve"> Plants Rank</w:t>
            </w:r>
          </w:p>
        </w:tc>
        <w:tc>
          <w:tcPr>
            <w:tcW w:w="1043"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bottom"/>
            <w:hideMark/>
          </w:tcPr>
          <w:p w14:paraId="7F15CB07" w14:textId="26EB6874" w:rsidR="00F84C04" w:rsidRPr="0022011B" w:rsidRDefault="00F84C04" w:rsidP="0092769F">
            <w:pPr>
              <w:spacing w:line="240" w:lineRule="auto"/>
              <w:jc w:val="center"/>
              <w:rPr>
                <w:rFonts w:cs="Times New Roman"/>
                <w:color w:val="000000"/>
                <w:sz w:val="20"/>
                <w:szCs w:val="20"/>
              </w:rPr>
            </w:pPr>
            <w:r w:rsidRPr="0022011B">
              <w:rPr>
                <w:rFonts w:cs="Times New Roman"/>
                <w:color w:val="000000"/>
                <w:sz w:val="20"/>
                <w:szCs w:val="20"/>
              </w:rPr>
              <w:t>Flowerin</w:t>
            </w:r>
            <w:r>
              <w:rPr>
                <w:rFonts w:cs="Times New Roman"/>
                <w:color w:val="000000"/>
                <w:sz w:val="20"/>
                <w:szCs w:val="20"/>
              </w:rPr>
              <w:t>g</w:t>
            </w:r>
            <w:r w:rsidR="0092769F">
              <w:rPr>
                <w:rFonts w:cs="Times New Roman"/>
                <w:color w:val="000000"/>
                <w:sz w:val="20"/>
                <w:szCs w:val="20"/>
              </w:rPr>
              <w:t xml:space="preserve"> Period </w:t>
            </w:r>
            <w:r>
              <w:rPr>
                <w:rFonts w:cs="Times New Roman"/>
                <w:color w:val="000000"/>
                <w:sz w:val="20"/>
                <w:szCs w:val="20"/>
              </w:rPr>
              <w:t xml:space="preserve"> Rank</w:t>
            </w:r>
          </w:p>
        </w:tc>
        <w:tc>
          <w:tcPr>
            <w:tcW w:w="980"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bottom"/>
            <w:hideMark/>
          </w:tcPr>
          <w:p w14:paraId="021AD20B" w14:textId="77777777" w:rsidR="00F84C04" w:rsidRPr="0022011B" w:rsidRDefault="00F84C04" w:rsidP="00E40C28">
            <w:pPr>
              <w:spacing w:line="240" w:lineRule="auto"/>
              <w:jc w:val="center"/>
              <w:rPr>
                <w:rFonts w:cs="Times New Roman"/>
                <w:color w:val="000000"/>
                <w:sz w:val="20"/>
                <w:szCs w:val="20"/>
              </w:rPr>
            </w:pPr>
            <w:r>
              <w:rPr>
                <w:rFonts w:cs="Times New Roman"/>
                <w:color w:val="000000"/>
                <w:sz w:val="20"/>
                <w:szCs w:val="20"/>
              </w:rPr>
              <w:t>Blooms plant</w:t>
            </w:r>
            <w:r w:rsidRPr="00D90908">
              <w:rPr>
                <w:rFonts w:cs="Times New Roman"/>
                <w:color w:val="000000"/>
                <w:sz w:val="20"/>
                <w:szCs w:val="20"/>
                <w:vertAlign w:val="superscript"/>
              </w:rPr>
              <w:t>-1</w:t>
            </w:r>
            <w:r>
              <w:rPr>
                <w:rFonts w:cs="Times New Roman"/>
                <w:color w:val="000000"/>
                <w:sz w:val="20"/>
                <w:szCs w:val="20"/>
              </w:rPr>
              <w:t xml:space="preserve"> Rank</w:t>
            </w:r>
          </w:p>
        </w:tc>
        <w:tc>
          <w:tcPr>
            <w:tcW w:w="898"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bottom"/>
          </w:tcPr>
          <w:p w14:paraId="59F8A545" w14:textId="77777777" w:rsidR="00F84C04" w:rsidRPr="0022011B" w:rsidRDefault="00F84C04" w:rsidP="00E40C28">
            <w:pPr>
              <w:spacing w:line="240" w:lineRule="auto"/>
              <w:jc w:val="center"/>
              <w:rPr>
                <w:rFonts w:cs="Times New Roman"/>
                <w:color w:val="000000"/>
                <w:sz w:val="20"/>
                <w:szCs w:val="20"/>
              </w:rPr>
            </w:pPr>
            <w:r>
              <w:rPr>
                <w:rFonts w:cs="Times New Roman"/>
                <w:color w:val="000000"/>
                <w:sz w:val="20"/>
                <w:szCs w:val="20"/>
              </w:rPr>
              <w:t>Rank Average</w:t>
            </w:r>
          </w:p>
        </w:tc>
        <w:tc>
          <w:tcPr>
            <w:tcW w:w="881" w:type="dxa"/>
            <w:tcBorders>
              <w:top w:val="single" w:sz="12" w:space="0" w:color="auto"/>
              <w:left w:val="single" w:sz="36" w:space="0" w:color="FFFFFF" w:themeColor="background1"/>
              <w:bottom w:val="single" w:sz="12" w:space="0" w:color="auto"/>
              <w:right w:val="nil"/>
            </w:tcBorders>
            <w:shd w:val="clear" w:color="auto" w:fill="auto"/>
            <w:noWrap/>
            <w:vAlign w:val="bottom"/>
            <w:hideMark/>
          </w:tcPr>
          <w:p w14:paraId="32E92787" w14:textId="77777777" w:rsidR="00F84C04" w:rsidRPr="0022011B" w:rsidRDefault="00F84C04" w:rsidP="00E40C28">
            <w:pPr>
              <w:spacing w:line="240" w:lineRule="auto"/>
              <w:jc w:val="center"/>
              <w:rPr>
                <w:rFonts w:cs="Times New Roman"/>
                <w:color w:val="000000"/>
                <w:sz w:val="20"/>
                <w:szCs w:val="20"/>
              </w:rPr>
            </w:pPr>
            <w:r>
              <w:rPr>
                <w:rFonts w:cs="Times New Roman"/>
                <w:color w:val="000000"/>
                <w:sz w:val="20"/>
                <w:szCs w:val="20"/>
              </w:rPr>
              <w:t xml:space="preserve">Overall </w:t>
            </w:r>
            <w:r w:rsidRPr="0022011B">
              <w:rPr>
                <w:rFonts w:cs="Times New Roman"/>
                <w:color w:val="000000"/>
                <w:sz w:val="20"/>
                <w:szCs w:val="20"/>
              </w:rPr>
              <w:t>Rank</w:t>
            </w:r>
            <w:r w:rsidRPr="000D0EE3">
              <w:rPr>
                <w:rFonts w:cs="Times New Roman"/>
                <w:color w:val="000000"/>
                <w:sz w:val="20"/>
                <w:szCs w:val="20"/>
                <w:vertAlign w:val="superscript"/>
              </w:rPr>
              <w:t>⁋</w:t>
            </w:r>
          </w:p>
        </w:tc>
      </w:tr>
      <w:tr w:rsidR="00F84C04" w:rsidRPr="0022011B" w14:paraId="4FC0D1EB" w14:textId="77777777" w:rsidTr="00F84C04">
        <w:trPr>
          <w:trHeight w:val="289"/>
        </w:trPr>
        <w:tc>
          <w:tcPr>
            <w:tcW w:w="905" w:type="dxa"/>
            <w:tcBorders>
              <w:top w:val="single" w:sz="12" w:space="0" w:color="auto"/>
              <w:left w:val="nil"/>
              <w:bottom w:val="nil"/>
              <w:right w:val="single" w:sz="36" w:space="0" w:color="FFFFFF" w:themeColor="background1"/>
            </w:tcBorders>
            <w:shd w:val="clear" w:color="auto" w:fill="auto"/>
            <w:noWrap/>
            <w:vAlign w:val="center"/>
            <w:hideMark/>
          </w:tcPr>
          <w:p w14:paraId="1313F221"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BESU</w:t>
            </w:r>
          </w:p>
        </w:tc>
        <w:tc>
          <w:tcPr>
            <w:tcW w:w="1255"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hideMark/>
          </w:tcPr>
          <w:p w14:paraId="7F3CA0C5"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17.9</w:t>
            </w:r>
          </w:p>
        </w:tc>
        <w:tc>
          <w:tcPr>
            <w:tcW w:w="904"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hideMark/>
          </w:tcPr>
          <w:p w14:paraId="53F09C07"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0.5</w:t>
            </w:r>
          </w:p>
        </w:tc>
        <w:tc>
          <w:tcPr>
            <w:tcW w:w="947"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hideMark/>
          </w:tcPr>
          <w:p w14:paraId="509E9920"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3</w:t>
            </w:r>
          </w:p>
        </w:tc>
        <w:tc>
          <w:tcPr>
            <w:tcW w:w="904"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hideMark/>
          </w:tcPr>
          <w:p w14:paraId="6F653FA2"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4</w:t>
            </w:r>
          </w:p>
        </w:tc>
        <w:tc>
          <w:tcPr>
            <w:tcW w:w="1043"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hideMark/>
          </w:tcPr>
          <w:p w14:paraId="1A470FFB"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w:t>
            </w:r>
          </w:p>
        </w:tc>
        <w:tc>
          <w:tcPr>
            <w:tcW w:w="980"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hideMark/>
          </w:tcPr>
          <w:p w14:paraId="333CD9D7"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5</w:t>
            </w:r>
          </w:p>
        </w:tc>
        <w:tc>
          <w:tcPr>
            <w:tcW w:w="898"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hideMark/>
          </w:tcPr>
          <w:p w14:paraId="407DD5C9"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3.5</w:t>
            </w:r>
          </w:p>
        </w:tc>
        <w:tc>
          <w:tcPr>
            <w:tcW w:w="881" w:type="dxa"/>
            <w:tcBorders>
              <w:top w:val="single" w:sz="12" w:space="0" w:color="auto"/>
              <w:left w:val="single" w:sz="36" w:space="0" w:color="FFFFFF" w:themeColor="background1"/>
              <w:bottom w:val="nil"/>
              <w:right w:val="nil"/>
            </w:tcBorders>
            <w:shd w:val="clear" w:color="auto" w:fill="auto"/>
            <w:noWrap/>
            <w:vAlign w:val="center"/>
            <w:hideMark/>
          </w:tcPr>
          <w:p w14:paraId="367F6134"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4</w:t>
            </w:r>
          </w:p>
        </w:tc>
      </w:tr>
      <w:tr w:rsidR="00F84C04" w:rsidRPr="0022011B" w14:paraId="145ADC9D" w14:textId="77777777" w:rsidTr="00F84C04">
        <w:trPr>
          <w:trHeight w:val="289"/>
        </w:trPr>
        <w:tc>
          <w:tcPr>
            <w:tcW w:w="905" w:type="dxa"/>
            <w:tcBorders>
              <w:top w:val="nil"/>
              <w:left w:val="nil"/>
              <w:bottom w:val="nil"/>
              <w:right w:val="nil"/>
            </w:tcBorders>
            <w:shd w:val="clear" w:color="000000" w:fill="D9D9D9"/>
            <w:noWrap/>
            <w:vAlign w:val="center"/>
            <w:hideMark/>
          </w:tcPr>
          <w:p w14:paraId="33420FE5"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DITI</w:t>
            </w:r>
          </w:p>
        </w:tc>
        <w:tc>
          <w:tcPr>
            <w:tcW w:w="1255" w:type="dxa"/>
            <w:tcBorders>
              <w:top w:val="nil"/>
              <w:left w:val="nil"/>
              <w:bottom w:val="nil"/>
              <w:right w:val="nil"/>
            </w:tcBorders>
            <w:shd w:val="clear" w:color="000000" w:fill="D9D9D9"/>
            <w:noWrap/>
            <w:vAlign w:val="center"/>
            <w:hideMark/>
          </w:tcPr>
          <w:p w14:paraId="086890C6"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34.1</w:t>
            </w:r>
          </w:p>
        </w:tc>
        <w:tc>
          <w:tcPr>
            <w:tcW w:w="904" w:type="dxa"/>
            <w:tcBorders>
              <w:top w:val="nil"/>
              <w:left w:val="nil"/>
              <w:bottom w:val="nil"/>
              <w:right w:val="nil"/>
            </w:tcBorders>
            <w:shd w:val="clear" w:color="000000" w:fill="D9D9D9"/>
            <w:noWrap/>
            <w:vAlign w:val="center"/>
            <w:hideMark/>
          </w:tcPr>
          <w:p w14:paraId="2E86A178"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5.8</w:t>
            </w:r>
          </w:p>
        </w:tc>
        <w:tc>
          <w:tcPr>
            <w:tcW w:w="947" w:type="dxa"/>
            <w:tcBorders>
              <w:top w:val="nil"/>
              <w:left w:val="nil"/>
              <w:bottom w:val="nil"/>
              <w:right w:val="nil"/>
            </w:tcBorders>
            <w:shd w:val="clear" w:color="000000" w:fill="D9D9D9"/>
            <w:noWrap/>
            <w:vAlign w:val="center"/>
            <w:hideMark/>
          </w:tcPr>
          <w:p w14:paraId="7DED5281"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w:t>
            </w:r>
          </w:p>
        </w:tc>
        <w:tc>
          <w:tcPr>
            <w:tcW w:w="904" w:type="dxa"/>
            <w:tcBorders>
              <w:top w:val="nil"/>
              <w:left w:val="nil"/>
              <w:bottom w:val="nil"/>
              <w:right w:val="nil"/>
            </w:tcBorders>
            <w:shd w:val="clear" w:color="000000" w:fill="D9D9D9"/>
            <w:noWrap/>
            <w:vAlign w:val="center"/>
            <w:hideMark/>
          </w:tcPr>
          <w:p w14:paraId="14831DDF"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w:t>
            </w:r>
          </w:p>
        </w:tc>
        <w:tc>
          <w:tcPr>
            <w:tcW w:w="1043" w:type="dxa"/>
            <w:tcBorders>
              <w:top w:val="nil"/>
              <w:left w:val="nil"/>
              <w:bottom w:val="nil"/>
              <w:right w:val="nil"/>
            </w:tcBorders>
            <w:shd w:val="clear" w:color="000000" w:fill="D9D9D9"/>
            <w:noWrap/>
            <w:vAlign w:val="center"/>
            <w:hideMark/>
          </w:tcPr>
          <w:p w14:paraId="051DA2FF"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5</w:t>
            </w:r>
          </w:p>
        </w:tc>
        <w:tc>
          <w:tcPr>
            <w:tcW w:w="980" w:type="dxa"/>
            <w:tcBorders>
              <w:top w:val="nil"/>
              <w:left w:val="nil"/>
              <w:bottom w:val="nil"/>
              <w:right w:val="nil"/>
            </w:tcBorders>
            <w:shd w:val="clear" w:color="000000" w:fill="D9D9D9"/>
            <w:noWrap/>
            <w:vAlign w:val="center"/>
            <w:hideMark/>
          </w:tcPr>
          <w:p w14:paraId="5D02BFD7"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w:t>
            </w:r>
          </w:p>
        </w:tc>
        <w:tc>
          <w:tcPr>
            <w:tcW w:w="898" w:type="dxa"/>
            <w:tcBorders>
              <w:top w:val="nil"/>
              <w:left w:val="nil"/>
              <w:bottom w:val="nil"/>
              <w:right w:val="nil"/>
            </w:tcBorders>
            <w:shd w:val="clear" w:color="000000" w:fill="D9D9D9"/>
            <w:noWrap/>
            <w:vAlign w:val="center"/>
            <w:hideMark/>
          </w:tcPr>
          <w:p w14:paraId="4D868594"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2.5</w:t>
            </w:r>
          </w:p>
        </w:tc>
        <w:tc>
          <w:tcPr>
            <w:tcW w:w="881" w:type="dxa"/>
            <w:tcBorders>
              <w:top w:val="nil"/>
              <w:left w:val="nil"/>
              <w:bottom w:val="nil"/>
              <w:right w:val="nil"/>
            </w:tcBorders>
            <w:shd w:val="clear" w:color="000000" w:fill="D9D9D9"/>
            <w:noWrap/>
            <w:vAlign w:val="center"/>
            <w:hideMark/>
          </w:tcPr>
          <w:p w14:paraId="3CBF5CE0"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1</w:t>
            </w:r>
          </w:p>
        </w:tc>
      </w:tr>
      <w:tr w:rsidR="00F84C04" w:rsidRPr="0022011B" w14:paraId="61F01B3D" w14:textId="77777777" w:rsidTr="00F84C04">
        <w:trPr>
          <w:trHeight w:val="289"/>
        </w:trPr>
        <w:tc>
          <w:tcPr>
            <w:tcW w:w="905" w:type="dxa"/>
            <w:tcBorders>
              <w:top w:val="nil"/>
              <w:left w:val="nil"/>
              <w:bottom w:val="nil"/>
              <w:right w:val="nil"/>
            </w:tcBorders>
            <w:shd w:val="clear" w:color="auto" w:fill="auto"/>
            <w:noWrap/>
            <w:vAlign w:val="center"/>
            <w:hideMark/>
          </w:tcPr>
          <w:p w14:paraId="7CCE2156"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ILBF</w:t>
            </w:r>
          </w:p>
        </w:tc>
        <w:tc>
          <w:tcPr>
            <w:tcW w:w="1255" w:type="dxa"/>
            <w:tcBorders>
              <w:top w:val="nil"/>
              <w:left w:val="nil"/>
              <w:bottom w:val="nil"/>
              <w:right w:val="nil"/>
            </w:tcBorders>
            <w:shd w:val="clear" w:color="auto" w:fill="auto"/>
            <w:noWrap/>
            <w:vAlign w:val="center"/>
            <w:hideMark/>
          </w:tcPr>
          <w:p w14:paraId="0AE1EA30"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0.6</w:t>
            </w:r>
          </w:p>
        </w:tc>
        <w:tc>
          <w:tcPr>
            <w:tcW w:w="904" w:type="dxa"/>
            <w:tcBorders>
              <w:top w:val="nil"/>
              <w:left w:val="nil"/>
              <w:bottom w:val="nil"/>
              <w:right w:val="nil"/>
            </w:tcBorders>
            <w:shd w:val="clear" w:color="auto" w:fill="auto"/>
            <w:noWrap/>
            <w:vAlign w:val="center"/>
            <w:hideMark/>
          </w:tcPr>
          <w:p w14:paraId="17E1F65A"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0.1</w:t>
            </w:r>
          </w:p>
        </w:tc>
        <w:tc>
          <w:tcPr>
            <w:tcW w:w="947" w:type="dxa"/>
            <w:tcBorders>
              <w:top w:val="nil"/>
              <w:left w:val="nil"/>
              <w:bottom w:val="nil"/>
              <w:right w:val="nil"/>
            </w:tcBorders>
            <w:shd w:val="clear" w:color="auto" w:fill="auto"/>
            <w:noWrap/>
            <w:vAlign w:val="center"/>
            <w:hideMark/>
          </w:tcPr>
          <w:p w14:paraId="52B4960A"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9</w:t>
            </w:r>
          </w:p>
        </w:tc>
        <w:tc>
          <w:tcPr>
            <w:tcW w:w="904" w:type="dxa"/>
            <w:tcBorders>
              <w:top w:val="nil"/>
              <w:left w:val="nil"/>
              <w:bottom w:val="nil"/>
              <w:right w:val="nil"/>
            </w:tcBorders>
            <w:shd w:val="clear" w:color="auto" w:fill="auto"/>
            <w:noWrap/>
            <w:vAlign w:val="center"/>
            <w:hideMark/>
          </w:tcPr>
          <w:p w14:paraId="74ECD213"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6</w:t>
            </w:r>
          </w:p>
        </w:tc>
        <w:tc>
          <w:tcPr>
            <w:tcW w:w="1043" w:type="dxa"/>
            <w:tcBorders>
              <w:top w:val="nil"/>
              <w:left w:val="nil"/>
              <w:bottom w:val="nil"/>
              <w:right w:val="nil"/>
            </w:tcBorders>
            <w:shd w:val="clear" w:color="auto" w:fill="auto"/>
            <w:noWrap/>
            <w:vAlign w:val="center"/>
            <w:hideMark/>
          </w:tcPr>
          <w:p w14:paraId="3C4417F1"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6</w:t>
            </w:r>
          </w:p>
        </w:tc>
        <w:tc>
          <w:tcPr>
            <w:tcW w:w="980" w:type="dxa"/>
            <w:tcBorders>
              <w:top w:val="nil"/>
              <w:left w:val="nil"/>
              <w:bottom w:val="nil"/>
              <w:right w:val="nil"/>
            </w:tcBorders>
            <w:shd w:val="clear" w:color="auto" w:fill="auto"/>
            <w:noWrap/>
            <w:vAlign w:val="center"/>
            <w:hideMark/>
          </w:tcPr>
          <w:p w14:paraId="1B5747E7"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6</w:t>
            </w:r>
          </w:p>
        </w:tc>
        <w:tc>
          <w:tcPr>
            <w:tcW w:w="898" w:type="dxa"/>
            <w:tcBorders>
              <w:top w:val="nil"/>
              <w:left w:val="nil"/>
              <w:bottom w:val="nil"/>
              <w:right w:val="nil"/>
            </w:tcBorders>
            <w:shd w:val="clear" w:color="auto" w:fill="auto"/>
            <w:noWrap/>
            <w:vAlign w:val="center"/>
            <w:hideMark/>
          </w:tcPr>
          <w:p w14:paraId="7E6E2A1A"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6.8</w:t>
            </w:r>
          </w:p>
        </w:tc>
        <w:tc>
          <w:tcPr>
            <w:tcW w:w="881" w:type="dxa"/>
            <w:tcBorders>
              <w:top w:val="nil"/>
              <w:left w:val="nil"/>
              <w:bottom w:val="nil"/>
              <w:right w:val="nil"/>
            </w:tcBorders>
            <w:shd w:val="clear" w:color="auto" w:fill="auto"/>
            <w:noWrap/>
            <w:vAlign w:val="center"/>
            <w:hideMark/>
          </w:tcPr>
          <w:p w14:paraId="635228B2"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10</w:t>
            </w:r>
          </w:p>
        </w:tc>
      </w:tr>
      <w:tr w:rsidR="00F84C04" w:rsidRPr="0022011B" w14:paraId="09F50EC7" w14:textId="77777777" w:rsidTr="00F84C04">
        <w:trPr>
          <w:trHeight w:val="289"/>
        </w:trPr>
        <w:tc>
          <w:tcPr>
            <w:tcW w:w="905" w:type="dxa"/>
            <w:tcBorders>
              <w:top w:val="nil"/>
              <w:left w:val="nil"/>
              <w:bottom w:val="nil"/>
              <w:right w:val="nil"/>
            </w:tcBorders>
            <w:shd w:val="clear" w:color="000000" w:fill="D9D9D9"/>
            <w:noWrap/>
            <w:vAlign w:val="center"/>
            <w:hideMark/>
          </w:tcPr>
          <w:p w14:paraId="5351E68D"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LANC</w:t>
            </w:r>
          </w:p>
        </w:tc>
        <w:tc>
          <w:tcPr>
            <w:tcW w:w="1255" w:type="dxa"/>
            <w:tcBorders>
              <w:top w:val="nil"/>
              <w:left w:val="nil"/>
              <w:bottom w:val="nil"/>
              <w:right w:val="nil"/>
            </w:tcBorders>
            <w:shd w:val="clear" w:color="000000" w:fill="D9D9D9"/>
            <w:noWrap/>
            <w:vAlign w:val="center"/>
            <w:hideMark/>
          </w:tcPr>
          <w:p w14:paraId="08067E93"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42.3</w:t>
            </w:r>
          </w:p>
        </w:tc>
        <w:tc>
          <w:tcPr>
            <w:tcW w:w="904" w:type="dxa"/>
            <w:tcBorders>
              <w:top w:val="nil"/>
              <w:left w:val="nil"/>
              <w:bottom w:val="nil"/>
              <w:right w:val="nil"/>
            </w:tcBorders>
            <w:shd w:val="clear" w:color="000000" w:fill="D9D9D9"/>
            <w:noWrap/>
            <w:vAlign w:val="center"/>
            <w:hideMark/>
          </w:tcPr>
          <w:p w14:paraId="7C328E96"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0.4</w:t>
            </w:r>
          </w:p>
        </w:tc>
        <w:tc>
          <w:tcPr>
            <w:tcW w:w="947" w:type="dxa"/>
            <w:tcBorders>
              <w:top w:val="nil"/>
              <w:left w:val="nil"/>
              <w:bottom w:val="nil"/>
              <w:right w:val="nil"/>
            </w:tcBorders>
            <w:shd w:val="clear" w:color="000000" w:fill="D9D9D9"/>
            <w:noWrap/>
            <w:vAlign w:val="center"/>
            <w:hideMark/>
          </w:tcPr>
          <w:p w14:paraId="3A9511BF"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w:t>
            </w:r>
          </w:p>
        </w:tc>
        <w:tc>
          <w:tcPr>
            <w:tcW w:w="904" w:type="dxa"/>
            <w:tcBorders>
              <w:top w:val="nil"/>
              <w:left w:val="nil"/>
              <w:bottom w:val="nil"/>
              <w:right w:val="nil"/>
            </w:tcBorders>
            <w:shd w:val="clear" w:color="000000" w:fill="D9D9D9"/>
            <w:noWrap/>
            <w:vAlign w:val="center"/>
            <w:hideMark/>
          </w:tcPr>
          <w:p w14:paraId="03D68C9B"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5</w:t>
            </w:r>
          </w:p>
        </w:tc>
        <w:tc>
          <w:tcPr>
            <w:tcW w:w="1043" w:type="dxa"/>
            <w:tcBorders>
              <w:top w:val="nil"/>
              <w:left w:val="nil"/>
              <w:bottom w:val="nil"/>
              <w:right w:val="nil"/>
            </w:tcBorders>
            <w:shd w:val="clear" w:color="000000" w:fill="D9D9D9"/>
            <w:noWrap/>
            <w:vAlign w:val="center"/>
            <w:hideMark/>
          </w:tcPr>
          <w:p w14:paraId="58DCBCF8"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w:t>
            </w:r>
          </w:p>
        </w:tc>
        <w:tc>
          <w:tcPr>
            <w:tcW w:w="980" w:type="dxa"/>
            <w:tcBorders>
              <w:top w:val="nil"/>
              <w:left w:val="nil"/>
              <w:bottom w:val="nil"/>
              <w:right w:val="nil"/>
            </w:tcBorders>
            <w:shd w:val="clear" w:color="000000" w:fill="D9D9D9"/>
            <w:noWrap/>
            <w:vAlign w:val="center"/>
            <w:hideMark/>
          </w:tcPr>
          <w:p w14:paraId="274A6BCF"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3</w:t>
            </w:r>
          </w:p>
        </w:tc>
        <w:tc>
          <w:tcPr>
            <w:tcW w:w="898" w:type="dxa"/>
            <w:tcBorders>
              <w:top w:val="nil"/>
              <w:left w:val="nil"/>
              <w:bottom w:val="nil"/>
              <w:right w:val="nil"/>
            </w:tcBorders>
            <w:shd w:val="clear" w:color="000000" w:fill="D9D9D9"/>
            <w:noWrap/>
            <w:vAlign w:val="center"/>
            <w:hideMark/>
          </w:tcPr>
          <w:p w14:paraId="6D16A562"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2.8</w:t>
            </w:r>
          </w:p>
        </w:tc>
        <w:tc>
          <w:tcPr>
            <w:tcW w:w="881" w:type="dxa"/>
            <w:tcBorders>
              <w:top w:val="nil"/>
              <w:left w:val="nil"/>
              <w:bottom w:val="nil"/>
              <w:right w:val="nil"/>
            </w:tcBorders>
            <w:shd w:val="clear" w:color="000000" w:fill="D9D9D9"/>
            <w:noWrap/>
            <w:vAlign w:val="center"/>
            <w:hideMark/>
          </w:tcPr>
          <w:p w14:paraId="18D3A1DB"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2</w:t>
            </w:r>
          </w:p>
        </w:tc>
      </w:tr>
      <w:tr w:rsidR="00F84C04" w:rsidRPr="0022011B" w14:paraId="25AA4708" w14:textId="77777777" w:rsidTr="00F84C04">
        <w:trPr>
          <w:trHeight w:val="289"/>
        </w:trPr>
        <w:tc>
          <w:tcPr>
            <w:tcW w:w="905" w:type="dxa"/>
            <w:tcBorders>
              <w:top w:val="nil"/>
              <w:left w:val="nil"/>
              <w:bottom w:val="nil"/>
              <w:right w:val="nil"/>
            </w:tcBorders>
            <w:shd w:val="clear" w:color="auto" w:fill="auto"/>
            <w:noWrap/>
            <w:vAlign w:val="center"/>
            <w:hideMark/>
          </w:tcPr>
          <w:p w14:paraId="19448EF5"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MAXI</w:t>
            </w:r>
          </w:p>
        </w:tc>
        <w:tc>
          <w:tcPr>
            <w:tcW w:w="1255" w:type="dxa"/>
            <w:tcBorders>
              <w:top w:val="nil"/>
              <w:left w:val="nil"/>
              <w:bottom w:val="nil"/>
              <w:right w:val="nil"/>
            </w:tcBorders>
            <w:shd w:val="clear" w:color="auto" w:fill="auto"/>
            <w:noWrap/>
            <w:vAlign w:val="center"/>
            <w:hideMark/>
          </w:tcPr>
          <w:p w14:paraId="762D1C5A"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1.9</w:t>
            </w:r>
          </w:p>
        </w:tc>
        <w:tc>
          <w:tcPr>
            <w:tcW w:w="904" w:type="dxa"/>
            <w:tcBorders>
              <w:top w:val="nil"/>
              <w:left w:val="nil"/>
              <w:bottom w:val="nil"/>
              <w:right w:val="nil"/>
            </w:tcBorders>
            <w:shd w:val="clear" w:color="auto" w:fill="auto"/>
            <w:noWrap/>
            <w:vAlign w:val="center"/>
            <w:hideMark/>
          </w:tcPr>
          <w:p w14:paraId="3BA5903F"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0.1</w:t>
            </w:r>
          </w:p>
        </w:tc>
        <w:tc>
          <w:tcPr>
            <w:tcW w:w="947" w:type="dxa"/>
            <w:tcBorders>
              <w:top w:val="nil"/>
              <w:left w:val="nil"/>
              <w:bottom w:val="nil"/>
              <w:right w:val="nil"/>
            </w:tcBorders>
            <w:shd w:val="clear" w:color="auto" w:fill="auto"/>
            <w:noWrap/>
            <w:vAlign w:val="center"/>
            <w:hideMark/>
          </w:tcPr>
          <w:p w14:paraId="599B9BEC"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8</w:t>
            </w:r>
          </w:p>
        </w:tc>
        <w:tc>
          <w:tcPr>
            <w:tcW w:w="904" w:type="dxa"/>
            <w:tcBorders>
              <w:top w:val="nil"/>
              <w:left w:val="nil"/>
              <w:bottom w:val="nil"/>
              <w:right w:val="nil"/>
            </w:tcBorders>
            <w:shd w:val="clear" w:color="auto" w:fill="auto"/>
            <w:noWrap/>
            <w:vAlign w:val="center"/>
            <w:hideMark/>
          </w:tcPr>
          <w:p w14:paraId="41B9A12C"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6</w:t>
            </w:r>
          </w:p>
        </w:tc>
        <w:tc>
          <w:tcPr>
            <w:tcW w:w="1043" w:type="dxa"/>
            <w:tcBorders>
              <w:top w:val="nil"/>
              <w:left w:val="nil"/>
              <w:bottom w:val="nil"/>
              <w:right w:val="nil"/>
            </w:tcBorders>
            <w:shd w:val="clear" w:color="auto" w:fill="auto"/>
            <w:noWrap/>
            <w:vAlign w:val="center"/>
            <w:hideMark/>
          </w:tcPr>
          <w:p w14:paraId="0968F92B"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4</w:t>
            </w:r>
          </w:p>
        </w:tc>
        <w:tc>
          <w:tcPr>
            <w:tcW w:w="980" w:type="dxa"/>
            <w:tcBorders>
              <w:top w:val="nil"/>
              <w:left w:val="nil"/>
              <w:bottom w:val="nil"/>
              <w:right w:val="nil"/>
            </w:tcBorders>
            <w:shd w:val="clear" w:color="auto" w:fill="auto"/>
            <w:noWrap/>
            <w:vAlign w:val="center"/>
            <w:hideMark/>
          </w:tcPr>
          <w:p w14:paraId="1B2B947B"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w:t>
            </w:r>
          </w:p>
        </w:tc>
        <w:tc>
          <w:tcPr>
            <w:tcW w:w="898" w:type="dxa"/>
            <w:tcBorders>
              <w:top w:val="nil"/>
              <w:left w:val="nil"/>
              <w:bottom w:val="nil"/>
              <w:right w:val="nil"/>
            </w:tcBorders>
            <w:shd w:val="clear" w:color="auto" w:fill="auto"/>
            <w:noWrap/>
            <w:vAlign w:val="center"/>
            <w:hideMark/>
          </w:tcPr>
          <w:p w14:paraId="71EBEC73"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4.8</w:t>
            </w:r>
          </w:p>
        </w:tc>
        <w:tc>
          <w:tcPr>
            <w:tcW w:w="881" w:type="dxa"/>
            <w:tcBorders>
              <w:top w:val="nil"/>
              <w:left w:val="nil"/>
              <w:bottom w:val="nil"/>
              <w:right w:val="nil"/>
            </w:tcBorders>
            <w:shd w:val="clear" w:color="auto" w:fill="auto"/>
            <w:noWrap/>
            <w:vAlign w:val="center"/>
            <w:hideMark/>
          </w:tcPr>
          <w:p w14:paraId="02DAF9B5"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6</w:t>
            </w:r>
          </w:p>
        </w:tc>
      </w:tr>
      <w:tr w:rsidR="00F84C04" w:rsidRPr="0022011B" w14:paraId="486CD70A" w14:textId="77777777" w:rsidTr="00F84C04">
        <w:trPr>
          <w:trHeight w:val="289"/>
        </w:trPr>
        <w:tc>
          <w:tcPr>
            <w:tcW w:w="905" w:type="dxa"/>
            <w:tcBorders>
              <w:top w:val="nil"/>
              <w:left w:val="nil"/>
              <w:bottom w:val="nil"/>
              <w:right w:val="nil"/>
            </w:tcBorders>
            <w:shd w:val="clear" w:color="000000" w:fill="D9D9D9"/>
            <w:noWrap/>
            <w:vAlign w:val="center"/>
            <w:hideMark/>
          </w:tcPr>
          <w:p w14:paraId="1073D32E"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OXEY</w:t>
            </w:r>
          </w:p>
        </w:tc>
        <w:tc>
          <w:tcPr>
            <w:tcW w:w="1255" w:type="dxa"/>
            <w:tcBorders>
              <w:top w:val="nil"/>
              <w:left w:val="nil"/>
              <w:bottom w:val="nil"/>
              <w:right w:val="nil"/>
            </w:tcBorders>
            <w:shd w:val="clear" w:color="000000" w:fill="D9D9D9"/>
            <w:noWrap/>
            <w:vAlign w:val="center"/>
            <w:hideMark/>
          </w:tcPr>
          <w:p w14:paraId="46794AF3"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11.5</w:t>
            </w:r>
          </w:p>
        </w:tc>
        <w:tc>
          <w:tcPr>
            <w:tcW w:w="904" w:type="dxa"/>
            <w:tcBorders>
              <w:top w:val="nil"/>
              <w:left w:val="nil"/>
              <w:bottom w:val="nil"/>
              <w:right w:val="nil"/>
            </w:tcBorders>
            <w:shd w:val="clear" w:color="000000" w:fill="D9D9D9"/>
            <w:noWrap/>
            <w:vAlign w:val="center"/>
            <w:hideMark/>
          </w:tcPr>
          <w:p w14:paraId="363D31CE"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1.2</w:t>
            </w:r>
          </w:p>
        </w:tc>
        <w:tc>
          <w:tcPr>
            <w:tcW w:w="947" w:type="dxa"/>
            <w:tcBorders>
              <w:top w:val="nil"/>
              <w:left w:val="nil"/>
              <w:bottom w:val="nil"/>
              <w:right w:val="nil"/>
            </w:tcBorders>
            <w:shd w:val="clear" w:color="000000" w:fill="D9D9D9"/>
            <w:noWrap/>
            <w:vAlign w:val="center"/>
            <w:hideMark/>
          </w:tcPr>
          <w:p w14:paraId="64AC8A65"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6</w:t>
            </w:r>
          </w:p>
        </w:tc>
        <w:tc>
          <w:tcPr>
            <w:tcW w:w="904" w:type="dxa"/>
            <w:tcBorders>
              <w:top w:val="nil"/>
              <w:left w:val="nil"/>
              <w:bottom w:val="nil"/>
              <w:right w:val="nil"/>
            </w:tcBorders>
            <w:shd w:val="clear" w:color="000000" w:fill="D9D9D9"/>
            <w:noWrap/>
            <w:vAlign w:val="center"/>
            <w:hideMark/>
          </w:tcPr>
          <w:p w14:paraId="4A46275F"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3</w:t>
            </w:r>
          </w:p>
        </w:tc>
        <w:tc>
          <w:tcPr>
            <w:tcW w:w="1043" w:type="dxa"/>
            <w:tcBorders>
              <w:top w:val="nil"/>
              <w:left w:val="nil"/>
              <w:bottom w:val="nil"/>
              <w:right w:val="nil"/>
            </w:tcBorders>
            <w:shd w:val="clear" w:color="000000" w:fill="D9D9D9"/>
            <w:noWrap/>
            <w:vAlign w:val="center"/>
            <w:hideMark/>
          </w:tcPr>
          <w:p w14:paraId="006149D2"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w:t>
            </w:r>
          </w:p>
        </w:tc>
        <w:tc>
          <w:tcPr>
            <w:tcW w:w="980" w:type="dxa"/>
            <w:tcBorders>
              <w:top w:val="nil"/>
              <w:left w:val="nil"/>
              <w:bottom w:val="nil"/>
              <w:right w:val="nil"/>
            </w:tcBorders>
            <w:shd w:val="clear" w:color="000000" w:fill="D9D9D9"/>
            <w:noWrap/>
            <w:vAlign w:val="center"/>
            <w:hideMark/>
          </w:tcPr>
          <w:p w14:paraId="2F59BCC1"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4</w:t>
            </w:r>
          </w:p>
        </w:tc>
        <w:tc>
          <w:tcPr>
            <w:tcW w:w="898" w:type="dxa"/>
            <w:tcBorders>
              <w:top w:val="nil"/>
              <w:left w:val="nil"/>
              <w:bottom w:val="nil"/>
              <w:right w:val="nil"/>
            </w:tcBorders>
            <w:shd w:val="clear" w:color="000000" w:fill="D9D9D9"/>
            <w:noWrap/>
            <w:vAlign w:val="center"/>
            <w:hideMark/>
          </w:tcPr>
          <w:p w14:paraId="20AB0C30"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3.8</w:t>
            </w:r>
          </w:p>
        </w:tc>
        <w:tc>
          <w:tcPr>
            <w:tcW w:w="881" w:type="dxa"/>
            <w:tcBorders>
              <w:top w:val="nil"/>
              <w:left w:val="nil"/>
              <w:bottom w:val="nil"/>
              <w:right w:val="nil"/>
            </w:tcBorders>
            <w:shd w:val="clear" w:color="000000" w:fill="D9D9D9"/>
            <w:noWrap/>
            <w:vAlign w:val="center"/>
            <w:hideMark/>
          </w:tcPr>
          <w:p w14:paraId="5CFF47A8"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5</w:t>
            </w:r>
          </w:p>
        </w:tc>
      </w:tr>
      <w:tr w:rsidR="00F84C04" w:rsidRPr="0022011B" w14:paraId="72BB09B9" w14:textId="77777777" w:rsidTr="00F84C04">
        <w:trPr>
          <w:trHeight w:val="289"/>
        </w:trPr>
        <w:tc>
          <w:tcPr>
            <w:tcW w:w="905" w:type="dxa"/>
            <w:tcBorders>
              <w:top w:val="nil"/>
              <w:left w:val="nil"/>
              <w:bottom w:val="nil"/>
              <w:right w:val="nil"/>
            </w:tcBorders>
            <w:shd w:val="clear" w:color="auto" w:fill="auto"/>
            <w:noWrap/>
            <w:vAlign w:val="center"/>
            <w:hideMark/>
          </w:tcPr>
          <w:p w14:paraId="128280C3"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PCON</w:t>
            </w:r>
          </w:p>
        </w:tc>
        <w:tc>
          <w:tcPr>
            <w:tcW w:w="1255" w:type="dxa"/>
            <w:tcBorders>
              <w:top w:val="nil"/>
              <w:left w:val="nil"/>
              <w:bottom w:val="nil"/>
              <w:right w:val="nil"/>
            </w:tcBorders>
            <w:shd w:val="clear" w:color="auto" w:fill="auto"/>
            <w:noWrap/>
            <w:vAlign w:val="center"/>
            <w:hideMark/>
          </w:tcPr>
          <w:p w14:paraId="3392826C"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11.6</w:t>
            </w:r>
          </w:p>
        </w:tc>
        <w:tc>
          <w:tcPr>
            <w:tcW w:w="904" w:type="dxa"/>
            <w:tcBorders>
              <w:top w:val="nil"/>
              <w:left w:val="nil"/>
              <w:bottom w:val="nil"/>
              <w:right w:val="nil"/>
            </w:tcBorders>
            <w:shd w:val="clear" w:color="auto" w:fill="auto"/>
            <w:noWrap/>
            <w:vAlign w:val="center"/>
            <w:hideMark/>
          </w:tcPr>
          <w:p w14:paraId="16A22AF3"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1.3</w:t>
            </w:r>
          </w:p>
        </w:tc>
        <w:tc>
          <w:tcPr>
            <w:tcW w:w="947" w:type="dxa"/>
            <w:tcBorders>
              <w:top w:val="nil"/>
              <w:left w:val="nil"/>
              <w:bottom w:val="nil"/>
              <w:right w:val="nil"/>
            </w:tcBorders>
            <w:shd w:val="clear" w:color="auto" w:fill="auto"/>
            <w:noWrap/>
            <w:vAlign w:val="center"/>
            <w:hideMark/>
          </w:tcPr>
          <w:p w14:paraId="66566B37"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5</w:t>
            </w:r>
          </w:p>
        </w:tc>
        <w:tc>
          <w:tcPr>
            <w:tcW w:w="904" w:type="dxa"/>
            <w:tcBorders>
              <w:top w:val="nil"/>
              <w:left w:val="nil"/>
              <w:bottom w:val="nil"/>
              <w:right w:val="nil"/>
            </w:tcBorders>
            <w:shd w:val="clear" w:color="auto" w:fill="auto"/>
            <w:noWrap/>
            <w:vAlign w:val="center"/>
            <w:hideMark/>
          </w:tcPr>
          <w:p w14:paraId="1C5C0D00"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w:t>
            </w:r>
          </w:p>
        </w:tc>
        <w:tc>
          <w:tcPr>
            <w:tcW w:w="1043" w:type="dxa"/>
            <w:tcBorders>
              <w:top w:val="nil"/>
              <w:left w:val="nil"/>
              <w:bottom w:val="nil"/>
              <w:right w:val="nil"/>
            </w:tcBorders>
            <w:shd w:val="clear" w:color="auto" w:fill="auto"/>
            <w:noWrap/>
            <w:vAlign w:val="center"/>
            <w:hideMark/>
          </w:tcPr>
          <w:p w14:paraId="126B81AF"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w:t>
            </w:r>
          </w:p>
        </w:tc>
        <w:tc>
          <w:tcPr>
            <w:tcW w:w="980" w:type="dxa"/>
            <w:tcBorders>
              <w:top w:val="nil"/>
              <w:left w:val="nil"/>
              <w:bottom w:val="nil"/>
              <w:right w:val="nil"/>
            </w:tcBorders>
            <w:shd w:val="clear" w:color="auto" w:fill="auto"/>
            <w:noWrap/>
            <w:vAlign w:val="center"/>
            <w:hideMark/>
          </w:tcPr>
          <w:p w14:paraId="415AD165"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5</w:t>
            </w:r>
          </w:p>
        </w:tc>
        <w:tc>
          <w:tcPr>
            <w:tcW w:w="898" w:type="dxa"/>
            <w:tcBorders>
              <w:top w:val="nil"/>
              <w:left w:val="nil"/>
              <w:bottom w:val="nil"/>
              <w:right w:val="nil"/>
            </w:tcBorders>
            <w:shd w:val="clear" w:color="auto" w:fill="auto"/>
            <w:noWrap/>
            <w:vAlign w:val="center"/>
            <w:hideMark/>
          </w:tcPr>
          <w:p w14:paraId="541FD9B8"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3.3</w:t>
            </w:r>
          </w:p>
        </w:tc>
        <w:tc>
          <w:tcPr>
            <w:tcW w:w="881" w:type="dxa"/>
            <w:tcBorders>
              <w:top w:val="nil"/>
              <w:left w:val="nil"/>
              <w:bottom w:val="nil"/>
              <w:right w:val="nil"/>
            </w:tcBorders>
            <w:shd w:val="clear" w:color="auto" w:fill="auto"/>
            <w:noWrap/>
            <w:vAlign w:val="center"/>
            <w:hideMark/>
          </w:tcPr>
          <w:p w14:paraId="64F0535D"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3</w:t>
            </w:r>
          </w:p>
        </w:tc>
      </w:tr>
      <w:tr w:rsidR="00F84C04" w:rsidRPr="0022011B" w14:paraId="79E22A56" w14:textId="77777777" w:rsidTr="00F84C04">
        <w:trPr>
          <w:trHeight w:val="289"/>
        </w:trPr>
        <w:tc>
          <w:tcPr>
            <w:tcW w:w="905" w:type="dxa"/>
            <w:tcBorders>
              <w:top w:val="nil"/>
              <w:left w:val="nil"/>
              <w:bottom w:val="nil"/>
              <w:right w:val="nil"/>
            </w:tcBorders>
            <w:shd w:val="clear" w:color="000000" w:fill="D9D9D9"/>
            <w:noWrap/>
            <w:vAlign w:val="center"/>
            <w:hideMark/>
          </w:tcPr>
          <w:p w14:paraId="0C70F07A"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PLAC</w:t>
            </w:r>
          </w:p>
        </w:tc>
        <w:tc>
          <w:tcPr>
            <w:tcW w:w="1255" w:type="dxa"/>
            <w:tcBorders>
              <w:top w:val="nil"/>
              <w:left w:val="nil"/>
              <w:bottom w:val="nil"/>
              <w:right w:val="nil"/>
            </w:tcBorders>
            <w:shd w:val="clear" w:color="000000" w:fill="D9D9D9"/>
            <w:noWrap/>
            <w:vAlign w:val="center"/>
            <w:hideMark/>
          </w:tcPr>
          <w:p w14:paraId="63C62BF2"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16.0</w:t>
            </w:r>
          </w:p>
        </w:tc>
        <w:tc>
          <w:tcPr>
            <w:tcW w:w="904" w:type="dxa"/>
            <w:tcBorders>
              <w:top w:val="nil"/>
              <w:left w:val="nil"/>
              <w:bottom w:val="nil"/>
              <w:right w:val="nil"/>
            </w:tcBorders>
            <w:shd w:val="clear" w:color="000000" w:fill="D9D9D9"/>
            <w:noWrap/>
            <w:vAlign w:val="center"/>
            <w:hideMark/>
          </w:tcPr>
          <w:p w14:paraId="4490C286"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0.0</w:t>
            </w:r>
          </w:p>
        </w:tc>
        <w:tc>
          <w:tcPr>
            <w:tcW w:w="947" w:type="dxa"/>
            <w:tcBorders>
              <w:top w:val="nil"/>
              <w:left w:val="nil"/>
              <w:bottom w:val="nil"/>
              <w:right w:val="nil"/>
            </w:tcBorders>
            <w:shd w:val="clear" w:color="000000" w:fill="D9D9D9"/>
            <w:noWrap/>
            <w:vAlign w:val="center"/>
            <w:hideMark/>
          </w:tcPr>
          <w:p w14:paraId="00835FD5"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4</w:t>
            </w:r>
          </w:p>
        </w:tc>
        <w:tc>
          <w:tcPr>
            <w:tcW w:w="904" w:type="dxa"/>
            <w:tcBorders>
              <w:top w:val="nil"/>
              <w:left w:val="nil"/>
              <w:bottom w:val="nil"/>
              <w:right w:val="nil"/>
            </w:tcBorders>
            <w:shd w:val="clear" w:color="000000" w:fill="D9D9D9"/>
            <w:noWrap/>
            <w:vAlign w:val="center"/>
            <w:hideMark/>
          </w:tcPr>
          <w:p w14:paraId="4B0016FD"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7</w:t>
            </w:r>
          </w:p>
        </w:tc>
        <w:tc>
          <w:tcPr>
            <w:tcW w:w="1043" w:type="dxa"/>
            <w:tcBorders>
              <w:top w:val="nil"/>
              <w:left w:val="nil"/>
              <w:bottom w:val="nil"/>
              <w:right w:val="nil"/>
            </w:tcBorders>
            <w:shd w:val="clear" w:color="000000" w:fill="D9D9D9"/>
            <w:noWrap/>
            <w:vAlign w:val="center"/>
            <w:hideMark/>
          </w:tcPr>
          <w:p w14:paraId="5D7ED2FB"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3</w:t>
            </w:r>
          </w:p>
        </w:tc>
        <w:tc>
          <w:tcPr>
            <w:tcW w:w="980" w:type="dxa"/>
            <w:tcBorders>
              <w:top w:val="nil"/>
              <w:left w:val="nil"/>
              <w:bottom w:val="nil"/>
              <w:right w:val="nil"/>
            </w:tcBorders>
            <w:shd w:val="clear" w:color="000000" w:fill="D9D9D9"/>
            <w:noWrap/>
            <w:vAlign w:val="center"/>
            <w:hideMark/>
          </w:tcPr>
          <w:p w14:paraId="6570E224"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5</w:t>
            </w:r>
          </w:p>
        </w:tc>
        <w:tc>
          <w:tcPr>
            <w:tcW w:w="898" w:type="dxa"/>
            <w:tcBorders>
              <w:top w:val="nil"/>
              <w:left w:val="nil"/>
              <w:bottom w:val="nil"/>
              <w:right w:val="nil"/>
            </w:tcBorders>
            <w:shd w:val="clear" w:color="000000" w:fill="D9D9D9"/>
            <w:noWrap/>
            <w:vAlign w:val="center"/>
            <w:hideMark/>
          </w:tcPr>
          <w:p w14:paraId="36A05BB1"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4.8</w:t>
            </w:r>
          </w:p>
        </w:tc>
        <w:tc>
          <w:tcPr>
            <w:tcW w:w="881" w:type="dxa"/>
            <w:tcBorders>
              <w:top w:val="nil"/>
              <w:left w:val="nil"/>
              <w:bottom w:val="nil"/>
              <w:right w:val="nil"/>
            </w:tcBorders>
            <w:shd w:val="clear" w:color="000000" w:fill="D9D9D9"/>
            <w:noWrap/>
            <w:vAlign w:val="center"/>
            <w:hideMark/>
          </w:tcPr>
          <w:p w14:paraId="40EA5C42"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7</w:t>
            </w:r>
          </w:p>
        </w:tc>
      </w:tr>
      <w:tr w:rsidR="00F84C04" w:rsidRPr="0022011B" w14:paraId="431725FD" w14:textId="77777777" w:rsidTr="00F84C04">
        <w:trPr>
          <w:trHeight w:val="289"/>
        </w:trPr>
        <w:tc>
          <w:tcPr>
            <w:tcW w:w="905" w:type="dxa"/>
            <w:tcBorders>
              <w:top w:val="nil"/>
              <w:left w:val="nil"/>
              <w:bottom w:val="nil"/>
              <w:right w:val="nil"/>
            </w:tcBorders>
            <w:shd w:val="clear" w:color="auto" w:fill="auto"/>
            <w:noWrap/>
            <w:vAlign w:val="center"/>
            <w:hideMark/>
          </w:tcPr>
          <w:p w14:paraId="747F27B1"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PPCL</w:t>
            </w:r>
          </w:p>
        </w:tc>
        <w:tc>
          <w:tcPr>
            <w:tcW w:w="1255" w:type="dxa"/>
            <w:tcBorders>
              <w:top w:val="nil"/>
              <w:left w:val="nil"/>
              <w:bottom w:val="nil"/>
              <w:right w:val="nil"/>
            </w:tcBorders>
            <w:shd w:val="clear" w:color="auto" w:fill="auto"/>
            <w:noWrap/>
            <w:vAlign w:val="center"/>
            <w:hideMark/>
          </w:tcPr>
          <w:p w14:paraId="4D229448"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0.0</w:t>
            </w:r>
          </w:p>
        </w:tc>
        <w:tc>
          <w:tcPr>
            <w:tcW w:w="904" w:type="dxa"/>
            <w:tcBorders>
              <w:top w:val="nil"/>
              <w:left w:val="nil"/>
              <w:bottom w:val="nil"/>
              <w:right w:val="nil"/>
            </w:tcBorders>
            <w:shd w:val="clear" w:color="auto" w:fill="auto"/>
            <w:noWrap/>
            <w:vAlign w:val="center"/>
            <w:hideMark/>
          </w:tcPr>
          <w:p w14:paraId="429F660C"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0.0</w:t>
            </w:r>
          </w:p>
        </w:tc>
        <w:tc>
          <w:tcPr>
            <w:tcW w:w="947" w:type="dxa"/>
            <w:tcBorders>
              <w:top w:val="nil"/>
              <w:left w:val="nil"/>
              <w:bottom w:val="nil"/>
              <w:right w:val="nil"/>
            </w:tcBorders>
            <w:shd w:val="clear" w:color="auto" w:fill="auto"/>
            <w:noWrap/>
            <w:vAlign w:val="center"/>
            <w:hideMark/>
          </w:tcPr>
          <w:p w14:paraId="781AB6AB"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11</w:t>
            </w:r>
          </w:p>
        </w:tc>
        <w:tc>
          <w:tcPr>
            <w:tcW w:w="904" w:type="dxa"/>
            <w:tcBorders>
              <w:top w:val="nil"/>
              <w:left w:val="nil"/>
              <w:bottom w:val="nil"/>
              <w:right w:val="nil"/>
            </w:tcBorders>
            <w:shd w:val="clear" w:color="auto" w:fill="auto"/>
            <w:noWrap/>
            <w:vAlign w:val="center"/>
            <w:hideMark/>
          </w:tcPr>
          <w:p w14:paraId="33DEB5EF"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7</w:t>
            </w:r>
          </w:p>
        </w:tc>
        <w:tc>
          <w:tcPr>
            <w:tcW w:w="1043" w:type="dxa"/>
            <w:tcBorders>
              <w:top w:val="nil"/>
              <w:left w:val="nil"/>
              <w:bottom w:val="nil"/>
              <w:right w:val="nil"/>
            </w:tcBorders>
            <w:shd w:val="clear" w:color="auto" w:fill="auto"/>
            <w:noWrap/>
            <w:vAlign w:val="center"/>
            <w:hideMark/>
          </w:tcPr>
          <w:p w14:paraId="01F65663"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7</w:t>
            </w:r>
          </w:p>
        </w:tc>
        <w:tc>
          <w:tcPr>
            <w:tcW w:w="980" w:type="dxa"/>
            <w:tcBorders>
              <w:top w:val="nil"/>
              <w:left w:val="nil"/>
              <w:bottom w:val="nil"/>
              <w:right w:val="nil"/>
            </w:tcBorders>
            <w:shd w:val="clear" w:color="auto" w:fill="auto"/>
            <w:noWrap/>
            <w:vAlign w:val="center"/>
            <w:hideMark/>
          </w:tcPr>
          <w:p w14:paraId="625CCF28"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7</w:t>
            </w:r>
          </w:p>
        </w:tc>
        <w:tc>
          <w:tcPr>
            <w:tcW w:w="898" w:type="dxa"/>
            <w:tcBorders>
              <w:top w:val="nil"/>
              <w:left w:val="nil"/>
              <w:bottom w:val="nil"/>
              <w:right w:val="nil"/>
            </w:tcBorders>
            <w:shd w:val="clear" w:color="auto" w:fill="auto"/>
            <w:noWrap/>
            <w:vAlign w:val="center"/>
            <w:hideMark/>
          </w:tcPr>
          <w:p w14:paraId="1D841E68"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8.0</w:t>
            </w:r>
          </w:p>
        </w:tc>
        <w:tc>
          <w:tcPr>
            <w:tcW w:w="881" w:type="dxa"/>
            <w:tcBorders>
              <w:top w:val="nil"/>
              <w:left w:val="nil"/>
              <w:bottom w:val="nil"/>
              <w:right w:val="nil"/>
            </w:tcBorders>
            <w:shd w:val="clear" w:color="auto" w:fill="auto"/>
            <w:noWrap/>
            <w:vAlign w:val="center"/>
            <w:hideMark/>
          </w:tcPr>
          <w:p w14:paraId="708F4356"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11</w:t>
            </w:r>
          </w:p>
        </w:tc>
      </w:tr>
      <w:tr w:rsidR="00F84C04" w:rsidRPr="0022011B" w14:paraId="1FEDDF1C" w14:textId="77777777" w:rsidTr="00F84C04">
        <w:trPr>
          <w:trHeight w:val="289"/>
        </w:trPr>
        <w:tc>
          <w:tcPr>
            <w:tcW w:w="905" w:type="dxa"/>
            <w:tcBorders>
              <w:top w:val="nil"/>
              <w:left w:val="nil"/>
              <w:bottom w:val="nil"/>
              <w:right w:val="nil"/>
            </w:tcBorders>
            <w:shd w:val="clear" w:color="000000" w:fill="D9D9D9"/>
            <w:noWrap/>
            <w:vAlign w:val="center"/>
            <w:hideMark/>
          </w:tcPr>
          <w:p w14:paraId="6A193C8A"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PPEA</w:t>
            </w:r>
          </w:p>
        </w:tc>
        <w:tc>
          <w:tcPr>
            <w:tcW w:w="1255" w:type="dxa"/>
            <w:tcBorders>
              <w:top w:val="nil"/>
              <w:left w:val="nil"/>
              <w:bottom w:val="nil"/>
              <w:right w:val="nil"/>
            </w:tcBorders>
            <w:shd w:val="clear" w:color="000000" w:fill="D9D9D9"/>
            <w:noWrap/>
            <w:vAlign w:val="center"/>
            <w:hideMark/>
          </w:tcPr>
          <w:p w14:paraId="65346DF8"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0.5</w:t>
            </w:r>
          </w:p>
        </w:tc>
        <w:tc>
          <w:tcPr>
            <w:tcW w:w="904" w:type="dxa"/>
            <w:tcBorders>
              <w:top w:val="nil"/>
              <w:left w:val="nil"/>
              <w:bottom w:val="nil"/>
              <w:right w:val="nil"/>
            </w:tcBorders>
            <w:shd w:val="clear" w:color="000000" w:fill="D9D9D9"/>
            <w:noWrap/>
            <w:vAlign w:val="center"/>
            <w:hideMark/>
          </w:tcPr>
          <w:p w14:paraId="276BBC41"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0.0</w:t>
            </w:r>
          </w:p>
        </w:tc>
        <w:tc>
          <w:tcPr>
            <w:tcW w:w="947" w:type="dxa"/>
            <w:tcBorders>
              <w:top w:val="nil"/>
              <w:left w:val="nil"/>
              <w:bottom w:val="nil"/>
              <w:right w:val="nil"/>
            </w:tcBorders>
            <w:shd w:val="clear" w:color="000000" w:fill="D9D9D9"/>
            <w:noWrap/>
            <w:vAlign w:val="center"/>
            <w:hideMark/>
          </w:tcPr>
          <w:p w14:paraId="6B21D86F"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10</w:t>
            </w:r>
          </w:p>
        </w:tc>
        <w:tc>
          <w:tcPr>
            <w:tcW w:w="904" w:type="dxa"/>
            <w:tcBorders>
              <w:top w:val="nil"/>
              <w:left w:val="nil"/>
              <w:bottom w:val="nil"/>
              <w:right w:val="nil"/>
            </w:tcBorders>
            <w:shd w:val="clear" w:color="000000" w:fill="D9D9D9"/>
            <w:noWrap/>
            <w:vAlign w:val="center"/>
            <w:hideMark/>
          </w:tcPr>
          <w:p w14:paraId="0C791DD4"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7</w:t>
            </w:r>
          </w:p>
        </w:tc>
        <w:tc>
          <w:tcPr>
            <w:tcW w:w="1043" w:type="dxa"/>
            <w:tcBorders>
              <w:top w:val="nil"/>
              <w:left w:val="nil"/>
              <w:bottom w:val="nil"/>
              <w:right w:val="nil"/>
            </w:tcBorders>
            <w:shd w:val="clear" w:color="000000" w:fill="D9D9D9"/>
            <w:noWrap/>
            <w:vAlign w:val="center"/>
            <w:hideMark/>
          </w:tcPr>
          <w:p w14:paraId="1D79F91A"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3</w:t>
            </w:r>
          </w:p>
        </w:tc>
        <w:tc>
          <w:tcPr>
            <w:tcW w:w="980" w:type="dxa"/>
            <w:tcBorders>
              <w:top w:val="nil"/>
              <w:left w:val="nil"/>
              <w:bottom w:val="nil"/>
              <w:right w:val="nil"/>
            </w:tcBorders>
            <w:shd w:val="clear" w:color="000000" w:fill="D9D9D9"/>
            <w:noWrap/>
            <w:vAlign w:val="center"/>
            <w:hideMark/>
          </w:tcPr>
          <w:p w14:paraId="6B561EED"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4</w:t>
            </w:r>
          </w:p>
        </w:tc>
        <w:tc>
          <w:tcPr>
            <w:tcW w:w="898" w:type="dxa"/>
            <w:tcBorders>
              <w:top w:val="nil"/>
              <w:left w:val="nil"/>
              <w:bottom w:val="nil"/>
              <w:right w:val="nil"/>
            </w:tcBorders>
            <w:shd w:val="clear" w:color="000000" w:fill="D9D9D9"/>
            <w:noWrap/>
            <w:vAlign w:val="center"/>
            <w:hideMark/>
          </w:tcPr>
          <w:p w14:paraId="61ED6B0C"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6.0</w:t>
            </w:r>
          </w:p>
        </w:tc>
        <w:tc>
          <w:tcPr>
            <w:tcW w:w="881" w:type="dxa"/>
            <w:tcBorders>
              <w:top w:val="nil"/>
              <w:left w:val="nil"/>
              <w:bottom w:val="nil"/>
              <w:right w:val="nil"/>
            </w:tcBorders>
            <w:shd w:val="clear" w:color="000000" w:fill="D9D9D9"/>
            <w:noWrap/>
            <w:vAlign w:val="center"/>
            <w:hideMark/>
          </w:tcPr>
          <w:p w14:paraId="6C309C6C"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9</w:t>
            </w:r>
          </w:p>
        </w:tc>
      </w:tr>
      <w:tr w:rsidR="00F84C04" w:rsidRPr="0022011B" w14:paraId="17D1A514" w14:textId="77777777" w:rsidTr="00F84C04">
        <w:trPr>
          <w:trHeight w:val="289"/>
        </w:trPr>
        <w:tc>
          <w:tcPr>
            <w:tcW w:w="905" w:type="dxa"/>
            <w:tcBorders>
              <w:top w:val="nil"/>
              <w:left w:val="nil"/>
              <w:bottom w:val="single" w:sz="12" w:space="0" w:color="auto"/>
              <w:right w:val="nil"/>
            </w:tcBorders>
            <w:shd w:val="clear" w:color="auto" w:fill="auto"/>
            <w:noWrap/>
            <w:vAlign w:val="center"/>
            <w:hideMark/>
          </w:tcPr>
          <w:p w14:paraId="03950307" w14:textId="77777777" w:rsidR="00F84C04" w:rsidRPr="000D0EE3" w:rsidRDefault="00F84C04" w:rsidP="00E40C28">
            <w:pPr>
              <w:spacing w:line="240" w:lineRule="auto"/>
              <w:rPr>
                <w:rFonts w:cs="Times New Roman"/>
                <w:color w:val="000000"/>
                <w:sz w:val="20"/>
                <w:szCs w:val="20"/>
              </w:rPr>
            </w:pPr>
            <w:r w:rsidRPr="000D0EE3">
              <w:rPr>
                <w:rFonts w:cs="Times New Roman"/>
                <w:color w:val="000000"/>
                <w:sz w:val="20"/>
                <w:szCs w:val="20"/>
              </w:rPr>
              <w:t>UPRT</w:t>
            </w:r>
          </w:p>
        </w:tc>
        <w:tc>
          <w:tcPr>
            <w:tcW w:w="1255" w:type="dxa"/>
            <w:tcBorders>
              <w:top w:val="nil"/>
              <w:left w:val="nil"/>
              <w:bottom w:val="single" w:sz="12" w:space="0" w:color="auto"/>
              <w:right w:val="nil"/>
            </w:tcBorders>
            <w:shd w:val="clear" w:color="auto" w:fill="auto"/>
            <w:noWrap/>
            <w:vAlign w:val="center"/>
            <w:hideMark/>
          </w:tcPr>
          <w:p w14:paraId="06A1CC75"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3.9</w:t>
            </w:r>
          </w:p>
        </w:tc>
        <w:tc>
          <w:tcPr>
            <w:tcW w:w="904" w:type="dxa"/>
            <w:tcBorders>
              <w:top w:val="nil"/>
              <w:left w:val="nil"/>
              <w:bottom w:val="single" w:sz="12" w:space="0" w:color="auto"/>
              <w:right w:val="nil"/>
            </w:tcBorders>
            <w:shd w:val="clear" w:color="auto" w:fill="auto"/>
            <w:noWrap/>
            <w:vAlign w:val="center"/>
            <w:hideMark/>
          </w:tcPr>
          <w:p w14:paraId="082D5EBA"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0.0</w:t>
            </w:r>
          </w:p>
        </w:tc>
        <w:tc>
          <w:tcPr>
            <w:tcW w:w="947" w:type="dxa"/>
            <w:tcBorders>
              <w:top w:val="nil"/>
              <w:left w:val="nil"/>
              <w:bottom w:val="single" w:sz="12" w:space="0" w:color="auto"/>
              <w:right w:val="nil"/>
            </w:tcBorders>
            <w:shd w:val="clear" w:color="auto" w:fill="auto"/>
            <w:noWrap/>
            <w:vAlign w:val="center"/>
            <w:hideMark/>
          </w:tcPr>
          <w:p w14:paraId="4F97BE37"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7</w:t>
            </w:r>
          </w:p>
        </w:tc>
        <w:tc>
          <w:tcPr>
            <w:tcW w:w="904" w:type="dxa"/>
            <w:tcBorders>
              <w:top w:val="nil"/>
              <w:left w:val="nil"/>
              <w:bottom w:val="single" w:sz="12" w:space="0" w:color="auto"/>
              <w:right w:val="nil"/>
            </w:tcBorders>
            <w:shd w:val="clear" w:color="auto" w:fill="auto"/>
            <w:noWrap/>
            <w:vAlign w:val="center"/>
            <w:hideMark/>
          </w:tcPr>
          <w:p w14:paraId="0B692A1C"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7</w:t>
            </w:r>
          </w:p>
        </w:tc>
        <w:tc>
          <w:tcPr>
            <w:tcW w:w="1043" w:type="dxa"/>
            <w:tcBorders>
              <w:top w:val="nil"/>
              <w:left w:val="nil"/>
              <w:bottom w:val="single" w:sz="12" w:space="0" w:color="auto"/>
              <w:right w:val="nil"/>
            </w:tcBorders>
            <w:shd w:val="clear" w:color="auto" w:fill="auto"/>
            <w:noWrap/>
            <w:vAlign w:val="center"/>
            <w:hideMark/>
          </w:tcPr>
          <w:p w14:paraId="5C813DC0"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2</w:t>
            </w:r>
          </w:p>
        </w:tc>
        <w:tc>
          <w:tcPr>
            <w:tcW w:w="980" w:type="dxa"/>
            <w:tcBorders>
              <w:top w:val="nil"/>
              <w:left w:val="nil"/>
              <w:bottom w:val="single" w:sz="12" w:space="0" w:color="auto"/>
              <w:right w:val="nil"/>
            </w:tcBorders>
            <w:shd w:val="clear" w:color="auto" w:fill="auto"/>
            <w:noWrap/>
            <w:vAlign w:val="center"/>
            <w:hideMark/>
          </w:tcPr>
          <w:p w14:paraId="652AD6D3"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5</w:t>
            </w:r>
          </w:p>
        </w:tc>
        <w:tc>
          <w:tcPr>
            <w:tcW w:w="898" w:type="dxa"/>
            <w:tcBorders>
              <w:top w:val="nil"/>
              <w:left w:val="nil"/>
              <w:bottom w:val="single" w:sz="12" w:space="0" w:color="auto"/>
              <w:right w:val="nil"/>
            </w:tcBorders>
            <w:shd w:val="clear" w:color="auto" w:fill="auto"/>
            <w:noWrap/>
            <w:vAlign w:val="center"/>
            <w:hideMark/>
          </w:tcPr>
          <w:p w14:paraId="378041F5" w14:textId="77777777" w:rsidR="00F84C04" w:rsidRPr="000D0EE3" w:rsidRDefault="00F84C04" w:rsidP="00E40C28">
            <w:pPr>
              <w:spacing w:line="240" w:lineRule="auto"/>
              <w:jc w:val="center"/>
              <w:rPr>
                <w:rFonts w:cs="Times New Roman"/>
                <w:color w:val="000000"/>
                <w:sz w:val="20"/>
                <w:szCs w:val="20"/>
              </w:rPr>
            </w:pPr>
            <w:r w:rsidRPr="000D0EE3">
              <w:rPr>
                <w:rFonts w:cs="Times New Roman"/>
                <w:color w:val="000000"/>
                <w:sz w:val="20"/>
                <w:szCs w:val="20"/>
              </w:rPr>
              <w:t>5.3</w:t>
            </w:r>
          </w:p>
        </w:tc>
        <w:tc>
          <w:tcPr>
            <w:tcW w:w="881" w:type="dxa"/>
            <w:tcBorders>
              <w:top w:val="nil"/>
              <w:left w:val="nil"/>
              <w:bottom w:val="single" w:sz="12" w:space="0" w:color="auto"/>
              <w:right w:val="nil"/>
            </w:tcBorders>
            <w:shd w:val="clear" w:color="auto" w:fill="auto"/>
            <w:noWrap/>
            <w:vAlign w:val="center"/>
            <w:hideMark/>
          </w:tcPr>
          <w:p w14:paraId="4E6F1DA8" w14:textId="77777777" w:rsidR="00F84C04" w:rsidRPr="00CE037B" w:rsidRDefault="00F84C04" w:rsidP="00E40C28">
            <w:pPr>
              <w:spacing w:line="240" w:lineRule="auto"/>
              <w:jc w:val="center"/>
              <w:rPr>
                <w:rFonts w:cs="Times New Roman"/>
                <w:b/>
                <w:bCs/>
                <w:color w:val="000000"/>
                <w:sz w:val="20"/>
                <w:szCs w:val="20"/>
              </w:rPr>
            </w:pPr>
            <w:r w:rsidRPr="00CE037B">
              <w:rPr>
                <w:rFonts w:cs="Times New Roman"/>
                <w:b/>
                <w:bCs/>
                <w:color w:val="000000"/>
                <w:sz w:val="20"/>
                <w:szCs w:val="20"/>
              </w:rPr>
              <w:t>8</w:t>
            </w:r>
          </w:p>
        </w:tc>
      </w:tr>
    </w:tbl>
    <w:p w14:paraId="60B6AB15" w14:textId="77777777" w:rsidR="00F84C04" w:rsidRPr="00BC2376" w:rsidRDefault="00F84C04" w:rsidP="00F84C04">
      <w:pPr>
        <w:spacing w:line="240" w:lineRule="auto"/>
        <w:rPr>
          <w:rFonts w:eastAsia="Calibri" w:cs="Times New Roman"/>
          <w:bCs/>
        </w:rPr>
      </w:pPr>
      <w:r w:rsidRPr="00BC2376">
        <w:rPr>
          <w:rFonts w:eastAsia="Calibri" w:cs="Times New Roman"/>
          <w:bCs/>
        </w:rPr>
        <w:t>†BESU = black-eyed susan, DITI = dixie ticktrefoil, ILB</w:t>
      </w:r>
      <w:r>
        <w:rPr>
          <w:rFonts w:eastAsia="Calibri" w:cs="Times New Roman"/>
          <w:bCs/>
        </w:rPr>
        <w:t>F</w:t>
      </w:r>
      <w:r w:rsidRPr="00BC2376">
        <w:rPr>
          <w:rFonts w:eastAsia="Calibri" w:cs="Times New Roman"/>
          <w:bCs/>
        </w:rPr>
        <w:t xml:space="preserve"> = Illinois bundleflower, LANC = lanceleaf coreopsis, MAXI = maximilian sunflower, OXEY = oxeye sunflower, PCON = purple coneflower, PLAC = plains coreopsis, PPCL = purple prairie clover, PPEA = partridge pea, UPRT = upright coneflower </w:t>
      </w:r>
    </w:p>
    <w:p w14:paraId="5ACE3505" w14:textId="77777777" w:rsidR="00F84C04" w:rsidRDefault="00F84C04" w:rsidP="00F84C04">
      <w:pPr>
        <w:spacing w:line="240" w:lineRule="auto"/>
        <w:rPr>
          <w:rFonts w:eastAsia="Calibri" w:cs="Times New Roman"/>
        </w:rPr>
      </w:pPr>
      <w:r>
        <w:rPr>
          <w:rFonts w:eastAsia="Calibri" w:cs="Times New Roman"/>
          <w:bCs/>
        </w:rPr>
        <w:t>‡Sum of all plants m</w:t>
      </w:r>
      <w:r w:rsidRPr="000D0EE3">
        <w:rPr>
          <w:rFonts w:eastAsia="Calibri" w:cs="Times New Roman"/>
          <w:bCs/>
          <w:vertAlign w:val="superscript"/>
        </w:rPr>
        <w:t>-2</w:t>
      </w:r>
      <w:r>
        <w:rPr>
          <w:rFonts w:eastAsia="Calibri" w:cs="Times New Roman"/>
          <w:bCs/>
        </w:rPr>
        <w:t xml:space="preserve"> counted at six sampling periods (May and August/September 2018, 2019, and 2020) </w:t>
      </w:r>
    </w:p>
    <w:p w14:paraId="33D4EC57" w14:textId="77777777" w:rsidR="00F84C04" w:rsidRDefault="00F84C04" w:rsidP="00F84C04">
      <w:pPr>
        <w:spacing w:line="240" w:lineRule="auto"/>
        <w:rPr>
          <w:rFonts w:eastAsia="Calibri" w:cs="Times New Roman"/>
          <w:bCs/>
        </w:rPr>
      </w:pPr>
      <w:r w:rsidRPr="00F66D9A">
        <w:rPr>
          <w:rFonts w:eastAsia="Calibri" w:cs="Times New Roman"/>
          <w:bCs/>
        </w:rPr>
        <w:t>§</w:t>
      </w:r>
      <w:r>
        <w:rPr>
          <w:rFonts w:eastAsia="Calibri" w:cs="Times New Roman"/>
          <w:bCs/>
        </w:rPr>
        <w:t>September 2020 Plants m</w:t>
      </w:r>
      <w:r w:rsidRPr="007127B5">
        <w:rPr>
          <w:rFonts w:eastAsia="Calibri" w:cs="Times New Roman"/>
          <w:bCs/>
          <w:vertAlign w:val="superscript"/>
        </w:rPr>
        <w:t>-2</w:t>
      </w:r>
    </w:p>
    <w:p w14:paraId="41AA4C44" w14:textId="2B855EF2" w:rsidR="00B572F9" w:rsidRDefault="00F84C04" w:rsidP="00B572F9">
      <w:pPr>
        <w:spacing w:line="240" w:lineRule="auto"/>
        <w:rPr>
          <w:rFonts w:cs="Times New Roman"/>
          <w:b/>
          <w:bCs/>
        </w:rPr>
      </w:pPr>
      <w:r>
        <w:rPr>
          <w:rFonts w:eastAsia="Calibri" w:cs="Times New Roman"/>
          <w:bCs/>
        </w:rPr>
        <w:t>⁋Overall Rank (1-11; 1=best, 11=worst) based on Rank Average; if two Rank Averages were the same, then the species with the greatest September 2020 plant m</w:t>
      </w:r>
      <w:r w:rsidRPr="00E43975">
        <w:rPr>
          <w:rFonts w:eastAsia="Calibri" w:cs="Times New Roman"/>
          <w:bCs/>
          <w:vertAlign w:val="superscript"/>
        </w:rPr>
        <w:t>-2</w:t>
      </w:r>
      <w:r>
        <w:rPr>
          <w:rFonts w:eastAsia="Calibri" w:cs="Times New Roman"/>
          <w:bCs/>
        </w:rPr>
        <w:t xml:space="preserve"> ranked better</w:t>
      </w:r>
      <w:bookmarkEnd w:id="201"/>
      <w:bookmarkEnd w:id="202"/>
    </w:p>
    <w:bookmarkEnd w:id="204"/>
    <w:p w14:paraId="343C42E1" w14:textId="77777777" w:rsidR="00B572F9" w:rsidRDefault="00B572F9" w:rsidP="00B572F9">
      <w:pPr>
        <w:spacing w:line="240" w:lineRule="auto"/>
        <w:rPr>
          <w:rFonts w:cs="Times New Roman"/>
          <w:b/>
          <w:bCs/>
        </w:rPr>
        <w:sectPr w:rsidR="00B572F9" w:rsidSect="002A59E2">
          <w:pgSz w:w="12240" w:h="15840" w:code="1"/>
          <w:pgMar w:top="1440" w:right="1800" w:bottom="1872" w:left="1800" w:header="720" w:footer="1440" w:gutter="0"/>
          <w:cols w:space="720"/>
          <w:noEndnote/>
          <w:docGrid w:linePitch="360"/>
        </w:sectPr>
      </w:pPr>
    </w:p>
    <w:p w14:paraId="06DE7CE5" w14:textId="6912BBCE" w:rsidR="00B572F9" w:rsidRPr="00BC2376" w:rsidRDefault="00B572F9" w:rsidP="00A01E34">
      <w:pPr>
        <w:pStyle w:val="Tables"/>
        <w:spacing w:before="0" w:after="60"/>
        <w:rPr>
          <w:b/>
        </w:rPr>
      </w:pPr>
      <w:bookmarkStart w:id="205" w:name="_Toc72300410"/>
      <w:bookmarkStart w:id="206" w:name="_Hlk51800467"/>
      <w:r w:rsidRPr="00BC2376">
        <w:lastRenderedPageBreak/>
        <w:t>Table 2.</w:t>
      </w:r>
      <w:r w:rsidR="00F84C04">
        <w:t>10</w:t>
      </w:r>
      <w:r w:rsidRPr="00BC2376">
        <w:t>.  Mixed-effects ANOVA model for big bluestem/indiangrass tiller density and plant density of 11 native forb species</w:t>
      </w:r>
      <w:r w:rsidR="001157ED" w:rsidRPr="001157ED">
        <w:t xml:space="preserve"> </w:t>
      </w:r>
      <w:r w:rsidR="001157ED" w:rsidRPr="00BC2376">
        <w:t xml:space="preserve">for native </w:t>
      </w:r>
      <w:r w:rsidR="00706798">
        <w:t xml:space="preserve">grass </w:t>
      </w:r>
      <w:r w:rsidR="001157ED" w:rsidRPr="00BC2376">
        <w:t>pasture grazing experiment</w:t>
      </w:r>
      <w:r w:rsidRPr="00BC2376">
        <w:t xml:space="preserve">, 2018-2020, </w:t>
      </w:r>
      <w:r w:rsidR="007D4FBA" w:rsidRPr="00BC2376">
        <w:t>University of Tennessee – Northeast Tennessee AgResearch and Education Center, Greeneville, TN.</w:t>
      </w:r>
      <w:bookmarkEnd w:id="205"/>
    </w:p>
    <w:tbl>
      <w:tblPr>
        <w:tblW w:w="12068" w:type="dxa"/>
        <w:tblLook w:val="04A0" w:firstRow="1" w:lastRow="0" w:firstColumn="1" w:lastColumn="0" w:noHBand="0" w:noVBand="1"/>
      </w:tblPr>
      <w:tblGrid>
        <w:gridCol w:w="2160"/>
        <w:gridCol w:w="900"/>
        <w:gridCol w:w="780"/>
        <w:gridCol w:w="840"/>
        <w:gridCol w:w="810"/>
        <w:gridCol w:w="900"/>
        <w:gridCol w:w="810"/>
        <w:gridCol w:w="900"/>
        <w:gridCol w:w="720"/>
        <w:gridCol w:w="900"/>
        <w:gridCol w:w="780"/>
        <w:gridCol w:w="840"/>
        <w:gridCol w:w="728"/>
      </w:tblGrid>
      <w:tr w:rsidR="00B572F9" w:rsidRPr="00C61664" w14:paraId="51197C21" w14:textId="77777777" w:rsidTr="002A59E2">
        <w:trPr>
          <w:trHeight w:val="312"/>
        </w:trPr>
        <w:tc>
          <w:tcPr>
            <w:tcW w:w="2160" w:type="dxa"/>
            <w:tcBorders>
              <w:top w:val="single" w:sz="12" w:space="0" w:color="auto"/>
              <w:left w:val="nil"/>
              <w:bottom w:val="nil"/>
              <w:right w:val="single" w:sz="36" w:space="0" w:color="FFFFFF" w:themeColor="background1"/>
            </w:tcBorders>
            <w:shd w:val="clear" w:color="auto" w:fill="auto"/>
            <w:noWrap/>
            <w:vAlign w:val="bottom"/>
            <w:hideMark/>
          </w:tcPr>
          <w:p w14:paraId="206A17CA" w14:textId="77777777" w:rsidR="00B572F9" w:rsidRPr="00C61664" w:rsidRDefault="00B572F9" w:rsidP="00CD16CE">
            <w:pPr>
              <w:spacing w:line="240" w:lineRule="auto"/>
              <w:rPr>
                <w:rFonts w:cs="Times New Roman"/>
                <w:color w:val="000000"/>
                <w:sz w:val="20"/>
                <w:szCs w:val="20"/>
              </w:rPr>
            </w:pPr>
            <w:r w:rsidRPr="00C61664">
              <w:rPr>
                <w:rFonts w:cs="Times New Roman"/>
                <w:color w:val="000000"/>
                <w:sz w:val="20"/>
                <w:szCs w:val="20"/>
              </w:rPr>
              <w:t> </w:t>
            </w:r>
          </w:p>
        </w:tc>
        <w:tc>
          <w:tcPr>
            <w:tcW w:w="168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211F5582"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BBIG</w:t>
            </w:r>
            <w:r w:rsidRPr="00AC553F">
              <w:rPr>
                <w:rFonts w:cs="Times New Roman"/>
                <w:color w:val="000000"/>
                <w:sz w:val="20"/>
                <w:szCs w:val="20"/>
                <w:vertAlign w:val="superscript"/>
              </w:rPr>
              <w:t>†</w:t>
            </w:r>
          </w:p>
        </w:tc>
        <w:tc>
          <w:tcPr>
            <w:tcW w:w="165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4A202DC0"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BESU</w:t>
            </w:r>
          </w:p>
        </w:tc>
        <w:tc>
          <w:tcPr>
            <w:tcW w:w="171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hideMark/>
          </w:tcPr>
          <w:p w14:paraId="4F87EA34"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DITI</w:t>
            </w:r>
          </w:p>
        </w:tc>
        <w:tc>
          <w:tcPr>
            <w:tcW w:w="162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hideMark/>
          </w:tcPr>
          <w:p w14:paraId="2C30A35C" w14:textId="567A953C"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ILB</w:t>
            </w:r>
            <w:r w:rsidR="005C4B11">
              <w:rPr>
                <w:rFonts w:cs="Times New Roman"/>
                <w:color w:val="000000"/>
                <w:sz w:val="20"/>
                <w:szCs w:val="20"/>
              </w:rPr>
              <w:t>F</w:t>
            </w:r>
          </w:p>
        </w:tc>
        <w:tc>
          <w:tcPr>
            <w:tcW w:w="168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60F7CB6C"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LANC</w:t>
            </w:r>
          </w:p>
        </w:tc>
        <w:tc>
          <w:tcPr>
            <w:tcW w:w="1568" w:type="dxa"/>
            <w:gridSpan w:val="2"/>
            <w:tcBorders>
              <w:top w:val="single" w:sz="12" w:space="0" w:color="auto"/>
              <w:left w:val="single" w:sz="36" w:space="0" w:color="FFFFFF" w:themeColor="background1"/>
              <w:bottom w:val="single" w:sz="12" w:space="0" w:color="auto"/>
              <w:right w:val="single" w:sz="12" w:space="0" w:color="FFFFFF"/>
            </w:tcBorders>
            <w:shd w:val="clear" w:color="auto" w:fill="auto"/>
            <w:noWrap/>
            <w:vAlign w:val="center"/>
            <w:hideMark/>
          </w:tcPr>
          <w:p w14:paraId="1D43E79F"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MAXI</w:t>
            </w:r>
          </w:p>
        </w:tc>
      </w:tr>
      <w:tr w:rsidR="00B572F9" w:rsidRPr="00C61664" w14:paraId="3A6E6AF6" w14:textId="77777777" w:rsidTr="002A59E2">
        <w:trPr>
          <w:trHeight w:val="312"/>
        </w:trPr>
        <w:tc>
          <w:tcPr>
            <w:tcW w:w="2160" w:type="dxa"/>
            <w:tcBorders>
              <w:top w:val="nil"/>
              <w:left w:val="nil"/>
              <w:bottom w:val="single" w:sz="12" w:space="0" w:color="auto"/>
              <w:right w:val="single" w:sz="36" w:space="0" w:color="FFFFFF" w:themeColor="background1"/>
            </w:tcBorders>
            <w:shd w:val="clear" w:color="auto" w:fill="auto"/>
            <w:noWrap/>
            <w:vAlign w:val="center"/>
            <w:hideMark/>
          </w:tcPr>
          <w:p w14:paraId="59BBCEC2" w14:textId="77777777" w:rsidR="00B572F9" w:rsidRPr="00C61664" w:rsidRDefault="00B572F9" w:rsidP="00CD16CE">
            <w:pPr>
              <w:spacing w:line="240" w:lineRule="auto"/>
              <w:rPr>
                <w:rFonts w:cs="Times New Roman"/>
                <w:color w:val="000000"/>
                <w:sz w:val="20"/>
                <w:szCs w:val="20"/>
              </w:rPr>
            </w:pPr>
            <w:r w:rsidRPr="00C61664">
              <w:rPr>
                <w:rFonts w:cs="Times New Roman"/>
                <w:color w:val="000000"/>
                <w:sz w:val="20"/>
                <w:szCs w:val="20"/>
              </w:rPr>
              <w:t>Effect</w:t>
            </w:r>
          </w:p>
        </w:tc>
        <w:tc>
          <w:tcPr>
            <w:tcW w:w="90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14F7E157"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78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048C7990"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c>
          <w:tcPr>
            <w:tcW w:w="84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1C202A35"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81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19000321"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c>
          <w:tcPr>
            <w:tcW w:w="90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3084D498"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81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72DC8942"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c>
          <w:tcPr>
            <w:tcW w:w="90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118A921B"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72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0C13C34B"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c>
          <w:tcPr>
            <w:tcW w:w="90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6D37D189"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78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116E64F1"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c>
          <w:tcPr>
            <w:tcW w:w="84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532321E1"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728" w:type="dxa"/>
            <w:tcBorders>
              <w:top w:val="nil"/>
              <w:left w:val="single" w:sz="36" w:space="0" w:color="FFFFFF" w:themeColor="background1"/>
              <w:bottom w:val="single" w:sz="12" w:space="0" w:color="auto"/>
              <w:right w:val="single" w:sz="12" w:space="0" w:color="FFFFFF"/>
            </w:tcBorders>
            <w:shd w:val="clear" w:color="auto" w:fill="auto"/>
            <w:noWrap/>
            <w:vAlign w:val="center"/>
            <w:hideMark/>
          </w:tcPr>
          <w:p w14:paraId="05D794A6"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r>
      <w:tr w:rsidR="00B572F9" w:rsidRPr="00C61664" w14:paraId="1C20345B" w14:textId="77777777" w:rsidTr="002A59E2">
        <w:trPr>
          <w:trHeight w:val="324"/>
        </w:trPr>
        <w:tc>
          <w:tcPr>
            <w:tcW w:w="2160" w:type="dxa"/>
            <w:tcBorders>
              <w:top w:val="nil"/>
              <w:left w:val="nil"/>
              <w:bottom w:val="nil"/>
              <w:right w:val="single" w:sz="36" w:space="0" w:color="FFFFFF" w:themeColor="background1"/>
            </w:tcBorders>
            <w:shd w:val="clear" w:color="auto" w:fill="auto"/>
            <w:noWrap/>
            <w:vAlign w:val="center"/>
            <w:hideMark/>
          </w:tcPr>
          <w:p w14:paraId="390A4439" w14:textId="77777777" w:rsidR="00B572F9" w:rsidRPr="00C61664" w:rsidRDefault="00B572F9" w:rsidP="00CD16CE">
            <w:pPr>
              <w:spacing w:line="240" w:lineRule="auto"/>
              <w:rPr>
                <w:rFonts w:cs="Times New Roman"/>
                <w:color w:val="000000"/>
                <w:sz w:val="20"/>
                <w:szCs w:val="20"/>
              </w:rPr>
            </w:pPr>
            <w:r w:rsidRPr="00401D64">
              <w:rPr>
                <w:rFonts w:cs="Times New Roman"/>
                <w:color w:val="000000"/>
                <w:sz w:val="20"/>
                <w:szCs w:val="20"/>
              </w:rPr>
              <w:t>R</w:t>
            </w:r>
            <w:r>
              <w:rPr>
                <w:rFonts w:cs="Times New Roman"/>
                <w:color w:val="000000"/>
                <w:sz w:val="20"/>
                <w:szCs w:val="20"/>
              </w:rPr>
              <w:t>est</w:t>
            </w:r>
            <w:r w:rsidRPr="00401D64">
              <w:rPr>
                <w:rFonts w:cs="Times New Roman"/>
                <w:color w:val="000000"/>
                <w:sz w:val="20"/>
                <w:szCs w:val="20"/>
                <w:vertAlign w:val="superscript"/>
              </w:rPr>
              <w:t>‡</w:t>
            </w:r>
          </w:p>
        </w:tc>
        <w:tc>
          <w:tcPr>
            <w:tcW w:w="900" w:type="dxa"/>
            <w:tcBorders>
              <w:top w:val="nil"/>
              <w:left w:val="single" w:sz="36" w:space="0" w:color="FFFFFF" w:themeColor="background1"/>
              <w:bottom w:val="nil"/>
              <w:right w:val="single" w:sz="36" w:space="0" w:color="FFFFFF" w:themeColor="background1"/>
            </w:tcBorders>
            <w:shd w:val="clear" w:color="auto" w:fill="auto"/>
            <w:noWrap/>
            <w:vAlign w:val="center"/>
            <w:hideMark/>
          </w:tcPr>
          <w:p w14:paraId="59E804EA"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0.48</w:t>
            </w:r>
          </w:p>
        </w:tc>
        <w:tc>
          <w:tcPr>
            <w:tcW w:w="780" w:type="dxa"/>
            <w:tcBorders>
              <w:top w:val="nil"/>
              <w:left w:val="single" w:sz="36" w:space="0" w:color="FFFFFF" w:themeColor="background1"/>
              <w:bottom w:val="nil"/>
              <w:right w:val="single" w:sz="36" w:space="0" w:color="FFFFFF" w:themeColor="background1"/>
            </w:tcBorders>
            <w:shd w:val="clear" w:color="auto" w:fill="auto"/>
            <w:noWrap/>
            <w:vAlign w:val="center"/>
            <w:hideMark/>
          </w:tcPr>
          <w:p w14:paraId="3511666A"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0.747</w:t>
            </w:r>
          </w:p>
        </w:tc>
        <w:tc>
          <w:tcPr>
            <w:tcW w:w="840" w:type="dxa"/>
            <w:tcBorders>
              <w:top w:val="nil"/>
              <w:left w:val="single" w:sz="36" w:space="0" w:color="FFFFFF" w:themeColor="background1"/>
              <w:bottom w:val="nil"/>
              <w:right w:val="single" w:sz="36" w:space="0" w:color="FFFFFF" w:themeColor="background1"/>
            </w:tcBorders>
            <w:shd w:val="clear" w:color="auto" w:fill="auto"/>
            <w:noWrap/>
            <w:vAlign w:val="center"/>
            <w:hideMark/>
          </w:tcPr>
          <w:p w14:paraId="7792CF70"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2.69</w:t>
            </w:r>
          </w:p>
        </w:tc>
        <w:tc>
          <w:tcPr>
            <w:tcW w:w="810" w:type="dxa"/>
            <w:tcBorders>
              <w:top w:val="nil"/>
              <w:left w:val="single" w:sz="36" w:space="0" w:color="FFFFFF" w:themeColor="background1"/>
              <w:bottom w:val="nil"/>
              <w:right w:val="single" w:sz="36" w:space="0" w:color="FFFFFF" w:themeColor="background1"/>
            </w:tcBorders>
            <w:shd w:val="clear" w:color="auto" w:fill="auto"/>
            <w:noWrap/>
            <w:vAlign w:val="center"/>
            <w:hideMark/>
          </w:tcPr>
          <w:p w14:paraId="562D0135"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0.050</w:t>
            </w:r>
            <w:r w:rsidRPr="00C61664">
              <w:rPr>
                <w:rFonts w:ascii="Calibri" w:hAnsi="Calibri" w:cs="Calibri"/>
                <w:color w:val="000000"/>
                <w:sz w:val="20"/>
                <w:szCs w:val="20"/>
              </w:rPr>
              <w:t>§</w:t>
            </w:r>
          </w:p>
        </w:tc>
        <w:tc>
          <w:tcPr>
            <w:tcW w:w="90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17944278"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0.50</w:t>
            </w:r>
          </w:p>
        </w:tc>
        <w:tc>
          <w:tcPr>
            <w:tcW w:w="81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2DC6C4DF"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0.735</w:t>
            </w:r>
          </w:p>
        </w:tc>
        <w:tc>
          <w:tcPr>
            <w:tcW w:w="90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3D7B593B"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0.38</w:t>
            </w:r>
          </w:p>
        </w:tc>
        <w:tc>
          <w:tcPr>
            <w:tcW w:w="72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401B0B71"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0.822</w:t>
            </w:r>
          </w:p>
        </w:tc>
        <w:tc>
          <w:tcPr>
            <w:tcW w:w="900" w:type="dxa"/>
            <w:tcBorders>
              <w:top w:val="nil"/>
              <w:left w:val="single" w:sz="36" w:space="0" w:color="FFFFFF" w:themeColor="background1"/>
              <w:bottom w:val="nil"/>
              <w:right w:val="single" w:sz="36" w:space="0" w:color="FFFFFF" w:themeColor="background1"/>
            </w:tcBorders>
            <w:shd w:val="clear" w:color="auto" w:fill="auto"/>
            <w:noWrap/>
            <w:vAlign w:val="center"/>
            <w:hideMark/>
          </w:tcPr>
          <w:p w14:paraId="6892D42D"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0.80</w:t>
            </w:r>
          </w:p>
        </w:tc>
        <w:tc>
          <w:tcPr>
            <w:tcW w:w="780" w:type="dxa"/>
            <w:tcBorders>
              <w:top w:val="nil"/>
              <w:left w:val="single" w:sz="36" w:space="0" w:color="FFFFFF" w:themeColor="background1"/>
              <w:bottom w:val="nil"/>
              <w:right w:val="single" w:sz="36" w:space="0" w:color="FFFFFF" w:themeColor="background1"/>
            </w:tcBorders>
            <w:shd w:val="clear" w:color="auto" w:fill="auto"/>
            <w:noWrap/>
            <w:vAlign w:val="center"/>
            <w:hideMark/>
          </w:tcPr>
          <w:p w14:paraId="63E2B24A"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0.534</w:t>
            </w:r>
          </w:p>
        </w:tc>
        <w:tc>
          <w:tcPr>
            <w:tcW w:w="840" w:type="dxa"/>
            <w:tcBorders>
              <w:top w:val="nil"/>
              <w:left w:val="single" w:sz="36" w:space="0" w:color="FFFFFF" w:themeColor="background1"/>
              <w:bottom w:val="nil"/>
              <w:right w:val="single" w:sz="36" w:space="0" w:color="FFFFFF" w:themeColor="background1"/>
            </w:tcBorders>
            <w:shd w:val="clear" w:color="auto" w:fill="auto"/>
            <w:noWrap/>
            <w:vAlign w:val="center"/>
            <w:hideMark/>
          </w:tcPr>
          <w:p w14:paraId="0ADEA8F6"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1.51</w:t>
            </w:r>
          </w:p>
        </w:tc>
        <w:tc>
          <w:tcPr>
            <w:tcW w:w="728" w:type="dxa"/>
            <w:tcBorders>
              <w:top w:val="nil"/>
              <w:left w:val="single" w:sz="36" w:space="0" w:color="FFFFFF" w:themeColor="background1"/>
              <w:bottom w:val="nil"/>
              <w:right w:val="single" w:sz="12" w:space="0" w:color="FFFFFF"/>
            </w:tcBorders>
            <w:shd w:val="clear" w:color="auto" w:fill="auto"/>
            <w:noWrap/>
            <w:vAlign w:val="center"/>
            <w:hideMark/>
          </w:tcPr>
          <w:p w14:paraId="1B04A44F"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0.217</w:t>
            </w:r>
          </w:p>
        </w:tc>
      </w:tr>
      <w:tr w:rsidR="00B572F9" w:rsidRPr="00C61664" w14:paraId="033DA3D4" w14:textId="77777777" w:rsidTr="002A59E2">
        <w:trPr>
          <w:trHeight w:val="288"/>
        </w:trPr>
        <w:tc>
          <w:tcPr>
            <w:tcW w:w="2160" w:type="dxa"/>
            <w:tcBorders>
              <w:top w:val="nil"/>
              <w:left w:val="nil"/>
              <w:bottom w:val="nil"/>
              <w:right w:val="nil"/>
            </w:tcBorders>
            <w:shd w:val="clear" w:color="000000" w:fill="D9D9D9"/>
            <w:noWrap/>
            <w:vAlign w:val="center"/>
            <w:hideMark/>
          </w:tcPr>
          <w:p w14:paraId="1A854FBE" w14:textId="77777777" w:rsidR="00B572F9" w:rsidRPr="00C61664" w:rsidRDefault="00B572F9" w:rsidP="00CD16CE">
            <w:pPr>
              <w:spacing w:line="240" w:lineRule="auto"/>
              <w:rPr>
                <w:rFonts w:cs="Times New Roman"/>
                <w:color w:val="000000"/>
                <w:sz w:val="20"/>
                <w:szCs w:val="20"/>
              </w:rPr>
            </w:pPr>
            <w:r w:rsidRPr="00401D64">
              <w:rPr>
                <w:rFonts w:cs="Times New Roman"/>
                <w:color w:val="000000"/>
                <w:sz w:val="20"/>
                <w:szCs w:val="20"/>
              </w:rPr>
              <w:t>Y</w:t>
            </w:r>
            <w:r>
              <w:rPr>
                <w:rFonts w:cs="Times New Roman"/>
                <w:color w:val="000000"/>
                <w:sz w:val="20"/>
                <w:szCs w:val="20"/>
              </w:rPr>
              <w:t>ear</w:t>
            </w:r>
          </w:p>
        </w:tc>
        <w:tc>
          <w:tcPr>
            <w:tcW w:w="900" w:type="dxa"/>
            <w:tcBorders>
              <w:top w:val="nil"/>
              <w:left w:val="nil"/>
              <w:bottom w:val="nil"/>
              <w:right w:val="nil"/>
            </w:tcBorders>
            <w:shd w:val="clear" w:color="000000" w:fill="D9D9D9"/>
            <w:noWrap/>
            <w:vAlign w:val="center"/>
            <w:hideMark/>
          </w:tcPr>
          <w:p w14:paraId="0750E6D9"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13.88</w:t>
            </w:r>
          </w:p>
        </w:tc>
        <w:tc>
          <w:tcPr>
            <w:tcW w:w="780" w:type="dxa"/>
            <w:tcBorders>
              <w:top w:val="nil"/>
              <w:left w:val="nil"/>
              <w:bottom w:val="nil"/>
              <w:right w:val="nil"/>
            </w:tcBorders>
            <w:shd w:val="clear" w:color="000000" w:fill="D9D9D9"/>
            <w:noWrap/>
            <w:vAlign w:val="center"/>
            <w:hideMark/>
          </w:tcPr>
          <w:p w14:paraId="45B4B67F"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0.002</w:t>
            </w:r>
          </w:p>
        </w:tc>
        <w:tc>
          <w:tcPr>
            <w:tcW w:w="840" w:type="dxa"/>
            <w:tcBorders>
              <w:top w:val="nil"/>
              <w:left w:val="nil"/>
              <w:bottom w:val="nil"/>
              <w:right w:val="nil"/>
            </w:tcBorders>
            <w:shd w:val="clear" w:color="000000" w:fill="D9D9D9"/>
            <w:noWrap/>
            <w:vAlign w:val="center"/>
            <w:hideMark/>
          </w:tcPr>
          <w:p w14:paraId="40CA11A9"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14.97</w:t>
            </w:r>
          </w:p>
        </w:tc>
        <w:tc>
          <w:tcPr>
            <w:tcW w:w="810" w:type="dxa"/>
            <w:tcBorders>
              <w:top w:val="nil"/>
              <w:left w:val="nil"/>
              <w:bottom w:val="nil"/>
              <w:right w:val="nil"/>
            </w:tcBorders>
            <w:shd w:val="clear" w:color="000000" w:fill="D9D9D9"/>
            <w:noWrap/>
            <w:vAlign w:val="center"/>
            <w:hideMark/>
          </w:tcPr>
          <w:p w14:paraId="23144CF9"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0.006</w:t>
            </w:r>
          </w:p>
        </w:tc>
        <w:tc>
          <w:tcPr>
            <w:tcW w:w="900" w:type="dxa"/>
            <w:tcBorders>
              <w:top w:val="nil"/>
              <w:left w:val="nil"/>
              <w:bottom w:val="nil"/>
              <w:right w:val="nil"/>
            </w:tcBorders>
            <w:shd w:val="clear" w:color="000000" w:fill="D9D9D9"/>
            <w:vAlign w:val="center"/>
            <w:hideMark/>
          </w:tcPr>
          <w:p w14:paraId="5CD9B85C"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3.85</w:t>
            </w:r>
          </w:p>
        </w:tc>
        <w:tc>
          <w:tcPr>
            <w:tcW w:w="810" w:type="dxa"/>
            <w:tcBorders>
              <w:top w:val="nil"/>
              <w:left w:val="nil"/>
              <w:bottom w:val="nil"/>
              <w:right w:val="nil"/>
            </w:tcBorders>
            <w:shd w:val="clear" w:color="000000" w:fill="D9D9D9"/>
            <w:vAlign w:val="center"/>
            <w:hideMark/>
          </w:tcPr>
          <w:p w14:paraId="27827B56"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0.080</w:t>
            </w:r>
          </w:p>
        </w:tc>
        <w:tc>
          <w:tcPr>
            <w:tcW w:w="900" w:type="dxa"/>
            <w:tcBorders>
              <w:top w:val="nil"/>
              <w:left w:val="nil"/>
              <w:bottom w:val="nil"/>
              <w:right w:val="nil"/>
            </w:tcBorders>
            <w:shd w:val="clear" w:color="000000" w:fill="D9D9D9"/>
            <w:vAlign w:val="center"/>
            <w:hideMark/>
          </w:tcPr>
          <w:p w14:paraId="53C26AE2"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0.22</w:t>
            </w:r>
          </w:p>
        </w:tc>
        <w:tc>
          <w:tcPr>
            <w:tcW w:w="720" w:type="dxa"/>
            <w:tcBorders>
              <w:top w:val="nil"/>
              <w:left w:val="nil"/>
              <w:bottom w:val="nil"/>
              <w:right w:val="nil"/>
            </w:tcBorders>
            <w:shd w:val="clear" w:color="000000" w:fill="D9D9D9"/>
            <w:vAlign w:val="center"/>
            <w:hideMark/>
          </w:tcPr>
          <w:p w14:paraId="648B355E"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0.805</w:t>
            </w:r>
          </w:p>
        </w:tc>
        <w:tc>
          <w:tcPr>
            <w:tcW w:w="900" w:type="dxa"/>
            <w:tcBorders>
              <w:top w:val="nil"/>
              <w:left w:val="nil"/>
              <w:bottom w:val="nil"/>
              <w:right w:val="nil"/>
            </w:tcBorders>
            <w:shd w:val="clear" w:color="000000" w:fill="D9D9D9"/>
            <w:noWrap/>
            <w:vAlign w:val="center"/>
            <w:hideMark/>
          </w:tcPr>
          <w:p w14:paraId="4B8B4C1C"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22.72</w:t>
            </w:r>
          </w:p>
        </w:tc>
        <w:tc>
          <w:tcPr>
            <w:tcW w:w="780" w:type="dxa"/>
            <w:tcBorders>
              <w:top w:val="nil"/>
              <w:left w:val="nil"/>
              <w:bottom w:val="nil"/>
              <w:right w:val="nil"/>
            </w:tcBorders>
            <w:shd w:val="clear" w:color="000000" w:fill="D9D9D9"/>
            <w:noWrap/>
            <w:vAlign w:val="center"/>
            <w:hideMark/>
          </w:tcPr>
          <w:p w14:paraId="39F3BCC4"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&lt;0.001</w:t>
            </w:r>
          </w:p>
        </w:tc>
        <w:tc>
          <w:tcPr>
            <w:tcW w:w="840" w:type="dxa"/>
            <w:tcBorders>
              <w:top w:val="nil"/>
              <w:left w:val="nil"/>
              <w:bottom w:val="nil"/>
              <w:right w:val="nil"/>
            </w:tcBorders>
            <w:shd w:val="clear" w:color="000000" w:fill="D9D9D9"/>
            <w:noWrap/>
            <w:vAlign w:val="center"/>
            <w:hideMark/>
          </w:tcPr>
          <w:p w14:paraId="569D88F0"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1.58</w:t>
            </w:r>
          </w:p>
        </w:tc>
        <w:tc>
          <w:tcPr>
            <w:tcW w:w="728" w:type="dxa"/>
            <w:tcBorders>
              <w:top w:val="nil"/>
              <w:left w:val="nil"/>
              <w:bottom w:val="nil"/>
              <w:right w:val="nil"/>
            </w:tcBorders>
            <w:shd w:val="clear" w:color="000000" w:fill="D9D9D9"/>
            <w:noWrap/>
            <w:vAlign w:val="center"/>
            <w:hideMark/>
          </w:tcPr>
          <w:p w14:paraId="749B41F1"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0.214</w:t>
            </w:r>
          </w:p>
        </w:tc>
      </w:tr>
      <w:tr w:rsidR="00B572F9" w:rsidRPr="00C61664" w14:paraId="56A742D8" w14:textId="77777777" w:rsidTr="002A59E2">
        <w:trPr>
          <w:trHeight w:val="288"/>
        </w:trPr>
        <w:tc>
          <w:tcPr>
            <w:tcW w:w="2160" w:type="dxa"/>
            <w:tcBorders>
              <w:top w:val="nil"/>
              <w:left w:val="nil"/>
              <w:bottom w:val="nil"/>
              <w:right w:val="nil"/>
            </w:tcBorders>
            <w:shd w:val="clear" w:color="auto" w:fill="auto"/>
            <w:noWrap/>
            <w:vAlign w:val="center"/>
            <w:hideMark/>
          </w:tcPr>
          <w:p w14:paraId="6EC2B76E" w14:textId="77777777" w:rsidR="00B572F9" w:rsidRPr="00C61664" w:rsidRDefault="00B572F9" w:rsidP="00CD16CE">
            <w:pPr>
              <w:spacing w:line="240" w:lineRule="auto"/>
              <w:rPr>
                <w:rFonts w:cs="Times New Roman"/>
                <w:color w:val="000000"/>
                <w:sz w:val="20"/>
                <w:szCs w:val="20"/>
              </w:rPr>
            </w:pPr>
            <w:r w:rsidRPr="00401D64">
              <w:rPr>
                <w:rFonts w:cs="Times New Roman"/>
                <w:color w:val="000000"/>
                <w:sz w:val="20"/>
                <w:szCs w:val="20"/>
              </w:rPr>
              <w:t>R</w:t>
            </w:r>
            <w:r>
              <w:rPr>
                <w:rFonts w:cs="Times New Roman"/>
                <w:color w:val="000000"/>
                <w:sz w:val="20"/>
                <w:szCs w:val="20"/>
              </w:rPr>
              <w:t>est</w:t>
            </w:r>
            <w:r w:rsidRPr="00401D64">
              <w:rPr>
                <w:rFonts w:cs="Times New Roman"/>
                <w:color w:val="000000"/>
                <w:sz w:val="20"/>
                <w:szCs w:val="20"/>
              </w:rPr>
              <w:t xml:space="preserve"> x Y</w:t>
            </w:r>
            <w:r>
              <w:rPr>
                <w:rFonts w:cs="Times New Roman"/>
                <w:color w:val="000000"/>
                <w:sz w:val="20"/>
                <w:szCs w:val="20"/>
              </w:rPr>
              <w:t>ear</w:t>
            </w:r>
          </w:p>
        </w:tc>
        <w:tc>
          <w:tcPr>
            <w:tcW w:w="900" w:type="dxa"/>
            <w:tcBorders>
              <w:top w:val="nil"/>
              <w:left w:val="nil"/>
              <w:bottom w:val="nil"/>
              <w:right w:val="nil"/>
            </w:tcBorders>
            <w:shd w:val="clear" w:color="auto" w:fill="auto"/>
            <w:noWrap/>
            <w:vAlign w:val="center"/>
            <w:hideMark/>
          </w:tcPr>
          <w:p w14:paraId="3F03F8BD"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1.14</w:t>
            </w:r>
          </w:p>
        </w:tc>
        <w:tc>
          <w:tcPr>
            <w:tcW w:w="780" w:type="dxa"/>
            <w:tcBorders>
              <w:top w:val="nil"/>
              <w:left w:val="nil"/>
              <w:bottom w:val="nil"/>
              <w:right w:val="nil"/>
            </w:tcBorders>
            <w:shd w:val="clear" w:color="auto" w:fill="auto"/>
            <w:noWrap/>
            <w:vAlign w:val="center"/>
            <w:hideMark/>
          </w:tcPr>
          <w:p w14:paraId="166A4C4B"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0.354</w:t>
            </w:r>
          </w:p>
        </w:tc>
        <w:tc>
          <w:tcPr>
            <w:tcW w:w="840" w:type="dxa"/>
            <w:tcBorders>
              <w:top w:val="nil"/>
              <w:left w:val="nil"/>
              <w:bottom w:val="nil"/>
              <w:right w:val="nil"/>
            </w:tcBorders>
            <w:shd w:val="clear" w:color="auto" w:fill="auto"/>
            <w:noWrap/>
            <w:vAlign w:val="center"/>
            <w:hideMark/>
          </w:tcPr>
          <w:p w14:paraId="06FDA6BA"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1.50</w:t>
            </w:r>
          </w:p>
        </w:tc>
        <w:tc>
          <w:tcPr>
            <w:tcW w:w="810" w:type="dxa"/>
            <w:tcBorders>
              <w:top w:val="nil"/>
              <w:left w:val="nil"/>
              <w:bottom w:val="nil"/>
              <w:right w:val="nil"/>
            </w:tcBorders>
            <w:shd w:val="clear" w:color="auto" w:fill="auto"/>
            <w:noWrap/>
            <w:vAlign w:val="center"/>
            <w:hideMark/>
          </w:tcPr>
          <w:p w14:paraId="4BF1DA01"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0.187</w:t>
            </w:r>
          </w:p>
        </w:tc>
        <w:tc>
          <w:tcPr>
            <w:tcW w:w="900" w:type="dxa"/>
            <w:tcBorders>
              <w:top w:val="nil"/>
              <w:left w:val="nil"/>
              <w:bottom w:val="nil"/>
              <w:right w:val="nil"/>
            </w:tcBorders>
            <w:shd w:val="clear" w:color="auto" w:fill="auto"/>
            <w:vAlign w:val="center"/>
            <w:hideMark/>
          </w:tcPr>
          <w:p w14:paraId="18452731"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1.09</w:t>
            </w:r>
          </w:p>
        </w:tc>
        <w:tc>
          <w:tcPr>
            <w:tcW w:w="810" w:type="dxa"/>
            <w:tcBorders>
              <w:top w:val="nil"/>
              <w:left w:val="nil"/>
              <w:bottom w:val="nil"/>
              <w:right w:val="nil"/>
            </w:tcBorders>
            <w:shd w:val="clear" w:color="auto" w:fill="auto"/>
            <w:vAlign w:val="center"/>
            <w:hideMark/>
          </w:tcPr>
          <w:p w14:paraId="2FFD3993"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0.383</w:t>
            </w:r>
          </w:p>
        </w:tc>
        <w:tc>
          <w:tcPr>
            <w:tcW w:w="900" w:type="dxa"/>
            <w:tcBorders>
              <w:top w:val="nil"/>
              <w:left w:val="nil"/>
              <w:bottom w:val="nil"/>
              <w:right w:val="nil"/>
            </w:tcBorders>
            <w:shd w:val="clear" w:color="auto" w:fill="auto"/>
            <w:vAlign w:val="center"/>
            <w:hideMark/>
          </w:tcPr>
          <w:p w14:paraId="20968DC7"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1.66</w:t>
            </w:r>
          </w:p>
        </w:tc>
        <w:tc>
          <w:tcPr>
            <w:tcW w:w="720" w:type="dxa"/>
            <w:tcBorders>
              <w:top w:val="nil"/>
              <w:left w:val="nil"/>
              <w:bottom w:val="nil"/>
              <w:right w:val="nil"/>
            </w:tcBorders>
            <w:shd w:val="clear" w:color="auto" w:fill="auto"/>
            <w:vAlign w:val="center"/>
            <w:hideMark/>
          </w:tcPr>
          <w:p w14:paraId="4AC9C8CF"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0.129</w:t>
            </w:r>
          </w:p>
        </w:tc>
        <w:tc>
          <w:tcPr>
            <w:tcW w:w="900" w:type="dxa"/>
            <w:tcBorders>
              <w:top w:val="nil"/>
              <w:left w:val="nil"/>
              <w:bottom w:val="nil"/>
              <w:right w:val="nil"/>
            </w:tcBorders>
            <w:shd w:val="clear" w:color="auto" w:fill="auto"/>
            <w:noWrap/>
            <w:vAlign w:val="center"/>
            <w:hideMark/>
          </w:tcPr>
          <w:p w14:paraId="3A298BE9"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0.74</w:t>
            </w:r>
          </w:p>
        </w:tc>
        <w:tc>
          <w:tcPr>
            <w:tcW w:w="780" w:type="dxa"/>
            <w:tcBorders>
              <w:top w:val="nil"/>
              <w:left w:val="nil"/>
              <w:bottom w:val="nil"/>
              <w:right w:val="nil"/>
            </w:tcBorders>
            <w:shd w:val="clear" w:color="auto" w:fill="auto"/>
            <w:noWrap/>
            <w:vAlign w:val="center"/>
            <w:hideMark/>
          </w:tcPr>
          <w:p w14:paraId="66E933E5"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0.658</w:t>
            </w:r>
          </w:p>
        </w:tc>
        <w:tc>
          <w:tcPr>
            <w:tcW w:w="840" w:type="dxa"/>
            <w:tcBorders>
              <w:top w:val="nil"/>
              <w:left w:val="nil"/>
              <w:bottom w:val="nil"/>
              <w:right w:val="nil"/>
            </w:tcBorders>
            <w:shd w:val="clear" w:color="auto" w:fill="auto"/>
            <w:noWrap/>
            <w:vAlign w:val="center"/>
            <w:hideMark/>
          </w:tcPr>
          <w:p w14:paraId="1B78D89F"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1.10</w:t>
            </w:r>
          </w:p>
        </w:tc>
        <w:tc>
          <w:tcPr>
            <w:tcW w:w="728" w:type="dxa"/>
            <w:tcBorders>
              <w:top w:val="nil"/>
              <w:left w:val="nil"/>
              <w:bottom w:val="nil"/>
              <w:right w:val="nil"/>
            </w:tcBorders>
            <w:shd w:val="clear" w:color="auto" w:fill="auto"/>
            <w:noWrap/>
            <w:vAlign w:val="center"/>
            <w:hideMark/>
          </w:tcPr>
          <w:p w14:paraId="061B0BFB"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0.375</w:t>
            </w:r>
          </w:p>
        </w:tc>
      </w:tr>
      <w:tr w:rsidR="00B572F9" w:rsidRPr="00C61664" w14:paraId="12EAD3C6" w14:textId="77777777" w:rsidTr="002A59E2">
        <w:trPr>
          <w:trHeight w:val="288"/>
        </w:trPr>
        <w:tc>
          <w:tcPr>
            <w:tcW w:w="2160" w:type="dxa"/>
            <w:tcBorders>
              <w:top w:val="nil"/>
              <w:left w:val="nil"/>
              <w:bottom w:val="nil"/>
              <w:right w:val="nil"/>
            </w:tcBorders>
            <w:shd w:val="clear" w:color="000000" w:fill="D9D9D9"/>
            <w:noWrap/>
            <w:vAlign w:val="center"/>
            <w:hideMark/>
          </w:tcPr>
          <w:p w14:paraId="69BC4E2E" w14:textId="77777777" w:rsidR="00B572F9" w:rsidRPr="00C61664" w:rsidRDefault="00B572F9" w:rsidP="00CD16CE">
            <w:pPr>
              <w:spacing w:line="240" w:lineRule="auto"/>
              <w:rPr>
                <w:rFonts w:cs="Times New Roman"/>
                <w:color w:val="000000"/>
                <w:sz w:val="20"/>
                <w:szCs w:val="20"/>
              </w:rPr>
            </w:pPr>
            <w:r w:rsidRPr="00401D64">
              <w:rPr>
                <w:rFonts w:cs="Times New Roman"/>
                <w:color w:val="000000"/>
                <w:sz w:val="20"/>
                <w:szCs w:val="20"/>
              </w:rPr>
              <w:t>P</w:t>
            </w:r>
            <w:r>
              <w:rPr>
                <w:rFonts w:cs="Times New Roman"/>
                <w:color w:val="000000"/>
                <w:sz w:val="20"/>
                <w:szCs w:val="20"/>
              </w:rPr>
              <w:t>eriod</w:t>
            </w:r>
          </w:p>
        </w:tc>
        <w:tc>
          <w:tcPr>
            <w:tcW w:w="900" w:type="dxa"/>
            <w:tcBorders>
              <w:top w:val="nil"/>
              <w:left w:val="nil"/>
              <w:bottom w:val="nil"/>
              <w:right w:val="nil"/>
            </w:tcBorders>
            <w:shd w:val="clear" w:color="000000" w:fill="D9D9D9"/>
            <w:noWrap/>
            <w:vAlign w:val="center"/>
            <w:hideMark/>
          </w:tcPr>
          <w:p w14:paraId="78102242"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9.51</w:t>
            </w:r>
          </w:p>
        </w:tc>
        <w:tc>
          <w:tcPr>
            <w:tcW w:w="780" w:type="dxa"/>
            <w:tcBorders>
              <w:top w:val="nil"/>
              <w:left w:val="nil"/>
              <w:bottom w:val="nil"/>
              <w:right w:val="nil"/>
            </w:tcBorders>
            <w:shd w:val="clear" w:color="000000" w:fill="D9D9D9"/>
            <w:noWrap/>
            <w:vAlign w:val="center"/>
            <w:hideMark/>
          </w:tcPr>
          <w:p w14:paraId="1DFF3F3B"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0.004</w:t>
            </w:r>
          </w:p>
        </w:tc>
        <w:tc>
          <w:tcPr>
            <w:tcW w:w="840" w:type="dxa"/>
            <w:tcBorders>
              <w:top w:val="nil"/>
              <w:left w:val="nil"/>
              <w:bottom w:val="nil"/>
              <w:right w:val="nil"/>
            </w:tcBorders>
            <w:shd w:val="clear" w:color="000000" w:fill="D9D9D9"/>
            <w:noWrap/>
            <w:vAlign w:val="center"/>
            <w:hideMark/>
          </w:tcPr>
          <w:p w14:paraId="64297AA5"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80.89</w:t>
            </w:r>
          </w:p>
        </w:tc>
        <w:tc>
          <w:tcPr>
            <w:tcW w:w="810" w:type="dxa"/>
            <w:tcBorders>
              <w:top w:val="nil"/>
              <w:left w:val="nil"/>
              <w:bottom w:val="nil"/>
              <w:right w:val="nil"/>
            </w:tcBorders>
            <w:shd w:val="clear" w:color="000000" w:fill="D9D9D9"/>
            <w:noWrap/>
            <w:vAlign w:val="center"/>
            <w:hideMark/>
          </w:tcPr>
          <w:p w14:paraId="2652FF55"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&lt;0.001</w:t>
            </w:r>
          </w:p>
        </w:tc>
        <w:tc>
          <w:tcPr>
            <w:tcW w:w="900" w:type="dxa"/>
            <w:tcBorders>
              <w:top w:val="nil"/>
              <w:left w:val="nil"/>
              <w:bottom w:val="nil"/>
              <w:right w:val="nil"/>
            </w:tcBorders>
            <w:shd w:val="clear" w:color="000000" w:fill="D9D9D9"/>
            <w:vAlign w:val="center"/>
            <w:hideMark/>
          </w:tcPr>
          <w:p w14:paraId="591A2F3A"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0.82</w:t>
            </w:r>
          </w:p>
        </w:tc>
        <w:tc>
          <w:tcPr>
            <w:tcW w:w="810" w:type="dxa"/>
            <w:tcBorders>
              <w:top w:val="nil"/>
              <w:left w:val="nil"/>
              <w:bottom w:val="nil"/>
              <w:right w:val="nil"/>
            </w:tcBorders>
            <w:shd w:val="clear" w:color="000000" w:fill="D9D9D9"/>
            <w:vAlign w:val="center"/>
            <w:hideMark/>
          </w:tcPr>
          <w:p w14:paraId="5C92AB9F"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0.372</w:t>
            </w:r>
          </w:p>
        </w:tc>
        <w:tc>
          <w:tcPr>
            <w:tcW w:w="900" w:type="dxa"/>
            <w:tcBorders>
              <w:top w:val="nil"/>
              <w:left w:val="nil"/>
              <w:bottom w:val="nil"/>
              <w:right w:val="nil"/>
            </w:tcBorders>
            <w:shd w:val="clear" w:color="000000" w:fill="D9D9D9"/>
            <w:vAlign w:val="center"/>
            <w:hideMark/>
          </w:tcPr>
          <w:p w14:paraId="01CECDA7"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0.00</w:t>
            </w:r>
          </w:p>
        </w:tc>
        <w:tc>
          <w:tcPr>
            <w:tcW w:w="720" w:type="dxa"/>
            <w:tcBorders>
              <w:top w:val="nil"/>
              <w:left w:val="nil"/>
              <w:bottom w:val="nil"/>
              <w:right w:val="nil"/>
            </w:tcBorders>
            <w:shd w:val="clear" w:color="000000" w:fill="D9D9D9"/>
            <w:vAlign w:val="center"/>
            <w:hideMark/>
          </w:tcPr>
          <w:p w14:paraId="75B43FCE"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0.992</w:t>
            </w:r>
          </w:p>
        </w:tc>
        <w:tc>
          <w:tcPr>
            <w:tcW w:w="900" w:type="dxa"/>
            <w:tcBorders>
              <w:top w:val="nil"/>
              <w:left w:val="nil"/>
              <w:bottom w:val="nil"/>
              <w:right w:val="nil"/>
            </w:tcBorders>
            <w:shd w:val="clear" w:color="000000" w:fill="D9D9D9"/>
            <w:noWrap/>
            <w:vAlign w:val="center"/>
            <w:hideMark/>
          </w:tcPr>
          <w:p w14:paraId="1F00AE43"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6.21</w:t>
            </w:r>
          </w:p>
        </w:tc>
        <w:tc>
          <w:tcPr>
            <w:tcW w:w="780" w:type="dxa"/>
            <w:tcBorders>
              <w:top w:val="nil"/>
              <w:left w:val="nil"/>
              <w:bottom w:val="nil"/>
              <w:right w:val="nil"/>
            </w:tcBorders>
            <w:shd w:val="clear" w:color="000000" w:fill="D9D9D9"/>
            <w:noWrap/>
            <w:vAlign w:val="center"/>
            <w:hideMark/>
          </w:tcPr>
          <w:p w14:paraId="782A0472"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0.017</w:t>
            </w:r>
          </w:p>
        </w:tc>
        <w:tc>
          <w:tcPr>
            <w:tcW w:w="840" w:type="dxa"/>
            <w:tcBorders>
              <w:top w:val="nil"/>
              <w:left w:val="nil"/>
              <w:bottom w:val="nil"/>
              <w:right w:val="nil"/>
            </w:tcBorders>
            <w:shd w:val="clear" w:color="000000" w:fill="D9D9D9"/>
            <w:noWrap/>
            <w:vAlign w:val="center"/>
            <w:hideMark/>
          </w:tcPr>
          <w:p w14:paraId="7EF98DE2"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1.53</w:t>
            </w:r>
          </w:p>
        </w:tc>
        <w:tc>
          <w:tcPr>
            <w:tcW w:w="728" w:type="dxa"/>
            <w:tcBorders>
              <w:top w:val="nil"/>
              <w:left w:val="nil"/>
              <w:bottom w:val="nil"/>
              <w:right w:val="nil"/>
            </w:tcBorders>
            <w:shd w:val="clear" w:color="000000" w:fill="D9D9D9"/>
            <w:noWrap/>
            <w:vAlign w:val="center"/>
            <w:hideMark/>
          </w:tcPr>
          <w:p w14:paraId="46C51CB3"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0.223</w:t>
            </w:r>
          </w:p>
        </w:tc>
      </w:tr>
      <w:tr w:rsidR="00B572F9" w:rsidRPr="00C61664" w14:paraId="6FC6FE98" w14:textId="77777777" w:rsidTr="002A59E2">
        <w:trPr>
          <w:trHeight w:val="288"/>
        </w:trPr>
        <w:tc>
          <w:tcPr>
            <w:tcW w:w="2160" w:type="dxa"/>
            <w:tcBorders>
              <w:top w:val="nil"/>
              <w:left w:val="nil"/>
              <w:bottom w:val="nil"/>
              <w:right w:val="nil"/>
            </w:tcBorders>
            <w:shd w:val="clear" w:color="auto" w:fill="auto"/>
            <w:noWrap/>
            <w:vAlign w:val="center"/>
            <w:hideMark/>
          </w:tcPr>
          <w:p w14:paraId="55CB171D" w14:textId="77777777" w:rsidR="00B572F9" w:rsidRPr="00C61664" w:rsidRDefault="00B572F9" w:rsidP="00CD16CE">
            <w:pPr>
              <w:spacing w:line="240" w:lineRule="auto"/>
              <w:rPr>
                <w:rFonts w:cs="Times New Roman"/>
                <w:color w:val="000000"/>
                <w:sz w:val="20"/>
                <w:szCs w:val="20"/>
              </w:rPr>
            </w:pPr>
            <w:r w:rsidRPr="00401D64">
              <w:rPr>
                <w:rFonts w:cs="Times New Roman"/>
                <w:color w:val="000000"/>
                <w:sz w:val="20"/>
                <w:szCs w:val="20"/>
              </w:rPr>
              <w:t>R</w:t>
            </w:r>
            <w:r>
              <w:rPr>
                <w:rFonts w:cs="Times New Roman"/>
                <w:color w:val="000000"/>
                <w:sz w:val="20"/>
                <w:szCs w:val="20"/>
              </w:rPr>
              <w:t>est</w:t>
            </w:r>
            <w:r w:rsidRPr="00401D64">
              <w:rPr>
                <w:rFonts w:cs="Times New Roman"/>
                <w:color w:val="000000"/>
                <w:sz w:val="20"/>
                <w:szCs w:val="20"/>
              </w:rPr>
              <w:t xml:space="preserve"> x P</w:t>
            </w:r>
            <w:r>
              <w:rPr>
                <w:rFonts w:cs="Times New Roman"/>
                <w:color w:val="000000"/>
                <w:sz w:val="20"/>
                <w:szCs w:val="20"/>
              </w:rPr>
              <w:t>eriod</w:t>
            </w:r>
          </w:p>
        </w:tc>
        <w:tc>
          <w:tcPr>
            <w:tcW w:w="900" w:type="dxa"/>
            <w:tcBorders>
              <w:top w:val="nil"/>
              <w:left w:val="nil"/>
              <w:bottom w:val="nil"/>
              <w:right w:val="nil"/>
            </w:tcBorders>
            <w:shd w:val="clear" w:color="auto" w:fill="auto"/>
            <w:noWrap/>
            <w:vAlign w:val="center"/>
            <w:hideMark/>
          </w:tcPr>
          <w:p w14:paraId="6B42989C"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0.43</w:t>
            </w:r>
          </w:p>
        </w:tc>
        <w:tc>
          <w:tcPr>
            <w:tcW w:w="780" w:type="dxa"/>
            <w:tcBorders>
              <w:top w:val="nil"/>
              <w:left w:val="nil"/>
              <w:bottom w:val="nil"/>
              <w:right w:val="nil"/>
            </w:tcBorders>
            <w:shd w:val="clear" w:color="auto" w:fill="auto"/>
            <w:noWrap/>
            <w:vAlign w:val="center"/>
            <w:hideMark/>
          </w:tcPr>
          <w:p w14:paraId="74E59A25"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0.786</w:t>
            </w:r>
          </w:p>
        </w:tc>
        <w:tc>
          <w:tcPr>
            <w:tcW w:w="840" w:type="dxa"/>
            <w:tcBorders>
              <w:top w:val="nil"/>
              <w:left w:val="nil"/>
              <w:bottom w:val="nil"/>
              <w:right w:val="nil"/>
            </w:tcBorders>
            <w:shd w:val="clear" w:color="auto" w:fill="auto"/>
            <w:noWrap/>
            <w:vAlign w:val="center"/>
            <w:hideMark/>
          </w:tcPr>
          <w:p w14:paraId="275778DA"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2.74</w:t>
            </w:r>
          </w:p>
        </w:tc>
        <w:tc>
          <w:tcPr>
            <w:tcW w:w="810" w:type="dxa"/>
            <w:tcBorders>
              <w:top w:val="nil"/>
              <w:left w:val="nil"/>
              <w:bottom w:val="nil"/>
              <w:right w:val="nil"/>
            </w:tcBorders>
            <w:shd w:val="clear" w:color="auto" w:fill="auto"/>
            <w:noWrap/>
            <w:vAlign w:val="center"/>
            <w:hideMark/>
          </w:tcPr>
          <w:p w14:paraId="61C3FCF7"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0.047</w:t>
            </w:r>
          </w:p>
        </w:tc>
        <w:tc>
          <w:tcPr>
            <w:tcW w:w="900" w:type="dxa"/>
            <w:tcBorders>
              <w:top w:val="nil"/>
              <w:left w:val="nil"/>
              <w:bottom w:val="nil"/>
              <w:right w:val="nil"/>
            </w:tcBorders>
            <w:shd w:val="clear" w:color="auto" w:fill="auto"/>
            <w:vAlign w:val="center"/>
            <w:hideMark/>
          </w:tcPr>
          <w:p w14:paraId="36CC6B4B"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0.34</w:t>
            </w:r>
          </w:p>
        </w:tc>
        <w:tc>
          <w:tcPr>
            <w:tcW w:w="810" w:type="dxa"/>
            <w:tcBorders>
              <w:top w:val="nil"/>
              <w:left w:val="nil"/>
              <w:bottom w:val="nil"/>
              <w:right w:val="nil"/>
            </w:tcBorders>
            <w:shd w:val="clear" w:color="auto" w:fill="auto"/>
            <w:vAlign w:val="center"/>
            <w:hideMark/>
          </w:tcPr>
          <w:p w14:paraId="5B3CF4BC"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0.852</w:t>
            </w:r>
          </w:p>
        </w:tc>
        <w:tc>
          <w:tcPr>
            <w:tcW w:w="900" w:type="dxa"/>
            <w:tcBorders>
              <w:top w:val="nil"/>
              <w:left w:val="nil"/>
              <w:bottom w:val="nil"/>
              <w:right w:val="nil"/>
            </w:tcBorders>
            <w:shd w:val="clear" w:color="auto" w:fill="auto"/>
            <w:vAlign w:val="center"/>
            <w:hideMark/>
          </w:tcPr>
          <w:p w14:paraId="4C85BDFE"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0.72</w:t>
            </w:r>
          </w:p>
        </w:tc>
        <w:tc>
          <w:tcPr>
            <w:tcW w:w="720" w:type="dxa"/>
            <w:tcBorders>
              <w:top w:val="nil"/>
              <w:left w:val="nil"/>
              <w:bottom w:val="nil"/>
              <w:right w:val="nil"/>
            </w:tcBorders>
            <w:shd w:val="clear" w:color="auto" w:fill="auto"/>
            <w:vAlign w:val="center"/>
            <w:hideMark/>
          </w:tcPr>
          <w:p w14:paraId="41D6901E"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0.582</w:t>
            </w:r>
          </w:p>
        </w:tc>
        <w:tc>
          <w:tcPr>
            <w:tcW w:w="900" w:type="dxa"/>
            <w:tcBorders>
              <w:top w:val="nil"/>
              <w:left w:val="nil"/>
              <w:bottom w:val="nil"/>
              <w:right w:val="nil"/>
            </w:tcBorders>
            <w:shd w:val="clear" w:color="auto" w:fill="auto"/>
            <w:noWrap/>
            <w:vAlign w:val="center"/>
            <w:hideMark/>
          </w:tcPr>
          <w:p w14:paraId="5F639661"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0.20</w:t>
            </w:r>
          </w:p>
        </w:tc>
        <w:tc>
          <w:tcPr>
            <w:tcW w:w="780" w:type="dxa"/>
            <w:tcBorders>
              <w:top w:val="nil"/>
              <w:left w:val="nil"/>
              <w:bottom w:val="nil"/>
              <w:right w:val="nil"/>
            </w:tcBorders>
            <w:shd w:val="clear" w:color="auto" w:fill="auto"/>
            <w:noWrap/>
            <w:vAlign w:val="center"/>
            <w:hideMark/>
          </w:tcPr>
          <w:p w14:paraId="0A8CEC05"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0.937</w:t>
            </w:r>
          </w:p>
        </w:tc>
        <w:tc>
          <w:tcPr>
            <w:tcW w:w="840" w:type="dxa"/>
            <w:tcBorders>
              <w:top w:val="nil"/>
              <w:left w:val="nil"/>
              <w:bottom w:val="nil"/>
              <w:right w:val="nil"/>
            </w:tcBorders>
            <w:shd w:val="clear" w:color="auto" w:fill="auto"/>
            <w:noWrap/>
            <w:vAlign w:val="center"/>
            <w:hideMark/>
          </w:tcPr>
          <w:p w14:paraId="5B473B0E"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3.91</w:t>
            </w:r>
          </w:p>
        </w:tc>
        <w:tc>
          <w:tcPr>
            <w:tcW w:w="728" w:type="dxa"/>
            <w:tcBorders>
              <w:top w:val="nil"/>
              <w:left w:val="nil"/>
              <w:bottom w:val="nil"/>
              <w:right w:val="nil"/>
            </w:tcBorders>
            <w:shd w:val="clear" w:color="auto" w:fill="auto"/>
            <w:noWrap/>
            <w:vAlign w:val="center"/>
            <w:hideMark/>
          </w:tcPr>
          <w:p w14:paraId="56B16D9D"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0.009</w:t>
            </w:r>
          </w:p>
        </w:tc>
      </w:tr>
      <w:tr w:rsidR="00B572F9" w:rsidRPr="00C61664" w14:paraId="44F77A6C" w14:textId="77777777" w:rsidTr="002A59E2">
        <w:trPr>
          <w:trHeight w:val="288"/>
        </w:trPr>
        <w:tc>
          <w:tcPr>
            <w:tcW w:w="2160" w:type="dxa"/>
            <w:tcBorders>
              <w:top w:val="nil"/>
              <w:left w:val="nil"/>
              <w:bottom w:val="nil"/>
              <w:right w:val="nil"/>
            </w:tcBorders>
            <w:shd w:val="clear" w:color="000000" w:fill="D9D9D9"/>
            <w:noWrap/>
            <w:vAlign w:val="center"/>
            <w:hideMark/>
          </w:tcPr>
          <w:p w14:paraId="4021EFE6" w14:textId="77777777" w:rsidR="00B572F9" w:rsidRPr="00C61664" w:rsidRDefault="00B572F9" w:rsidP="00CD16CE">
            <w:pPr>
              <w:spacing w:line="240" w:lineRule="auto"/>
              <w:rPr>
                <w:rFonts w:cs="Times New Roman"/>
                <w:color w:val="000000"/>
                <w:sz w:val="20"/>
                <w:szCs w:val="20"/>
              </w:rPr>
            </w:pPr>
            <w:r w:rsidRPr="00401D64">
              <w:rPr>
                <w:rFonts w:cs="Times New Roman"/>
                <w:color w:val="000000"/>
                <w:sz w:val="20"/>
                <w:szCs w:val="20"/>
              </w:rPr>
              <w:t>Y</w:t>
            </w:r>
            <w:r>
              <w:rPr>
                <w:rFonts w:cs="Times New Roman"/>
                <w:color w:val="000000"/>
                <w:sz w:val="20"/>
                <w:szCs w:val="20"/>
              </w:rPr>
              <w:t>ear</w:t>
            </w:r>
            <w:r w:rsidRPr="00401D64">
              <w:rPr>
                <w:rFonts w:cs="Times New Roman"/>
                <w:color w:val="000000"/>
                <w:sz w:val="20"/>
                <w:szCs w:val="20"/>
              </w:rPr>
              <w:t xml:space="preserve"> x P</w:t>
            </w:r>
            <w:r>
              <w:rPr>
                <w:rFonts w:cs="Times New Roman"/>
                <w:color w:val="000000"/>
                <w:sz w:val="20"/>
                <w:szCs w:val="20"/>
              </w:rPr>
              <w:t>eriod</w:t>
            </w:r>
          </w:p>
        </w:tc>
        <w:tc>
          <w:tcPr>
            <w:tcW w:w="900" w:type="dxa"/>
            <w:tcBorders>
              <w:top w:val="nil"/>
              <w:left w:val="nil"/>
              <w:bottom w:val="nil"/>
              <w:right w:val="nil"/>
            </w:tcBorders>
            <w:shd w:val="clear" w:color="000000" w:fill="D9D9D9"/>
            <w:noWrap/>
            <w:vAlign w:val="center"/>
            <w:hideMark/>
          </w:tcPr>
          <w:p w14:paraId="70FD2CEF"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7.26</w:t>
            </w:r>
          </w:p>
        </w:tc>
        <w:tc>
          <w:tcPr>
            <w:tcW w:w="780" w:type="dxa"/>
            <w:tcBorders>
              <w:top w:val="nil"/>
              <w:left w:val="nil"/>
              <w:bottom w:val="nil"/>
              <w:right w:val="nil"/>
            </w:tcBorders>
            <w:shd w:val="clear" w:color="000000" w:fill="D9D9D9"/>
            <w:noWrap/>
            <w:vAlign w:val="center"/>
            <w:hideMark/>
          </w:tcPr>
          <w:p w14:paraId="3BB1B99F"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0.002</w:t>
            </w:r>
          </w:p>
        </w:tc>
        <w:tc>
          <w:tcPr>
            <w:tcW w:w="840" w:type="dxa"/>
            <w:tcBorders>
              <w:top w:val="nil"/>
              <w:left w:val="nil"/>
              <w:bottom w:val="nil"/>
              <w:right w:val="nil"/>
            </w:tcBorders>
            <w:shd w:val="clear" w:color="000000" w:fill="D9D9D9"/>
            <w:noWrap/>
            <w:vAlign w:val="center"/>
            <w:hideMark/>
          </w:tcPr>
          <w:p w14:paraId="2C2AD8B6"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17.49</w:t>
            </w:r>
          </w:p>
        </w:tc>
        <w:tc>
          <w:tcPr>
            <w:tcW w:w="810" w:type="dxa"/>
            <w:tcBorders>
              <w:top w:val="nil"/>
              <w:left w:val="nil"/>
              <w:bottom w:val="nil"/>
              <w:right w:val="nil"/>
            </w:tcBorders>
            <w:shd w:val="clear" w:color="000000" w:fill="D9D9D9"/>
            <w:noWrap/>
            <w:vAlign w:val="center"/>
            <w:hideMark/>
          </w:tcPr>
          <w:p w14:paraId="02C890B1"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&lt;0.001</w:t>
            </w:r>
          </w:p>
        </w:tc>
        <w:tc>
          <w:tcPr>
            <w:tcW w:w="900" w:type="dxa"/>
            <w:tcBorders>
              <w:top w:val="nil"/>
              <w:left w:val="nil"/>
              <w:bottom w:val="nil"/>
              <w:right w:val="nil"/>
            </w:tcBorders>
            <w:shd w:val="clear" w:color="000000" w:fill="D9D9D9"/>
            <w:vAlign w:val="center"/>
            <w:hideMark/>
          </w:tcPr>
          <w:p w14:paraId="63639038"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0.88</w:t>
            </w:r>
          </w:p>
        </w:tc>
        <w:tc>
          <w:tcPr>
            <w:tcW w:w="810" w:type="dxa"/>
            <w:tcBorders>
              <w:top w:val="nil"/>
              <w:left w:val="nil"/>
              <w:bottom w:val="nil"/>
              <w:right w:val="nil"/>
            </w:tcBorders>
            <w:shd w:val="clear" w:color="000000" w:fill="D9D9D9"/>
            <w:vAlign w:val="center"/>
            <w:hideMark/>
          </w:tcPr>
          <w:p w14:paraId="7DA09DD7"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0.419</w:t>
            </w:r>
          </w:p>
        </w:tc>
        <w:tc>
          <w:tcPr>
            <w:tcW w:w="900" w:type="dxa"/>
            <w:tcBorders>
              <w:top w:val="nil"/>
              <w:left w:val="nil"/>
              <w:bottom w:val="nil"/>
              <w:right w:val="nil"/>
            </w:tcBorders>
            <w:shd w:val="clear" w:color="000000" w:fill="D9D9D9"/>
            <w:vAlign w:val="center"/>
            <w:hideMark/>
          </w:tcPr>
          <w:p w14:paraId="15D44EB9"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0.62</w:t>
            </w:r>
          </w:p>
        </w:tc>
        <w:tc>
          <w:tcPr>
            <w:tcW w:w="720" w:type="dxa"/>
            <w:tcBorders>
              <w:top w:val="nil"/>
              <w:left w:val="nil"/>
              <w:bottom w:val="nil"/>
              <w:right w:val="nil"/>
            </w:tcBorders>
            <w:shd w:val="clear" w:color="000000" w:fill="D9D9D9"/>
            <w:vAlign w:val="center"/>
            <w:hideMark/>
          </w:tcPr>
          <w:p w14:paraId="0CDCCE60"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0.541</w:t>
            </w:r>
          </w:p>
        </w:tc>
        <w:tc>
          <w:tcPr>
            <w:tcW w:w="900" w:type="dxa"/>
            <w:tcBorders>
              <w:top w:val="nil"/>
              <w:left w:val="nil"/>
              <w:bottom w:val="nil"/>
              <w:right w:val="nil"/>
            </w:tcBorders>
            <w:shd w:val="clear" w:color="000000" w:fill="D9D9D9"/>
            <w:noWrap/>
            <w:vAlign w:val="center"/>
            <w:hideMark/>
          </w:tcPr>
          <w:p w14:paraId="0DE5F113"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9.07</w:t>
            </w:r>
          </w:p>
        </w:tc>
        <w:tc>
          <w:tcPr>
            <w:tcW w:w="780" w:type="dxa"/>
            <w:tcBorders>
              <w:top w:val="nil"/>
              <w:left w:val="nil"/>
              <w:bottom w:val="nil"/>
              <w:right w:val="nil"/>
            </w:tcBorders>
            <w:shd w:val="clear" w:color="000000" w:fill="D9D9D9"/>
            <w:noWrap/>
            <w:vAlign w:val="center"/>
            <w:hideMark/>
          </w:tcPr>
          <w:p w14:paraId="495E2238"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&lt;0.001</w:t>
            </w:r>
          </w:p>
        </w:tc>
        <w:tc>
          <w:tcPr>
            <w:tcW w:w="840" w:type="dxa"/>
            <w:tcBorders>
              <w:top w:val="nil"/>
              <w:left w:val="nil"/>
              <w:bottom w:val="nil"/>
              <w:right w:val="nil"/>
            </w:tcBorders>
            <w:shd w:val="clear" w:color="000000" w:fill="D9D9D9"/>
            <w:noWrap/>
            <w:vAlign w:val="center"/>
            <w:hideMark/>
          </w:tcPr>
          <w:p w14:paraId="3B53A0A6"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1.64</w:t>
            </w:r>
          </w:p>
        </w:tc>
        <w:tc>
          <w:tcPr>
            <w:tcW w:w="728" w:type="dxa"/>
            <w:tcBorders>
              <w:top w:val="nil"/>
              <w:left w:val="nil"/>
              <w:bottom w:val="nil"/>
              <w:right w:val="nil"/>
            </w:tcBorders>
            <w:shd w:val="clear" w:color="000000" w:fill="D9D9D9"/>
            <w:noWrap/>
            <w:vAlign w:val="center"/>
            <w:hideMark/>
          </w:tcPr>
          <w:p w14:paraId="1246E623"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0.202</w:t>
            </w:r>
          </w:p>
        </w:tc>
      </w:tr>
      <w:tr w:rsidR="00B572F9" w:rsidRPr="00C61664" w14:paraId="7113CB46" w14:textId="77777777" w:rsidTr="002A59E2">
        <w:trPr>
          <w:trHeight w:val="300"/>
        </w:trPr>
        <w:tc>
          <w:tcPr>
            <w:tcW w:w="2160" w:type="dxa"/>
            <w:tcBorders>
              <w:top w:val="nil"/>
              <w:left w:val="nil"/>
              <w:bottom w:val="single" w:sz="12" w:space="0" w:color="auto"/>
              <w:right w:val="nil"/>
            </w:tcBorders>
            <w:shd w:val="clear" w:color="auto" w:fill="auto"/>
            <w:noWrap/>
            <w:vAlign w:val="center"/>
            <w:hideMark/>
          </w:tcPr>
          <w:p w14:paraId="6520536E" w14:textId="77777777" w:rsidR="00B572F9" w:rsidRPr="00C61664" w:rsidRDefault="00B572F9" w:rsidP="00CD16CE">
            <w:pPr>
              <w:spacing w:line="240" w:lineRule="auto"/>
              <w:rPr>
                <w:rFonts w:cs="Times New Roman"/>
                <w:color w:val="000000"/>
                <w:sz w:val="20"/>
                <w:szCs w:val="20"/>
              </w:rPr>
            </w:pPr>
            <w:r w:rsidRPr="00401D64">
              <w:rPr>
                <w:rFonts w:cs="Times New Roman"/>
                <w:color w:val="000000"/>
                <w:sz w:val="20"/>
                <w:szCs w:val="20"/>
              </w:rPr>
              <w:t>R</w:t>
            </w:r>
            <w:r>
              <w:rPr>
                <w:rFonts w:cs="Times New Roman"/>
                <w:color w:val="000000"/>
                <w:sz w:val="20"/>
                <w:szCs w:val="20"/>
              </w:rPr>
              <w:t>est</w:t>
            </w:r>
            <w:r w:rsidRPr="00401D64">
              <w:rPr>
                <w:rFonts w:cs="Times New Roman"/>
                <w:color w:val="000000"/>
                <w:sz w:val="20"/>
                <w:szCs w:val="20"/>
              </w:rPr>
              <w:t xml:space="preserve"> x Y</w:t>
            </w:r>
            <w:r>
              <w:rPr>
                <w:rFonts w:cs="Times New Roman"/>
                <w:color w:val="000000"/>
                <w:sz w:val="20"/>
                <w:szCs w:val="20"/>
              </w:rPr>
              <w:t>ear</w:t>
            </w:r>
            <w:r w:rsidRPr="00401D64">
              <w:rPr>
                <w:rFonts w:cs="Times New Roman"/>
                <w:color w:val="000000"/>
                <w:sz w:val="20"/>
                <w:szCs w:val="20"/>
              </w:rPr>
              <w:t xml:space="preserve"> x P</w:t>
            </w:r>
            <w:r>
              <w:rPr>
                <w:rFonts w:cs="Times New Roman"/>
                <w:color w:val="000000"/>
                <w:sz w:val="20"/>
                <w:szCs w:val="20"/>
              </w:rPr>
              <w:t>eriod</w:t>
            </w:r>
          </w:p>
        </w:tc>
        <w:tc>
          <w:tcPr>
            <w:tcW w:w="900" w:type="dxa"/>
            <w:tcBorders>
              <w:top w:val="nil"/>
              <w:left w:val="single" w:sz="12" w:space="0" w:color="FFFFFF"/>
              <w:bottom w:val="single" w:sz="12" w:space="0" w:color="auto"/>
              <w:right w:val="nil"/>
            </w:tcBorders>
            <w:shd w:val="clear" w:color="auto" w:fill="auto"/>
            <w:noWrap/>
            <w:vAlign w:val="center"/>
            <w:hideMark/>
          </w:tcPr>
          <w:p w14:paraId="242D86C4"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1.25</w:t>
            </w:r>
          </w:p>
        </w:tc>
        <w:tc>
          <w:tcPr>
            <w:tcW w:w="780" w:type="dxa"/>
            <w:tcBorders>
              <w:top w:val="nil"/>
              <w:left w:val="nil"/>
              <w:bottom w:val="single" w:sz="12" w:space="0" w:color="auto"/>
              <w:right w:val="nil"/>
            </w:tcBorders>
            <w:shd w:val="clear" w:color="auto" w:fill="auto"/>
            <w:noWrap/>
            <w:vAlign w:val="center"/>
            <w:hideMark/>
          </w:tcPr>
          <w:p w14:paraId="0197E4F3"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0.288</w:t>
            </w:r>
          </w:p>
        </w:tc>
        <w:tc>
          <w:tcPr>
            <w:tcW w:w="840" w:type="dxa"/>
            <w:tcBorders>
              <w:top w:val="nil"/>
              <w:left w:val="nil"/>
              <w:bottom w:val="single" w:sz="12" w:space="0" w:color="auto"/>
              <w:right w:val="nil"/>
            </w:tcBorders>
            <w:shd w:val="clear" w:color="auto" w:fill="auto"/>
            <w:noWrap/>
            <w:vAlign w:val="center"/>
            <w:hideMark/>
          </w:tcPr>
          <w:p w14:paraId="3B36E64A"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1.30</w:t>
            </w:r>
          </w:p>
        </w:tc>
        <w:tc>
          <w:tcPr>
            <w:tcW w:w="810" w:type="dxa"/>
            <w:tcBorders>
              <w:top w:val="nil"/>
              <w:left w:val="nil"/>
              <w:bottom w:val="single" w:sz="12" w:space="0" w:color="auto"/>
              <w:right w:val="nil"/>
            </w:tcBorders>
            <w:shd w:val="clear" w:color="auto" w:fill="auto"/>
            <w:noWrap/>
            <w:vAlign w:val="center"/>
            <w:hideMark/>
          </w:tcPr>
          <w:p w14:paraId="442D7E93"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0.267</w:t>
            </w:r>
          </w:p>
        </w:tc>
        <w:tc>
          <w:tcPr>
            <w:tcW w:w="900" w:type="dxa"/>
            <w:tcBorders>
              <w:top w:val="nil"/>
              <w:left w:val="nil"/>
              <w:bottom w:val="single" w:sz="12" w:space="0" w:color="auto"/>
              <w:right w:val="nil"/>
            </w:tcBorders>
            <w:shd w:val="clear" w:color="auto" w:fill="auto"/>
            <w:vAlign w:val="center"/>
            <w:hideMark/>
          </w:tcPr>
          <w:p w14:paraId="205D9C9B"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0.80</w:t>
            </w:r>
          </w:p>
        </w:tc>
        <w:tc>
          <w:tcPr>
            <w:tcW w:w="810" w:type="dxa"/>
            <w:tcBorders>
              <w:top w:val="nil"/>
              <w:left w:val="nil"/>
              <w:bottom w:val="single" w:sz="12" w:space="0" w:color="auto"/>
              <w:right w:val="nil"/>
            </w:tcBorders>
            <w:shd w:val="clear" w:color="auto" w:fill="auto"/>
            <w:vAlign w:val="center"/>
            <w:hideMark/>
          </w:tcPr>
          <w:p w14:paraId="424D998F"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0.606</w:t>
            </w:r>
          </w:p>
        </w:tc>
        <w:tc>
          <w:tcPr>
            <w:tcW w:w="900" w:type="dxa"/>
            <w:tcBorders>
              <w:top w:val="nil"/>
              <w:left w:val="nil"/>
              <w:bottom w:val="single" w:sz="12" w:space="0" w:color="auto"/>
              <w:right w:val="nil"/>
            </w:tcBorders>
            <w:shd w:val="clear" w:color="auto" w:fill="auto"/>
            <w:vAlign w:val="center"/>
            <w:hideMark/>
          </w:tcPr>
          <w:p w14:paraId="3608E615"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1.49</w:t>
            </w:r>
          </w:p>
        </w:tc>
        <w:tc>
          <w:tcPr>
            <w:tcW w:w="720" w:type="dxa"/>
            <w:tcBorders>
              <w:top w:val="nil"/>
              <w:left w:val="nil"/>
              <w:bottom w:val="single" w:sz="12" w:space="0" w:color="auto"/>
              <w:right w:val="nil"/>
            </w:tcBorders>
            <w:shd w:val="clear" w:color="auto" w:fill="auto"/>
            <w:vAlign w:val="center"/>
            <w:hideMark/>
          </w:tcPr>
          <w:p w14:paraId="0E6F7306"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0.183</w:t>
            </w:r>
          </w:p>
        </w:tc>
        <w:tc>
          <w:tcPr>
            <w:tcW w:w="900" w:type="dxa"/>
            <w:tcBorders>
              <w:top w:val="nil"/>
              <w:left w:val="nil"/>
              <w:bottom w:val="single" w:sz="12" w:space="0" w:color="auto"/>
              <w:right w:val="nil"/>
            </w:tcBorders>
            <w:shd w:val="clear" w:color="auto" w:fill="auto"/>
            <w:noWrap/>
            <w:vAlign w:val="center"/>
            <w:hideMark/>
          </w:tcPr>
          <w:p w14:paraId="649C53EA"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1.76</w:t>
            </w:r>
          </w:p>
        </w:tc>
        <w:tc>
          <w:tcPr>
            <w:tcW w:w="780" w:type="dxa"/>
            <w:tcBorders>
              <w:top w:val="nil"/>
              <w:left w:val="nil"/>
              <w:bottom w:val="single" w:sz="12" w:space="0" w:color="auto"/>
              <w:right w:val="nil"/>
            </w:tcBorders>
            <w:shd w:val="clear" w:color="auto" w:fill="auto"/>
            <w:noWrap/>
            <w:vAlign w:val="center"/>
            <w:hideMark/>
          </w:tcPr>
          <w:p w14:paraId="5C4C34B0"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0.102</w:t>
            </w:r>
          </w:p>
        </w:tc>
        <w:tc>
          <w:tcPr>
            <w:tcW w:w="840" w:type="dxa"/>
            <w:tcBorders>
              <w:top w:val="nil"/>
              <w:left w:val="nil"/>
              <w:bottom w:val="single" w:sz="12" w:space="0" w:color="auto"/>
              <w:right w:val="nil"/>
            </w:tcBorders>
            <w:shd w:val="clear" w:color="auto" w:fill="auto"/>
            <w:noWrap/>
            <w:vAlign w:val="center"/>
            <w:hideMark/>
          </w:tcPr>
          <w:p w14:paraId="728E275D"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1.28</w:t>
            </w:r>
          </w:p>
        </w:tc>
        <w:tc>
          <w:tcPr>
            <w:tcW w:w="728" w:type="dxa"/>
            <w:tcBorders>
              <w:top w:val="nil"/>
              <w:left w:val="nil"/>
              <w:bottom w:val="single" w:sz="12" w:space="0" w:color="auto"/>
              <w:right w:val="nil"/>
            </w:tcBorders>
            <w:shd w:val="clear" w:color="auto" w:fill="auto"/>
            <w:noWrap/>
            <w:vAlign w:val="center"/>
            <w:hideMark/>
          </w:tcPr>
          <w:p w14:paraId="52891C69"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0.271</w:t>
            </w:r>
          </w:p>
        </w:tc>
      </w:tr>
      <w:tr w:rsidR="00B572F9" w:rsidRPr="00C61664" w14:paraId="51F4F7A7" w14:textId="77777777" w:rsidTr="002A59E2">
        <w:trPr>
          <w:trHeight w:val="312"/>
        </w:trPr>
        <w:tc>
          <w:tcPr>
            <w:tcW w:w="2160" w:type="dxa"/>
            <w:tcBorders>
              <w:top w:val="nil"/>
              <w:left w:val="nil"/>
              <w:bottom w:val="nil"/>
              <w:right w:val="nil"/>
            </w:tcBorders>
            <w:shd w:val="clear" w:color="auto" w:fill="auto"/>
            <w:noWrap/>
            <w:vAlign w:val="bottom"/>
            <w:hideMark/>
          </w:tcPr>
          <w:p w14:paraId="1F6A222F" w14:textId="77777777" w:rsidR="00B572F9" w:rsidRPr="00C61664" w:rsidRDefault="00B572F9" w:rsidP="00CD16CE">
            <w:pPr>
              <w:spacing w:line="240" w:lineRule="auto"/>
              <w:jc w:val="right"/>
              <w:rPr>
                <w:rFonts w:cs="Times New Roman"/>
                <w:color w:val="000000"/>
                <w:sz w:val="20"/>
                <w:szCs w:val="20"/>
              </w:rPr>
            </w:pPr>
          </w:p>
        </w:tc>
        <w:tc>
          <w:tcPr>
            <w:tcW w:w="900" w:type="dxa"/>
            <w:tcBorders>
              <w:top w:val="nil"/>
              <w:left w:val="nil"/>
              <w:bottom w:val="nil"/>
              <w:right w:val="nil"/>
            </w:tcBorders>
            <w:shd w:val="clear" w:color="auto" w:fill="auto"/>
            <w:noWrap/>
            <w:vAlign w:val="bottom"/>
            <w:hideMark/>
          </w:tcPr>
          <w:p w14:paraId="45AE3253" w14:textId="77777777" w:rsidR="00B572F9" w:rsidRPr="00C61664" w:rsidRDefault="00B572F9" w:rsidP="00CD16CE">
            <w:pPr>
              <w:spacing w:line="240" w:lineRule="auto"/>
              <w:rPr>
                <w:rFonts w:cs="Times New Roman"/>
                <w:sz w:val="20"/>
                <w:szCs w:val="20"/>
              </w:rPr>
            </w:pPr>
          </w:p>
        </w:tc>
        <w:tc>
          <w:tcPr>
            <w:tcW w:w="780" w:type="dxa"/>
            <w:tcBorders>
              <w:top w:val="nil"/>
              <w:left w:val="nil"/>
              <w:bottom w:val="nil"/>
              <w:right w:val="nil"/>
            </w:tcBorders>
            <w:shd w:val="clear" w:color="auto" w:fill="auto"/>
            <w:noWrap/>
            <w:vAlign w:val="bottom"/>
            <w:hideMark/>
          </w:tcPr>
          <w:p w14:paraId="46CD7E68" w14:textId="77777777" w:rsidR="00B572F9" w:rsidRPr="00C61664" w:rsidRDefault="00B572F9" w:rsidP="00CD16CE">
            <w:pPr>
              <w:spacing w:line="240" w:lineRule="auto"/>
              <w:rPr>
                <w:rFonts w:cs="Times New Roman"/>
                <w:sz w:val="20"/>
                <w:szCs w:val="20"/>
              </w:rPr>
            </w:pPr>
          </w:p>
        </w:tc>
        <w:tc>
          <w:tcPr>
            <w:tcW w:w="840" w:type="dxa"/>
            <w:tcBorders>
              <w:top w:val="nil"/>
              <w:left w:val="nil"/>
              <w:bottom w:val="nil"/>
              <w:right w:val="nil"/>
            </w:tcBorders>
            <w:shd w:val="clear" w:color="auto" w:fill="auto"/>
            <w:noWrap/>
            <w:vAlign w:val="bottom"/>
            <w:hideMark/>
          </w:tcPr>
          <w:p w14:paraId="547736F8" w14:textId="77777777" w:rsidR="00B572F9" w:rsidRPr="00C61664" w:rsidRDefault="00B572F9" w:rsidP="00CD16CE">
            <w:pPr>
              <w:spacing w:line="240" w:lineRule="auto"/>
              <w:rPr>
                <w:rFonts w:cs="Times New Roman"/>
                <w:sz w:val="20"/>
                <w:szCs w:val="20"/>
              </w:rPr>
            </w:pPr>
          </w:p>
        </w:tc>
        <w:tc>
          <w:tcPr>
            <w:tcW w:w="810" w:type="dxa"/>
            <w:tcBorders>
              <w:top w:val="nil"/>
              <w:left w:val="nil"/>
              <w:bottom w:val="nil"/>
              <w:right w:val="nil"/>
            </w:tcBorders>
            <w:shd w:val="clear" w:color="auto" w:fill="auto"/>
            <w:noWrap/>
            <w:vAlign w:val="bottom"/>
            <w:hideMark/>
          </w:tcPr>
          <w:p w14:paraId="7C84A41A" w14:textId="77777777" w:rsidR="00B572F9" w:rsidRPr="00C61664" w:rsidRDefault="00B572F9" w:rsidP="00CD16CE">
            <w:pPr>
              <w:spacing w:line="240" w:lineRule="auto"/>
              <w:rPr>
                <w:rFonts w:cs="Times New Roman"/>
                <w:sz w:val="20"/>
                <w:szCs w:val="20"/>
              </w:rPr>
            </w:pPr>
          </w:p>
        </w:tc>
        <w:tc>
          <w:tcPr>
            <w:tcW w:w="900" w:type="dxa"/>
            <w:tcBorders>
              <w:top w:val="nil"/>
              <w:left w:val="nil"/>
              <w:bottom w:val="nil"/>
              <w:right w:val="nil"/>
            </w:tcBorders>
            <w:shd w:val="clear" w:color="auto" w:fill="auto"/>
            <w:noWrap/>
            <w:vAlign w:val="bottom"/>
            <w:hideMark/>
          </w:tcPr>
          <w:p w14:paraId="07987BC0" w14:textId="77777777" w:rsidR="00B572F9" w:rsidRPr="00C61664" w:rsidRDefault="00B572F9" w:rsidP="00CD16CE">
            <w:pPr>
              <w:spacing w:line="240" w:lineRule="auto"/>
              <w:rPr>
                <w:rFonts w:cs="Times New Roman"/>
                <w:sz w:val="20"/>
                <w:szCs w:val="20"/>
              </w:rPr>
            </w:pPr>
          </w:p>
        </w:tc>
        <w:tc>
          <w:tcPr>
            <w:tcW w:w="810" w:type="dxa"/>
            <w:tcBorders>
              <w:top w:val="nil"/>
              <w:left w:val="nil"/>
              <w:bottom w:val="nil"/>
              <w:right w:val="nil"/>
            </w:tcBorders>
            <w:shd w:val="clear" w:color="auto" w:fill="auto"/>
            <w:noWrap/>
            <w:vAlign w:val="bottom"/>
            <w:hideMark/>
          </w:tcPr>
          <w:p w14:paraId="7FD0236D" w14:textId="77777777" w:rsidR="00B572F9" w:rsidRPr="00C61664" w:rsidRDefault="00B572F9" w:rsidP="00CD16CE">
            <w:pPr>
              <w:spacing w:line="240" w:lineRule="auto"/>
              <w:rPr>
                <w:rFonts w:cs="Times New Roman"/>
                <w:sz w:val="20"/>
                <w:szCs w:val="20"/>
              </w:rPr>
            </w:pPr>
          </w:p>
        </w:tc>
        <w:tc>
          <w:tcPr>
            <w:tcW w:w="900" w:type="dxa"/>
            <w:tcBorders>
              <w:top w:val="nil"/>
              <w:left w:val="nil"/>
              <w:bottom w:val="nil"/>
              <w:right w:val="nil"/>
            </w:tcBorders>
            <w:shd w:val="clear" w:color="auto" w:fill="auto"/>
            <w:noWrap/>
            <w:vAlign w:val="bottom"/>
            <w:hideMark/>
          </w:tcPr>
          <w:p w14:paraId="6EEC1304" w14:textId="77777777" w:rsidR="00B572F9" w:rsidRPr="00C61664" w:rsidRDefault="00B572F9" w:rsidP="00CD16CE">
            <w:pPr>
              <w:spacing w:line="240" w:lineRule="auto"/>
              <w:rPr>
                <w:rFonts w:cs="Times New Roman"/>
                <w:sz w:val="20"/>
                <w:szCs w:val="20"/>
              </w:rPr>
            </w:pPr>
          </w:p>
        </w:tc>
        <w:tc>
          <w:tcPr>
            <w:tcW w:w="720" w:type="dxa"/>
            <w:tcBorders>
              <w:top w:val="nil"/>
              <w:left w:val="nil"/>
              <w:bottom w:val="nil"/>
              <w:right w:val="nil"/>
            </w:tcBorders>
            <w:shd w:val="clear" w:color="auto" w:fill="auto"/>
            <w:noWrap/>
            <w:vAlign w:val="bottom"/>
            <w:hideMark/>
          </w:tcPr>
          <w:p w14:paraId="71A27B8F" w14:textId="77777777" w:rsidR="00B572F9" w:rsidRPr="00C61664" w:rsidRDefault="00B572F9" w:rsidP="00CD16CE">
            <w:pPr>
              <w:spacing w:line="240" w:lineRule="auto"/>
              <w:rPr>
                <w:rFonts w:cs="Times New Roman"/>
                <w:sz w:val="20"/>
                <w:szCs w:val="20"/>
              </w:rPr>
            </w:pPr>
          </w:p>
        </w:tc>
        <w:tc>
          <w:tcPr>
            <w:tcW w:w="900" w:type="dxa"/>
            <w:tcBorders>
              <w:top w:val="nil"/>
              <w:left w:val="nil"/>
              <w:bottom w:val="nil"/>
              <w:right w:val="nil"/>
            </w:tcBorders>
            <w:shd w:val="clear" w:color="auto" w:fill="auto"/>
            <w:noWrap/>
            <w:vAlign w:val="bottom"/>
            <w:hideMark/>
          </w:tcPr>
          <w:p w14:paraId="016B0794" w14:textId="77777777" w:rsidR="00B572F9" w:rsidRPr="00C61664" w:rsidRDefault="00B572F9" w:rsidP="00CD16CE">
            <w:pPr>
              <w:spacing w:line="240" w:lineRule="auto"/>
              <w:rPr>
                <w:rFonts w:cs="Times New Roman"/>
                <w:sz w:val="20"/>
                <w:szCs w:val="20"/>
              </w:rPr>
            </w:pPr>
          </w:p>
        </w:tc>
        <w:tc>
          <w:tcPr>
            <w:tcW w:w="780" w:type="dxa"/>
            <w:tcBorders>
              <w:top w:val="nil"/>
              <w:left w:val="nil"/>
              <w:bottom w:val="nil"/>
              <w:right w:val="nil"/>
            </w:tcBorders>
            <w:shd w:val="clear" w:color="auto" w:fill="auto"/>
            <w:noWrap/>
            <w:vAlign w:val="bottom"/>
            <w:hideMark/>
          </w:tcPr>
          <w:p w14:paraId="020E582A" w14:textId="77777777" w:rsidR="00B572F9" w:rsidRPr="00C61664" w:rsidRDefault="00B572F9" w:rsidP="00CD16CE">
            <w:pPr>
              <w:spacing w:line="240" w:lineRule="auto"/>
              <w:rPr>
                <w:rFonts w:cs="Times New Roman"/>
                <w:sz w:val="20"/>
                <w:szCs w:val="20"/>
              </w:rPr>
            </w:pPr>
          </w:p>
        </w:tc>
        <w:tc>
          <w:tcPr>
            <w:tcW w:w="840" w:type="dxa"/>
            <w:tcBorders>
              <w:top w:val="nil"/>
              <w:left w:val="nil"/>
              <w:bottom w:val="nil"/>
              <w:right w:val="nil"/>
            </w:tcBorders>
            <w:shd w:val="clear" w:color="auto" w:fill="auto"/>
            <w:noWrap/>
            <w:vAlign w:val="bottom"/>
            <w:hideMark/>
          </w:tcPr>
          <w:p w14:paraId="7B58FADA" w14:textId="77777777" w:rsidR="00B572F9" w:rsidRPr="00C61664" w:rsidRDefault="00B572F9" w:rsidP="00CD16CE">
            <w:pPr>
              <w:spacing w:line="240" w:lineRule="auto"/>
              <w:rPr>
                <w:rFonts w:cs="Times New Roman"/>
                <w:sz w:val="20"/>
                <w:szCs w:val="20"/>
              </w:rPr>
            </w:pPr>
          </w:p>
        </w:tc>
        <w:tc>
          <w:tcPr>
            <w:tcW w:w="728" w:type="dxa"/>
            <w:tcBorders>
              <w:top w:val="nil"/>
              <w:left w:val="nil"/>
              <w:bottom w:val="nil"/>
              <w:right w:val="nil"/>
            </w:tcBorders>
            <w:shd w:val="clear" w:color="auto" w:fill="auto"/>
            <w:noWrap/>
            <w:vAlign w:val="bottom"/>
            <w:hideMark/>
          </w:tcPr>
          <w:p w14:paraId="1F9C805B" w14:textId="77777777" w:rsidR="00B572F9" w:rsidRPr="00C61664" w:rsidRDefault="00B572F9" w:rsidP="00CD16CE">
            <w:pPr>
              <w:spacing w:line="240" w:lineRule="auto"/>
              <w:rPr>
                <w:rFonts w:cs="Times New Roman"/>
                <w:sz w:val="20"/>
                <w:szCs w:val="20"/>
              </w:rPr>
            </w:pPr>
          </w:p>
        </w:tc>
      </w:tr>
      <w:tr w:rsidR="00B572F9" w:rsidRPr="00C61664" w14:paraId="4B0F0B39" w14:textId="77777777" w:rsidTr="002A59E2">
        <w:trPr>
          <w:trHeight w:val="312"/>
        </w:trPr>
        <w:tc>
          <w:tcPr>
            <w:tcW w:w="2160" w:type="dxa"/>
            <w:tcBorders>
              <w:top w:val="single" w:sz="12" w:space="0" w:color="auto"/>
              <w:left w:val="nil"/>
              <w:bottom w:val="nil"/>
              <w:right w:val="single" w:sz="36" w:space="0" w:color="FFFFFF" w:themeColor="background1"/>
            </w:tcBorders>
            <w:shd w:val="clear" w:color="auto" w:fill="auto"/>
            <w:noWrap/>
            <w:vAlign w:val="bottom"/>
            <w:hideMark/>
          </w:tcPr>
          <w:p w14:paraId="3DCD9E48" w14:textId="77777777" w:rsidR="00B572F9" w:rsidRPr="00C61664" w:rsidRDefault="00B572F9" w:rsidP="00CD16CE">
            <w:pPr>
              <w:spacing w:line="240" w:lineRule="auto"/>
              <w:rPr>
                <w:rFonts w:cs="Times New Roman"/>
                <w:color w:val="000000"/>
                <w:sz w:val="20"/>
                <w:szCs w:val="20"/>
              </w:rPr>
            </w:pPr>
            <w:r w:rsidRPr="00C61664">
              <w:rPr>
                <w:rFonts w:cs="Times New Roman"/>
                <w:color w:val="000000"/>
                <w:sz w:val="20"/>
                <w:szCs w:val="20"/>
              </w:rPr>
              <w:t> </w:t>
            </w:r>
          </w:p>
        </w:tc>
        <w:tc>
          <w:tcPr>
            <w:tcW w:w="168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143DF71E"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OXEY</w:t>
            </w:r>
          </w:p>
        </w:tc>
        <w:tc>
          <w:tcPr>
            <w:tcW w:w="165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hideMark/>
          </w:tcPr>
          <w:p w14:paraId="283DEDE7"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PCON</w:t>
            </w:r>
          </w:p>
        </w:tc>
        <w:tc>
          <w:tcPr>
            <w:tcW w:w="171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hideMark/>
          </w:tcPr>
          <w:p w14:paraId="6ADC6CA4"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PLAC</w:t>
            </w:r>
          </w:p>
        </w:tc>
        <w:tc>
          <w:tcPr>
            <w:tcW w:w="162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hideMark/>
          </w:tcPr>
          <w:p w14:paraId="2540B27C"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PPCL</w:t>
            </w:r>
          </w:p>
        </w:tc>
        <w:tc>
          <w:tcPr>
            <w:tcW w:w="168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hideMark/>
          </w:tcPr>
          <w:p w14:paraId="3E0C0FE5"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PPEA</w:t>
            </w:r>
          </w:p>
        </w:tc>
        <w:tc>
          <w:tcPr>
            <w:tcW w:w="1568" w:type="dxa"/>
            <w:gridSpan w:val="2"/>
            <w:tcBorders>
              <w:top w:val="single" w:sz="12" w:space="0" w:color="auto"/>
              <w:left w:val="single" w:sz="36" w:space="0" w:color="FFFFFF" w:themeColor="background1"/>
              <w:bottom w:val="single" w:sz="12" w:space="0" w:color="auto"/>
              <w:right w:val="single" w:sz="12" w:space="0" w:color="FFFFFF"/>
            </w:tcBorders>
            <w:shd w:val="clear" w:color="auto" w:fill="auto"/>
            <w:vAlign w:val="center"/>
            <w:hideMark/>
          </w:tcPr>
          <w:p w14:paraId="6FCA9DA7"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UPRT</w:t>
            </w:r>
          </w:p>
        </w:tc>
      </w:tr>
      <w:tr w:rsidR="00B572F9" w:rsidRPr="00C61664" w14:paraId="04013315" w14:textId="77777777" w:rsidTr="002A59E2">
        <w:trPr>
          <w:trHeight w:val="312"/>
        </w:trPr>
        <w:tc>
          <w:tcPr>
            <w:tcW w:w="2160" w:type="dxa"/>
            <w:tcBorders>
              <w:top w:val="nil"/>
              <w:left w:val="nil"/>
              <w:bottom w:val="single" w:sz="12" w:space="0" w:color="auto"/>
              <w:right w:val="single" w:sz="36" w:space="0" w:color="FFFFFF" w:themeColor="background1"/>
            </w:tcBorders>
            <w:shd w:val="clear" w:color="auto" w:fill="auto"/>
            <w:noWrap/>
            <w:vAlign w:val="center"/>
            <w:hideMark/>
          </w:tcPr>
          <w:p w14:paraId="1B2E77C7" w14:textId="77777777" w:rsidR="00B572F9" w:rsidRPr="00C61664" w:rsidRDefault="00B572F9" w:rsidP="00CD16CE">
            <w:pPr>
              <w:spacing w:line="240" w:lineRule="auto"/>
              <w:rPr>
                <w:rFonts w:cs="Times New Roman"/>
                <w:color w:val="000000"/>
                <w:sz w:val="20"/>
                <w:szCs w:val="20"/>
              </w:rPr>
            </w:pPr>
            <w:r w:rsidRPr="00C61664">
              <w:rPr>
                <w:rFonts w:cs="Times New Roman"/>
                <w:color w:val="000000"/>
                <w:sz w:val="20"/>
                <w:szCs w:val="20"/>
              </w:rPr>
              <w:t>Effect</w:t>
            </w:r>
          </w:p>
        </w:tc>
        <w:tc>
          <w:tcPr>
            <w:tcW w:w="90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60B5E09D"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78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3C76C046"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c>
          <w:tcPr>
            <w:tcW w:w="84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32BB2415"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81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50640D9F"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c>
          <w:tcPr>
            <w:tcW w:w="90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296B7E5B"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81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1BDB2AA0"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c>
          <w:tcPr>
            <w:tcW w:w="90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41FEED21"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72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6BDBDCE2"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c>
          <w:tcPr>
            <w:tcW w:w="90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6CB5B865"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78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126FE2EB"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c>
          <w:tcPr>
            <w:tcW w:w="84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69611E52"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F</w:t>
            </w:r>
            <w:r w:rsidRPr="00C61664">
              <w:rPr>
                <w:rFonts w:cs="Times New Roman"/>
                <w:color w:val="000000"/>
                <w:sz w:val="20"/>
                <w:szCs w:val="20"/>
              </w:rPr>
              <w:t xml:space="preserve"> value</w:t>
            </w:r>
          </w:p>
        </w:tc>
        <w:tc>
          <w:tcPr>
            <w:tcW w:w="728" w:type="dxa"/>
            <w:tcBorders>
              <w:top w:val="nil"/>
              <w:left w:val="single" w:sz="36" w:space="0" w:color="FFFFFF" w:themeColor="background1"/>
              <w:bottom w:val="single" w:sz="12" w:space="0" w:color="auto"/>
              <w:right w:val="nil"/>
            </w:tcBorders>
            <w:shd w:val="clear" w:color="auto" w:fill="auto"/>
            <w:vAlign w:val="center"/>
            <w:hideMark/>
          </w:tcPr>
          <w:p w14:paraId="4DD51E88" w14:textId="77777777" w:rsidR="00B572F9" w:rsidRPr="00C61664" w:rsidRDefault="00B572F9" w:rsidP="00CD16CE">
            <w:pPr>
              <w:spacing w:line="240" w:lineRule="auto"/>
              <w:jc w:val="center"/>
              <w:rPr>
                <w:rFonts w:cs="Times New Roman"/>
                <w:i/>
                <w:iCs/>
                <w:color w:val="000000"/>
                <w:sz w:val="20"/>
                <w:szCs w:val="20"/>
              </w:rPr>
            </w:pPr>
            <w:r w:rsidRPr="00C61664">
              <w:rPr>
                <w:rFonts w:cs="Times New Roman"/>
                <w:i/>
                <w:iCs/>
                <w:color w:val="000000"/>
                <w:sz w:val="20"/>
                <w:szCs w:val="20"/>
              </w:rPr>
              <w:t>P</w:t>
            </w:r>
            <w:r w:rsidRPr="00C61664">
              <w:rPr>
                <w:rFonts w:cs="Times New Roman"/>
                <w:color w:val="000000"/>
                <w:sz w:val="20"/>
                <w:szCs w:val="20"/>
              </w:rPr>
              <w:t xml:space="preserve"> &gt; </w:t>
            </w:r>
            <w:r w:rsidRPr="00C61664">
              <w:rPr>
                <w:rFonts w:cs="Times New Roman"/>
                <w:i/>
                <w:iCs/>
                <w:color w:val="000000"/>
                <w:sz w:val="20"/>
                <w:szCs w:val="20"/>
              </w:rPr>
              <w:t>F</w:t>
            </w:r>
          </w:p>
        </w:tc>
      </w:tr>
      <w:tr w:rsidR="00B572F9" w:rsidRPr="00C61664" w14:paraId="02F354AC" w14:textId="77777777" w:rsidTr="002A59E2">
        <w:trPr>
          <w:trHeight w:val="324"/>
        </w:trPr>
        <w:tc>
          <w:tcPr>
            <w:tcW w:w="2160" w:type="dxa"/>
            <w:tcBorders>
              <w:top w:val="nil"/>
              <w:left w:val="nil"/>
              <w:bottom w:val="nil"/>
              <w:right w:val="single" w:sz="36" w:space="0" w:color="FFFFFF" w:themeColor="background1"/>
            </w:tcBorders>
            <w:shd w:val="clear" w:color="auto" w:fill="auto"/>
            <w:noWrap/>
            <w:vAlign w:val="center"/>
            <w:hideMark/>
          </w:tcPr>
          <w:p w14:paraId="3D1160C8" w14:textId="77777777" w:rsidR="00B572F9" w:rsidRPr="00C61664" w:rsidRDefault="00B572F9" w:rsidP="00CD16CE">
            <w:pPr>
              <w:spacing w:line="240" w:lineRule="auto"/>
              <w:rPr>
                <w:rFonts w:cs="Times New Roman"/>
                <w:color w:val="000000"/>
                <w:sz w:val="20"/>
                <w:szCs w:val="20"/>
              </w:rPr>
            </w:pPr>
            <w:r w:rsidRPr="00401D64">
              <w:rPr>
                <w:rFonts w:cs="Times New Roman"/>
                <w:color w:val="000000"/>
                <w:sz w:val="20"/>
                <w:szCs w:val="20"/>
              </w:rPr>
              <w:t>R</w:t>
            </w:r>
            <w:r>
              <w:rPr>
                <w:rFonts w:cs="Times New Roman"/>
                <w:color w:val="000000"/>
                <w:sz w:val="20"/>
                <w:szCs w:val="20"/>
              </w:rPr>
              <w:t>est</w:t>
            </w:r>
            <w:r w:rsidRPr="00401D64">
              <w:rPr>
                <w:rFonts w:cs="Times New Roman"/>
                <w:color w:val="000000"/>
                <w:sz w:val="20"/>
                <w:szCs w:val="20"/>
                <w:vertAlign w:val="superscript"/>
              </w:rPr>
              <w:t>‡</w:t>
            </w:r>
          </w:p>
        </w:tc>
        <w:tc>
          <w:tcPr>
            <w:tcW w:w="900" w:type="dxa"/>
            <w:tcBorders>
              <w:top w:val="nil"/>
              <w:left w:val="single" w:sz="36" w:space="0" w:color="FFFFFF" w:themeColor="background1"/>
              <w:bottom w:val="nil"/>
              <w:right w:val="single" w:sz="36" w:space="0" w:color="FFFFFF" w:themeColor="background1"/>
            </w:tcBorders>
            <w:shd w:val="clear" w:color="auto" w:fill="auto"/>
            <w:noWrap/>
            <w:vAlign w:val="center"/>
            <w:hideMark/>
          </w:tcPr>
          <w:p w14:paraId="5EBA9C51"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1.04</w:t>
            </w:r>
          </w:p>
        </w:tc>
        <w:tc>
          <w:tcPr>
            <w:tcW w:w="780" w:type="dxa"/>
            <w:tcBorders>
              <w:top w:val="nil"/>
              <w:left w:val="single" w:sz="36" w:space="0" w:color="FFFFFF" w:themeColor="background1"/>
              <w:bottom w:val="nil"/>
              <w:right w:val="single" w:sz="36" w:space="0" w:color="FFFFFF" w:themeColor="background1"/>
            </w:tcBorders>
            <w:shd w:val="clear" w:color="auto" w:fill="auto"/>
            <w:noWrap/>
            <w:vAlign w:val="center"/>
            <w:hideMark/>
          </w:tcPr>
          <w:p w14:paraId="380BAA17"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0.409</w:t>
            </w:r>
          </w:p>
        </w:tc>
        <w:tc>
          <w:tcPr>
            <w:tcW w:w="84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328905F4"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3.34</w:t>
            </w:r>
          </w:p>
        </w:tc>
        <w:tc>
          <w:tcPr>
            <w:tcW w:w="81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4DB63410"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0.018</w:t>
            </w:r>
          </w:p>
        </w:tc>
        <w:tc>
          <w:tcPr>
            <w:tcW w:w="90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61F81C28"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0.22</w:t>
            </w:r>
          </w:p>
        </w:tc>
        <w:tc>
          <w:tcPr>
            <w:tcW w:w="81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065D1C47"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0.927</w:t>
            </w:r>
          </w:p>
        </w:tc>
        <w:tc>
          <w:tcPr>
            <w:tcW w:w="90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3D1278EE"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w:t>
            </w:r>
          </w:p>
        </w:tc>
        <w:tc>
          <w:tcPr>
            <w:tcW w:w="72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08B61197" w14:textId="77777777" w:rsidR="00B572F9" w:rsidRPr="00C61664" w:rsidRDefault="00B572F9" w:rsidP="00CD16CE">
            <w:pPr>
              <w:spacing w:line="240" w:lineRule="auto"/>
              <w:jc w:val="center"/>
              <w:rPr>
                <w:rFonts w:cs="Times New Roman"/>
                <w:b/>
                <w:bCs/>
                <w:color w:val="000000"/>
                <w:sz w:val="20"/>
                <w:szCs w:val="20"/>
              </w:rPr>
            </w:pPr>
            <w:r w:rsidRPr="00C61664">
              <w:rPr>
                <w:rFonts w:cs="Times New Roman"/>
                <w:b/>
                <w:bCs/>
                <w:color w:val="000000"/>
                <w:sz w:val="20"/>
                <w:szCs w:val="20"/>
              </w:rPr>
              <w:t>-</w:t>
            </w:r>
          </w:p>
        </w:tc>
        <w:tc>
          <w:tcPr>
            <w:tcW w:w="90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4BCD7A23"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0.49</w:t>
            </w:r>
          </w:p>
        </w:tc>
        <w:tc>
          <w:tcPr>
            <w:tcW w:w="78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24D377F8"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0.744</w:t>
            </w:r>
          </w:p>
        </w:tc>
        <w:tc>
          <w:tcPr>
            <w:tcW w:w="840" w:type="dxa"/>
            <w:tcBorders>
              <w:top w:val="nil"/>
              <w:left w:val="single" w:sz="36" w:space="0" w:color="FFFFFF" w:themeColor="background1"/>
              <w:bottom w:val="nil"/>
              <w:right w:val="single" w:sz="36" w:space="0" w:color="FFFFFF" w:themeColor="background1"/>
            </w:tcBorders>
            <w:shd w:val="clear" w:color="auto" w:fill="auto"/>
            <w:vAlign w:val="center"/>
            <w:hideMark/>
          </w:tcPr>
          <w:p w14:paraId="5FAE241B"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2.40</w:t>
            </w:r>
          </w:p>
        </w:tc>
        <w:tc>
          <w:tcPr>
            <w:tcW w:w="728" w:type="dxa"/>
            <w:tcBorders>
              <w:top w:val="nil"/>
              <w:left w:val="single" w:sz="36" w:space="0" w:color="FFFFFF" w:themeColor="background1"/>
              <w:bottom w:val="nil"/>
              <w:right w:val="nil"/>
            </w:tcBorders>
            <w:shd w:val="clear" w:color="auto" w:fill="auto"/>
            <w:vAlign w:val="center"/>
            <w:hideMark/>
          </w:tcPr>
          <w:p w14:paraId="36AC16CC"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0.065</w:t>
            </w:r>
          </w:p>
        </w:tc>
      </w:tr>
      <w:tr w:rsidR="00B572F9" w:rsidRPr="00C61664" w14:paraId="45D9807D" w14:textId="77777777" w:rsidTr="002A59E2">
        <w:trPr>
          <w:trHeight w:val="288"/>
        </w:trPr>
        <w:tc>
          <w:tcPr>
            <w:tcW w:w="2160" w:type="dxa"/>
            <w:tcBorders>
              <w:top w:val="nil"/>
              <w:left w:val="nil"/>
              <w:bottom w:val="nil"/>
              <w:right w:val="nil"/>
            </w:tcBorders>
            <w:shd w:val="clear" w:color="000000" w:fill="D9D9D9"/>
            <w:noWrap/>
            <w:vAlign w:val="center"/>
            <w:hideMark/>
          </w:tcPr>
          <w:p w14:paraId="4C0405AD" w14:textId="77777777" w:rsidR="00B572F9" w:rsidRPr="00C61664" w:rsidRDefault="00B572F9" w:rsidP="00CD16CE">
            <w:pPr>
              <w:spacing w:line="240" w:lineRule="auto"/>
              <w:rPr>
                <w:rFonts w:cs="Times New Roman"/>
                <w:color w:val="000000"/>
                <w:sz w:val="20"/>
                <w:szCs w:val="20"/>
              </w:rPr>
            </w:pPr>
            <w:r w:rsidRPr="00401D64">
              <w:rPr>
                <w:rFonts w:cs="Times New Roman"/>
                <w:color w:val="000000"/>
                <w:sz w:val="20"/>
                <w:szCs w:val="20"/>
              </w:rPr>
              <w:t>Y</w:t>
            </w:r>
            <w:r>
              <w:rPr>
                <w:rFonts w:cs="Times New Roman"/>
                <w:color w:val="000000"/>
                <w:sz w:val="20"/>
                <w:szCs w:val="20"/>
              </w:rPr>
              <w:t>ear</w:t>
            </w:r>
          </w:p>
        </w:tc>
        <w:tc>
          <w:tcPr>
            <w:tcW w:w="900" w:type="dxa"/>
            <w:tcBorders>
              <w:top w:val="nil"/>
              <w:left w:val="nil"/>
              <w:bottom w:val="nil"/>
              <w:right w:val="nil"/>
            </w:tcBorders>
            <w:shd w:val="clear" w:color="000000" w:fill="D9D9D9"/>
            <w:noWrap/>
            <w:vAlign w:val="center"/>
            <w:hideMark/>
          </w:tcPr>
          <w:p w14:paraId="515AAAB8"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3.68</w:t>
            </w:r>
          </w:p>
        </w:tc>
        <w:tc>
          <w:tcPr>
            <w:tcW w:w="780" w:type="dxa"/>
            <w:tcBorders>
              <w:top w:val="nil"/>
              <w:left w:val="nil"/>
              <w:bottom w:val="nil"/>
              <w:right w:val="nil"/>
            </w:tcBorders>
            <w:shd w:val="clear" w:color="000000" w:fill="D9D9D9"/>
            <w:noWrap/>
            <w:vAlign w:val="center"/>
            <w:hideMark/>
          </w:tcPr>
          <w:p w14:paraId="1E5442C4"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0.076</w:t>
            </w:r>
          </w:p>
        </w:tc>
        <w:tc>
          <w:tcPr>
            <w:tcW w:w="840" w:type="dxa"/>
            <w:tcBorders>
              <w:top w:val="nil"/>
              <w:left w:val="nil"/>
              <w:bottom w:val="nil"/>
              <w:right w:val="nil"/>
            </w:tcBorders>
            <w:shd w:val="clear" w:color="000000" w:fill="D9D9D9"/>
            <w:vAlign w:val="center"/>
            <w:hideMark/>
          </w:tcPr>
          <w:p w14:paraId="21921E97"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2.81</w:t>
            </w:r>
          </w:p>
        </w:tc>
        <w:tc>
          <w:tcPr>
            <w:tcW w:w="810" w:type="dxa"/>
            <w:tcBorders>
              <w:top w:val="nil"/>
              <w:left w:val="nil"/>
              <w:bottom w:val="nil"/>
              <w:right w:val="nil"/>
            </w:tcBorders>
            <w:shd w:val="clear" w:color="000000" w:fill="D9D9D9"/>
            <w:vAlign w:val="center"/>
            <w:hideMark/>
          </w:tcPr>
          <w:p w14:paraId="7DAC41F8"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0.111</w:t>
            </w:r>
          </w:p>
        </w:tc>
        <w:tc>
          <w:tcPr>
            <w:tcW w:w="900" w:type="dxa"/>
            <w:tcBorders>
              <w:top w:val="nil"/>
              <w:left w:val="nil"/>
              <w:bottom w:val="nil"/>
              <w:right w:val="nil"/>
            </w:tcBorders>
            <w:shd w:val="clear" w:color="000000" w:fill="D9D9D9"/>
            <w:vAlign w:val="center"/>
            <w:hideMark/>
          </w:tcPr>
          <w:p w14:paraId="546BD35C"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16.96</w:t>
            </w:r>
          </w:p>
        </w:tc>
        <w:tc>
          <w:tcPr>
            <w:tcW w:w="810" w:type="dxa"/>
            <w:tcBorders>
              <w:top w:val="nil"/>
              <w:left w:val="nil"/>
              <w:bottom w:val="nil"/>
              <w:right w:val="nil"/>
            </w:tcBorders>
            <w:shd w:val="clear" w:color="000000" w:fill="D9D9D9"/>
            <w:vAlign w:val="center"/>
            <w:hideMark/>
          </w:tcPr>
          <w:p w14:paraId="47984B76"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&lt;0.001</w:t>
            </w:r>
          </w:p>
        </w:tc>
        <w:tc>
          <w:tcPr>
            <w:tcW w:w="900" w:type="dxa"/>
            <w:tcBorders>
              <w:top w:val="nil"/>
              <w:left w:val="nil"/>
              <w:bottom w:val="nil"/>
              <w:right w:val="nil"/>
            </w:tcBorders>
            <w:shd w:val="clear" w:color="000000" w:fill="D9D9D9"/>
            <w:vAlign w:val="center"/>
            <w:hideMark/>
          </w:tcPr>
          <w:p w14:paraId="3893BBF1"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w:t>
            </w:r>
          </w:p>
        </w:tc>
        <w:tc>
          <w:tcPr>
            <w:tcW w:w="720" w:type="dxa"/>
            <w:tcBorders>
              <w:top w:val="nil"/>
              <w:left w:val="nil"/>
              <w:bottom w:val="nil"/>
              <w:right w:val="nil"/>
            </w:tcBorders>
            <w:shd w:val="clear" w:color="000000" w:fill="D9D9D9"/>
            <w:vAlign w:val="center"/>
            <w:hideMark/>
          </w:tcPr>
          <w:p w14:paraId="169DF0BC"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w:t>
            </w:r>
          </w:p>
        </w:tc>
        <w:tc>
          <w:tcPr>
            <w:tcW w:w="900" w:type="dxa"/>
            <w:tcBorders>
              <w:top w:val="nil"/>
              <w:left w:val="nil"/>
              <w:bottom w:val="nil"/>
              <w:right w:val="nil"/>
            </w:tcBorders>
            <w:shd w:val="clear" w:color="000000" w:fill="D9D9D9"/>
            <w:vAlign w:val="center"/>
            <w:hideMark/>
          </w:tcPr>
          <w:p w14:paraId="44290A27"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1.42</w:t>
            </w:r>
          </w:p>
        </w:tc>
        <w:tc>
          <w:tcPr>
            <w:tcW w:w="780" w:type="dxa"/>
            <w:tcBorders>
              <w:top w:val="nil"/>
              <w:left w:val="nil"/>
              <w:bottom w:val="nil"/>
              <w:right w:val="nil"/>
            </w:tcBorders>
            <w:shd w:val="clear" w:color="000000" w:fill="D9D9D9"/>
            <w:vAlign w:val="center"/>
            <w:hideMark/>
          </w:tcPr>
          <w:p w14:paraId="75775A4C"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0.290</w:t>
            </w:r>
          </w:p>
        </w:tc>
        <w:tc>
          <w:tcPr>
            <w:tcW w:w="840" w:type="dxa"/>
            <w:tcBorders>
              <w:top w:val="nil"/>
              <w:left w:val="nil"/>
              <w:bottom w:val="nil"/>
              <w:right w:val="nil"/>
            </w:tcBorders>
            <w:shd w:val="clear" w:color="000000" w:fill="D9D9D9"/>
            <w:vAlign w:val="center"/>
            <w:hideMark/>
          </w:tcPr>
          <w:p w14:paraId="7ED01788"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8.51</w:t>
            </w:r>
          </w:p>
        </w:tc>
        <w:tc>
          <w:tcPr>
            <w:tcW w:w="728" w:type="dxa"/>
            <w:tcBorders>
              <w:top w:val="nil"/>
              <w:left w:val="nil"/>
              <w:bottom w:val="nil"/>
              <w:right w:val="nil"/>
            </w:tcBorders>
            <w:shd w:val="clear" w:color="000000" w:fill="D9D9D9"/>
            <w:vAlign w:val="center"/>
            <w:hideMark/>
          </w:tcPr>
          <w:p w14:paraId="1023BB6A"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0.009</w:t>
            </w:r>
          </w:p>
        </w:tc>
      </w:tr>
      <w:tr w:rsidR="00B572F9" w:rsidRPr="00C61664" w14:paraId="51DA81E4" w14:textId="77777777" w:rsidTr="002A59E2">
        <w:trPr>
          <w:trHeight w:val="288"/>
        </w:trPr>
        <w:tc>
          <w:tcPr>
            <w:tcW w:w="2160" w:type="dxa"/>
            <w:tcBorders>
              <w:top w:val="nil"/>
              <w:left w:val="nil"/>
              <w:bottom w:val="nil"/>
              <w:right w:val="nil"/>
            </w:tcBorders>
            <w:shd w:val="clear" w:color="auto" w:fill="auto"/>
            <w:noWrap/>
            <w:vAlign w:val="center"/>
            <w:hideMark/>
          </w:tcPr>
          <w:p w14:paraId="442310FA" w14:textId="77777777" w:rsidR="00B572F9" w:rsidRPr="00C61664" w:rsidRDefault="00B572F9" w:rsidP="00CD16CE">
            <w:pPr>
              <w:spacing w:line="240" w:lineRule="auto"/>
              <w:rPr>
                <w:rFonts w:cs="Times New Roman"/>
                <w:color w:val="000000"/>
                <w:sz w:val="20"/>
                <w:szCs w:val="20"/>
              </w:rPr>
            </w:pPr>
            <w:r w:rsidRPr="00401D64">
              <w:rPr>
                <w:rFonts w:cs="Times New Roman"/>
                <w:color w:val="000000"/>
                <w:sz w:val="20"/>
                <w:szCs w:val="20"/>
              </w:rPr>
              <w:t>R</w:t>
            </w:r>
            <w:r>
              <w:rPr>
                <w:rFonts w:cs="Times New Roman"/>
                <w:color w:val="000000"/>
                <w:sz w:val="20"/>
                <w:szCs w:val="20"/>
              </w:rPr>
              <w:t>est</w:t>
            </w:r>
            <w:r w:rsidRPr="00401D64">
              <w:rPr>
                <w:rFonts w:cs="Times New Roman"/>
                <w:color w:val="000000"/>
                <w:sz w:val="20"/>
                <w:szCs w:val="20"/>
              </w:rPr>
              <w:t xml:space="preserve"> x Y</w:t>
            </w:r>
            <w:r>
              <w:rPr>
                <w:rFonts w:cs="Times New Roman"/>
                <w:color w:val="000000"/>
                <w:sz w:val="20"/>
                <w:szCs w:val="20"/>
              </w:rPr>
              <w:t>ear</w:t>
            </w:r>
          </w:p>
        </w:tc>
        <w:tc>
          <w:tcPr>
            <w:tcW w:w="900" w:type="dxa"/>
            <w:tcBorders>
              <w:top w:val="nil"/>
              <w:left w:val="nil"/>
              <w:bottom w:val="nil"/>
              <w:right w:val="nil"/>
            </w:tcBorders>
            <w:shd w:val="clear" w:color="auto" w:fill="auto"/>
            <w:noWrap/>
            <w:vAlign w:val="center"/>
            <w:hideMark/>
          </w:tcPr>
          <w:p w14:paraId="104F314C"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1.34</w:t>
            </w:r>
          </w:p>
        </w:tc>
        <w:tc>
          <w:tcPr>
            <w:tcW w:w="780" w:type="dxa"/>
            <w:tcBorders>
              <w:top w:val="nil"/>
              <w:left w:val="nil"/>
              <w:bottom w:val="nil"/>
              <w:right w:val="nil"/>
            </w:tcBorders>
            <w:shd w:val="clear" w:color="auto" w:fill="auto"/>
            <w:noWrap/>
            <w:vAlign w:val="center"/>
            <w:hideMark/>
          </w:tcPr>
          <w:p w14:paraId="4922E85B"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0.247</w:t>
            </w:r>
          </w:p>
        </w:tc>
        <w:tc>
          <w:tcPr>
            <w:tcW w:w="840" w:type="dxa"/>
            <w:tcBorders>
              <w:top w:val="nil"/>
              <w:left w:val="nil"/>
              <w:bottom w:val="nil"/>
              <w:right w:val="nil"/>
            </w:tcBorders>
            <w:shd w:val="clear" w:color="auto" w:fill="auto"/>
            <w:vAlign w:val="center"/>
            <w:hideMark/>
          </w:tcPr>
          <w:p w14:paraId="5B38CA4B"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2.81</w:t>
            </w:r>
          </w:p>
        </w:tc>
        <w:tc>
          <w:tcPr>
            <w:tcW w:w="810" w:type="dxa"/>
            <w:tcBorders>
              <w:top w:val="nil"/>
              <w:left w:val="nil"/>
              <w:bottom w:val="nil"/>
              <w:right w:val="nil"/>
            </w:tcBorders>
            <w:shd w:val="clear" w:color="auto" w:fill="auto"/>
            <w:vAlign w:val="center"/>
            <w:hideMark/>
          </w:tcPr>
          <w:p w14:paraId="2CB573EB"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0.010</w:t>
            </w:r>
          </w:p>
        </w:tc>
        <w:tc>
          <w:tcPr>
            <w:tcW w:w="900" w:type="dxa"/>
            <w:tcBorders>
              <w:top w:val="nil"/>
              <w:left w:val="nil"/>
              <w:bottom w:val="nil"/>
              <w:right w:val="nil"/>
            </w:tcBorders>
            <w:shd w:val="clear" w:color="auto" w:fill="auto"/>
            <w:vAlign w:val="center"/>
            <w:hideMark/>
          </w:tcPr>
          <w:p w14:paraId="482CBB96"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0.34</w:t>
            </w:r>
          </w:p>
        </w:tc>
        <w:tc>
          <w:tcPr>
            <w:tcW w:w="810" w:type="dxa"/>
            <w:tcBorders>
              <w:top w:val="nil"/>
              <w:left w:val="nil"/>
              <w:bottom w:val="nil"/>
              <w:right w:val="nil"/>
            </w:tcBorders>
            <w:shd w:val="clear" w:color="auto" w:fill="auto"/>
            <w:vAlign w:val="center"/>
            <w:hideMark/>
          </w:tcPr>
          <w:p w14:paraId="772552B0"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0.945</w:t>
            </w:r>
          </w:p>
        </w:tc>
        <w:tc>
          <w:tcPr>
            <w:tcW w:w="900" w:type="dxa"/>
            <w:tcBorders>
              <w:top w:val="nil"/>
              <w:left w:val="nil"/>
              <w:bottom w:val="nil"/>
              <w:right w:val="nil"/>
            </w:tcBorders>
            <w:shd w:val="clear" w:color="auto" w:fill="auto"/>
            <w:vAlign w:val="center"/>
            <w:hideMark/>
          </w:tcPr>
          <w:p w14:paraId="6DE22B09"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w:t>
            </w:r>
          </w:p>
        </w:tc>
        <w:tc>
          <w:tcPr>
            <w:tcW w:w="720" w:type="dxa"/>
            <w:tcBorders>
              <w:top w:val="nil"/>
              <w:left w:val="nil"/>
              <w:bottom w:val="nil"/>
              <w:right w:val="nil"/>
            </w:tcBorders>
            <w:shd w:val="clear" w:color="auto" w:fill="auto"/>
            <w:vAlign w:val="center"/>
            <w:hideMark/>
          </w:tcPr>
          <w:p w14:paraId="1899F747" w14:textId="77777777" w:rsidR="00B572F9" w:rsidRPr="00C61664" w:rsidRDefault="00B572F9" w:rsidP="00CD16CE">
            <w:pPr>
              <w:spacing w:line="240" w:lineRule="auto"/>
              <w:jc w:val="center"/>
              <w:rPr>
                <w:rFonts w:cs="Times New Roman"/>
                <w:b/>
                <w:bCs/>
                <w:color w:val="000000"/>
                <w:sz w:val="20"/>
                <w:szCs w:val="20"/>
              </w:rPr>
            </w:pPr>
            <w:r w:rsidRPr="00C61664">
              <w:rPr>
                <w:rFonts w:cs="Times New Roman"/>
                <w:b/>
                <w:bCs/>
                <w:color w:val="000000"/>
                <w:sz w:val="20"/>
                <w:szCs w:val="20"/>
              </w:rPr>
              <w:t>-</w:t>
            </w:r>
          </w:p>
        </w:tc>
        <w:tc>
          <w:tcPr>
            <w:tcW w:w="900" w:type="dxa"/>
            <w:tcBorders>
              <w:top w:val="nil"/>
              <w:left w:val="nil"/>
              <w:bottom w:val="nil"/>
              <w:right w:val="nil"/>
            </w:tcBorders>
            <w:shd w:val="clear" w:color="auto" w:fill="auto"/>
            <w:vAlign w:val="center"/>
            <w:hideMark/>
          </w:tcPr>
          <w:p w14:paraId="65B00DC5"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0.73</w:t>
            </w:r>
          </w:p>
        </w:tc>
        <w:tc>
          <w:tcPr>
            <w:tcW w:w="780" w:type="dxa"/>
            <w:tcBorders>
              <w:top w:val="nil"/>
              <w:left w:val="nil"/>
              <w:bottom w:val="nil"/>
              <w:right w:val="nil"/>
            </w:tcBorders>
            <w:shd w:val="clear" w:color="auto" w:fill="auto"/>
            <w:vAlign w:val="center"/>
            <w:hideMark/>
          </w:tcPr>
          <w:p w14:paraId="2E0D3A80"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0.661</w:t>
            </w:r>
          </w:p>
        </w:tc>
        <w:tc>
          <w:tcPr>
            <w:tcW w:w="840" w:type="dxa"/>
            <w:tcBorders>
              <w:top w:val="nil"/>
              <w:left w:val="single" w:sz="12" w:space="0" w:color="FFFFFF"/>
              <w:bottom w:val="nil"/>
              <w:right w:val="nil"/>
            </w:tcBorders>
            <w:shd w:val="clear" w:color="auto" w:fill="auto"/>
            <w:vAlign w:val="center"/>
            <w:hideMark/>
          </w:tcPr>
          <w:p w14:paraId="4C8A049C"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0.71</w:t>
            </w:r>
          </w:p>
        </w:tc>
        <w:tc>
          <w:tcPr>
            <w:tcW w:w="728" w:type="dxa"/>
            <w:tcBorders>
              <w:top w:val="nil"/>
              <w:left w:val="nil"/>
              <w:bottom w:val="nil"/>
              <w:right w:val="nil"/>
            </w:tcBorders>
            <w:shd w:val="clear" w:color="auto" w:fill="auto"/>
            <w:vAlign w:val="center"/>
            <w:hideMark/>
          </w:tcPr>
          <w:p w14:paraId="65DFB2C8"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0.683</w:t>
            </w:r>
          </w:p>
        </w:tc>
      </w:tr>
      <w:tr w:rsidR="00B572F9" w:rsidRPr="00C61664" w14:paraId="665C540A" w14:textId="77777777" w:rsidTr="002A59E2">
        <w:trPr>
          <w:trHeight w:val="288"/>
        </w:trPr>
        <w:tc>
          <w:tcPr>
            <w:tcW w:w="2160" w:type="dxa"/>
            <w:tcBorders>
              <w:top w:val="nil"/>
              <w:left w:val="nil"/>
              <w:bottom w:val="nil"/>
              <w:right w:val="nil"/>
            </w:tcBorders>
            <w:shd w:val="clear" w:color="000000" w:fill="D9D9D9"/>
            <w:noWrap/>
            <w:vAlign w:val="center"/>
            <w:hideMark/>
          </w:tcPr>
          <w:p w14:paraId="46B5DC7F" w14:textId="77777777" w:rsidR="00B572F9" w:rsidRPr="00C61664" w:rsidRDefault="00B572F9" w:rsidP="00CD16CE">
            <w:pPr>
              <w:spacing w:line="240" w:lineRule="auto"/>
              <w:rPr>
                <w:rFonts w:cs="Times New Roman"/>
                <w:color w:val="000000"/>
                <w:sz w:val="20"/>
                <w:szCs w:val="20"/>
              </w:rPr>
            </w:pPr>
            <w:r w:rsidRPr="00401D64">
              <w:rPr>
                <w:rFonts w:cs="Times New Roman"/>
                <w:color w:val="000000"/>
                <w:sz w:val="20"/>
                <w:szCs w:val="20"/>
              </w:rPr>
              <w:t>P</w:t>
            </w:r>
            <w:r>
              <w:rPr>
                <w:rFonts w:cs="Times New Roman"/>
                <w:color w:val="000000"/>
                <w:sz w:val="20"/>
                <w:szCs w:val="20"/>
              </w:rPr>
              <w:t>eriod</w:t>
            </w:r>
          </w:p>
        </w:tc>
        <w:tc>
          <w:tcPr>
            <w:tcW w:w="900" w:type="dxa"/>
            <w:tcBorders>
              <w:top w:val="nil"/>
              <w:left w:val="nil"/>
              <w:bottom w:val="nil"/>
              <w:right w:val="nil"/>
            </w:tcBorders>
            <w:shd w:val="clear" w:color="000000" w:fill="D9D9D9"/>
            <w:noWrap/>
            <w:vAlign w:val="center"/>
            <w:hideMark/>
          </w:tcPr>
          <w:p w14:paraId="49D8D7B7"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4.37</w:t>
            </w:r>
          </w:p>
        </w:tc>
        <w:tc>
          <w:tcPr>
            <w:tcW w:w="780" w:type="dxa"/>
            <w:tcBorders>
              <w:top w:val="nil"/>
              <w:left w:val="nil"/>
              <w:bottom w:val="nil"/>
              <w:right w:val="nil"/>
            </w:tcBorders>
            <w:shd w:val="clear" w:color="000000" w:fill="D9D9D9"/>
            <w:noWrap/>
            <w:vAlign w:val="center"/>
            <w:hideMark/>
          </w:tcPr>
          <w:p w14:paraId="1ED870AF"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0.047</w:t>
            </w:r>
          </w:p>
        </w:tc>
        <w:tc>
          <w:tcPr>
            <w:tcW w:w="840" w:type="dxa"/>
            <w:tcBorders>
              <w:top w:val="nil"/>
              <w:left w:val="nil"/>
              <w:bottom w:val="nil"/>
              <w:right w:val="nil"/>
            </w:tcBorders>
            <w:shd w:val="clear" w:color="000000" w:fill="D9D9D9"/>
            <w:vAlign w:val="center"/>
            <w:hideMark/>
          </w:tcPr>
          <w:p w14:paraId="70679DF2"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4.78</w:t>
            </w:r>
          </w:p>
        </w:tc>
        <w:tc>
          <w:tcPr>
            <w:tcW w:w="810" w:type="dxa"/>
            <w:tcBorders>
              <w:top w:val="nil"/>
              <w:left w:val="nil"/>
              <w:bottom w:val="nil"/>
              <w:right w:val="nil"/>
            </w:tcBorders>
            <w:shd w:val="clear" w:color="000000" w:fill="D9D9D9"/>
            <w:vAlign w:val="center"/>
            <w:hideMark/>
          </w:tcPr>
          <w:p w14:paraId="52234BD8"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0.034</w:t>
            </w:r>
          </w:p>
        </w:tc>
        <w:tc>
          <w:tcPr>
            <w:tcW w:w="900" w:type="dxa"/>
            <w:tcBorders>
              <w:top w:val="nil"/>
              <w:left w:val="nil"/>
              <w:bottom w:val="nil"/>
              <w:right w:val="nil"/>
            </w:tcBorders>
            <w:shd w:val="clear" w:color="000000" w:fill="D9D9D9"/>
            <w:vAlign w:val="center"/>
            <w:hideMark/>
          </w:tcPr>
          <w:p w14:paraId="2F216BEC"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39.33</w:t>
            </w:r>
          </w:p>
        </w:tc>
        <w:tc>
          <w:tcPr>
            <w:tcW w:w="810" w:type="dxa"/>
            <w:tcBorders>
              <w:top w:val="nil"/>
              <w:left w:val="nil"/>
              <w:bottom w:val="nil"/>
              <w:right w:val="nil"/>
            </w:tcBorders>
            <w:shd w:val="clear" w:color="000000" w:fill="D9D9D9"/>
            <w:vAlign w:val="center"/>
            <w:hideMark/>
          </w:tcPr>
          <w:p w14:paraId="3035F708"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&lt;0.001</w:t>
            </w:r>
          </w:p>
        </w:tc>
        <w:tc>
          <w:tcPr>
            <w:tcW w:w="900" w:type="dxa"/>
            <w:tcBorders>
              <w:top w:val="nil"/>
              <w:left w:val="nil"/>
              <w:bottom w:val="nil"/>
              <w:right w:val="nil"/>
            </w:tcBorders>
            <w:shd w:val="clear" w:color="000000" w:fill="D9D9D9"/>
            <w:vAlign w:val="center"/>
            <w:hideMark/>
          </w:tcPr>
          <w:p w14:paraId="2152AD86"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w:t>
            </w:r>
          </w:p>
        </w:tc>
        <w:tc>
          <w:tcPr>
            <w:tcW w:w="720" w:type="dxa"/>
            <w:tcBorders>
              <w:top w:val="nil"/>
              <w:left w:val="nil"/>
              <w:bottom w:val="nil"/>
              <w:right w:val="nil"/>
            </w:tcBorders>
            <w:shd w:val="clear" w:color="000000" w:fill="D9D9D9"/>
            <w:vAlign w:val="center"/>
            <w:hideMark/>
          </w:tcPr>
          <w:p w14:paraId="7BD7A952"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w:t>
            </w:r>
          </w:p>
        </w:tc>
        <w:tc>
          <w:tcPr>
            <w:tcW w:w="900" w:type="dxa"/>
            <w:tcBorders>
              <w:top w:val="nil"/>
              <w:left w:val="nil"/>
              <w:bottom w:val="nil"/>
              <w:right w:val="nil"/>
            </w:tcBorders>
            <w:shd w:val="clear" w:color="000000" w:fill="D9D9D9"/>
            <w:vAlign w:val="center"/>
            <w:hideMark/>
          </w:tcPr>
          <w:p w14:paraId="1B879F1C"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0.20</w:t>
            </w:r>
          </w:p>
        </w:tc>
        <w:tc>
          <w:tcPr>
            <w:tcW w:w="780" w:type="dxa"/>
            <w:tcBorders>
              <w:top w:val="nil"/>
              <w:left w:val="nil"/>
              <w:bottom w:val="nil"/>
              <w:right w:val="nil"/>
            </w:tcBorders>
            <w:shd w:val="clear" w:color="000000" w:fill="D9D9D9"/>
            <w:vAlign w:val="center"/>
            <w:hideMark/>
          </w:tcPr>
          <w:p w14:paraId="3CEFB370"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0.659</w:t>
            </w:r>
          </w:p>
        </w:tc>
        <w:tc>
          <w:tcPr>
            <w:tcW w:w="840" w:type="dxa"/>
            <w:tcBorders>
              <w:top w:val="nil"/>
              <w:left w:val="nil"/>
              <w:bottom w:val="nil"/>
              <w:right w:val="nil"/>
            </w:tcBorders>
            <w:shd w:val="clear" w:color="000000" w:fill="D9D9D9"/>
            <w:vAlign w:val="center"/>
            <w:hideMark/>
          </w:tcPr>
          <w:p w14:paraId="52C3A75A"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2.03</w:t>
            </w:r>
          </w:p>
        </w:tc>
        <w:tc>
          <w:tcPr>
            <w:tcW w:w="728" w:type="dxa"/>
            <w:tcBorders>
              <w:top w:val="nil"/>
              <w:left w:val="nil"/>
              <w:bottom w:val="nil"/>
              <w:right w:val="nil"/>
            </w:tcBorders>
            <w:shd w:val="clear" w:color="000000" w:fill="D9D9D9"/>
            <w:vAlign w:val="center"/>
            <w:hideMark/>
          </w:tcPr>
          <w:p w14:paraId="36F81577"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0.161</w:t>
            </w:r>
          </w:p>
        </w:tc>
      </w:tr>
      <w:tr w:rsidR="00B572F9" w:rsidRPr="00C61664" w14:paraId="19B78BC0" w14:textId="77777777" w:rsidTr="002A59E2">
        <w:trPr>
          <w:trHeight w:val="288"/>
        </w:trPr>
        <w:tc>
          <w:tcPr>
            <w:tcW w:w="2160" w:type="dxa"/>
            <w:tcBorders>
              <w:top w:val="nil"/>
              <w:left w:val="nil"/>
              <w:bottom w:val="nil"/>
              <w:right w:val="nil"/>
            </w:tcBorders>
            <w:shd w:val="clear" w:color="auto" w:fill="auto"/>
            <w:noWrap/>
            <w:vAlign w:val="center"/>
            <w:hideMark/>
          </w:tcPr>
          <w:p w14:paraId="7F10ED5A" w14:textId="77777777" w:rsidR="00B572F9" w:rsidRPr="00C61664" w:rsidRDefault="00B572F9" w:rsidP="00CD16CE">
            <w:pPr>
              <w:spacing w:line="240" w:lineRule="auto"/>
              <w:rPr>
                <w:rFonts w:cs="Times New Roman"/>
                <w:color w:val="000000"/>
                <w:sz w:val="20"/>
                <w:szCs w:val="20"/>
              </w:rPr>
            </w:pPr>
            <w:r w:rsidRPr="00401D64">
              <w:rPr>
                <w:rFonts w:cs="Times New Roman"/>
                <w:color w:val="000000"/>
                <w:sz w:val="20"/>
                <w:szCs w:val="20"/>
              </w:rPr>
              <w:t>R</w:t>
            </w:r>
            <w:r>
              <w:rPr>
                <w:rFonts w:cs="Times New Roman"/>
                <w:color w:val="000000"/>
                <w:sz w:val="20"/>
                <w:szCs w:val="20"/>
              </w:rPr>
              <w:t>est</w:t>
            </w:r>
            <w:r w:rsidRPr="00401D64">
              <w:rPr>
                <w:rFonts w:cs="Times New Roman"/>
                <w:color w:val="000000"/>
                <w:sz w:val="20"/>
                <w:szCs w:val="20"/>
              </w:rPr>
              <w:t xml:space="preserve"> x P</w:t>
            </w:r>
            <w:r>
              <w:rPr>
                <w:rFonts w:cs="Times New Roman"/>
                <w:color w:val="000000"/>
                <w:sz w:val="20"/>
                <w:szCs w:val="20"/>
              </w:rPr>
              <w:t>eriod</w:t>
            </w:r>
          </w:p>
        </w:tc>
        <w:tc>
          <w:tcPr>
            <w:tcW w:w="900" w:type="dxa"/>
            <w:tcBorders>
              <w:top w:val="nil"/>
              <w:left w:val="nil"/>
              <w:bottom w:val="nil"/>
              <w:right w:val="nil"/>
            </w:tcBorders>
            <w:shd w:val="clear" w:color="auto" w:fill="auto"/>
            <w:noWrap/>
            <w:vAlign w:val="center"/>
            <w:hideMark/>
          </w:tcPr>
          <w:p w14:paraId="476EA136"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1.72</w:t>
            </w:r>
          </w:p>
        </w:tc>
        <w:tc>
          <w:tcPr>
            <w:tcW w:w="780" w:type="dxa"/>
            <w:tcBorders>
              <w:top w:val="nil"/>
              <w:left w:val="nil"/>
              <w:bottom w:val="nil"/>
              <w:right w:val="nil"/>
            </w:tcBorders>
            <w:shd w:val="clear" w:color="auto" w:fill="auto"/>
            <w:noWrap/>
            <w:vAlign w:val="center"/>
            <w:hideMark/>
          </w:tcPr>
          <w:p w14:paraId="7A2B76D8"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0.177</w:t>
            </w:r>
          </w:p>
        </w:tc>
        <w:tc>
          <w:tcPr>
            <w:tcW w:w="840" w:type="dxa"/>
            <w:tcBorders>
              <w:top w:val="nil"/>
              <w:left w:val="nil"/>
              <w:bottom w:val="nil"/>
              <w:right w:val="nil"/>
            </w:tcBorders>
            <w:shd w:val="clear" w:color="auto" w:fill="auto"/>
            <w:vAlign w:val="center"/>
            <w:hideMark/>
          </w:tcPr>
          <w:p w14:paraId="707B41B0"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0.61</w:t>
            </w:r>
          </w:p>
        </w:tc>
        <w:tc>
          <w:tcPr>
            <w:tcW w:w="810" w:type="dxa"/>
            <w:tcBorders>
              <w:top w:val="nil"/>
              <w:left w:val="nil"/>
              <w:bottom w:val="nil"/>
              <w:right w:val="nil"/>
            </w:tcBorders>
            <w:shd w:val="clear" w:color="auto" w:fill="auto"/>
            <w:vAlign w:val="center"/>
            <w:hideMark/>
          </w:tcPr>
          <w:p w14:paraId="4393FBA4"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0.658</w:t>
            </w:r>
          </w:p>
        </w:tc>
        <w:tc>
          <w:tcPr>
            <w:tcW w:w="900" w:type="dxa"/>
            <w:tcBorders>
              <w:top w:val="nil"/>
              <w:left w:val="nil"/>
              <w:bottom w:val="nil"/>
              <w:right w:val="nil"/>
            </w:tcBorders>
            <w:shd w:val="clear" w:color="auto" w:fill="auto"/>
            <w:vAlign w:val="center"/>
            <w:hideMark/>
          </w:tcPr>
          <w:p w14:paraId="1F29A26A"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0.47</w:t>
            </w:r>
          </w:p>
        </w:tc>
        <w:tc>
          <w:tcPr>
            <w:tcW w:w="810" w:type="dxa"/>
            <w:tcBorders>
              <w:top w:val="nil"/>
              <w:left w:val="nil"/>
              <w:bottom w:val="nil"/>
              <w:right w:val="nil"/>
            </w:tcBorders>
            <w:shd w:val="clear" w:color="auto" w:fill="auto"/>
            <w:vAlign w:val="center"/>
            <w:hideMark/>
          </w:tcPr>
          <w:p w14:paraId="1B487C33"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0.758</w:t>
            </w:r>
          </w:p>
        </w:tc>
        <w:tc>
          <w:tcPr>
            <w:tcW w:w="900" w:type="dxa"/>
            <w:tcBorders>
              <w:top w:val="nil"/>
              <w:left w:val="nil"/>
              <w:bottom w:val="nil"/>
              <w:right w:val="nil"/>
            </w:tcBorders>
            <w:shd w:val="clear" w:color="auto" w:fill="auto"/>
            <w:vAlign w:val="center"/>
            <w:hideMark/>
          </w:tcPr>
          <w:p w14:paraId="46D17323"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w:t>
            </w:r>
          </w:p>
        </w:tc>
        <w:tc>
          <w:tcPr>
            <w:tcW w:w="720" w:type="dxa"/>
            <w:tcBorders>
              <w:top w:val="nil"/>
              <w:left w:val="nil"/>
              <w:bottom w:val="nil"/>
              <w:right w:val="nil"/>
            </w:tcBorders>
            <w:shd w:val="clear" w:color="auto" w:fill="auto"/>
            <w:vAlign w:val="center"/>
            <w:hideMark/>
          </w:tcPr>
          <w:p w14:paraId="6C3AF1E9"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w:t>
            </w:r>
          </w:p>
        </w:tc>
        <w:tc>
          <w:tcPr>
            <w:tcW w:w="900" w:type="dxa"/>
            <w:tcBorders>
              <w:top w:val="nil"/>
              <w:left w:val="nil"/>
              <w:bottom w:val="nil"/>
              <w:right w:val="nil"/>
            </w:tcBorders>
            <w:shd w:val="clear" w:color="auto" w:fill="auto"/>
            <w:vAlign w:val="center"/>
            <w:hideMark/>
          </w:tcPr>
          <w:p w14:paraId="2C5F5C93"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1.66</w:t>
            </w:r>
          </w:p>
        </w:tc>
        <w:tc>
          <w:tcPr>
            <w:tcW w:w="780" w:type="dxa"/>
            <w:tcBorders>
              <w:top w:val="nil"/>
              <w:left w:val="nil"/>
              <w:bottom w:val="nil"/>
              <w:right w:val="nil"/>
            </w:tcBorders>
            <w:shd w:val="clear" w:color="auto" w:fill="auto"/>
            <w:vAlign w:val="center"/>
            <w:hideMark/>
          </w:tcPr>
          <w:p w14:paraId="616F40A7"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0.173</w:t>
            </w:r>
          </w:p>
        </w:tc>
        <w:tc>
          <w:tcPr>
            <w:tcW w:w="840" w:type="dxa"/>
            <w:tcBorders>
              <w:top w:val="nil"/>
              <w:left w:val="single" w:sz="12" w:space="0" w:color="FFFFFF"/>
              <w:bottom w:val="nil"/>
              <w:right w:val="nil"/>
            </w:tcBorders>
            <w:shd w:val="clear" w:color="auto" w:fill="auto"/>
            <w:vAlign w:val="center"/>
            <w:hideMark/>
          </w:tcPr>
          <w:p w14:paraId="04102AED"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0.69</w:t>
            </w:r>
          </w:p>
        </w:tc>
        <w:tc>
          <w:tcPr>
            <w:tcW w:w="728" w:type="dxa"/>
            <w:tcBorders>
              <w:top w:val="nil"/>
              <w:left w:val="nil"/>
              <w:bottom w:val="nil"/>
              <w:right w:val="nil"/>
            </w:tcBorders>
            <w:shd w:val="clear" w:color="auto" w:fill="auto"/>
            <w:vAlign w:val="center"/>
            <w:hideMark/>
          </w:tcPr>
          <w:p w14:paraId="7B4B7AEB"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0.603</w:t>
            </w:r>
          </w:p>
        </w:tc>
      </w:tr>
      <w:tr w:rsidR="00B572F9" w:rsidRPr="00C61664" w14:paraId="24651279" w14:textId="77777777" w:rsidTr="002A59E2">
        <w:trPr>
          <w:trHeight w:val="288"/>
        </w:trPr>
        <w:tc>
          <w:tcPr>
            <w:tcW w:w="2160" w:type="dxa"/>
            <w:tcBorders>
              <w:top w:val="nil"/>
              <w:left w:val="nil"/>
              <w:bottom w:val="nil"/>
              <w:right w:val="nil"/>
            </w:tcBorders>
            <w:shd w:val="clear" w:color="000000" w:fill="D9D9D9"/>
            <w:noWrap/>
            <w:vAlign w:val="center"/>
            <w:hideMark/>
          </w:tcPr>
          <w:p w14:paraId="3178FA53" w14:textId="77777777" w:rsidR="00B572F9" w:rsidRPr="00C61664" w:rsidRDefault="00B572F9" w:rsidP="00CD16CE">
            <w:pPr>
              <w:spacing w:line="240" w:lineRule="auto"/>
              <w:rPr>
                <w:rFonts w:cs="Times New Roman"/>
                <w:color w:val="000000"/>
                <w:sz w:val="20"/>
                <w:szCs w:val="20"/>
              </w:rPr>
            </w:pPr>
            <w:r w:rsidRPr="00401D64">
              <w:rPr>
                <w:rFonts w:cs="Times New Roman"/>
                <w:color w:val="000000"/>
                <w:sz w:val="20"/>
                <w:szCs w:val="20"/>
              </w:rPr>
              <w:t>Y</w:t>
            </w:r>
            <w:r>
              <w:rPr>
                <w:rFonts w:cs="Times New Roman"/>
                <w:color w:val="000000"/>
                <w:sz w:val="20"/>
                <w:szCs w:val="20"/>
              </w:rPr>
              <w:t>ear</w:t>
            </w:r>
            <w:r w:rsidRPr="00401D64">
              <w:rPr>
                <w:rFonts w:cs="Times New Roman"/>
                <w:color w:val="000000"/>
                <w:sz w:val="20"/>
                <w:szCs w:val="20"/>
              </w:rPr>
              <w:t xml:space="preserve"> x P</w:t>
            </w:r>
            <w:r>
              <w:rPr>
                <w:rFonts w:cs="Times New Roman"/>
                <w:color w:val="000000"/>
                <w:sz w:val="20"/>
                <w:szCs w:val="20"/>
              </w:rPr>
              <w:t>eriod</w:t>
            </w:r>
          </w:p>
        </w:tc>
        <w:tc>
          <w:tcPr>
            <w:tcW w:w="900" w:type="dxa"/>
            <w:tcBorders>
              <w:top w:val="nil"/>
              <w:left w:val="nil"/>
              <w:bottom w:val="nil"/>
              <w:right w:val="nil"/>
            </w:tcBorders>
            <w:shd w:val="clear" w:color="000000" w:fill="D9D9D9"/>
            <w:noWrap/>
            <w:vAlign w:val="center"/>
            <w:hideMark/>
          </w:tcPr>
          <w:p w14:paraId="09281720"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10.12</w:t>
            </w:r>
          </w:p>
        </w:tc>
        <w:tc>
          <w:tcPr>
            <w:tcW w:w="780" w:type="dxa"/>
            <w:tcBorders>
              <w:top w:val="nil"/>
              <w:left w:val="nil"/>
              <w:bottom w:val="nil"/>
              <w:right w:val="nil"/>
            </w:tcBorders>
            <w:shd w:val="clear" w:color="000000" w:fill="D9D9D9"/>
            <w:noWrap/>
            <w:vAlign w:val="center"/>
            <w:hideMark/>
          </w:tcPr>
          <w:p w14:paraId="620BD95A"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&lt;0.001</w:t>
            </w:r>
          </w:p>
        </w:tc>
        <w:tc>
          <w:tcPr>
            <w:tcW w:w="840" w:type="dxa"/>
            <w:tcBorders>
              <w:top w:val="nil"/>
              <w:left w:val="nil"/>
              <w:bottom w:val="nil"/>
              <w:right w:val="nil"/>
            </w:tcBorders>
            <w:shd w:val="clear" w:color="000000" w:fill="D9D9D9"/>
            <w:vAlign w:val="center"/>
            <w:hideMark/>
          </w:tcPr>
          <w:p w14:paraId="7B9E2A68"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11.10</w:t>
            </w:r>
          </w:p>
        </w:tc>
        <w:tc>
          <w:tcPr>
            <w:tcW w:w="810" w:type="dxa"/>
            <w:tcBorders>
              <w:top w:val="nil"/>
              <w:left w:val="nil"/>
              <w:bottom w:val="nil"/>
              <w:right w:val="nil"/>
            </w:tcBorders>
            <w:shd w:val="clear" w:color="000000" w:fill="D9D9D9"/>
            <w:vAlign w:val="center"/>
            <w:hideMark/>
          </w:tcPr>
          <w:p w14:paraId="7DCDDA61"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&lt;0.001</w:t>
            </w:r>
          </w:p>
        </w:tc>
        <w:tc>
          <w:tcPr>
            <w:tcW w:w="900" w:type="dxa"/>
            <w:tcBorders>
              <w:top w:val="nil"/>
              <w:left w:val="nil"/>
              <w:bottom w:val="nil"/>
              <w:right w:val="nil"/>
            </w:tcBorders>
            <w:shd w:val="clear" w:color="000000" w:fill="D9D9D9"/>
            <w:vAlign w:val="center"/>
            <w:hideMark/>
          </w:tcPr>
          <w:p w14:paraId="5D3FAC27"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21.39</w:t>
            </w:r>
          </w:p>
        </w:tc>
        <w:tc>
          <w:tcPr>
            <w:tcW w:w="810" w:type="dxa"/>
            <w:tcBorders>
              <w:top w:val="nil"/>
              <w:left w:val="nil"/>
              <w:bottom w:val="nil"/>
              <w:right w:val="nil"/>
            </w:tcBorders>
            <w:shd w:val="clear" w:color="000000" w:fill="D9D9D9"/>
            <w:vAlign w:val="center"/>
            <w:hideMark/>
          </w:tcPr>
          <w:p w14:paraId="6EBC4A2D" w14:textId="77777777" w:rsidR="00B572F9" w:rsidRPr="00C61664" w:rsidRDefault="00B572F9" w:rsidP="00CD16CE">
            <w:pPr>
              <w:spacing w:line="240" w:lineRule="auto"/>
              <w:jc w:val="right"/>
              <w:rPr>
                <w:rFonts w:cs="Times New Roman"/>
                <w:b/>
                <w:bCs/>
                <w:color w:val="000000"/>
                <w:sz w:val="20"/>
                <w:szCs w:val="20"/>
              </w:rPr>
            </w:pPr>
            <w:r w:rsidRPr="00C61664">
              <w:rPr>
                <w:rFonts w:cs="Times New Roman"/>
                <w:b/>
                <w:bCs/>
                <w:color w:val="000000"/>
                <w:sz w:val="20"/>
                <w:szCs w:val="20"/>
              </w:rPr>
              <w:t>&lt;0.001</w:t>
            </w:r>
          </w:p>
        </w:tc>
        <w:tc>
          <w:tcPr>
            <w:tcW w:w="900" w:type="dxa"/>
            <w:tcBorders>
              <w:top w:val="nil"/>
              <w:left w:val="nil"/>
              <w:bottom w:val="nil"/>
              <w:right w:val="nil"/>
            </w:tcBorders>
            <w:shd w:val="clear" w:color="000000" w:fill="D9D9D9"/>
            <w:vAlign w:val="center"/>
            <w:hideMark/>
          </w:tcPr>
          <w:p w14:paraId="4876A3C6"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w:t>
            </w:r>
          </w:p>
        </w:tc>
        <w:tc>
          <w:tcPr>
            <w:tcW w:w="720" w:type="dxa"/>
            <w:tcBorders>
              <w:top w:val="nil"/>
              <w:left w:val="nil"/>
              <w:bottom w:val="nil"/>
              <w:right w:val="nil"/>
            </w:tcBorders>
            <w:shd w:val="clear" w:color="000000" w:fill="D9D9D9"/>
            <w:vAlign w:val="center"/>
            <w:hideMark/>
          </w:tcPr>
          <w:p w14:paraId="0A75AD7D" w14:textId="77777777" w:rsidR="00B572F9" w:rsidRPr="00C61664" w:rsidRDefault="00B572F9" w:rsidP="00CD16CE">
            <w:pPr>
              <w:spacing w:line="240" w:lineRule="auto"/>
              <w:jc w:val="center"/>
              <w:rPr>
                <w:rFonts w:cs="Times New Roman"/>
                <w:b/>
                <w:bCs/>
                <w:color w:val="000000"/>
                <w:sz w:val="20"/>
                <w:szCs w:val="20"/>
              </w:rPr>
            </w:pPr>
            <w:r w:rsidRPr="00C61664">
              <w:rPr>
                <w:rFonts w:cs="Times New Roman"/>
                <w:b/>
                <w:bCs/>
                <w:color w:val="000000"/>
                <w:sz w:val="20"/>
                <w:szCs w:val="20"/>
              </w:rPr>
              <w:t>-</w:t>
            </w:r>
          </w:p>
        </w:tc>
        <w:tc>
          <w:tcPr>
            <w:tcW w:w="900" w:type="dxa"/>
            <w:tcBorders>
              <w:top w:val="nil"/>
              <w:left w:val="nil"/>
              <w:bottom w:val="nil"/>
              <w:right w:val="nil"/>
            </w:tcBorders>
            <w:shd w:val="clear" w:color="000000" w:fill="D9D9D9"/>
            <w:vAlign w:val="center"/>
            <w:hideMark/>
          </w:tcPr>
          <w:p w14:paraId="5F8D3D9E"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0.05</w:t>
            </w:r>
          </w:p>
        </w:tc>
        <w:tc>
          <w:tcPr>
            <w:tcW w:w="780" w:type="dxa"/>
            <w:tcBorders>
              <w:top w:val="nil"/>
              <w:left w:val="nil"/>
              <w:bottom w:val="nil"/>
              <w:right w:val="nil"/>
            </w:tcBorders>
            <w:shd w:val="clear" w:color="000000" w:fill="D9D9D9"/>
            <w:vAlign w:val="center"/>
            <w:hideMark/>
          </w:tcPr>
          <w:p w14:paraId="4881D2DB"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0.954</w:t>
            </w:r>
          </w:p>
        </w:tc>
        <w:tc>
          <w:tcPr>
            <w:tcW w:w="840" w:type="dxa"/>
            <w:tcBorders>
              <w:top w:val="nil"/>
              <w:left w:val="nil"/>
              <w:bottom w:val="nil"/>
              <w:right w:val="nil"/>
            </w:tcBorders>
            <w:shd w:val="clear" w:color="000000" w:fill="D9D9D9"/>
            <w:vAlign w:val="center"/>
            <w:hideMark/>
          </w:tcPr>
          <w:p w14:paraId="3782EA16"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0.62</w:t>
            </w:r>
          </w:p>
        </w:tc>
        <w:tc>
          <w:tcPr>
            <w:tcW w:w="728" w:type="dxa"/>
            <w:tcBorders>
              <w:top w:val="nil"/>
              <w:left w:val="nil"/>
              <w:bottom w:val="nil"/>
              <w:right w:val="nil"/>
            </w:tcBorders>
            <w:shd w:val="clear" w:color="000000" w:fill="D9D9D9"/>
            <w:vAlign w:val="center"/>
            <w:hideMark/>
          </w:tcPr>
          <w:p w14:paraId="345B0F41"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0.541</w:t>
            </w:r>
          </w:p>
        </w:tc>
      </w:tr>
      <w:tr w:rsidR="00B572F9" w:rsidRPr="00C61664" w14:paraId="6A8BBD8E" w14:textId="77777777" w:rsidTr="002A59E2">
        <w:trPr>
          <w:trHeight w:val="300"/>
        </w:trPr>
        <w:tc>
          <w:tcPr>
            <w:tcW w:w="2160" w:type="dxa"/>
            <w:tcBorders>
              <w:top w:val="nil"/>
              <w:left w:val="nil"/>
              <w:bottom w:val="single" w:sz="12" w:space="0" w:color="auto"/>
              <w:right w:val="nil"/>
            </w:tcBorders>
            <w:shd w:val="clear" w:color="auto" w:fill="auto"/>
            <w:noWrap/>
            <w:vAlign w:val="center"/>
            <w:hideMark/>
          </w:tcPr>
          <w:p w14:paraId="548267F9" w14:textId="77777777" w:rsidR="00B572F9" w:rsidRPr="00C61664" w:rsidRDefault="00B572F9" w:rsidP="00CD16CE">
            <w:pPr>
              <w:spacing w:line="240" w:lineRule="auto"/>
              <w:rPr>
                <w:rFonts w:cs="Times New Roman"/>
                <w:color w:val="000000"/>
                <w:sz w:val="20"/>
                <w:szCs w:val="20"/>
              </w:rPr>
            </w:pPr>
            <w:r w:rsidRPr="00401D64">
              <w:rPr>
                <w:rFonts w:cs="Times New Roman"/>
                <w:color w:val="000000"/>
                <w:sz w:val="20"/>
                <w:szCs w:val="20"/>
              </w:rPr>
              <w:t>R</w:t>
            </w:r>
            <w:r>
              <w:rPr>
                <w:rFonts w:cs="Times New Roman"/>
                <w:color w:val="000000"/>
                <w:sz w:val="20"/>
                <w:szCs w:val="20"/>
              </w:rPr>
              <w:t>est</w:t>
            </w:r>
            <w:r w:rsidRPr="00401D64">
              <w:rPr>
                <w:rFonts w:cs="Times New Roman"/>
                <w:color w:val="000000"/>
                <w:sz w:val="20"/>
                <w:szCs w:val="20"/>
              </w:rPr>
              <w:t xml:space="preserve"> x Y</w:t>
            </w:r>
            <w:r>
              <w:rPr>
                <w:rFonts w:cs="Times New Roman"/>
                <w:color w:val="000000"/>
                <w:sz w:val="20"/>
                <w:szCs w:val="20"/>
              </w:rPr>
              <w:t>ear</w:t>
            </w:r>
            <w:r w:rsidRPr="00401D64">
              <w:rPr>
                <w:rFonts w:cs="Times New Roman"/>
                <w:color w:val="000000"/>
                <w:sz w:val="20"/>
                <w:szCs w:val="20"/>
              </w:rPr>
              <w:t xml:space="preserve"> x P</w:t>
            </w:r>
            <w:r>
              <w:rPr>
                <w:rFonts w:cs="Times New Roman"/>
                <w:color w:val="000000"/>
                <w:sz w:val="20"/>
                <w:szCs w:val="20"/>
              </w:rPr>
              <w:t>eriod</w:t>
            </w:r>
          </w:p>
        </w:tc>
        <w:tc>
          <w:tcPr>
            <w:tcW w:w="900" w:type="dxa"/>
            <w:tcBorders>
              <w:top w:val="nil"/>
              <w:left w:val="nil"/>
              <w:bottom w:val="single" w:sz="12" w:space="0" w:color="auto"/>
              <w:right w:val="nil"/>
            </w:tcBorders>
            <w:shd w:val="clear" w:color="auto" w:fill="auto"/>
            <w:noWrap/>
            <w:vAlign w:val="center"/>
            <w:hideMark/>
          </w:tcPr>
          <w:p w14:paraId="29DBA841"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0.85</w:t>
            </w:r>
          </w:p>
        </w:tc>
        <w:tc>
          <w:tcPr>
            <w:tcW w:w="780" w:type="dxa"/>
            <w:tcBorders>
              <w:top w:val="nil"/>
              <w:left w:val="nil"/>
              <w:bottom w:val="single" w:sz="12" w:space="0" w:color="auto"/>
              <w:right w:val="nil"/>
            </w:tcBorders>
            <w:shd w:val="clear" w:color="auto" w:fill="auto"/>
            <w:noWrap/>
            <w:vAlign w:val="center"/>
            <w:hideMark/>
          </w:tcPr>
          <w:p w14:paraId="6AD2958F"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0.565</w:t>
            </w:r>
          </w:p>
        </w:tc>
        <w:tc>
          <w:tcPr>
            <w:tcW w:w="840" w:type="dxa"/>
            <w:tcBorders>
              <w:top w:val="nil"/>
              <w:left w:val="nil"/>
              <w:bottom w:val="single" w:sz="12" w:space="0" w:color="auto"/>
              <w:right w:val="nil"/>
            </w:tcBorders>
            <w:shd w:val="clear" w:color="auto" w:fill="auto"/>
            <w:vAlign w:val="center"/>
            <w:hideMark/>
          </w:tcPr>
          <w:p w14:paraId="2BC087E3"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1.39</w:t>
            </w:r>
          </w:p>
        </w:tc>
        <w:tc>
          <w:tcPr>
            <w:tcW w:w="810" w:type="dxa"/>
            <w:tcBorders>
              <w:top w:val="nil"/>
              <w:left w:val="nil"/>
              <w:bottom w:val="single" w:sz="12" w:space="0" w:color="auto"/>
              <w:right w:val="nil"/>
            </w:tcBorders>
            <w:shd w:val="clear" w:color="auto" w:fill="auto"/>
            <w:vAlign w:val="center"/>
            <w:hideMark/>
          </w:tcPr>
          <w:p w14:paraId="1429C98A"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0.222</w:t>
            </w:r>
          </w:p>
        </w:tc>
        <w:tc>
          <w:tcPr>
            <w:tcW w:w="900" w:type="dxa"/>
            <w:tcBorders>
              <w:top w:val="nil"/>
              <w:left w:val="nil"/>
              <w:bottom w:val="single" w:sz="12" w:space="0" w:color="auto"/>
              <w:right w:val="nil"/>
            </w:tcBorders>
            <w:shd w:val="clear" w:color="auto" w:fill="auto"/>
            <w:vAlign w:val="center"/>
            <w:hideMark/>
          </w:tcPr>
          <w:p w14:paraId="22255DD8"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0.47</w:t>
            </w:r>
          </w:p>
        </w:tc>
        <w:tc>
          <w:tcPr>
            <w:tcW w:w="810" w:type="dxa"/>
            <w:tcBorders>
              <w:top w:val="nil"/>
              <w:left w:val="nil"/>
              <w:bottom w:val="single" w:sz="12" w:space="0" w:color="auto"/>
              <w:right w:val="nil"/>
            </w:tcBorders>
            <w:shd w:val="clear" w:color="auto" w:fill="auto"/>
            <w:vAlign w:val="center"/>
            <w:hideMark/>
          </w:tcPr>
          <w:p w14:paraId="0E8DEF7A"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0.868</w:t>
            </w:r>
          </w:p>
        </w:tc>
        <w:tc>
          <w:tcPr>
            <w:tcW w:w="900" w:type="dxa"/>
            <w:tcBorders>
              <w:top w:val="nil"/>
              <w:left w:val="nil"/>
              <w:bottom w:val="single" w:sz="12" w:space="0" w:color="auto"/>
              <w:right w:val="nil"/>
            </w:tcBorders>
            <w:shd w:val="clear" w:color="auto" w:fill="auto"/>
            <w:vAlign w:val="center"/>
            <w:hideMark/>
          </w:tcPr>
          <w:p w14:paraId="7628E426"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w:t>
            </w:r>
          </w:p>
        </w:tc>
        <w:tc>
          <w:tcPr>
            <w:tcW w:w="720" w:type="dxa"/>
            <w:tcBorders>
              <w:top w:val="nil"/>
              <w:left w:val="nil"/>
              <w:bottom w:val="single" w:sz="12" w:space="0" w:color="auto"/>
              <w:right w:val="nil"/>
            </w:tcBorders>
            <w:shd w:val="clear" w:color="auto" w:fill="auto"/>
            <w:vAlign w:val="center"/>
            <w:hideMark/>
          </w:tcPr>
          <w:p w14:paraId="19C574ED" w14:textId="77777777" w:rsidR="00B572F9" w:rsidRPr="00C61664" w:rsidRDefault="00B572F9" w:rsidP="00CD16CE">
            <w:pPr>
              <w:spacing w:line="240" w:lineRule="auto"/>
              <w:jc w:val="center"/>
              <w:rPr>
                <w:rFonts w:cs="Times New Roman"/>
                <w:color w:val="000000"/>
                <w:sz w:val="20"/>
                <w:szCs w:val="20"/>
              </w:rPr>
            </w:pPr>
            <w:r w:rsidRPr="00C61664">
              <w:rPr>
                <w:rFonts w:cs="Times New Roman"/>
                <w:color w:val="000000"/>
                <w:sz w:val="20"/>
                <w:szCs w:val="20"/>
              </w:rPr>
              <w:t>-</w:t>
            </w:r>
          </w:p>
        </w:tc>
        <w:tc>
          <w:tcPr>
            <w:tcW w:w="900" w:type="dxa"/>
            <w:tcBorders>
              <w:top w:val="nil"/>
              <w:left w:val="nil"/>
              <w:bottom w:val="single" w:sz="12" w:space="0" w:color="auto"/>
              <w:right w:val="nil"/>
            </w:tcBorders>
            <w:shd w:val="clear" w:color="auto" w:fill="auto"/>
            <w:vAlign w:val="center"/>
            <w:hideMark/>
          </w:tcPr>
          <w:p w14:paraId="472369F6"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1.30</w:t>
            </w:r>
          </w:p>
        </w:tc>
        <w:tc>
          <w:tcPr>
            <w:tcW w:w="780" w:type="dxa"/>
            <w:tcBorders>
              <w:top w:val="nil"/>
              <w:left w:val="nil"/>
              <w:bottom w:val="single" w:sz="12" w:space="0" w:color="auto"/>
              <w:right w:val="nil"/>
            </w:tcBorders>
            <w:shd w:val="clear" w:color="auto" w:fill="auto"/>
            <w:vAlign w:val="center"/>
            <w:hideMark/>
          </w:tcPr>
          <w:p w14:paraId="34A4CF3F"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0.259</w:t>
            </w:r>
          </w:p>
        </w:tc>
        <w:tc>
          <w:tcPr>
            <w:tcW w:w="840" w:type="dxa"/>
            <w:tcBorders>
              <w:top w:val="nil"/>
              <w:left w:val="nil"/>
              <w:bottom w:val="single" w:sz="12" w:space="0" w:color="auto"/>
              <w:right w:val="nil"/>
            </w:tcBorders>
            <w:shd w:val="clear" w:color="auto" w:fill="auto"/>
            <w:vAlign w:val="center"/>
            <w:hideMark/>
          </w:tcPr>
          <w:p w14:paraId="31AF654D"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0.70</w:t>
            </w:r>
          </w:p>
        </w:tc>
        <w:tc>
          <w:tcPr>
            <w:tcW w:w="728" w:type="dxa"/>
            <w:tcBorders>
              <w:top w:val="nil"/>
              <w:left w:val="nil"/>
              <w:bottom w:val="single" w:sz="12" w:space="0" w:color="auto"/>
              <w:right w:val="nil"/>
            </w:tcBorders>
            <w:shd w:val="clear" w:color="auto" w:fill="auto"/>
            <w:vAlign w:val="center"/>
            <w:hideMark/>
          </w:tcPr>
          <w:p w14:paraId="30CE0467" w14:textId="77777777" w:rsidR="00B572F9" w:rsidRPr="00C61664" w:rsidRDefault="00B572F9" w:rsidP="00CD16CE">
            <w:pPr>
              <w:spacing w:line="240" w:lineRule="auto"/>
              <w:jc w:val="right"/>
              <w:rPr>
                <w:rFonts w:cs="Times New Roman"/>
                <w:color w:val="000000"/>
                <w:sz w:val="20"/>
                <w:szCs w:val="20"/>
              </w:rPr>
            </w:pPr>
            <w:r w:rsidRPr="00C61664">
              <w:rPr>
                <w:rFonts w:cs="Times New Roman"/>
                <w:color w:val="000000"/>
                <w:sz w:val="20"/>
                <w:szCs w:val="20"/>
              </w:rPr>
              <w:t>0.690</w:t>
            </w:r>
          </w:p>
        </w:tc>
      </w:tr>
    </w:tbl>
    <w:bookmarkEnd w:id="206"/>
    <w:p w14:paraId="0DF3DE22" w14:textId="050F0734" w:rsidR="00B572F9" w:rsidRPr="00BC2376" w:rsidRDefault="00B572F9" w:rsidP="00B572F9">
      <w:pPr>
        <w:spacing w:line="240" w:lineRule="auto"/>
        <w:rPr>
          <w:rFonts w:eastAsia="Calibri" w:cs="Times New Roman"/>
          <w:bCs/>
        </w:rPr>
      </w:pPr>
      <w:r w:rsidRPr="00BC2376">
        <w:rPr>
          <w:rFonts w:eastAsia="Calibri" w:cs="Times New Roman"/>
          <w:bCs/>
        </w:rPr>
        <w:t>†BBIG = big bluestem/indiangrass, BESU = black-eyed susan, DITI = dixie ticktrefoil, ILB</w:t>
      </w:r>
      <w:r w:rsidR="005C4B11">
        <w:rPr>
          <w:rFonts w:eastAsia="Calibri" w:cs="Times New Roman"/>
          <w:bCs/>
        </w:rPr>
        <w:t>F</w:t>
      </w:r>
      <w:r w:rsidRPr="00BC2376">
        <w:rPr>
          <w:rFonts w:eastAsia="Calibri" w:cs="Times New Roman"/>
          <w:bCs/>
        </w:rPr>
        <w:t xml:space="preserve"> = Illinois bundleflower, LANC = lanceleaf coreopsis, MAXI = maximilian sunflower, OXEY = oxeye sunflower, PCON = purple coneflower, PLAC = plains coreopsis, PPCL = purple prairie clover, PPEA = partridge pea, UPRT = upright coneflower </w:t>
      </w:r>
    </w:p>
    <w:p w14:paraId="73B8671D" w14:textId="69531802" w:rsidR="00352189" w:rsidRDefault="00B572F9" w:rsidP="00B572F9">
      <w:pPr>
        <w:spacing w:line="240" w:lineRule="auto"/>
        <w:rPr>
          <w:rFonts w:eastAsia="Calibri" w:cs="Times New Roman"/>
          <w:bCs/>
        </w:rPr>
      </w:pPr>
      <w:r w:rsidRPr="00BC2376">
        <w:rPr>
          <w:rFonts w:eastAsia="Calibri" w:cs="Times New Roman"/>
          <w:bCs/>
        </w:rPr>
        <w:t xml:space="preserve">‡Rest = </w:t>
      </w:r>
      <w:r w:rsidR="00BC7E04">
        <w:rPr>
          <w:rFonts w:eastAsia="Calibri" w:cs="Times New Roman"/>
          <w:bCs/>
        </w:rPr>
        <w:t>Grazing</w:t>
      </w:r>
      <w:r w:rsidRPr="00BC2376">
        <w:rPr>
          <w:rFonts w:eastAsia="Calibri" w:cs="Times New Roman"/>
          <w:bCs/>
        </w:rPr>
        <w:t xml:space="preserve"> treatment (no rest, early rest, middle rest, late rest, or no graze); Year = 2018, 2019, or 2020; </w:t>
      </w:r>
      <w:r w:rsidR="00352189" w:rsidRPr="00BC2376">
        <w:rPr>
          <w:rFonts w:eastAsia="Calibri" w:cs="Times New Roman"/>
          <w:bCs/>
        </w:rPr>
        <w:t>Period = pre-</w:t>
      </w:r>
      <w:r w:rsidR="00352189">
        <w:rPr>
          <w:rFonts w:eastAsia="Calibri" w:cs="Times New Roman"/>
          <w:bCs/>
        </w:rPr>
        <w:t xml:space="preserve"> </w:t>
      </w:r>
      <w:r w:rsidR="00352189" w:rsidRPr="00BC2376">
        <w:rPr>
          <w:rFonts w:eastAsia="Calibri" w:cs="Times New Roman"/>
          <w:bCs/>
        </w:rPr>
        <w:t>(May) or post-grazing (</w:t>
      </w:r>
      <w:r w:rsidR="000218C6">
        <w:rPr>
          <w:rFonts w:eastAsia="Calibri" w:cs="Times New Roman"/>
          <w:bCs/>
        </w:rPr>
        <w:t>late August/</w:t>
      </w:r>
      <w:r w:rsidR="000218C6" w:rsidRPr="00BC2376">
        <w:rPr>
          <w:rFonts w:eastAsia="Calibri" w:cs="Times New Roman"/>
          <w:bCs/>
        </w:rPr>
        <w:t>September</w:t>
      </w:r>
      <w:r w:rsidR="00352189" w:rsidRPr="00BC2376">
        <w:rPr>
          <w:rFonts w:eastAsia="Calibri" w:cs="Times New Roman"/>
          <w:bCs/>
        </w:rPr>
        <w:t>)</w:t>
      </w:r>
    </w:p>
    <w:p w14:paraId="6F115FC5" w14:textId="07EC0AFA" w:rsidR="004A1B0B" w:rsidRDefault="00B572F9" w:rsidP="00B572F9">
      <w:pPr>
        <w:spacing w:line="240" w:lineRule="auto"/>
        <w:rPr>
          <w:rFonts w:eastAsia="Calibri" w:cs="Times New Roman"/>
          <w:bCs/>
        </w:rPr>
      </w:pPr>
      <w:r w:rsidRPr="00BC2376">
        <w:rPr>
          <w:rFonts w:eastAsia="Calibri" w:cs="Times New Roman"/>
          <w:bCs/>
        </w:rPr>
        <w:t xml:space="preserve">§Rest for BESU is </w:t>
      </w:r>
      <w:r w:rsidRPr="00BC2376">
        <w:rPr>
          <w:rFonts w:eastAsia="Calibri" w:cs="Times New Roman"/>
          <w:bCs/>
          <w:i/>
          <w:iCs/>
        </w:rPr>
        <w:t>P</w:t>
      </w:r>
      <w:r w:rsidRPr="00BC2376">
        <w:rPr>
          <w:rFonts w:eastAsia="Calibri" w:cs="Times New Roman"/>
          <w:bCs/>
        </w:rPr>
        <w:t xml:space="preserve"> = 0.0501</w:t>
      </w:r>
    </w:p>
    <w:p w14:paraId="0532A550" w14:textId="77777777" w:rsidR="00FF7DBA" w:rsidRDefault="00FF7DBA" w:rsidP="00B572F9">
      <w:pPr>
        <w:spacing w:line="240" w:lineRule="auto"/>
        <w:rPr>
          <w:rFonts w:eastAsia="Calibri" w:cs="Times New Roman"/>
          <w:bCs/>
        </w:rPr>
        <w:sectPr w:rsidR="00FF7DBA" w:rsidSect="00B572F9">
          <w:pgSz w:w="15840" w:h="12240" w:orient="landscape" w:code="1"/>
          <w:pgMar w:top="1440" w:right="1800" w:bottom="1872" w:left="1800" w:header="720" w:footer="1440" w:gutter="0"/>
          <w:cols w:space="720"/>
          <w:noEndnote/>
          <w:docGrid w:linePitch="360"/>
        </w:sectPr>
      </w:pPr>
    </w:p>
    <w:p w14:paraId="276903CE" w14:textId="1077E622" w:rsidR="00213C22" w:rsidRPr="00BC2376" w:rsidRDefault="00213C22" w:rsidP="00A01E34">
      <w:pPr>
        <w:pStyle w:val="Tables"/>
        <w:spacing w:before="0" w:after="60"/>
        <w:rPr>
          <w:b/>
        </w:rPr>
      </w:pPr>
      <w:bookmarkStart w:id="207" w:name="_Toc72300411"/>
      <w:bookmarkStart w:id="208" w:name="_Hlk63704353"/>
      <w:r w:rsidRPr="00BC2376">
        <w:lastRenderedPageBreak/>
        <w:t>Table 2.1</w:t>
      </w:r>
      <w:r w:rsidR="00F84C04">
        <w:t>1</w:t>
      </w:r>
      <w:r w:rsidRPr="00BC2376">
        <w:t>.  Mean plant density (plants m</w:t>
      </w:r>
      <w:r w:rsidRPr="00BC2376">
        <w:rPr>
          <w:vertAlign w:val="superscript"/>
        </w:rPr>
        <w:t>-2</w:t>
      </w:r>
      <w:r w:rsidRPr="00BC2376">
        <w:t xml:space="preserve">) </w:t>
      </w:r>
      <w:r>
        <w:t>for PCON for</w:t>
      </w:r>
      <w:r w:rsidRPr="00BC2376">
        <w:t xml:space="preserve"> </w:t>
      </w:r>
      <w:r>
        <w:t>grazing treatment by year</w:t>
      </w:r>
      <w:r w:rsidRPr="00BC2376">
        <w:t xml:space="preserve"> in a big bluestem/indiangrass pasture</w:t>
      </w:r>
      <w:r w:rsidRPr="001157ED">
        <w:t xml:space="preserve"> </w:t>
      </w:r>
      <w:r w:rsidRPr="00BC2376">
        <w:t xml:space="preserve">for native </w:t>
      </w:r>
      <w:r>
        <w:t xml:space="preserve">grass </w:t>
      </w:r>
      <w:r w:rsidRPr="00BC2376">
        <w:t>pasture grazing experiment, 2018-2020, University of Tennessee – Northeast Tennessee AgResearch and Education Center, Greeneville, TN.</w:t>
      </w:r>
      <w:bookmarkEnd w:id="207"/>
    </w:p>
    <w:tbl>
      <w:tblPr>
        <w:tblW w:w="5881" w:type="dxa"/>
        <w:tblLook w:val="04A0" w:firstRow="1" w:lastRow="0" w:firstColumn="1" w:lastColumn="0" w:noHBand="0" w:noVBand="1"/>
      </w:tblPr>
      <w:tblGrid>
        <w:gridCol w:w="2520"/>
        <w:gridCol w:w="1119"/>
        <w:gridCol w:w="1212"/>
        <w:gridCol w:w="1030"/>
      </w:tblGrid>
      <w:tr w:rsidR="00213C22" w:rsidRPr="00BC2376" w14:paraId="2BFDED3F" w14:textId="77777777" w:rsidTr="00983887">
        <w:trPr>
          <w:trHeight w:val="319"/>
        </w:trPr>
        <w:tc>
          <w:tcPr>
            <w:tcW w:w="2520" w:type="dxa"/>
            <w:tcBorders>
              <w:top w:val="single" w:sz="12" w:space="0" w:color="auto"/>
              <w:left w:val="nil"/>
              <w:bottom w:val="single" w:sz="12" w:space="0" w:color="auto"/>
              <w:right w:val="single" w:sz="36" w:space="0" w:color="FFFFFF" w:themeColor="background1"/>
            </w:tcBorders>
            <w:shd w:val="clear" w:color="auto" w:fill="auto"/>
            <w:noWrap/>
            <w:vAlign w:val="center"/>
            <w:hideMark/>
          </w:tcPr>
          <w:p w14:paraId="02C3BCCC" w14:textId="77777777" w:rsidR="00213C22" w:rsidRPr="00BC2376" w:rsidRDefault="00213C22" w:rsidP="00A55538">
            <w:pPr>
              <w:spacing w:line="240" w:lineRule="auto"/>
              <w:rPr>
                <w:rFonts w:cs="Times New Roman"/>
                <w:color w:val="000000"/>
                <w:sz w:val="20"/>
                <w:szCs w:val="20"/>
              </w:rPr>
            </w:pPr>
            <w:r w:rsidRPr="00BC2376">
              <w:rPr>
                <w:rFonts w:cs="Times New Roman"/>
                <w:color w:val="000000"/>
                <w:sz w:val="20"/>
                <w:szCs w:val="20"/>
              </w:rPr>
              <w:t> Effect</w:t>
            </w:r>
            <w:r w:rsidRPr="00BC2376">
              <w:rPr>
                <w:rFonts w:cs="Times New Roman"/>
                <w:color w:val="000000"/>
                <w:sz w:val="20"/>
                <w:szCs w:val="20"/>
                <w:vertAlign w:val="superscript"/>
              </w:rPr>
              <w:t>†</w:t>
            </w:r>
          </w:p>
        </w:tc>
        <w:tc>
          <w:tcPr>
            <w:tcW w:w="1119"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2A2E921C" w14:textId="77777777" w:rsidR="00213C22" w:rsidRPr="00BC2376" w:rsidRDefault="00213C22" w:rsidP="00A55538">
            <w:pPr>
              <w:spacing w:line="240" w:lineRule="auto"/>
              <w:jc w:val="center"/>
              <w:rPr>
                <w:rFonts w:cs="Times New Roman"/>
                <w:color w:val="000000"/>
                <w:sz w:val="20"/>
                <w:szCs w:val="20"/>
              </w:rPr>
            </w:pPr>
            <w:r w:rsidRPr="00BC2376">
              <w:rPr>
                <w:rFonts w:cs="Times New Roman"/>
                <w:color w:val="000000"/>
                <w:sz w:val="20"/>
                <w:szCs w:val="20"/>
              </w:rPr>
              <w:t>2018</w:t>
            </w:r>
          </w:p>
        </w:tc>
        <w:tc>
          <w:tcPr>
            <w:tcW w:w="1212"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57A81843" w14:textId="77777777" w:rsidR="00213C22" w:rsidRPr="00BC2376" w:rsidRDefault="00213C22" w:rsidP="00A55538">
            <w:pPr>
              <w:spacing w:line="240" w:lineRule="auto"/>
              <w:jc w:val="center"/>
              <w:rPr>
                <w:rFonts w:cs="Times New Roman"/>
                <w:color w:val="000000"/>
                <w:sz w:val="20"/>
                <w:szCs w:val="20"/>
              </w:rPr>
            </w:pPr>
            <w:r w:rsidRPr="00BC2376">
              <w:rPr>
                <w:rFonts w:cs="Times New Roman"/>
                <w:color w:val="000000"/>
                <w:sz w:val="20"/>
                <w:szCs w:val="20"/>
              </w:rPr>
              <w:t>2019</w:t>
            </w:r>
          </w:p>
        </w:tc>
        <w:tc>
          <w:tcPr>
            <w:tcW w:w="1029" w:type="dxa"/>
            <w:tcBorders>
              <w:top w:val="single" w:sz="12" w:space="0" w:color="auto"/>
              <w:left w:val="single" w:sz="36" w:space="0" w:color="FFFFFF" w:themeColor="background1"/>
              <w:bottom w:val="single" w:sz="12" w:space="0" w:color="auto"/>
            </w:tcBorders>
            <w:shd w:val="clear" w:color="auto" w:fill="auto"/>
            <w:vAlign w:val="center"/>
            <w:hideMark/>
          </w:tcPr>
          <w:p w14:paraId="66B795E2" w14:textId="77777777" w:rsidR="00213C22" w:rsidRPr="00BC2376" w:rsidRDefault="00213C22" w:rsidP="00A55538">
            <w:pPr>
              <w:spacing w:line="240" w:lineRule="auto"/>
              <w:jc w:val="center"/>
              <w:rPr>
                <w:rFonts w:cs="Times New Roman"/>
                <w:color w:val="000000"/>
                <w:sz w:val="20"/>
                <w:szCs w:val="20"/>
              </w:rPr>
            </w:pPr>
            <w:r w:rsidRPr="00BC2376">
              <w:rPr>
                <w:rFonts w:cs="Times New Roman"/>
                <w:color w:val="000000"/>
                <w:sz w:val="20"/>
                <w:szCs w:val="20"/>
              </w:rPr>
              <w:t xml:space="preserve"> 2020</w:t>
            </w:r>
          </w:p>
        </w:tc>
      </w:tr>
      <w:tr w:rsidR="00213C22" w:rsidRPr="00BC2376" w14:paraId="1C0AA742" w14:textId="77777777" w:rsidTr="00983887">
        <w:trPr>
          <w:trHeight w:val="332"/>
        </w:trPr>
        <w:tc>
          <w:tcPr>
            <w:tcW w:w="2520" w:type="dxa"/>
            <w:tcBorders>
              <w:top w:val="single" w:sz="12" w:space="0" w:color="auto"/>
              <w:left w:val="nil"/>
              <w:bottom w:val="single" w:sz="4" w:space="0" w:color="FFFFFF" w:themeColor="background1"/>
              <w:right w:val="single" w:sz="36" w:space="0" w:color="FFFFFF" w:themeColor="background1"/>
            </w:tcBorders>
            <w:shd w:val="clear" w:color="auto" w:fill="auto"/>
            <w:noWrap/>
            <w:vAlign w:val="center"/>
          </w:tcPr>
          <w:p w14:paraId="4783642D" w14:textId="77777777" w:rsidR="00213C22" w:rsidRPr="00BC2376" w:rsidRDefault="00213C22" w:rsidP="00A55538">
            <w:pPr>
              <w:spacing w:line="240" w:lineRule="auto"/>
              <w:rPr>
                <w:rFonts w:cs="Times New Roman"/>
                <w:color w:val="000000"/>
                <w:sz w:val="20"/>
                <w:szCs w:val="20"/>
              </w:rPr>
            </w:pPr>
          </w:p>
        </w:tc>
        <w:tc>
          <w:tcPr>
            <w:tcW w:w="3361" w:type="dxa"/>
            <w:gridSpan w:val="3"/>
            <w:tcBorders>
              <w:top w:val="single" w:sz="12" w:space="0" w:color="auto"/>
              <w:left w:val="single" w:sz="36" w:space="0" w:color="FFFFFF" w:themeColor="background1"/>
              <w:bottom w:val="single" w:sz="4" w:space="0" w:color="FFFFFF" w:themeColor="background1"/>
            </w:tcBorders>
            <w:shd w:val="clear" w:color="auto" w:fill="auto"/>
            <w:noWrap/>
            <w:vAlign w:val="center"/>
          </w:tcPr>
          <w:p w14:paraId="16A6E778" w14:textId="77777777" w:rsidR="00213C22" w:rsidRPr="00BC2376" w:rsidRDefault="00213C22" w:rsidP="00A55538">
            <w:pPr>
              <w:spacing w:line="240" w:lineRule="auto"/>
              <w:jc w:val="center"/>
              <w:rPr>
                <w:rFonts w:cs="Times New Roman"/>
                <w:color w:val="000000"/>
                <w:sz w:val="20"/>
                <w:szCs w:val="20"/>
              </w:rPr>
            </w:pPr>
            <w:r>
              <w:rPr>
                <w:rFonts w:cs="Times New Roman"/>
                <w:color w:val="000000"/>
                <w:sz w:val="20"/>
                <w:szCs w:val="20"/>
              </w:rPr>
              <w:t>----------------plants m</w:t>
            </w:r>
            <w:r w:rsidRPr="00D215CC">
              <w:rPr>
                <w:rFonts w:cs="Times New Roman"/>
                <w:color w:val="000000"/>
                <w:sz w:val="20"/>
                <w:szCs w:val="20"/>
                <w:vertAlign w:val="superscript"/>
              </w:rPr>
              <w:t>-2</w:t>
            </w:r>
            <w:r>
              <w:rPr>
                <w:rFonts w:cs="Times New Roman"/>
                <w:color w:val="000000"/>
                <w:sz w:val="20"/>
                <w:szCs w:val="20"/>
              </w:rPr>
              <w:t>-------------</w:t>
            </w:r>
          </w:p>
        </w:tc>
      </w:tr>
      <w:tr w:rsidR="00213C22" w:rsidRPr="00BC2376" w14:paraId="2CDBCF34" w14:textId="77777777" w:rsidTr="00983887">
        <w:trPr>
          <w:trHeight w:val="332"/>
        </w:trPr>
        <w:tc>
          <w:tcPr>
            <w:tcW w:w="2520" w:type="dxa"/>
            <w:tcBorders>
              <w:top w:val="single" w:sz="4" w:space="0" w:color="FFFFFF" w:themeColor="background1"/>
              <w:left w:val="nil"/>
              <w:bottom w:val="nil"/>
              <w:right w:val="single" w:sz="36" w:space="0" w:color="FFFFFF" w:themeColor="background1"/>
            </w:tcBorders>
            <w:shd w:val="clear" w:color="auto" w:fill="auto"/>
            <w:noWrap/>
            <w:vAlign w:val="center"/>
            <w:hideMark/>
          </w:tcPr>
          <w:p w14:paraId="5FBF5F73" w14:textId="77777777" w:rsidR="00213C22" w:rsidRPr="00BC2376" w:rsidRDefault="00213C22" w:rsidP="00A55538">
            <w:pPr>
              <w:spacing w:line="240" w:lineRule="auto"/>
              <w:rPr>
                <w:rFonts w:cs="Times New Roman"/>
                <w:color w:val="000000"/>
                <w:sz w:val="20"/>
                <w:szCs w:val="20"/>
              </w:rPr>
            </w:pPr>
            <w:r w:rsidRPr="00BC2376">
              <w:rPr>
                <w:rFonts w:cs="Times New Roman"/>
                <w:color w:val="000000"/>
                <w:sz w:val="20"/>
                <w:szCs w:val="20"/>
              </w:rPr>
              <w:t>No Rest</w:t>
            </w:r>
          </w:p>
        </w:tc>
        <w:tc>
          <w:tcPr>
            <w:tcW w:w="1119" w:type="dxa"/>
            <w:tcBorders>
              <w:top w:val="single" w:sz="4" w:space="0" w:color="FFFFFF" w:themeColor="background1"/>
              <w:left w:val="single" w:sz="36" w:space="0" w:color="FFFFFF" w:themeColor="background1"/>
              <w:bottom w:val="nil"/>
              <w:right w:val="single" w:sz="36" w:space="0" w:color="FFFFFF" w:themeColor="background1"/>
            </w:tcBorders>
            <w:shd w:val="clear" w:color="auto" w:fill="auto"/>
            <w:noWrap/>
            <w:vAlign w:val="center"/>
          </w:tcPr>
          <w:p w14:paraId="4BBD9BC3" w14:textId="77777777" w:rsidR="00213C22" w:rsidRPr="00BC2376" w:rsidRDefault="00213C22" w:rsidP="00A55538">
            <w:pPr>
              <w:spacing w:line="240" w:lineRule="auto"/>
              <w:jc w:val="center"/>
              <w:rPr>
                <w:rFonts w:cs="Times New Roman"/>
                <w:color w:val="000000"/>
                <w:sz w:val="20"/>
                <w:szCs w:val="20"/>
              </w:rPr>
            </w:pPr>
            <w:r>
              <w:rPr>
                <w:rFonts w:cs="Times New Roman"/>
                <w:color w:val="000000"/>
                <w:sz w:val="20"/>
                <w:szCs w:val="20"/>
              </w:rPr>
              <w:t xml:space="preserve">   </w:t>
            </w:r>
            <w:r w:rsidRPr="00BC2376">
              <w:rPr>
                <w:rFonts w:cs="Times New Roman"/>
                <w:color w:val="000000"/>
                <w:sz w:val="20"/>
                <w:szCs w:val="20"/>
              </w:rPr>
              <w:t>3.3 ab*</w:t>
            </w:r>
          </w:p>
        </w:tc>
        <w:tc>
          <w:tcPr>
            <w:tcW w:w="1212" w:type="dxa"/>
            <w:tcBorders>
              <w:top w:val="single" w:sz="4" w:space="0" w:color="FFFFFF" w:themeColor="background1"/>
              <w:left w:val="single" w:sz="36" w:space="0" w:color="FFFFFF" w:themeColor="background1"/>
              <w:bottom w:val="nil"/>
              <w:right w:val="single" w:sz="36" w:space="0" w:color="FFFFFF" w:themeColor="background1"/>
            </w:tcBorders>
            <w:shd w:val="clear" w:color="auto" w:fill="auto"/>
            <w:noWrap/>
            <w:vAlign w:val="center"/>
          </w:tcPr>
          <w:p w14:paraId="440D71A3" w14:textId="77777777" w:rsidR="00213C22" w:rsidRPr="00BC2376" w:rsidRDefault="00213C22" w:rsidP="00A55538">
            <w:pPr>
              <w:spacing w:line="240" w:lineRule="auto"/>
              <w:jc w:val="center"/>
              <w:rPr>
                <w:rFonts w:cs="Times New Roman"/>
                <w:color w:val="000000"/>
                <w:sz w:val="20"/>
                <w:szCs w:val="20"/>
              </w:rPr>
            </w:pPr>
            <w:r w:rsidRPr="00BC2376">
              <w:rPr>
                <w:rFonts w:cs="Times New Roman"/>
                <w:color w:val="000000"/>
                <w:sz w:val="20"/>
                <w:szCs w:val="20"/>
              </w:rPr>
              <w:t>4.0 a</w:t>
            </w:r>
          </w:p>
        </w:tc>
        <w:tc>
          <w:tcPr>
            <w:tcW w:w="1029" w:type="dxa"/>
            <w:tcBorders>
              <w:top w:val="single" w:sz="4" w:space="0" w:color="FFFFFF" w:themeColor="background1"/>
              <w:left w:val="single" w:sz="36" w:space="0" w:color="FFFFFF" w:themeColor="background1"/>
              <w:bottom w:val="nil"/>
            </w:tcBorders>
            <w:shd w:val="clear" w:color="auto" w:fill="auto"/>
            <w:vAlign w:val="center"/>
          </w:tcPr>
          <w:p w14:paraId="52CD6656" w14:textId="77777777" w:rsidR="00213C22" w:rsidRPr="00BC2376" w:rsidRDefault="00213C22" w:rsidP="00A55538">
            <w:pPr>
              <w:spacing w:line="240" w:lineRule="auto"/>
              <w:jc w:val="center"/>
              <w:rPr>
                <w:rFonts w:cs="Times New Roman"/>
                <w:color w:val="000000"/>
                <w:sz w:val="20"/>
                <w:szCs w:val="20"/>
              </w:rPr>
            </w:pPr>
            <w:r w:rsidRPr="00BC2376">
              <w:rPr>
                <w:rFonts w:cs="Times New Roman"/>
                <w:color w:val="000000"/>
                <w:sz w:val="20"/>
                <w:szCs w:val="20"/>
              </w:rPr>
              <w:t>0.6 f</w:t>
            </w:r>
          </w:p>
        </w:tc>
      </w:tr>
      <w:tr w:rsidR="00213C22" w:rsidRPr="00BC2376" w14:paraId="393BA32C" w14:textId="77777777" w:rsidTr="00983887">
        <w:trPr>
          <w:trHeight w:val="295"/>
        </w:trPr>
        <w:tc>
          <w:tcPr>
            <w:tcW w:w="2520" w:type="dxa"/>
            <w:tcBorders>
              <w:top w:val="nil"/>
              <w:left w:val="nil"/>
              <w:bottom w:val="nil"/>
              <w:right w:val="nil"/>
            </w:tcBorders>
            <w:shd w:val="clear" w:color="000000" w:fill="D9D9D9"/>
            <w:noWrap/>
            <w:vAlign w:val="center"/>
            <w:hideMark/>
          </w:tcPr>
          <w:p w14:paraId="07A8CF31" w14:textId="77777777" w:rsidR="00213C22" w:rsidRPr="00BC2376" w:rsidRDefault="00213C22" w:rsidP="00A55538">
            <w:pPr>
              <w:spacing w:line="240" w:lineRule="auto"/>
              <w:rPr>
                <w:rFonts w:cs="Times New Roman"/>
                <w:color w:val="000000"/>
                <w:sz w:val="20"/>
                <w:szCs w:val="20"/>
              </w:rPr>
            </w:pPr>
            <w:r w:rsidRPr="00BC2376">
              <w:rPr>
                <w:rFonts w:cs="Times New Roman"/>
                <w:color w:val="000000"/>
                <w:sz w:val="20"/>
                <w:szCs w:val="20"/>
              </w:rPr>
              <w:t>Early Rest</w:t>
            </w:r>
          </w:p>
        </w:tc>
        <w:tc>
          <w:tcPr>
            <w:tcW w:w="1119" w:type="dxa"/>
            <w:tcBorders>
              <w:top w:val="nil"/>
              <w:left w:val="nil"/>
              <w:bottom w:val="nil"/>
              <w:right w:val="nil"/>
            </w:tcBorders>
            <w:shd w:val="clear" w:color="000000" w:fill="D9D9D9"/>
            <w:noWrap/>
            <w:vAlign w:val="center"/>
          </w:tcPr>
          <w:p w14:paraId="72214159" w14:textId="77777777" w:rsidR="00213C22" w:rsidRPr="00BC2376" w:rsidRDefault="00213C22" w:rsidP="00A55538">
            <w:pPr>
              <w:spacing w:line="240" w:lineRule="auto"/>
              <w:jc w:val="center"/>
              <w:rPr>
                <w:rFonts w:cs="Times New Roman"/>
                <w:color w:val="000000"/>
                <w:sz w:val="20"/>
                <w:szCs w:val="20"/>
              </w:rPr>
            </w:pPr>
            <w:r>
              <w:rPr>
                <w:rFonts w:cs="Times New Roman"/>
                <w:color w:val="000000"/>
                <w:sz w:val="20"/>
                <w:szCs w:val="20"/>
              </w:rPr>
              <w:t xml:space="preserve">   </w:t>
            </w:r>
            <w:r w:rsidRPr="00BC2376">
              <w:rPr>
                <w:rFonts w:cs="Times New Roman"/>
                <w:color w:val="000000"/>
                <w:sz w:val="20"/>
                <w:szCs w:val="20"/>
              </w:rPr>
              <w:t>1.4 c-f</w:t>
            </w:r>
            <w:r w:rsidRPr="00BC2376">
              <w:rPr>
                <w:rFonts w:cs="Times New Roman"/>
                <w:color w:val="000000"/>
                <w:sz w:val="20"/>
                <w:szCs w:val="20"/>
                <w:vertAlign w:val="superscript"/>
              </w:rPr>
              <w:t>‡</w:t>
            </w:r>
          </w:p>
        </w:tc>
        <w:tc>
          <w:tcPr>
            <w:tcW w:w="1212" w:type="dxa"/>
            <w:tcBorders>
              <w:top w:val="nil"/>
              <w:left w:val="nil"/>
              <w:bottom w:val="nil"/>
              <w:right w:val="nil"/>
            </w:tcBorders>
            <w:shd w:val="clear" w:color="000000" w:fill="D9D9D9"/>
            <w:noWrap/>
            <w:vAlign w:val="center"/>
          </w:tcPr>
          <w:p w14:paraId="00D4D62B" w14:textId="77777777" w:rsidR="00213C22" w:rsidRPr="00BC2376" w:rsidRDefault="00213C22" w:rsidP="00A55538">
            <w:pPr>
              <w:spacing w:line="240" w:lineRule="auto"/>
              <w:jc w:val="center"/>
              <w:rPr>
                <w:rFonts w:cs="Times New Roman"/>
                <w:color w:val="000000"/>
                <w:sz w:val="20"/>
                <w:szCs w:val="20"/>
              </w:rPr>
            </w:pPr>
            <w:r>
              <w:rPr>
                <w:rFonts w:cs="Times New Roman"/>
                <w:color w:val="000000"/>
                <w:sz w:val="20"/>
                <w:szCs w:val="20"/>
              </w:rPr>
              <w:t xml:space="preserve"> </w:t>
            </w:r>
            <w:r w:rsidRPr="00BC2376">
              <w:rPr>
                <w:rFonts w:cs="Times New Roman"/>
                <w:color w:val="000000"/>
                <w:sz w:val="20"/>
                <w:szCs w:val="20"/>
              </w:rPr>
              <w:t>1.0 ef</w:t>
            </w:r>
          </w:p>
        </w:tc>
        <w:tc>
          <w:tcPr>
            <w:tcW w:w="1029" w:type="dxa"/>
            <w:tcBorders>
              <w:top w:val="nil"/>
              <w:left w:val="nil"/>
              <w:bottom w:val="nil"/>
              <w:right w:val="nil"/>
            </w:tcBorders>
            <w:shd w:val="clear" w:color="000000" w:fill="D9D9D9"/>
            <w:vAlign w:val="center"/>
          </w:tcPr>
          <w:p w14:paraId="0028D337" w14:textId="77777777" w:rsidR="00213C22" w:rsidRPr="00BC2376" w:rsidRDefault="00213C22" w:rsidP="00A55538">
            <w:pPr>
              <w:spacing w:line="240" w:lineRule="auto"/>
              <w:jc w:val="center"/>
              <w:rPr>
                <w:rFonts w:cs="Times New Roman"/>
                <w:color w:val="000000"/>
                <w:sz w:val="20"/>
                <w:szCs w:val="20"/>
              </w:rPr>
            </w:pPr>
            <w:r w:rsidRPr="00BC2376">
              <w:rPr>
                <w:rFonts w:cs="Times New Roman"/>
                <w:color w:val="000000"/>
                <w:sz w:val="20"/>
                <w:szCs w:val="20"/>
              </w:rPr>
              <w:t>0.8 f</w:t>
            </w:r>
          </w:p>
        </w:tc>
      </w:tr>
      <w:tr w:rsidR="00213C22" w:rsidRPr="00BC2376" w14:paraId="270A69A4" w14:textId="77777777" w:rsidTr="00983887">
        <w:trPr>
          <w:trHeight w:val="295"/>
        </w:trPr>
        <w:tc>
          <w:tcPr>
            <w:tcW w:w="2520" w:type="dxa"/>
            <w:tcBorders>
              <w:top w:val="nil"/>
              <w:left w:val="nil"/>
              <w:bottom w:val="nil"/>
              <w:right w:val="nil"/>
            </w:tcBorders>
            <w:shd w:val="clear" w:color="auto" w:fill="auto"/>
            <w:noWrap/>
            <w:vAlign w:val="center"/>
            <w:hideMark/>
          </w:tcPr>
          <w:p w14:paraId="3FEFAB2F" w14:textId="77777777" w:rsidR="00213C22" w:rsidRPr="00BC2376" w:rsidRDefault="00213C22" w:rsidP="00A55538">
            <w:pPr>
              <w:spacing w:line="240" w:lineRule="auto"/>
              <w:rPr>
                <w:rFonts w:cs="Times New Roman"/>
                <w:color w:val="000000"/>
                <w:sz w:val="20"/>
                <w:szCs w:val="20"/>
              </w:rPr>
            </w:pPr>
            <w:r w:rsidRPr="00BC2376">
              <w:rPr>
                <w:rFonts w:cs="Times New Roman"/>
                <w:color w:val="000000"/>
                <w:sz w:val="20"/>
                <w:szCs w:val="20"/>
              </w:rPr>
              <w:t>Middle Rest</w:t>
            </w:r>
          </w:p>
        </w:tc>
        <w:tc>
          <w:tcPr>
            <w:tcW w:w="1119" w:type="dxa"/>
            <w:tcBorders>
              <w:top w:val="nil"/>
              <w:left w:val="single" w:sz="12" w:space="0" w:color="FFFFFF"/>
              <w:bottom w:val="nil"/>
              <w:right w:val="nil"/>
            </w:tcBorders>
            <w:shd w:val="clear" w:color="auto" w:fill="auto"/>
            <w:noWrap/>
            <w:vAlign w:val="center"/>
          </w:tcPr>
          <w:p w14:paraId="6886F021" w14:textId="77777777" w:rsidR="00213C22" w:rsidRPr="00BC2376" w:rsidRDefault="00213C22" w:rsidP="00A55538">
            <w:pPr>
              <w:spacing w:line="240" w:lineRule="auto"/>
              <w:jc w:val="center"/>
              <w:rPr>
                <w:rFonts w:cs="Times New Roman"/>
                <w:color w:val="000000"/>
                <w:sz w:val="20"/>
                <w:szCs w:val="20"/>
              </w:rPr>
            </w:pPr>
            <w:r w:rsidRPr="00BC2376">
              <w:rPr>
                <w:rFonts w:cs="Times New Roman"/>
                <w:color w:val="000000"/>
                <w:sz w:val="20"/>
                <w:szCs w:val="20"/>
              </w:rPr>
              <w:t>0.9 ef</w:t>
            </w:r>
          </w:p>
        </w:tc>
        <w:tc>
          <w:tcPr>
            <w:tcW w:w="1212" w:type="dxa"/>
            <w:tcBorders>
              <w:top w:val="nil"/>
              <w:left w:val="nil"/>
              <w:bottom w:val="nil"/>
              <w:right w:val="nil"/>
            </w:tcBorders>
            <w:shd w:val="clear" w:color="auto" w:fill="auto"/>
            <w:noWrap/>
            <w:vAlign w:val="center"/>
          </w:tcPr>
          <w:p w14:paraId="1BB71BD3" w14:textId="77777777" w:rsidR="00213C22" w:rsidRPr="00BC2376" w:rsidRDefault="00213C22" w:rsidP="00A55538">
            <w:pPr>
              <w:spacing w:line="240" w:lineRule="auto"/>
              <w:jc w:val="center"/>
              <w:rPr>
                <w:rFonts w:cs="Times New Roman"/>
                <w:color w:val="000000"/>
                <w:sz w:val="20"/>
                <w:szCs w:val="20"/>
              </w:rPr>
            </w:pPr>
            <w:r>
              <w:rPr>
                <w:rFonts w:cs="Times New Roman"/>
                <w:color w:val="000000"/>
                <w:sz w:val="20"/>
                <w:szCs w:val="20"/>
              </w:rPr>
              <w:t xml:space="preserve">   </w:t>
            </w:r>
            <w:r w:rsidRPr="00BC2376">
              <w:rPr>
                <w:rFonts w:cs="Times New Roman"/>
                <w:color w:val="000000"/>
                <w:sz w:val="20"/>
                <w:szCs w:val="20"/>
              </w:rPr>
              <w:t>2.8 a-d</w:t>
            </w:r>
          </w:p>
        </w:tc>
        <w:tc>
          <w:tcPr>
            <w:tcW w:w="1029" w:type="dxa"/>
            <w:tcBorders>
              <w:top w:val="nil"/>
              <w:left w:val="nil"/>
              <w:bottom w:val="nil"/>
              <w:right w:val="nil"/>
            </w:tcBorders>
            <w:shd w:val="clear" w:color="auto" w:fill="auto"/>
            <w:vAlign w:val="center"/>
          </w:tcPr>
          <w:p w14:paraId="5AB32E77" w14:textId="77777777" w:rsidR="00213C22" w:rsidRPr="00BC2376" w:rsidRDefault="00213C22" w:rsidP="00A55538">
            <w:pPr>
              <w:spacing w:line="240" w:lineRule="auto"/>
              <w:jc w:val="center"/>
              <w:rPr>
                <w:rFonts w:cs="Times New Roman"/>
                <w:color w:val="000000"/>
                <w:sz w:val="20"/>
                <w:szCs w:val="20"/>
              </w:rPr>
            </w:pPr>
            <w:r>
              <w:rPr>
                <w:rFonts w:cs="Times New Roman"/>
                <w:color w:val="000000"/>
                <w:sz w:val="20"/>
                <w:szCs w:val="20"/>
              </w:rPr>
              <w:t xml:space="preserve">    </w:t>
            </w:r>
            <w:r w:rsidRPr="00BC2376">
              <w:rPr>
                <w:rFonts w:cs="Times New Roman"/>
                <w:color w:val="000000"/>
                <w:sz w:val="20"/>
                <w:szCs w:val="20"/>
              </w:rPr>
              <w:t>2.5 a-e</w:t>
            </w:r>
          </w:p>
        </w:tc>
      </w:tr>
      <w:tr w:rsidR="00213C22" w:rsidRPr="00BC2376" w14:paraId="28CEAFF7" w14:textId="77777777" w:rsidTr="00983887">
        <w:trPr>
          <w:trHeight w:val="295"/>
        </w:trPr>
        <w:tc>
          <w:tcPr>
            <w:tcW w:w="2520" w:type="dxa"/>
            <w:tcBorders>
              <w:top w:val="nil"/>
              <w:left w:val="nil"/>
              <w:bottom w:val="nil"/>
              <w:right w:val="nil"/>
            </w:tcBorders>
            <w:shd w:val="clear" w:color="000000" w:fill="D9D9D9"/>
            <w:noWrap/>
            <w:vAlign w:val="center"/>
            <w:hideMark/>
          </w:tcPr>
          <w:p w14:paraId="55838D52" w14:textId="77777777" w:rsidR="00213C22" w:rsidRPr="00BC2376" w:rsidRDefault="00213C22" w:rsidP="00A55538">
            <w:pPr>
              <w:spacing w:line="240" w:lineRule="auto"/>
              <w:rPr>
                <w:rFonts w:cs="Times New Roman"/>
                <w:color w:val="000000"/>
                <w:sz w:val="20"/>
                <w:szCs w:val="20"/>
              </w:rPr>
            </w:pPr>
            <w:r w:rsidRPr="00BC2376">
              <w:rPr>
                <w:rFonts w:cs="Times New Roman"/>
                <w:color w:val="000000"/>
                <w:sz w:val="20"/>
                <w:szCs w:val="20"/>
              </w:rPr>
              <w:t>Late Rest</w:t>
            </w:r>
          </w:p>
        </w:tc>
        <w:tc>
          <w:tcPr>
            <w:tcW w:w="1119" w:type="dxa"/>
            <w:tcBorders>
              <w:top w:val="nil"/>
              <w:left w:val="nil"/>
              <w:bottom w:val="nil"/>
              <w:right w:val="nil"/>
            </w:tcBorders>
            <w:shd w:val="clear" w:color="000000" w:fill="D9D9D9"/>
            <w:noWrap/>
            <w:vAlign w:val="center"/>
          </w:tcPr>
          <w:p w14:paraId="32D16D57" w14:textId="77777777" w:rsidR="00213C22" w:rsidRPr="00BC2376" w:rsidRDefault="00213C22" w:rsidP="00A55538">
            <w:pPr>
              <w:spacing w:line="240" w:lineRule="auto"/>
              <w:jc w:val="center"/>
              <w:rPr>
                <w:rFonts w:cs="Times New Roman"/>
                <w:color w:val="000000"/>
                <w:sz w:val="20"/>
                <w:szCs w:val="20"/>
              </w:rPr>
            </w:pPr>
            <w:r>
              <w:rPr>
                <w:rFonts w:cs="Times New Roman"/>
                <w:color w:val="000000"/>
                <w:sz w:val="20"/>
                <w:szCs w:val="20"/>
              </w:rPr>
              <w:t xml:space="preserve"> </w:t>
            </w:r>
            <w:r w:rsidRPr="00BC2376">
              <w:rPr>
                <w:rFonts w:cs="Times New Roman"/>
                <w:color w:val="000000"/>
                <w:sz w:val="20"/>
                <w:szCs w:val="20"/>
              </w:rPr>
              <w:t>1.5 c-f</w:t>
            </w:r>
          </w:p>
        </w:tc>
        <w:tc>
          <w:tcPr>
            <w:tcW w:w="1212" w:type="dxa"/>
            <w:tcBorders>
              <w:top w:val="nil"/>
              <w:left w:val="nil"/>
              <w:bottom w:val="nil"/>
              <w:right w:val="nil"/>
            </w:tcBorders>
            <w:shd w:val="clear" w:color="000000" w:fill="D9D9D9"/>
            <w:noWrap/>
            <w:vAlign w:val="center"/>
          </w:tcPr>
          <w:p w14:paraId="275C6153" w14:textId="77777777" w:rsidR="00213C22" w:rsidRPr="00BC2376" w:rsidRDefault="00213C22" w:rsidP="00A55538">
            <w:pPr>
              <w:spacing w:line="240" w:lineRule="auto"/>
              <w:jc w:val="center"/>
              <w:rPr>
                <w:rFonts w:cs="Times New Roman"/>
                <w:color w:val="000000"/>
                <w:sz w:val="20"/>
                <w:szCs w:val="20"/>
              </w:rPr>
            </w:pPr>
            <w:r>
              <w:rPr>
                <w:rFonts w:cs="Times New Roman"/>
                <w:color w:val="000000"/>
                <w:sz w:val="20"/>
                <w:szCs w:val="20"/>
              </w:rPr>
              <w:t xml:space="preserve">   </w:t>
            </w:r>
            <w:r w:rsidRPr="00BC2376">
              <w:rPr>
                <w:rFonts w:cs="Times New Roman"/>
                <w:color w:val="000000"/>
                <w:sz w:val="20"/>
                <w:szCs w:val="20"/>
              </w:rPr>
              <w:t>2.9 abc</w:t>
            </w:r>
          </w:p>
        </w:tc>
        <w:tc>
          <w:tcPr>
            <w:tcW w:w="1029" w:type="dxa"/>
            <w:tcBorders>
              <w:top w:val="nil"/>
              <w:left w:val="nil"/>
              <w:bottom w:val="nil"/>
              <w:right w:val="nil"/>
            </w:tcBorders>
            <w:shd w:val="clear" w:color="000000" w:fill="D9D9D9"/>
            <w:vAlign w:val="center"/>
          </w:tcPr>
          <w:p w14:paraId="1E0E61E7" w14:textId="77777777" w:rsidR="00213C22" w:rsidRPr="00BC2376" w:rsidRDefault="00213C22" w:rsidP="00A55538">
            <w:pPr>
              <w:spacing w:line="240" w:lineRule="auto"/>
              <w:jc w:val="center"/>
              <w:rPr>
                <w:rFonts w:cs="Times New Roman"/>
                <w:color w:val="000000"/>
                <w:sz w:val="20"/>
                <w:szCs w:val="20"/>
              </w:rPr>
            </w:pPr>
            <w:r>
              <w:rPr>
                <w:rFonts w:cs="Times New Roman"/>
                <w:color w:val="000000"/>
                <w:sz w:val="20"/>
                <w:szCs w:val="20"/>
              </w:rPr>
              <w:t xml:space="preserve">    </w:t>
            </w:r>
            <w:r w:rsidRPr="00BC2376">
              <w:rPr>
                <w:rFonts w:cs="Times New Roman"/>
                <w:color w:val="000000"/>
                <w:sz w:val="20"/>
                <w:szCs w:val="20"/>
              </w:rPr>
              <w:t>1.1 def</w:t>
            </w:r>
          </w:p>
        </w:tc>
      </w:tr>
      <w:tr w:rsidR="00213C22" w:rsidRPr="00BC2376" w14:paraId="75C30A97" w14:textId="77777777" w:rsidTr="00983887">
        <w:trPr>
          <w:trHeight w:val="312"/>
        </w:trPr>
        <w:tc>
          <w:tcPr>
            <w:tcW w:w="2520" w:type="dxa"/>
            <w:tcBorders>
              <w:top w:val="nil"/>
              <w:left w:val="nil"/>
              <w:bottom w:val="single" w:sz="12" w:space="0" w:color="auto"/>
              <w:right w:val="nil"/>
            </w:tcBorders>
            <w:shd w:val="clear" w:color="auto" w:fill="auto"/>
            <w:noWrap/>
            <w:vAlign w:val="center"/>
            <w:hideMark/>
          </w:tcPr>
          <w:p w14:paraId="1C41506E" w14:textId="77777777" w:rsidR="00213C22" w:rsidRPr="00BC2376" w:rsidRDefault="00213C22" w:rsidP="00A55538">
            <w:pPr>
              <w:spacing w:line="240" w:lineRule="auto"/>
              <w:rPr>
                <w:rFonts w:cs="Times New Roman"/>
                <w:color w:val="000000"/>
                <w:sz w:val="20"/>
                <w:szCs w:val="20"/>
              </w:rPr>
            </w:pPr>
            <w:r w:rsidRPr="00BC2376">
              <w:rPr>
                <w:rFonts w:cs="Times New Roman"/>
                <w:color w:val="000000"/>
                <w:sz w:val="20"/>
                <w:szCs w:val="20"/>
              </w:rPr>
              <w:t>No Graze</w:t>
            </w:r>
          </w:p>
        </w:tc>
        <w:tc>
          <w:tcPr>
            <w:tcW w:w="1119" w:type="dxa"/>
            <w:tcBorders>
              <w:top w:val="nil"/>
              <w:left w:val="single" w:sz="12" w:space="0" w:color="FFFFFF"/>
              <w:bottom w:val="single" w:sz="12" w:space="0" w:color="auto"/>
              <w:right w:val="nil"/>
            </w:tcBorders>
            <w:shd w:val="clear" w:color="auto" w:fill="auto"/>
            <w:noWrap/>
            <w:vAlign w:val="center"/>
          </w:tcPr>
          <w:p w14:paraId="10B73A32" w14:textId="77777777" w:rsidR="00213C22" w:rsidRPr="00BC2376" w:rsidRDefault="00213C22" w:rsidP="00A55538">
            <w:pPr>
              <w:tabs>
                <w:tab w:val="left" w:pos="249"/>
              </w:tabs>
              <w:spacing w:line="240" w:lineRule="auto"/>
              <w:jc w:val="center"/>
              <w:rPr>
                <w:rFonts w:cs="Times New Roman"/>
                <w:color w:val="000000"/>
                <w:sz w:val="20"/>
                <w:szCs w:val="20"/>
              </w:rPr>
            </w:pPr>
            <w:r>
              <w:rPr>
                <w:rFonts w:cs="Times New Roman"/>
                <w:color w:val="000000"/>
                <w:sz w:val="20"/>
                <w:szCs w:val="20"/>
              </w:rPr>
              <w:t xml:space="preserve"> </w:t>
            </w:r>
            <w:r w:rsidRPr="00BC2376">
              <w:rPr>
                <w:rFonts w:cs="Times New Roman"/>
                <w:color w:val="000000"/>
                <w:sz w:val="20"/>
                <w:szCs w:val="20"/>
              </w:rPr>
              <w:t>1.9 b-f</w:t>
            </w:r>
          </w:p>
        </w:tc>
        <w:tc>
          <w:tcPr>
            <w:tcW w:w="1212" w:type="dxa"/>
            <w:tcBorders>
              <w:top w:val="nil"/>
              <w:left w:val="nil"/>
              <w:bottom w:val="single" w:sz="12" w:space="0" w:color="auto"/>
              <w:right w:val="nil"/>
            </w:tcBorders>
            <w:shd w:val="clear" w:color="auto" w:fill="auto"/>
            <w:noWrap/>
            <w:vAlign w:val="center"/>
          </w:tcPr>
          <w:p w14:paraId="60404669" w14:textId="77777777" w:rsidR="00213C22" w:rsidRPr="00BC2376" w:rsidRDefault="00213C22" w:rsidP="00A55538">
            <w:pPr>
              <w:spacing w:line="240" w:lineRule="auto"/>
              <w:jc w:val="center"/>
              <w:rPr>
                <w:rFonts w:cs="Times New Roman"/>
                <w:color w:val="000000"/>
                <w:sz w:val="20"/>
                <w:szCs w:val="20"/>
              </w:rPr>
            </w:pPr>
            <w:r>
              <w:rPr>
                <w:rFonts w:cs="Times New Roman"/>
                <w:color w:val="000000"/>
                <w:sz w:val="20"/>
                <w:szCs w:val="20"/>
              </w:rPr>
              <w:t xml:space="preserve">  </w:t>
            </w:r>
            <w:r w:rsidRPr="00BC2376">
              <w:rPr>
                <w:rFonts w:cs="Times New Roman"/>
                <w:color w:val="000000"/>
                <w:sz w:val="20"/>
                <w:szCs w:val="20"/>
              </w:rPr>
              <w:t>1.9 b-f</w:t>
            </w:r>
          </w:p>
        </w:tc>
        <w:tc>
          <w:tcPr>
            <w:tcW w:w="1029" w:type="dxa"/>
            <w:tcBorders>
              <w:top w:val="nil"/>
              <w:left w:val="nil"/>
              <w:bottom w:val="single" w:sz="12" w:space="0" w:color="auto"/>
              <w:right w:val="nil"/>
            </w:tcBorders>
            <w:shd w:val="clear" w:color="auto" w:fill="auto"/>
            <w:vAlign w:val="center"/>
          </w:tcPr>
          <w:p w14:paraId="1CDA1778" w14:textId="77777777" w:rsidR="00213C22" w:rsidRPr="00BC2376" w:rsidRDefault="00213C22" w:rsidP="00A55538">
            <w:pPr>
              <w:spacing w:line="240" w:lineRule="auto"/>
              <w:jc w:val="center"/>
              <w:rPr>
                <w:rFonts w:cs="Times New Roman"/>
                <w:color w:val="000000"/>
                <w:sz w:val="20"/>
                <w:szCs w:val="20"/>
              </w:rPr>
            </w:pPr>
            <w:r>
              <w:rPr>
                <w:rFonts w:cs="Times New Roman"/>
                <w:color w:val="000000"/>
                <w:sz w:val="20"/>
                <w:szCs w:val="20"/>
              </w:rPr>
              <w:t xml:space="preserve">    </w:t>
            </w:r>
            <w:r w:rsidRPr="00BC2376">
              <w:rPr>
                <w:rFonts w:cs="Times New Roman"/>
                <w:color w:val="000000"/>
                <w:sz w:val="20"/>
                <w:szCs w:val="20"/>
              </w:rPr>
              <w:t>2.5 a-e</w:t>
            </w:r>
          </w:p>
        </w:tc>
      </w:tr>
    </w:tbl>
    <w:p w14:paraId="567A454E" w14:textId="77777777" w:rsidR="00213C22" w:rsidRDefault="00213C22" w:rsidP="00213C22">
      <w:pPr>
        <w:spacing w:line="240" w:lineRule="auto"/>
        <w:rPr>
          <w:rFonts w:eastAsia="Calibri" w:cs="Times New Roman"/>
        </w:rPr>
      </w:pPr>
      <w:r w:rsidRPr="00BC2376">
        <w:rPr>
          <w:rFonts w:eastAsia="Calibri" w:cs="Times New Roman"/>
        </w:rPr>
        <w:t>†</w:t>
      </w:r>
      <w:r>
        <w:rPr>
          <w:rFonts w:eastAsia="Calibri" w:cs="Times New Roman"/>
        </w:rPr>
        <w:t>Grazing</w:t>
      </w:r>
      <w:r w:rsidRPr="00BC2376">
        <w:rPr>
          <w:rFonts w:eastAsia="Calibri" w:cs="Times New Roman"/>
        </w:rPr>
        <w:t xml:space="preserve"> treatment (no rest, early rest, middle rest, late rest, or no graze); Year = 2018, 2019, or 2020</w:t>
      </w:r>
      <w:bookmarkEnd w:id="208"/>
    </w:p>
    <w:p w14:paraId="2BC1A451" w14:textId="77777777" w:rsidR="00213C22" w:rsidRDefault="00213C22" w:rsidP="00213C22">
      <w:pPr>
        <w:spacing w:line="240" w:lineRule="auto"/>
        <w:rPr>
          <w:rFonts w:eastAsia="Calibri" w:cs="Times New Roman"/>
        </w:rPr>
      </w:pPr>
      <w:r>
        <w:rPr>
          <w:rFonts w:eastAsia="Calibri" w:cs="Times New Roman"/>
        </w:rPr>
        <w:t xml:space="preserve">‡Letter groups consisting of four or more sequential letters are written with the first and last letter with a dash in between </w:t>
      </w:r>
    </w:p>
    <w:p w14:paraId="3EC98F3E" w14:textId="558912DE" w:rsidR="00213C22" w:rsidRDefault="00213C22" w:rsidP="00213C22">
      <w:pPr>
        <w:spacing w:line="240" w:lineRule="auto"/>
        <w:rPr>
          <w:rFonts w:eastAsia="Calibri" w:cs="Times New Roman"/>
        </w:rPr>
      </w:pPr>
      <w:r w:rsidRPr="00BC2376">
        <w:rPr>
          <w:rFonts w:eastAsia="Calibri" w:cs="Times New Roman"/>
        </w:rPr>
        <w:t xml:space="preserve">*Different letters indicate significant difference at α = 0.05 for </w:t>
      </w:r>
      <w:r>
        <w:rPr>
          <w:rFonts w:eastAsia="Calibri" w:cs="Times New Roman"/>
        </w:rPr>
        <w:t xml:space="preserve">Rest x </w:t>
      </w:r>
      <w:r w:rsidRPr="00BC2376">
        <w:rPr>
          <w:rFonts w:eastAsia="Calibri" w:cs="Times New Roman"/>
        </w:rPr>
        <w:t>Year interaction (Fisher’s least significant difference).</w:t>
      </w:r>
    </w:p>
    <w:p w14:paraId="06A5A438" w14:textId="1B99BC75" w:rsidR="00213C22" w:rsidRDefault="00213C22" w:rsidP="00213C22">
      <w:pPr>
        <w:spacing w:line="240" w:lineRule="auto"/>
        <w:rPr>
          <w:rFonts w:eastAsia="Calibri" w:cs="Times New Roman"/>
        </w:rPr>
      </w:pPr>
    </w:p>
    <w:p w14:paraId="73DF8C3F" w14:textId="6214527B" w:rsidR="00213C22" w:rsidRDefault="00213C22" w:rsidP="00213C22">
      <w:pPr>
        <w:spacing w:line="240" w:lineRule="auto"/>
        <w:rPr>
          <w:rFonts w:eastAsia="Calibri" w:cs="Times New Roman"/>
        </w:rPr>
      </w:pPr>
    </w:p>
    <w:p w14:paraId="40AD33CB" w14:textId="4FA8B6EE" w:rsidR="00213C22" w:rsidRDefault="00213C22" w:rsidP="00213C22">
      <w:pPr>
        <w:spacing w:line="240" w:lineRule="auto"/>
        <w:rPr>
          <w:rFonts w:eastAsia="Calibri" w:cs="Times New Roman"/>
        </w:rPr>
      </w:pPr>
    </w:p>
    <w:p w14:paraId="167EAD8B" w14:textId="14D46240" w:rsidR="00213C22" w:rsidRDefault="00213C22" w:rsidP="00213C22">
      <w:pPr>
        <w:spacing w:line="240" w:lineRule="auto"/>
        <w:rPr>
          <w:rFonts w:eastAsia="Calibri" w:cs="Times New Roman"/>
        </w:rPr>
      </w:pPr>
    </w:p>
    <w:p w14:paraId="32C9DFEE" w14:textId="77777777" w:rsidR="00213C22" w:rsidRPr="00BC2376" w:rsidRDefault="00213C22" w:rsidP="00213C22">
      <w:pPr>
        <w:spacing w:line="240" w:lineRule="auto"/>
        <w:rPr>
          <w:rFonts w:eastAsia="Calibri" w:cs="Times New Roman"/>
        </w:rPr>
      </w:pPr>
    </w:p>
    <w:p w14:paraId="23865433" w14:textId="06AB00CE" w:rsidR="00CD16CE" w:rsidRPr="00BC2376" w:rsidRDefault="00CD16CE" w:rsidP="00A01E34">
      <w:pPr>
        <w:pStyle w:val="Tables"/>
        <w:spacing w:before="0"/>
        <w:rPr>
          <w:b/>
        </w:rPr>
      </w:pPr>
      <w:bookmarkStart w:id="209" w:name="_Toc72300412"/>
      <w:r w:rsidRPr="00BC2376">
        <w:t>Table 2.</w:t>
      </w:r>
      <w:r w:rsidR="00D52CEE" w:rsidRPr="00BC2376">
        <w:t>1</w:t>
      </w:r>
      <w:r w:rsidR="00F84C04">
        <w:t>2</w:t>
      </w:r>
      <w:r w:rsidRPr="00BC2376">
        <w:t xml:space="preserve">.  </w:t>
      </w:r>
      <w:bookmarkStart w:id="210" w:name="_Hlk67615485"/>
      <w:r w:rsidR="0037107A" w:rsidRPr="00BC2376">
        <w:t>Mean plant density (plants m</w:t>
      </w:r>
      <w:r w:rsidR="0037107A" w:rsidRPr="00BC2376">
        <w:rPr>
          <w:vertAlign w:val="superscript"/>
        </w:rPr>
        <w:t>-2</w:t>
      </w:r>
      <w:r w:rsidR="0037107A" w:rsidRPr="00BC2376">
        <w:t xml:space="preserve">) </w:t>
      </w:r>
      <w:r w:rsidR="0037107A">
        <w:t>for BESU and MAXI for</w:t>
      </w:r>
      <w:r w:rsidR="0037107A" w:rsidRPr="00BC2376">
        <w:t xml:space="preserve"> </w:t>
      </w:r>
      <w:r w:rsidR="00172787">
        <w:t>grazing treatment  by period</w:t>
      </w:r>
      <w:r w:rsidR="0037107A" w:rsidRPr="00BC2376">
        <w:t xml:space="preserve"> in a big bluestem/indiangrass pasture</w:t>
      </w:r>
      <w:r w:rsidR="0037107A" w:rsidRPr="001157ED">
        <w:t xml:space="preserve"> </w:t>
      </w:r>
      <w:r w:rsidR="0037107A" w:rsidRPr="00BC2376">
        <w:t xml:space="preserve">for native </w:t>
      </w:r>
      <w:r w:rsidR="00706798">
        <w:t xml:space="preserve">grass </w:t>
      </w:r>
      <w:r w:rsidR="0037107A" w:rsidRPr="00BC2376">
        <w:t>pasture grazing experiment, 2018-2020, University of Tennessee – Northeast Tennessee AgResearch and Education Center, Greeneville, TN.</w:t>
      </w:r>
      <w:bookmarkEnd w:id="209"/>
      <w:bookmarkEnd w:id="210"/>
    </w:p>
    <w:tbl>
      <w:tblPr>
        <w:tblW w:w="10530" w:type="dxa"/>
        <w:tblLook w:val="04A0" w:firstRow="1" w:lastRow="0" w:firstColumn="1" w:lastColumn="0" w:noHBand="0" w:noVBand="1"/>
      </w:tblPr>
      <w:tblGrid>
        <w:gridCol w:w="2430"/>
        <w:gridCol w:w="1080"/>
        <w:gridCol w:w="1170"/>
        <w:gridCol w:w="1170"/>
        <w:gridCol w:w="1170"/>
        <w:gridCol w:w="1170"/>
        <w:gridCol w:w="1170"/>
        <w:gridCol w:w="1170"/>
      </w:tblGrid>
      <w:tr w:rsidR="0037107A" w:rsidRPr="00BC2376" w14:paraId="41FA3881" w14:textId="77777777" w:rsidTr="0037107A">
        <w:trPr>
          <w:gridAfter w:val="3"/>
          <w:wAfter w:w="3510" w:type="dxa"/>
          <w:trHeight w:val="312"/>
        </w:trPr>
        <w:tc>
          <w:tcPr>
            <w:tcW w:w="2430" w:type="dxa"/>
            <w:tcBorders>
              <w:top w:val="single" w:sz="12" w:space="0" w:color="auto"/>
              <w:left w:val="nil"/>
              <w:bottom w:val="single" w:sz="12" w:space="0" w:color="FFFFFF" w:themeColor="background1"/>
              <w:right w:val="single" w:sz="36" w:space="0" w:color="FFFFFF" w:themeColor="background1"/>
            </w:tcBorders>
            <w:shd w:val="clear" w:color="auto" w:fill="auto"/>
            <w:noWrap/>
            <w:vAlign w:val="center"/>
          </w:tcPr>
          <w:p w14:paraId="35EA78C6" w14:textId="1C6D04F7" w:rsidR="0037107A" w:rsidRPr="00BC2376" w:rsidRDefault="0037107A" w:rsidP="0037107A">
            <w:pPr>
              <w:spacing w:line="240" w:lineRule="auto"/>
              <w:rPr>
                <w:rFonts w:cs="Times New Roman"/>
                <w:color w:val="000000"/>
                <w:sz w:val="20"/>
                <w:szCs w:val="20"/>
              </w:rPr>
            </w:pPr>
            <w:r w:rsidRPr="00BC2376">
              <w:rPr>
                <w:rFonts w:cs="Times New Roman"/>
                <w:color w:val="000000"/>
                <w:sz w:val="20"/>
                <w:szCs w:val="20"/>
              </w:rPr>
              <w:t> </w:t>
            </w:r>
          </w:p>
        </w:tc>
        <w:tc>
          <w:tcPr>
            <w:tcW w:w="225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tcPr>
          <w:p w14:paraId="221C37ED" w14:textId="4F09D7FF" w:rsidR="0037107A" w:rsidRDefault="0037107A" w:rsidP="0037107A">
            <w:pPr>
              <w:spacing w:line="240" w:lineRule="auto"/>
              <w:jc w:val="center"/>
              <w:rPr>
                <w:rFonts w:cs="Times New Roman"/>
                <w:color w:val="000000"/>
                <w:sz w:val="20"/>
                <w:szCs w:val="20"/>
              </w:rPr>
            </w:pPr>
            <w:r>
              <w:rPr>
                <w:rFonts w:cs="Times New Roman"/>
                <w:color w:val="000000"/>
                <w:sz w:val="20"/>
                <w:szCs w:val="20"/>
              </w:rPr>
              <w:t>BESU</w:t>
            </w:r>
          </w:p>
        </w:tc>
        <w:tc>
          <w:tcPr>
            <w:tcW w:w="2340" w:type="dxa"/>
            <w:gridSpan w:val="2"/>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3F1C767C" w14:textId="735C3D4B" w:rsidR="0037107A" w:rsidRPr="00BC2376" w:rsidRDefault="0037107A" w:rsidP="0037107A">
            <w:pPr>
              <w:spacing w:line="240" w:lineRule="auto"/>
              <w:jc w:val="center"/>
              <w:rPr>
                <w:rFonts w:cs="Times New Roman"/>
                <w:color w:val="000000"/>
                <w:sz w:val="20"/>
                <w:szCs w:val="20"/>
              </w:rPr>
            </w:pPr>
            <w:r>
              <w:rPr>
                <w:rFonts w:cs="Times New Roman"/>
                <w:color w:val="000000"/>
                <w:sz w:val="20"/>
                <w:szCs w:val="20"/>
              </w:rPr>
              <w:t>MAXI</w:t>
            </w:r>
          </w:p>
        </w:tc>
      </w:tr>
      <w:tr w:rsidR="0037107A" w:rsidRPr="00BC2376" w14:paraId="64B0C3C0" w14:textId="17974924" w:rsidTr="0037107A">
        <w:trPr>
          <w:trHeight w:val="312"/>
        </w:trPr>
        <w:tc>
          <w:tcPr>
            <w:tcW w:w="2430" w:type="dxa"/>
            <w:tcBorders>
              <w:top w:val="single" w:sz="12" w:space="0" w:color="FFFFFF" w:themeColor="background1"/>
              <w:left w:val="nil"/>
              <w:bottom w:val="single" w:sz="12" w:space="0" w:color="auto"/>
              <w:right w:val="single" w:sz="36" w:space="0" w:color="FFFFFF" w:themeColor="background1"/>
            </w:tcBorders>
            <w:shd w:val="clear" w:color="auto" w:fill="auto"/>
            <w:noWrap/>
            <w:vAlign w:val="center"/>
          </w:tcPr>
          <w:p w14:paraId="33FFA295" w14:textId="1D6435A0" w:rsidR="0037107A" w:rsidRPr="00BC2376" w:rsidRDefault="0037107A" w:rsidP="0037107A">
            <w:pPr>
              <w:spacing w:line="240" w:lineRule="auto"/>
              <w:rPr>
                <w:rFonts w:cs="Times New Roman"/>
                <w:color w:val="000000"/>
                <w:sz w:val="20"/>
                <w:szCs w:val="20"/>
              </w:rPr>
            </w:pPr>
            <w:r w:rsidRPr="00BC2376">
              <w:rPr>
                <w:rFonts w:cs="Times New Roman"/>
                <w:color w:val="000000"/>
                <w:sz w:val="20"/>
                <w:szCs w:val="20"/>
              </w:rPr>
              <w:t>Effect</w:t>
            </w:r>
            <w:r w:rsidRPr="00BC2376">
              <w:rPr>
                <w:rFonts w:cs="Times New Roman"/>
                <w:color w:val="000000"/>
                <w:sz w:val="20"/>
                <w:szCs w:val="20"/>
                <w:vertAlign w:val="superscript"/>
              </w:rPr>
              <w:t>†</w:t>
            </w:r>
          </w:p>
        </w:tc>
        <w:tc>
          <w:tcPr>
            <w:tcW w:w="1080"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tcPr>
          <w:p w14:paraId="710CEE1D" w14:textId="395BC953" w:rsidR="0037107A" w:rsidRDefault="0037107A" w:rsidP="0037107A">
            <w:pPr>
              <w:spacing w:line="240" w:lineRule="auto"/>
              <w:jc w:val="center"/>
              <w:rPr>
                <w:rFonts w:cs="Times New Roman"/>
                <w:color w:val="000000"/>
                <w:sz w:val="20"/>
                <w:szCs w:val="20"/>
              </w:rPr>
            </w:pPr>
            <w:r>
              <w:rPr>
                <w:rFonts w:cs="Times New Roman"/>
                <w:color w:val="000000"/>
                <w:sz w:val="20"/>
                <w:szCs w:val="20"/>
              </w:rPr>
              <w:t>Pre</w:t>
            </w:r>
          </w:p>
        </w:tc>
        <w:tc>
          <w:tcPr>
            <w:tcW w:w="1170"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1817D363" w14:textId="114749F9" w:rsidR="0037107A" w:rsidRDefault="0037107A" w:rsidP="0037107A">
            <w:pPr>
              <w:spacing w:line="240" w:lineRule="auto"/>
              <w:jc w:val="center"/>
              <w:rPr>
                <w:rFonts w:cs="Times New Roman"/>
                <w:color w:val="000000"/>
                <w:sz w:val="20"/>
                <w:szCs w:val="20"/>
              </w:rPr>
            </w:pPr>
            <w:r>
              <w:rPr>
                <w:rFonts w:cs="Times New Roman"/>
                <w:color w:val="000000"/>
                <w:sz w:val="20"/>
                <w:szCs w:val="20"/>
              </w:rPr>
              <w:t>Post</w:t>
            </w:r>
          </w:p>
        </w:tc>
        <w:tc>
          <w:tcPr>
            <w:tcW w:w="1170"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65153263" w14:textId="76EDA09B" w:rsidR="0037107A" w:rsidRDefault="0037107A" w:rsidP="0037107A">
            <w:pPr>
              <w:spacing w:line="240" w:lineRule="auto"/>
              <w:jc w:val="center"/>
              <w:rPr>
                <w:rFonts w:cs="Times New Roman"/>
                <w:color w:val="000000"/>
                <w:sz w:val="20"/>
                <w:szCs w:val="20"/>
              </w:rPr>
            </w:pPr>
            <w:r>
              <w:rPr>
                <w:rFonts w:cs="Times New Roman"/>
                <w:color w:val="000000"/>
                <w:sz w:val="20"/>
                <w:szCs w:val="20"/>
              </w:rPr>
              <w:t>Pre</w:t>
            </w:r>
          </w:p>
        </w:tc>
        <w:tc>
          <w:tcPr>
            <w:tcW w:w="1170"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tcPr>
          <w:p w14:paraId="793AED5B" w14:textId="153761A2" w:rsidR="0037107A" w:rsidRDefault="0037107A" w:rsidP="0037107A">
            <w:pPr>
              <w:spacing w:line="240" w:lineRule="auto"/>
              <w:jc w:val="center"/>
              <w:rPr>
                <w:rFonts w:cs="Times New Roman"/>
                <w:color w:val="000000"/>
                <w:sz w:val="20"/>
                <w:szCs w:val="20"/>
              </w:rPr>
            </w:pPr>
            <w:r>
              <w:rPr>
                <w:rFonts w:cs="Times New Roman"/>
                <w:color w:val="000000"/>
                <w:sz w:val="20"/>
                <w:szCs w:val="20"/>
              </w:rPr>
              <w:t>Post</w:t>
            </w:r>
          </w:p>
        </w:tc>
        <w:tc>
          <w:tcPr>
            <w:tcW w:w="1170" w:type="dxa"/>
            <w:vAlign w:val="center"/>
          </w:tcPr>
          <w:p w14:paraId="21DDB42F" w14:textId="18306388" w:rsidR="0037107A" w:rsidRPr="00BC2376" w:rsidRDefault="0037107A" w:rsidP="0037107A">
            <w:pPr>
              <w:spacing w:line="240" w:lineRule="auto"/>
            </w:pPr>
          </w:p>
        </w:tc>
        <w:tc>
          <w:tcPr>
            <w:tcW w:w="1170" w:type="dxa"/>
            <w:vAlign w:val="center"/>
          </w:tcPr>
          <w:p w14:paraId="51563B33" w14:textId="0E240DC1" w:rsidR="0037107A" w:rsidRPr="00BC2376" w:rsidRDefault="0037107A" w:rsidP="0037107A">
            <w:pPr>
              <w:spacing w:line="240" w:lineRule="auto"/>
            </w:pPr>
          </w:p>
        </w:tc>
        <w:tc>
          <w:tcPr>
            <w:tcW w:w="1170" w:type="dxa"/>
            <w:vAlign w:val="center"/>
          </w:tcPr>
          <w:p w14:paraId="742A0258" w14:textId="5E94D108" w:rsidR="0037107A" w:rsidRPr="00BC2376" w:rsidRDefault="0037107A" w:rsidP="0037107A">
            <w:pPr>
              <w:spacing w:line="240" w:lineRule="auto"/>
            </w:pPr>
          </w:p>
        </w:tc>
      </w:tr>
      <w:tr w:rsidR="008347A3" w:rsidRPr="00BC2376" w14:paraId="56EB81C4" w14:textId="77777777" w:rsidTr="00A55538">
        <w:trPr>
          <w:gridAfter w:val="3"/>
          <w:wAfter w:w="3510" w:type="dxa"/>
          <w:trHeight w:val="324"/>
        </w:trPr>
        <w:tc>
          <w:tcPr>
            <w:tcW w:w="2430" w:type="dxa"/>
            <w:tcBorders>
              <w:top w:val="single" w:sz="12" w:space="0" w:color="auto"/>
              <w:left w:val="nil"/>
              <w:bottom w:val="single" w:sz="4" w:space="0" w:color="FFFFFF" w:themeColor="background1"/>
              <w:right w:val="single" w:sz="36" w:space="0" w:color="FFFFFF" w:themeColor="background1"/>
            </w:tcBorders>
            <w:shd w:val="clear" w:color="auto" w:fill="auto"/>
            <w:noWrap/>
            <w:vAlign w:val="center"/>
          </w:tcPr>
          <w:p w14:paraId="5AA400F1" w14:textId="77777777" w:rsidR="008347A3" w:rsidRPr="00BC2376" w:rsidRDefault="008347A3" w:rsidP="0037107A">
            <w:pPr>
              <w:spacing w:line="240" w:lineRule="auto"/>
              <w:rPr>
                <w:rFonts w:cs="Times New Roman"/>
                <w:color w:val="000000"/>
                <w:sz w:val="20"/>
                <w:szCs w:val="20"/>
              </w:rPr>
            </w:pPr>
          </w:p>
        </w:tc>
        <w:tc>
          <w:tcPr>
            <w:tcW w:w="4590" w:type="dxa"/>
            <w:gridSpan w:val="4"/>
            <w:tcBorders>
              <w:top w:val="single" w:sz="12" w:space="0" w:color="auto"/>
              <w:left w:val="single" w:sz="36" w:space="0" w:color="FFFFFF" w:themeColor="background1"/>
              <w:bottom w:val="single" w:sz="4" w:space="0" w:color="FFFFFF" w:themeColor="background1"/>
              <w:right w:val="single" w:sz="36" w:space="0" w:color="FFFFFF" w:themeColor="background1"/>
            </w:tcBorders>
            <w:shd w:val="clear" w:color="auto" w:fill="auto"/>
            <w:noWrap/>
            <w:vAlign w:val="center"/>
          </w:tcPr>
          <w:p w14:paraId="2D5FFFF7" w14:textId="36379A8D" w:rsidR="008347A3" w:rsidRPr="00BC2376" w:rsidRDefault="008347A3" w:rsidP="0037107A">
            <w:pPr>
              <w:spacing w:line="240" w:lineRule="auto"/>
              <w:jc w:val="center"/>
              <w:rPr>
                <w:rFonts w:cs="Times New Roman"/>
                <w:color w:val="000000"/>
                <w:sz w:val="20"/>
                <w:szCs w:val="20"/>
              </w:rPr>
            </w:pPr>
            <w:r>
              <w:rPr>
                <w:rFonts w:cs="Times New Roman"/>
                <w:color w:val="000000"/>
                <w:sz w:val="20"/>
                <w:szCs w:val="20"/>
              </w:rPr>
              <w:t>-----------------------plants m</w:t>
            </w:r>
            <w:r w:rsidRPr="00D215CC">
              <w:rPr>
                <w:rFonts w:cs="Times New Roman"/>
                <w:color w:val="000000"/>
                <w:sz w:val="20"/>
                <w:szCs w:val="20"/>
                <w:vertAlign w:val="superscript"/>
              </w:rPr>
              <w:t>-2</w:t>
            </w:r>
            <w:r>
              <w:rPr>
                <w:rFonts w:cs="Times New Roman"/>
                <w:color w:val="000000"/>
                <w:sz w:val="20"/>
                <w:szCs w:val="20"/>
              </w:rPr>
              <w:t>-----------------------</w:t>
            </w:r>
          </w:p>
        </w:tc>
      </w:tr>
      <w:tr w:rsidR="0037107A" w:rsidRPr="00BC2376" w14:paraId="51D9ABED" w14:textId="77777777" w:rsidTr="008347A3">
        <w:trPr>
          <w:gridAfter w:val="3"/>
          <w:wAfter w:w="3510" w:type="dxa"/>
          <w:trHeight w:val="324"/>
        </w:trPr>
        <w:tc>
          <w:tcPr>
            <w:tcW w:w="2430" w:type="dxa"/>
            <w:tcBorders>
              <w:top w:val="single" w:sz="4" w:space="0" w:color="FFFFFF" w:themeColor="background1"/>
              <w:left w:val="nil"/>
              <w:bottom w:val="nil"/>
              <w:right w:val="single" w:sz="36" w:space="0" w:color="FFFFFF" w:themeColor="background1"/>
            </w:tcBorders>
            <w:shd w:val="clear" w:color="auto" w:fill="auto"/>
            <w:noWrap/>
            <w:vAlign w:val="center"/>
            <w:hideMark/>
          </w:tcPr>
          <w:p w14:paraId="1B0A0B9C" w14:textId="77777777" w:rsidR="0037107A" w:rsidRPr="00BC2376" w:rsidRDefault="0037107A" w:rsidP="0037107A">
            <w:pPr>
              <w:spacing w:line="240" w:lineRule="auto"/>
              <w:rPr>
                <w:rFonts w:cs="Times New Roman"/>
                <w:color w:val="000000"/>
                <w:sz w:val="20"/>
                <w:szCs w:val="20"/>
              </w:rPr>
            </w:pPr>
            <w:r w:rsidRPr="00BC2376">
              <w:rPr>
                <w:rFonts w:cs="Times New Roman"/>
                <w:color w:val="000000"/>
                <w:sz w:val="20"/>
                <w:szCs w:val="20"/>
              </w:rPr>
              <w:t>No Rest</w:t>
            </w:r>
          </w:p>
        </w:tc>
        <w:tc>
          <w:tcPr>
            <w:tcW w:w="1080" w:type="dxa"/>
            <w:tcBorders>
              <w:top w:val="single" w:sz="4" w:space="0" w:color="FFFFFF" w:themeColor="background1"/>
              <w:left w:val="single" w:sz="36" w:space="0" w:color="FFFFFF" w:themeColor="background1"/>
              <w:bottom w:val="nil"/>
              <w:right w:val="single" w:sz="36" w:space="0" w:color="FFFFFF" w:themeColor="background1"/>
            </w:tcBorders>
            <w:shd w:val="clear" w:color="auto" w:fill="auto"/>
            <w:noWrap/>
            <w:vAlign w:val="center"/>
          </w:tcPr>
          <w:p w14:paraId="6B6C146B" w14:textId="77777777"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3.5 c*</w:t>
            </w:r>
          </w:p>
        </w:tc>
        <w:tc>
          <w:tcPr>
            <w:tcW w:w="1170" w:type="dxa"/>
            <w:tcBorders>
              <w:top w:val="single" w:sz="4" w:space="0" w:color="FFFFFF" w:themeColor="background1"/>
              <w:left w:val="single" w:sz="36" w:space="0" w:color="FFFFFF" w:themeColor="background1"/>
              <w:bottom w:val="nil"/>
              <w:right w:val="single" w:sz="36" w:space="0" w:color="FFFFFF" w:themeColor="background1"/>
            </w:tcBorders>
            <w:vAlign w:val="center"/>
          </w:tcPr>
          <w:p w14:paraId="4D6FD696" w14:textId="463911B5"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0.5 d</w:t>
            </w:r>
          </w:p>
        </w:tc>
        <w:tc>
          <w:tcPr>
            <w:tcW w:w="1170" w:type="dxa"/>
            <w:tcBorders>
              <w:top w:val="single" w:sz="4" w:space="0" w:color="FFFFFF" w:themeColor="background1"/>
              <w:left w:val="single" w:sz="36" w:space="0" w:color="FFFFFF" w:themeColor="background1"/>
              <w:bottom w:val="nil"/>
              <w:right w:val="single" w:sz="36" w:space="0" w:color="FFFFFF" w:themeColor="background1"/>
            </w:tcBorders>
            <w:shd w:val="clear" w:color="auto" w:fill="auto"/>
            <w:vAlign w:val="center"/>
          </w:tcPr>
          <w:p w14:paraId="476CD5A5" w14:textId="32ABF1F3"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0.6 b</w:t>
            </w:r>
          </w:p>
        </w:tc>
        <w:tc>
          <w:tcPr>
            <w:tcW w:w="1170" w:type="dxa"/>
            <w:tcBorders>
              <w:top w:val="single" w:sz="4" w:space="0" w:color="FFFFFF" w:themeColor="background1"/>
              <w:left w:val="single" w:sz="36" w:space="0" w:color="FFFFFF" w:themeColor="background1"/>
              <w:bottom w:val="nil"/>
              <w:right w:val="single" w:sz="36" w:space="0" w:color="FFFFFF" w:themeColor="background1"/>
            </w:tcBorders>
            <w:shd w:val="clear" w:color="auto" w:fill="auto"/>
            <w:noWrap/>
            <w:vAlign w:val="center"/>
          </w:tcPr>
          <w:p w14:paraId="2C584848" w14:textId="7E85FDB9"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0.1 b</w:t>
            </w:r>
          </w:p>
        </w:tc>
      </w:tr>
      <w:tr w:rsidR="0037107A" w:rsidRPr="00BC2376" w14:paraId="66AF60F3" w14:textId="77777777" w:rsidTr="0037107A">
        <w:trPr>
          <w:gridAfter w:val="3"/>
          <w:wAfter w:w="3510" w:type="dxa"/>
          <w:trHeight w:val="288"/>
        </w:trPr>
        <w:tc>
          <w:tcPr>
            <w:tcW w:w="2430" w:type="dxa"/>
            <w:tcBorders>
              <w:top w:val="nil"/>
              <w:left w:val="nil"/>
              <w:bottom w:val="nil"/>
              <w:right w:val="nil"/>
            </w:tcBorders>
            <w:shd w:val="clear" w:color="000000" w:fill="D9D9D9"/>
            <w:noWrap/>
            <w:vAlign w:val="center"/>
            <w:hideMark/>
          </w:tcPr>
          <w:p w14:paraId="26A57EA9" w14:textId="77777777" w:rsidR="0037107A" w:rsidRPr="00BC2376" w:rsidRDefault="0037107A" w:rsidP="0037107A">
            <w:pPr>
              <w:spacing w:line="240" w:lineRule="auto"/>
              <w:rPr>
                <w:rFonts w:cs="Times New Roman"/>
                <w:color w:val="000000"/>
                <w:sz w:val="20"/>
                <w:szCs w:val="20"/>
              </w:rPr>
            </w:pPr>
            <w:r w:rsidRPr="00BC2376">
              <w:rPr>
                <w:rFonts w:cs="Times New Roman"/>
                <w:color w:val="000000"/>
                <w:sz w:val="20"/>
                <w:szCs w:val="20"/>
              </w:rPr>
              <w:t>Early Rest</w:t>
            </w:r>
          </w:p>
        </w:tc>
        <w:tc>
          <w:tcPr>
            <w:tcW w:w="1080" w:type="dxa"/>
            <w:tcBorders>
              <w:top w:val="nil"/>
              <w:left w:val="nil"/>
              <w:bottom w:val="nil"/>
              <w:right w:val="nil"/>
            </w:tcBorders>
            <w:shd w:val="clear" w:color="000000" w:fill="D9D9D9"/>
            <w:noWrap/>
            <w:vAlign w:val="center"/>
          </w:tcPr>
          <w:p w14:paraId="35F8F1E3" w14:textId="77777777"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8.1 a</w:t>
            </w:r>
          </w:p>
        </w:tc>
        <w:tc>
          <w:tcPr>
            <w:tcW w:w="1170" w:type="dxa"/>
            <w:tcBorders>
              <w:top w:val="nil"/>
              <w:left w:val="nil"/>
              <w:bottom w:val="nil"/>
              <w:right w:val="nil"/>
            </w:tcBorders>
            <w:shd w:val="clear" w:color="000000" w:fill="D9D9D9"/>
            <w:vAlign w:val="center"/>
          </w:tcPr>
          <w:p w14:paraId="3D67D639" w14:textId="1669326F"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0.8 d</w:t>
            </w:r>
          </w:p>
        </w:tc>
        <w:tc>
          <w:tcPr>
            <w:tcW w:w="1170" w:type="dxa"/>
            <w:tcBorders>
              <w:top w:val="nil"/>
              <w:left w:val="nil"/>
              <w:bottom w:val="nil"/>
              <w:right w:val="nil"/>
            </w:tcBorders>
            <w:shd w:val="clear" w:color="000000" w:fill="D9D9D9"/>
            <w:vAlign w:val="center"/>
          </w:tcPr>
          <w:p w14:paraId="6537A43D" w14:textId="7563A09C"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0.0 b</w:t>
            </w:r>
          </w:p>
        </w:tc>
        <w:tc>
          <w:tcPr>
            <w:tcW w:w="1170" w:type="dxa"/>
            <w:tcBorders>
              <w:top w:val="nil"/>
              <w:left w:val="nil"/>
              <w:bottom w:val="nil"/>
              <w:right w:val="nil"/>
            </w:tcBorders>
            <w:shd w:val="clear" w:color="000000" w:fill="D9D9D9"/>
            <w:noWrap/>
            <w:vAlign w:val="center"/>
          </w:tcPr>
          <w:p w14:paraId="2A6458CC" w14:textId="0A156B00"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0.4 b</w:t>
            </w:r>
          </w:p>
        </w:tc>
      </w:tr>
      <w:tr w:rsidR="0037107A" w:rsidRPr="00BC2376" w14:paraId="3D7CE632" w14:textId="77777777" w:rsidTr="0037107A">
        <w:trPr>
          <w:gridAfter w:val="3"/>
          <w:wAfter w:w="3510" w:type="dxa"/>
          <w:trHeight w:val="288"/>
        </w:trPr>
        <w:tc>
          <w:tcPr>
            <w:tcW w:w="2430" w:type="dxa"/>
            <w:tcBorders>
              <w:top w:val="nil"/>
              <w:left w:val="nil"/>
              <w:bottom w:val="nil"/>
              <w:right w:val="nil"/>
            </w:tcBorders>
            <w:shd w:val="clear" w:color="auto" w:fill="auto"/>
            <w:noWrap/>
            <w:vAlign w:val="center"/>
            <w:hideMark/>
          </w:tcPr>
          <w:p w14:paraId="7127381F" w14:textId="77777777" w:rsidR="0037107A" w:rsidRPr="00BC2376" w:rsidRDefault="0037107A" w:rsidP="0037107A">
            <w:pPr>
              <w:spacing w:line="240" w:lineRule="auto"/>
              <w:rPr>
                <w:rFonts w:cs="Times New Roman"/>
                <w:color w:val="000000"/>
                <w:sz w:val="20"/>
                <w:szCs w:val="20"/>
              </w:rPr>
            </w:pPr>
            <w:r w:rsidRPr="00BC2376">
              <w:rPr>
                <w:rFonts w:cs="Times New Roman"/>
                <w:color w:val="000000"/>
                <w:sz w:val="20"/>
                <w:szCs w:val="20"/>
              </w:rPr>
              <w:t>Middle Rest</w:t>
            </w:r>
          </w:p>
        </w:tc>
        <w:tc>
          <w:tcPr>
            <w:tcW w:w="1080" w:type="dxa"/>
            <w:tcBorders>
              <w:top w:val="nil"/>
              <w:left w:val="single" w:sz="12" w:space="0" w:color="FFFFFF"/>
              <w:bottom w:val="nil"/>
              <w:right w:val="nil"/>
            </w:tcBorders>
            <w:shd w:val="clear" w:color="auto" w:fill="auto"/>
            <w:noWrap/>
            <w:vAlign w:val="center"/>
          </w:tcPr>
          <w:p w14:paraId="08A0E20B" w14:textId="77777777"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3.7 c</w:t>
            </w:r>
          </w:p>
        </w:tc>
        <w:tc>
          <w:tcPr>
            <w:tcW w:w="1170" w:type="dxa"/>
            <w:tcBorders>
              <w:top w:val="nil"/>
              <w:left w:val="nil"/>
              <w:bottom w:val="nil"/>
              <w:right w:val="nil"/>
            </w:tcBorders>
            <w:vAlign w:val="center"/>
          </w:tcPr>
          <w:p w14:paraId="2894A2E9" w14:textId="5CC09275"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0.9 d</w:t>
            </w:r>
          </w:p>
        </w:tc>
        <w:tc>
          <w:tcPr>
            <w:tcW w:w="1170" w:type="dxa"/>
            <w:tcBorders>
              <w:top w:val="nil"/>
              <w:left w:val="single" w:sz="12" w:space="0" w:color="FFFFFF"/>
              <w:bottom w:val="nil"/>
              <w:right w:val="nil"/>
            </w:tcBorders>
            <w:shd w:val="clear" w:color="auto" w:fill="auto"/>
            <w:vAlign w:val="center"/>
          </w:tcPr>
          <w:p w14:paraId="2202B353" w14:textId="72B688E2"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0.0 b</w:t>
            </w:r>
          </w:p>
        </w:tc>
        <w:tc>
          <w:tcPr>
            <w:tcW w:w="1170" w:type="dxa"/>
            <w:tcBorders>
              <w:top w:val="nil"/>
              <w:left w:val="nil"/>
              <w:bottom w:val="nil"/>
              <w:right w:val="nil"/>
            </w:tcBorders>
            <w:shd w:val="clear" w:color="auto" w:fill="auto"/>
            <w:noWrap/>
            <w:vAlign w:val="center"/>
          </w:tcPr>
          <w:p w14:paraId="1F0C7F50" w14:textId="5FAE348B"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0.4 b</w:t>
            </w:r>
          </w:p>
        </w:tc>
      </w:tr>
      <w:tr w:rsidR="0037107A" w:rsidRPr="00BC2376" w14:paraId="2510C2FC" w14:textId="77777777" w:rsidTr="0037107A">
        <w:trPr>
          <w:gridAfter w:val="3"/>
          <w:wAfter w:w="3510" w:type="dxa"/>
          <w:trHeight w:val="288"/>
        </w:trPr>
        <w:tc>
          <w:tcPr>
            <w:tcW w:w="2430" w:type="dxa"/>
            <w:tcBorders>
              <w:top w:val="nil"/>
              <w:left w:val="nil"/>
              <w:bottom w:val="nil"/>
              <w:right w:val="nil"/>
            </w:tcBorders>
            <w:shd w:val="clear" w:color="000000" w:fill="D9D9D9"/>
            <w:noWrap/>
            <w:vAlign w:val="center"/>
            <w:hideMark/>
          </w:tcPr>
          <w:p w14:paraId="7B97E699" w14:textId="77777777" w:rsidR="0037107A" w:rsidRPr="00BC2376" w:rsidRDefault="0037107A" w:rsidP="0037107A">
            <w:pPr>
              <w:spacing w:line="240" w:lineRule="auto"/>
              <w:rPr>
                <w:rFonts w:cs="Times New Roman"/>
                <w:color w:val="000000"/>
                <w:sz w:val="20"/>
                <w:szCs w:val="20"/>
              </w:rPr>
            </w:pPr>
            <w:r w:rsidRPr="00BC2376">
              <w:rPr>
                <w:rFonts w:cs="Times New Roman"/>
                <w:color w:val="000000"/>
                <w:sz w:val="20"/>
                <w:szCs w:val="20"/>
              </w:rPr>
              <w:t>Late Rest</w:t>
            </w:r>
          </w:p>
        </w:tc>
        <w:tc>
          <w:tcPr>
            <w:tcW w:w="1080" w:type="dxa"/>
            <w:tcBorders>
              <w:top w:val="nil"/>
              <w:left w:val="nil"/>
              <w:bottom w:val="nil"/>
              <w:right w:val="nil"/>
            </w:tcBorders>
            <w:shd w:val="clear" w:color="000000" w:fill="D9D9D9"/>
            <w:noWrap/>
            <w:vAlign w:val="center"/>
          </w:tcPr>
          <w:p w14:paraId="0D768501" w14:textId="77777777"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5.2 bc</w:t>
            </w:r>
          </w:p>
        </w:tc>
        <w:tc>
          <w:tcPr>
            <w:tcW w:w="1170" w:type="dxa"/>
            <w:tcBorders>
              <w:top w:val="nil"/>
              <w:left w:val="nil"/>
              <w:bottom w:val="nil"/>
              <w:right w:val="nil"/>
            </w:tcBorders>
            <w:shd w:val="clear" w:color="000000" w:fill="D9D9D9"/>
            <w:vAlign w:val="center"/>
          </w:tcPr>
          <w:p w14:paraId="08C20E04" w14:textId="62BF6CF1"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0.2 d</w:t>
            </w:r>
          </w:p>
        </w:tc>
        <w:tc>
          <w:tcPr>
            <w:tcW w:w="1170" w:type="dxa"/>
            <w:tcBorders>
              <w:top w:val="nil"/>
              <w:left w:val="nil"/>
              <w:bottom w:val="nil"/>
              <w:right w:val="nil"/>
            </w:tcBorders>
            <w:shd w:val="clear" w:color="000000" w:fill="D9D9D9"/>
            <w:vAlign w:val="center"/>
          </w:tcPr>
          <w:p w14:paraId="7075D4DC" w14:textId="3922AECF"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1.4 a</w:t>
            </w:r>
          </w:p>
        </w:tc>
        <w:tc>
          <w:tcPr>
            <w:tcW w:w="1170" w:type="dxa"/>
            <w:tcBorders>
              <w:top w:val="nil"/>
              <w:left w:val="nil"/>
              <w:bottom w:val="nil"/>
              <w:right w:val="nil"/>
            </w:tcBorders>
            <w:shd w:val="clear" w:color="000000" w:fill="D9D9D9"/>
            <w:noWrap/>
            <w:vAlign w:val="center"/>
          </w:tcPr>
          <w:p w14:paraId="16D92FF0" w14:textId="02990DC6"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0.0 b</w:t>
            </w:r>
          </w:p>
        </w:tc>
      </w:tr>
      <w:tr w:rsidR="0037107A" w:rsidRPr="00BC2376" w14:paraId="702A47AF" w14:textId="77777777" w:rsidTr="0037107A">
        <w:trPr>
          <w:gridAfter w:val="3"/>
          <w:wAfter w:w="3510" w:type="dxa"/>
          <w:trHeight w:val="288"/>
        </w:trPr>
        <w:tc>
          <w:tcPr>
            <w:tcW w:w="2430" w:type="dxa"/>
            <w:tcBorders>
              <w:top w:val="nil"/>
              <w:left w:val="nil"/>
              <w:bottom w:val="single" w:sz="12" w:space="0" w:color="auto"/>
              <w:right w:val="nil"/>
            </w:tcBorders>
            <w:shd w:val="clear" w:color="auto" w:fill="auto"/>
            <w:noWrap/>
            <w:vAlign w:val="center"/>
            <w:hideMark/>
          </w:tcPr>
          <w:p w14:paraId="0F150B40" w14:textId="77777777" w:rsidR="0037107A" w:rsidRPr="00BC2376" w:rsidRDefault="0037107A" w:rsidP="0037107A">
            <w:pPr>
              <w:spacing w:line="240" w:lineRule="auto"/>
              <w:rPr>
                <w:rFonts w:cs="Times New Roman"/>
                <w:color w:val="000000"/>
                <w:sz w:val="20"/>
                <w:szCs w:val="20"/>
              </w:rPr>
            </w:pPr>
            <w:r w:rsidRPr="00BC2376">
              <w:rPr>
                <w:rFonts w:cs="Times New Roman"/>
                <w:color w:val="000000"/>
                <w:sz w:val="20"/>
                <w:szCs w:val="20"/>
              </w:rPr>
              <w:t>No Graze</w:t>
            </w:r>
          </w:p>
        </w:tc>
        <w:tc>
          <w:tcPr>
            <w:tcW w:w="1080" w:type="dxa"/>
            <w:tcBorders>
              <w:top w:val="nil"/>
              <w:left w:val="single" w:sz="12" w:space="0" w:color="FFFFFF"/>
              <w:bottom w:val="single" w:sz="12" w:space="0" w:color="auto"/>
              <w:right w:val="nil"/>
            </w:tcBorders>
            <w:shd w:val="clear" w:color="auto" w:fill="auto"/>
            <w:noWrap/>
            <w:vAlign w:val="center"/>
          </w:tcPr>
          <w:p w14:paraId="355D5797" w14:textId="77777777"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6.7 ab</w:t>
            </w:r>
          </w:p>
        </w:tc>
        <w:tc>
          <w:tcPr>
            <w:tcW w:w="1170" w:type="dxa"/>
            <w:tcBorders>
              <w:top w:val="nil"/>
              <w:left w:val="nil"/>
              <w:bottom w:val="single" w:sz="12" w:space="0" w:color="auto"/>
              <w:right w:val="nil"/>
            </w:tcBorders>
            <w:vAlign w:val="center"/>
          </w:tcPr>
          <w:p w14:paraId="7F5C11FE" w14:textId="64C33C9B"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0.4 d</w:t>
            </w:r>
          </w:p>
        </w:tc>
        <w:tc>
          <w:tcPr>
            <w:tcW w:w="1170" w:type="dxa"/>
            <w:tcBorders>
              <w:top w:val="nil"/>
              <w:left w:val="single" w:sz="12" w:space="0" w:color="FFFFFF"/>
              <w:bottom w:val="single" w:sz="12" w:space="0" w:color="auto"/>
              <w:right w:val="nil"/>
            </w:tcBorders>
            <w:shd w:val="clear" w:color="auto" w:fill="auto"/>
            <w:vAlign w:val="center"/>
          </w:tcPr>
          <w:p w14:paraId="4390A9E4" w14:textId="44B21ED9"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0.1 b</w:t>
            </w:r>
          </w:p>
        </w:tc>
        <w:tc>
          <w:tcPr>
            <w:tcW w:w="1170" w:type="dxa"/>
            <w:tcBorders>
              <w:top w:val="nil"/>
              <w:left w:val="nil"/>
              <w:bottom w:val="single" w:sz="12" w:space="0" w:color="auto"/>
              <w:right w:val="nil"/>
            </w:tcBorders>
            <w:shd w:val="clear" w:color="auto" w:fill="auto"/>
            <w:noWrap/>
            <w:vAlign w:val="center"/>
          </w:tcPr>
          <w:p w14:paraId="58F5FE51" w14:textId="00565456" w:rsidR="0037107A" w:rsidRPr="00BC2376" w:rsidRDefault="0037107A" w:rsidP="0037107A">
            <w:pPr>
              <w:spacing w:line="240" w:lineRule="auto"/>
              <w:jc w:val="center"/>
              <w:rPr>
                <w:rFonts w:cs="Times New Roman"/>
                <w:color w:val="000000"/>
                <w:sz w:val="20"/>
                <w:szCs w:val="20"/>
              </w:rPr>
            </w:pPr>
            <w:r w:rsidRPr="00BC2376">
              <w:rPr>
                <w:rFonts w:cs="Times New Roman"/>
                <w:color w:val="000000"/>
                <w:sz w:val="20"/>
                <w:szCs w:val="20"/>
              </w:rPr>
              <w:t>0.1 b</w:t>
            </w:r>
          </w:p>
        </w:tc>
      </w:tr>
    </w:tbl>
    <w:p w14:paraId="2EE1A48A" w14:textId="7E709F96" w:rsidR="00B572F9" w:rsidRDefault="00CD16CE" w:rsidP="00B572F9">
      <w:pPr>
        <w:spacing w:line="240" w:lineRule="auto"/>
        <w:rPr>
          <w:rFonts w:eastAsia="Calibri" w:cs="Times New Roman"/>
          <w:bCs/>
        </w:rPr>
      </w:pPr>
      <w:r w:rsidRPr="00BC2376">
        <w:rPr>
          <w:rFonts w:eastAsia="Calibri" w:cs="Times New Roman"/>
        </w:rPr>
        <w:t>†</w:t>
      </w:r>
      <w:r w:rsidR="00172787">
        <w:rPr>
          <w:rFonts w:eastAsia="Calibri" w:cs="Times New Roman"/>
        </w:rPr>
        <w:t>Grazing</w:t>
      </w:r>
      <w:r w:rsidR="00B84781" w:rsidRPr="00BC2376">
        <w:rPr>
          <w:rFonts w:eastAsia="Calibri" w:cs="Times New Roman"/>
        </w:rPr>
        <w:t xml:space="preserve"> treatment (no rest, early rest, middle rest, late rest, or no graze)</w:t>
      </w:r>
      <w:r w:rsidR="00B84781">
        <w:rPr>
          <w:rFonts w:eastAsia="Calibri" w:cs="Times New Roman"/>
        </w:rPr>
        <w:t xml:space="preserve">; Period = Pre = </w:t>
      </w:r>
      <w:r w:rsidR="00B84781">
        <w:rPr>
          <w:rFonts w:eastAsia="Calibri" w:cs="Times New Roman"/>
          <w:bCs/>
        </w:rPr>
        <w:t xml:space="preserve">pre-grazing </w:t>
      </w:r>
      <w:r w:rsidR="00B84781" w:rsidRPr="00BC2376">
        <w:rPr>
          <w:rFonts w:eastAsia="Calibri" w:cs="Times New Roman"/>
          <w:bCs/>
        </w:rPr>
        <w:t>(May)</w:t>
      </w:r>
      <w:r w:rsidR="00B84781">
        <w:rPr>
          <w:rFonts w:eastAsia="Calibri" w:cs="Times New Roman"/>
          <w:bCs/>
        </w:rPr>
        <w:t xml:space="preserve"> or P</w:t>
      </w:r>
      <w:r w:rsidR="00B84781" w:rsidRPr="00BC2376">
        <w:rPr>
          <w:rFonts w:eastAsia="Calibri" w:cs="Times New Roman"/>
          <w:bCs/>
        </w:rPr>
        <w:t>ost</w:t>
      </w:r>
      <w:r w:rsidR="00B84781">
        <w:rPr>
          <w:rFonts w:eastAsia="Calibri" w:cs="Times New Roman"/>
          <w:bCs/>
        </w:rPr>
        <w:t xml:space="preserve"> = post</w:t>
      </w:r>
      <w:r w:rsidR="00B84781" w:rsidRPr="00BC2376">
        <w:rPr>
          <w:rFonts w:eastAsia="Calibri" w:cs="Times New Roman"/>
          <w:bCs/>
        </w:rPr>
        <w:t>-grazing (</w:t>
      </w:r>
      <w:r w:rsidR="00B84781">
        <w:rPr>
          <w:rFonts w:eastAsia="Calibri" w:cs="Times New Roman"/>
          <w:bCs/>
        </w:rPr>
        <w:t>late August/</w:t>
      </w:r>
      <w:r w:rsidR="00B84781" w:rsidRPr="00BC2376">
        <w:rPr>
          <w:rFonts w:eastAsia="Calibri" w:cs="Times New Roman"/>
          <w:bCs/>
        </w:rPr>
        <w:t>September)</w:t>
      </w:r>
    </w:p>
    <w:p w14:paraId="6FF7771F" w14:textId="65921310" w:rsidR="00172787" w:rsidRPr="00BC2376" w:rsidRDefault="00172787" w:rsidP="00172787">
      <w:pPr>
        <w:spacing w:line="240" w:lineRule="auto"/>
        <w:rPr>
          <w:rFonts w:eastAsia="Calibri" w:cs="Times New Roman"/>
        </w:rPr>
      </w:pPr>
      <w:r w:rsidRPr="00BC2376">
        <w:rPr>
          <w:rFonts w:eastAsia="Calibri" w:cs="Times New Roman"/>
        </w:rPr>
        <w:t xml:space="preserve">*Different letters </w:t>
      </w:r>
      <w:r w:rsidR="00FC71E0">
        <w:rPr>
          <w:rFonts w:eastAsia="Calibri" w:cs="Times New Roman"/>
        </w:rPr>
        <w:t xml:space="preserve">within a species </w:t>
      </w:r>
      <w:r w:rsidRPr="00BC2376">
        <w:rPr>
          <w:rFonts w:eastAsia="Calibri" w:cs="Times New Roman"/>
        </w:rPr>
        <w:t xml:space="preserve">indicate significant difference at α = 0.05 for </w:t>
      </w:r>
      <w:r>
        <w:rPr>
          <w:rFonts w:eastAsia="Calibri" w:cs="Times New Roman"/>
        </w:rPr>
        <w:t>Rest</w:t>
      </w:r>
      <w:r w:rsidRPr="00BC2376">
        <w:rPr>
          <w:rFonts w:eastAsia="Calibri" w:cs="Times New Roman"/>
        </w:rPr>
        <w:t xml:space="preserve"> x Period interaction (Fisher’s least significant difference).</w:t>
      </w:r>
    </w:p>
    <w:p w14:paraId="75EDE872" w14:textId="42FB5FF0" w:rsidR="00B43070" w:rsidRDefault="00B43070" w:rsidP="00B43070">
      <w:pPr>
        <w:pStyle w:val="Paragraphs"/>
        <w:ind w:firstLine="0"/>
        <w:rPr>
          <w:highlight w:val="cyan"/>
        </w:rPr>
      </w:pPr>
    </w:p>
    <w:p w14:paraId="09561585" w14:textId="77777777" w:rsidR="005C228F" w:rsidRDefault="005C228F" w:rsidP="00B43070">
      <w:pPr>
        <w:pStyle w:val="Paragraphs"/>
        <w:ind w:firstLine="0"/>
        <w:rPr>
          <w:highlight w:val="cyan"/>
        </w:rPr>
        <w:sectPr w:rsidR="005C228F" w:rsidSect="00B572F9">
          <w:pgSz w:w="12240" w:h="15840" w:code="1"/>
          <w:pgMar w:top="1440" w:right="1800" w:bottom="1872" w:left="1800" w:header="720" w:footer="1440" w:gutter="0"/>
          <w:cols w:space="720"/>
          <w:noEndnote/>
          <w:docGrid w:linePitch="360"/>
        </w:sectPr>
      </w:pPr>
    </w:p>
    <w:p w14:paraId="6C9F74AC" w14:textId="5F6E4617" w:rsidR="00B43070" w:rsidRPr="00BC2376" w:rsidRDefault="00B43070" w:rsidP="00A01E34">
      <w:pPr>
        <w:pStyle w:val="Tables"/>
        <w:spacing w:before="0" w:after="60"/>
        <w:rPr>
          <w:b/>
        </w:rPr>
      </w:pPr>
      <w:bookmarkStart w:id="211" w:name="_Toc72300413"/>
      <w:r w:rsidRPr="00BC2376">
        <w:lastRenderedPageBreak/>
        <w:t>Table 2</w:t>
      </w:r>
      <w:r>
        <w:t>.1</w:t>
      </w:r>
      <w:r w:rsidR="00F84C04">
        <w:t>3</w:t>
      </w:r>
      <w:r>
        <w:t>.</w:t>
      </w:r>
      <w:r w:rsidRPr="00BC2376">
        <w:t xml:space="preserve">  Mean plant density (plants m</w:t>
      </w:r>
      <w:r w:rsidRPr="00BC2376">
        <w:rPr>
          <w:vertAlign w:val="superscript"/>
        </w:rPr>
        <w:t>-2</w:t>
      </w:r>
      <w:r w:rsidRPr="00BC2376">
        <w:t xml:space="preserve">) </w:t>
      </w:r>
      <w:r>
        <w:t>for BESU, LANC, OXEY, PCON, and PLAC for</w:t>
      </w:r>
      <w:r w:rsidRPr="00BC2376">
        <w:t xml:space="preserve"> period </w:t>
      </w:r>
      <w:r>
        <w:t>by year</w:t>
      </w:r>
      <w:r w:rsidRPr="00BC2376">
        <w:t xml:space="preserve"> i</w:t>
      </w:r>
      <w:r>
        <w:t xml:space="preserve">n a </w:t>
      </w:r>
      <w:r w:rsidRPr="00BC2376">
        <w:t>big bluestem/indiangrass pasture</w:t>
      </w:r>
      <w:r w:rsidRPr="001157ED">
        <w:t xml:space="preserve"> </w:t>
      </w:r>
      <w:r w:rsidRPr="00BC2376">
        <w:t xml:space="preserve">for native </w:t>
      </w:r>
      <w:r w:rsidR="00706798">
        <w:t xml:space="preserve">grass </w:t>
      </w:r>
      <w:r w:rsidRPr="00BC2376">
        <w:t>pasture grazing experiment, 2018-2020, University of Tennessee – Northeast Tennessee AgResearch and Education Center, Greeneville, TN.</w:t>
      </w:r>
      <w:bookmarkEnd w:id="211"/>
    </w:p>
    <w:tbl>
      <w:tblPr>
        <w:tblW w:w="7020" w:type="dxa"/>
        <w:tblLook w:val="04A0" w:firstRow="1" w:lastRow="0" w:firstColumn="1" w:lastColumn="0" w:noHBand="0" w:noVBand="1"/>
      </w:tblPr>
      <w:tblGrid>
        <w:gridCol w:w="2070"/>
        <w:gridCol w:w="1080"/>
        <w:gridCol w:w="990"/>
        <w:gridCol w:w="990"/>
        <w:gridCol w:w="990"/>
        <w:gridCol w:w="900"/>
      </w:tblGrid>
      <w:tr w:rsidR="00B43070" w:rsidRPr="00BC2376" w14:paraId="448B82CC" w14:textId="77777777" w:rsidTr="00D3370F">
        <w:trPr>
          <w:trHeight w:val="312"/>
        </w:trPr>
        <w:tc>
          <w:tcPr>
            <w:tcW w:w="2070" w:type="dxa"/>
            <w:tcBorders>
              <w:top w:val="single" w:sz="12" w:space="0" w:color="auto"/>
              <w:left w:val="nil"/>
              <w:bottom w:val="single" w:sz="12" w:space="0" w:color="auto"/>
              <w:right w:val="single" w:sz="36" w:space="0" w:color="FFFFFF" w:themeColor="background1"/>
            </w:tcBorders>
            <w:shd w:val="clear" w:color="auto" w:fill="auto"/>
            <w:noWrap/>
            <w:vAlign w:val="center"/>
            <w:hideMark/>
          </w:tcPr>
          <w:p w14:paraId="3C4BD03D" w14:textId="77777777" w:rsidR="00B43070" w:rsidRPr="00BC2376" w:rsidRDefault="00B43070" w:rsidP="00D3370F">
            <w:pPr>
              <w:spacing w:line="240" w:lineRule="auto"/>
              <w:rPr>
                <w:rFonts w:cs="Times New Roman"/>
                <w:color w:val="000000"/>
                <w:sz w:val="20"/>
                <w:szCs w:val="20"/>
              </w:rPr>
            </w:pPr>
            <w:r w:rsidRPr="00BC2376">
              <w:rPr>
                <w:rFonts w:cs="Times New Roman"/>
                <w:color w:val="000000"/>
                <w:sz w:val="20"/>
                <w:szCs w:val="20"/>
              </w:rPr>
              <w:t>Period/Year</w:t>
            </w:r>
          </w:p>
        </w:tc>
        <w:tc>
          <w:tcPr>
            <w:tcW w:w="1080"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43808169" w14:textId="0561789E" w:rsidR="00B43070" w:rsidRPr="00BC2376" w:rsidRDefault="00B43070" w:rsidP="00D3370F">
            <w:pPr>
              <w:spacing w:line="240" w:lineRule="auto"/>
              <w:jc w:val="center"/>
              <w:rPr>
                <w:rFonts w:cs="Times New Roman"/>
                <w:color w:val="000000"/>
                <w:sz w:val="20"/>
                <w:szCs w:val="20"/>
              </w:rPr>
            </w:pPr>
            <w:r>
              <w:rPr>
                <w:rFonts w:cs="Times New Roman"/>
                <w:color w:val="000000"/>
                <w:sz w:val="20"/>
                <w:szCs w:val="20"/>
              </w:rPr>
              <w:t>BESU</w:t>
            </w:r>
            <w:r w:rsidRPr="00565016">
              <w:rPr>
                <w:rFonts w:eastAsia="Calibri" w:cs="Times New Roman"/>
                <w:vertAlign w:val="superscript"/>
              </w:rPr>
              <w:t>†</w:t>
            </w:r>
          </w:p>
        </w:tc>
        <w:tc>
          <w:tcPr>
            <w:tcW w:w="990"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33F17D66" w14:textId="77777777" w:rsidR="00B43070" w:rsidRPr="00BC2376" w:rsidRDefault="00B43070" w:rsidP="00D3370F">
            <w:pPr>
              <w:spacing w:line="240" w:lineRule="auto"/>
              <w:jc w:val="center"/>
              <w:rPr>
                <w:rFonts w:cs="Times New Roman"/>
                <w:color w:val="000000"/>
                <w:sz w:val="20"/>
                <w:szCs w:val="20"/>
              </w:rPr>
            </w:pPr>
            <w:r>
              <w:rPr>
                <w:rFonts w:cs="Times New Roman"/>
                <w:color w:val="000000"/>
                <w:sz w:val="20"/>
                <w:szCs w:val="20"/>
              </w:rPr>
              <w:t>LANC</w:t>
            </w:r>
          </w:p>
        </w:tc>
        <w:tc>
          <w:tcPr>
            <w:tcW w:w="990"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52648D3E" w14:textId="77777777" w:rsidR="00B43070" w:rsidRPr="00BC2376" w:rsidRDefault="00B43070" w:rsidP="00D3370F">
            <w:pPr>
              <w:spacing w:line="240" w:lineRule="auto"/>
              <w:jc w:val="center"/>
              <w:rPr>
                <w:rFonts w:cs="Times New Roman"/>
                <w:color w:val="000000"/>
                <w:sz w:val="20"/>
                <w:szCs w:val="20"/>
              </w:rPr>
            </w:pPr>
            <w:r>
              <w:rPr>
                <w:rFonts w:cs="Times New Roman"/>
                <w:color w:val="000000"/>
                <w:sz w:val="20"/>
                <w:szCs w:val="20"/>
              </w:rPr>
              <w:t>OXEY</w:t>
            </w:r>
          </w:p>
        </w:tc>
        <w:tc>
          <w:tcPr>
            <w:tcW w:w="990"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768B5F88" w14:textId="73764585" w:rsidR="00B43070" w:rsidRPr="00BC2376" w:rsidRDefault="00B43070" w:rsidP="00D3370F">
            <w:pPr>
              <w:spacing w:line="240" w:lineRule="auto"/>
              <w:jc w:val="center"/>
              <w:rPr>
                <w:rFonts w:cs="Times New Roman"/>
                <w:color w:val="000000"/>
                <w:sz w:val="20"/>
                <w:szCs w:val="20"/>
              </w:rPr>
            </w:pPr>
            <w:r>
              <w:rPr>
                <w:rFonts w:cs="Times New Roman"/>
                <w:color w:val="000000"/>
                <w:sz w:val="20"/>
                <w:szCs w:val="20"/>
              </w:rPr>
              <w:t>PCON</w:t>
            </w:r>
          </w:p>
        </w:tc>
        <w:tc>
          <w:tcPr>
            <w:tcW w:w="900" w:type="dxa"/>
            <w:tcBorders>
              <w:top w:val="single" w:sz="12" w:space="0" w:color="auto"/>
              <w:left w:val="single" w:sz="36" w:space="0" w:color="FFFFFF" w:themeColor="background1"/>
              <w:bottom w:val="single" w:sz="12" w:space="0" w:color="auto"/>
            </w:tcBorders>
            <w:shd w:val="clear" w:color="auto" w:fill="auto"/>
            <w:vAlign w:val="center"/>
            <w:hideMark/>
          </w:tcPr>
          <w:p w14:paraId="5BDCE6B5" w14:textId="13FC1590" w:rsidR="00B43070" w:rsidRPr="00BC2376" w:rsidRDefault="00B43070" w:rsidP="00D3370F">
            <w:pPr>
              <w:spacing w:line="240" w:lineRule="auto"/>
              <w:jc w:val="center"/>
              <w:rPr>
                <w:rFonts w:cs="Times New Roman"/>
                <w:color w:val="000000"/>
                <w:sz w:val="20"/>
                <w:szCs w:val="20"/>
              </w:rPr>
            </w:pPr>
            <w:r>
              <w:rPr>
                <w:rFonts w:cs="Times New Roman"/>
                <w:color w:val="000000"/>
                <w:sz w:val="20"/>
                <w:szCs w:val="20"/>
              </w:rPr>
              <w:t>PLAC</w:t>
            </w:r>
          </w:p>
        </w:tc>
      </w:tr>
      <w:tr w:rsidR="00B43070" w:rsidRPr="00BC2376" w14:paraId="3E099498" w14:textId="77777777" w:rsidTr="00D3370F">
        <w:trPr>
          <w:trHeight w:val="324"/>
        </w:trPr>
        <w:tc>
          <w:tcPr>
            <w:tcW w:w="2070" w:type="dxa"/>
            <w:tcBorders>
              <w:top w:val="single" w:sz="12" w:space="0" w:color="auto"/>
              <w:left w:val="nil"/>
              <w:bottom w:val="single" w:sz="12" w:space="0" w:color="FFFFFF" w:themeColor="background1"/>
              <w:right w:val="single" w:sz="36" w:space="0" w:color="FFFFFF" w:themeColor="background1"/>
            </w:tcBorders>
            <w:noWrap/>
            <w:vAlign w:val="center"/>
          </w:tcPr>
          <w:p w14:paraId="3725AC2B" w14:textId="77777777" w:rsidR="00B43070" w:rsidRDefault="00B43070" w:rsidP="00D3370F">
            <w:pPr>
              <w:spacing w:line="240" w:lineRule="auto"/>
              <w:rPr>
                <w:rFonts w:cs="Times New Roman"/>
                <w:color w:val="000000"/>
                <w:sz w:val="20"/>
                <w:szCs w:val="20"/>
              </w:rPr>
            </w:pPr>
          </w:p>
        </w:tc>
        <w:tc>
          <w:tcPr>
            <w:tcW w:w="4950" w:type="dxa"/>
            <w:gridSpan w:val="5"/>
            <w:tcBorders>
              <w:top w:val="single" w:sz="12" w:space="0" w:color="auto"/>
              <w:left w:val="single" w:sz="36" w:space="0" w:color="FFFFFF" w:themeColor="background1"/>
            </w:tcBorders>
            <w:shd w:val="clear" w:color="auto" w:fill="auto"/>
            <w:noWrap/>
            <w:vAlign w:val="center"/>
          </w:tcPr>
          <w:p w14:paraId="3B4AC237" w14:textId="77777777" w:rsidR="00B43070" w:rsidRDefault="00B43070" w:rsidP="00D3370F">
            <w:pPr>
              <w:spacing w:line="240" w:lineRule="auto"/>
              <w:jc w:val="center"/>
              <w:rPr>
                <w:rFonts w:cs="Times New Roman"/>
                <w:color w:val="000000"/>
                <w:sz w:val="20"/>
                <w:szCs w:val="20"/>
              </w:rPr>
            </w:pPr>
            <w:r>
              <w:rPr>
                <w:rFonts w:cs="Times New Roman"/>
                <w:color w:val="000000"/>
                <w:sz w:val="20"/>
                <w:szCs w:val="20"/>
              </w:rPr>
              <w:t>-----------------------------plants m</w:t>
            </w:r>
            <w:r w:rsidRPr="00D215CC">
              <w:rPr>
                <w:rFonts w:cs="Times New Roman"/>
                <w:color w:val="000000"/>
                <w:sz w:val="20"/>
                <w:szCs w:val="20"/>
                <w:vertAlign w:val="superscript"/>
              </w:rPr>
              <w:t>-2</w:t>
            </w:r>
            <w:r>
              <w:rPr>
                <w:rFonts w:cs="Times New Roman"/>
                <w:color w:val="000000"/>
                <w:sz w:val="20"/>
                <w:szCs w:val="20"/>
              </w:rPr>
              <w:t>-------------------------</w:t>
            </w:r>
          </w:p>
        </w:tc>
      </w:tr>
      <w:tr w:rsidR="00B43070" w:rsidRPr="00BC2376" w14:paraId="4C493FFD" w14:textId="77777777" w:rsidTr="00D3370F">
        <w:trPr>
          <w:trHeight w:val="324"/>
        </w:trPr>
        <w:tc>
          <w:tcPr>
            <w:tcW w:w="2070" w:type="dxa"/>
            <w:tcBorders>
              <w:top w:val="single" w:sz="12" w:space="0" w:color="FFFFFF" w:themeColor="background1"/>
              <w:left w:val="nil"/>
              <w:bottom w:val="nil"/>
              <w:right w:val="single" w:sz="36" w:space="0" w:color="FFFFFF" w:themeColor="background1"/>
            </w:tcBorders>
            <w:noWrap/>
            <w:vAlign w:val="center"/>
            <w:hideMark/>
          </w:tcPr>
          <w:p w14:paraId="1096522E" w14:textId="77777777" w:rsidR="00B43070" w:rsidRPr="00BC2376" w:rsidRDefault="00B43070" w:rsidP="00B43070">
            <w:pPr>
              <w:spacing w:line="240" w:lineRule="auto"/>
              <w:rPr>
                <w:rFonts w:cs="Times New Roman"/>
                <w:color w:val="000000"/>
                <w:sz w:val="20"/>
                <w:szCs w:val="20"/>
              </w:rPr>
            </w:pPr>
            <w:r>
              <w:rPr>
                <w:rFonts w:cs="Times New Roman"/>
                <w:color w:val="000000"/>
                <w:sz w:val="20"/>
                <w:szCs w:val="20"/>
              </w:rPr>
              <w:t>Pre-grazing</w:t>
            </w:r>
            <w:r w:rsidRPr="00BC2376">
              <w:rPr>
                <w:rFonts w:cs="Times New Roman"/>
                <w:color w:val="000000"/>
                <w:sz w:val="20"/>
                <w:szCs w:val="20"/>
              </w:rPr>
              <w:t xml:space="preserve"> 2018</w:t>
            </w:r>
            <w:r>
              <w:rPr>
                <w:rFonts w:cs="Times New Roman"/>
                <w:color w:val="000000"/>
                <w:sz w:val="20"/>
                <w:szCs w:val="20"/>
                <w:vertAlign w:val="superscript"/>
              </w:rPr>
              <w:t>‡</w:t>
            </w:r>
          </w:p>
        </w:tc>
        <w:tc>
          <w:tcPr>
            <w:tcW w:w="1080" w:type="dxa"/>
            <w:tcBorders>
              <w:left w:val="single" w:sz="36" w:space="0" w:color="FFFFFF" w:themeColor="background1"/>
              <w:bottom w:val="nil"/>
              <w:right w:val="single" w:sz="36" w:space="0" w:color="FFFFFF" w:themeColor="background1"/>
            </w:tcBorders>
            <w:shd w:val="clear" w:color="auto" w:fill="auto"/>
            <w:noWrap/>
            <w:vAlign w:val="center"/>
          </w:tcPr>
          <w:p w14:paraId="71DB62B5" w14:textId="1C625222"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 xml:space="preserve">  10.1 a*</w:t>
            </w:r>
          </w:p>
        </w:tc>
        <w:tc>
          <w:tcPr>
            <w:tcW w:w="990" w:type="dxa"/>
            <w:tcBorders>
              <w:left w:val="single" w:sz="36" w:space="0" w:color="FFFFFF" w:themeColor="background1"/>
              <w:bottom w:val="nil"/>
              <w:right w:val="single" w:sz="36" w:space="0" w:color="FFFFFF" w:themeColor="background1"/>
            </w:tcBorders>
            <w:shd w:val="clear" w:color="auto" w:fill="auto"/>
            <w:noWrap/>
            <w:vAlign w:val="center"/>
          </w:tcPr>
          <w:p w14:paraId="0866BC35" w14:textId="650B2729"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 xml:space="preserve">    9.6 bc</w:t>
            </w:r>
          </w:p>
        </w:tc>
        <w:tc>
          <w:tcPr>
            <w:tcW w:w="990" w:type="dxa"/>
            <w:tcBorders>
              <w:left w:val="single" w:sz="36" w:space="0" w:color="FFFFFF" w:themeColor="background1"/>
              <w:bottom w:val="nil"/>
              <w:right w:val="single" w:sz="36" w:space="0" w:color="FFFFFF" w:themeColor="background1"/>
            </w:tcBorders>
            <w:vAlign w:val="center"/>
          </w:tcPr>
          <w:p w14:paraId="684EF9DE" w14:textId="682E742B"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0.4 b</w:t>
            </w:r>
          </w:p>
        </w:tc>
        <w:tc>
          <w:tcPr>
            <w:tcW w:w="990" w:type="dxa"/>
            <w:tcBorders>
              <w:left w:val="single" w:sz="36" w:space="0" w:color="FFFFFF" w:themeColor="background1"/>
              <w:bottom w:val="nil"/>
              <w:right w:val="single" w:sz="36" w:space="0" w:color="FFFFFF" w:themeColor="background1"/>
            </w:tcBorders>
            <w:vAlign w:val="center"/>
          </w:tcPr>
          <w:p w14:paraId="38D4B7D4" w14:textId="29642312"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1.3 c</w:t>
            </w:r>
          </w:p>
        </w:tc>
        <w:tc>
          <w:tcPr>
            <w:tcW w:w="900" w:type="dxa"/>
            <w:tcBorders>
              <w:left w:val="single" w:sz="36" w:space="0" w:color="FFFFFF" w:themeColor="background1"/>
              <w:bottom w:val="nil"/>
            </w:tcBorders>
            <w:shd w:val="clear" w:color="auto" w:fill="auto"/>
            <w:vAlign w:val="center"/>
          </w:tcPr>
          <w:p w14:paraId="539D155C" w14:textId="74A7EAAC"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 xml:space="preserve">13.3 a </w:t>
            </w:r>
          </w:p>
        </w:tc>
      </w:tr>
      <w:tr w:rsidR="00B43070" w:rsidRPr="00BC2376" w14:paraId="1C76EFB9" w14:textId="77777777" w:rsidTr="00D3370F">
        <w:trPr>
          <w:trHeight w:val="288"/>
        </w:trPr>
        <w:tc>
          <w:tcPr>
            <w:tcW w:w="2070" w:type="dxa"/>
            <w:tcBorders>
              <w:top w:val="nil"/>
              <w:left w:val="nil"/>
              <w:bottom w:val="nil"/>
              <w:right w:val="nil"/>
            </w:tcBorders>
            <w:shd w:val="clear" w:color="000000" w:fill="D9D9D9"/>
            <w:noWrap/>
            <w:vAlign w:val="center"/>
            <w:hideMark/>
          </w:tcPr>
          <w:p w14:paraId="3128B762" w14:textId="77777777" w:rsidR="00B43070" w:rsidRPr="00BC2376" w:rsidRDefault="00B43070" w:rsidP="00B43070">
            <w:pPr>
              <w:spacing w:line="240" w:lineRule="auto"/>
              <w:rPr>
                <w:rFonts w:cs="Times New Roman"/>
                <w:color w:val="000000"/>
                <w:sz w:val="20"/>
                <w:szCs w:val="20"/>
              </w:rPr>
            </w:pPr>
            <w:r>
              <w:rPr>
                <w:rFonts w:cs="Times New Roman"/>
                <w:color w:val="000000"/>
                <w:sz w:val="20"/>
                <w:szCs w:val="20"/>
              </w:rPr>
              <w:t>Post-grazing</w:t>
            </w:r>
            <w:r w:rsidRPr="00BC2376">
              <w:rPr>
                <w:rFonts w:cs="Times New Roman"/>
                <w:color w:val="000000"/>
                <w:sz w:val="20"/>
                <w:szCs w:val="20"/>
              </w:rPr>
              <w:t xml:space="preserve"> 2018</w:t>
            </w:r>
          </w:p>
        </w:tc>
        <w:tc>
          <w:tcPr>
            <w:tcW w:w="1080" w:type="dxa"/>
            <w:tcBorders>
              <w:top w:val="nil"/>
              <w:left w:val="single" w:sz="12" w:space="0" w:color="D9D9D9" w:themeColor="background1" w:themeShade="D9"/>
              <w:bottom w:val="nil"/>
              <w:right w:val="single" w:sz="12" w:space="0" w:color="D9D9D9" w:themeColor="background1" w:themeShade="D9"/>
            </w:tcBorders>
            <w:shd w:val="clear" w:color="000000" w:fill="D9D9D9"/>
            <w:noWrap/>
            <w:vAlign w:val="center"/>
          </w:tcPr>
          <w:p w14:paraId="021008B7" w14:textId="76C3F87A" w:rsidR="00B43070" w:rsidRPr="00BC2376" w:rsidRDefault="00F0174B" w:rsidP="00B43070">
            <w:pPr>
              <w:spacing w:line="240" w:lineRule="auto"/>
              <w:jc w:val="center"/>
              <w:rPr>
                <w:rFonts w:cs="Times New Roman"/>
                <w:color w:val="000000"/>
                <w:sz w:val="20"/>
                <w:szCs w:val="20"/>
              </w:rPr>
            </w:pPr>
            <w:r>
              <w:rPr>
                <w:rFonts w:cs="Times New Roman"/>
                <w:color w:val="000000"/>
                <w:sz w:val="20"/>
                <w:szCs w:val="20"/>
              </w:rPr>
              <w:t xml:space="preserve">  </w:t>
            </w:r>
            <w:r w:rsidR="00B43070">
              <w:rPr>
                <w:rFonts w:cs="Times New Roman"/>
                <w:color w:val="000000"/>
                <w:sz w:val="20"/>
                <w:szCs w:val="20"/>
              </w:rPr>
              <w:t>0.7 c</w:t>
            </w:r>
          </w:p>
        </w:tc>
        <w:tc>
          <w:tcPr>
            <w:tcW w:w="990" w:type="dxa"/>
            <w:tcBorders>
              <w:top w:val="nil"/>
              <w:left w:val="single" w:sz="12" w:space="0" w:color="D9D9D9" w:themeColor="background1" w:themeShade="D9"/>
              <w:bottom w:val="nil"/>
              <w:right w:val="single" w:sz="12" w:space="0" w:color="D9D9D9" w:themeColor="background1" w:themeShade="D9"/>
            </w:tcBorders>
            <w:shd w:val="clear" w:color="000000" w:fill="D9D9D9"/>
            <w:noWrap/>
            <w:vAlign w:val="center"/>
          </w:tcPr>
          <w:p w14:paraId="3C2B0D5A" w14:textId="58C70E14"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10.4 b</w:t>
            </w:r>
          </w:p>
        </w:tc>
        <w:tc>
          <w:tcPr>
            <w:tcW w:w="990" w:type="dxa"/>
            <w:tcBorders>
              <w:top w:val="nil"/>
              <w:left w:val="single" w:sz="12" w:space="0" w:color="D9D9D9" w:themeColor="background1" w:themeShade="D9"/>
              <w:bottom w:val="nil"/>
              <w:right w:val="single" w:sz="12" w:space="0" w:color="D9D9D9" w:themeColor="background1" w:themeShade="D9"/>
            </w:tcBorders>
            <w:shd w:val="clear" w:color="000000" w:fill="D9D9D9"/>
            <w:vAlign w:val="center"/>
          </w:tcPr>
          <w:p w14:paraId="5AAC0A5E" w14:textId="592B7168"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1.7 b</w:t>
            </w:r>
          </w:p>
        </w:tc>
        <w:tc>
          <w:tcPr>
            <w:tcW w:w="990" w:type="dxa"/>
            <w:tcBorders>
              <w:top w:val="nil"/>
              <w:left w:val="single" w:sz="12" w:space="0" w:color="D9D9D9" w:themeColor="background1" w:themeShade="D9"/>
              <w:bottom w:val="nil"/>
              <w:right w:val="single" w:sz="12" w:space="0" w:color="D9D9D9" w:themeColor="background1" w:themeShade="D9"/>
            </w:tcBorders>
            <w:shd w:val="clear" w:color="000000" w:fill="D9D9D9"/>
            <w:vAlign w:val="center"/>
          </w:tcPr>
          <w:p w14:paraId="15168C5F" w14:textId="01A2331F"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2.3 b</w:t>
            </w:r>
          </w:p>
        </w:tc>
        <w:tc>
          <w:tcPr>
            <w:tcW w:w="900" w:type="dxa"/>
            <w:tcBorders>
              <w:top w:val="nil"/>
              <w:left w:val="single" w:sz="12" w:space="0" w:color="D9D9D9" w:themeColor="background1" w:themeShade="D9"/>
              <w:bottom w:val="nil"/>
              <w:right w:val="nil"/>
            </w:tcBorders>
            <w:shd w:val="clear" w:color="000000" w:fill="D9D9D9"/>
            <w:vAlign w:val="center"/>
          </w:tcPr>
          <w:p w14:paraId="1D13D249" w14:textId="59DC6679"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 xml:space="preserve">  0.5 b</w:t>
            </w:r>
          </w:p>
        </w:tc>
      </w:tr>
      <w:tr w:rsidR="00B43070" w:rsidRPr="00BC2376" w14:paraId="7B5DFD7F" w14:textId="77777777" w:rsidTr="00D3370F">
        <w:trPr>
          <w:trHeight w:val="288"/>
        </w:trPr>
        <w:tc>
          <w:tcPr>
            <w:tcW w:w="2070" w:type="dxa"/>
            <w:tcBorders>
              <w:top w:val="nil"/>
              <w:left w:val="nil"/>
              <w:bottom w:val="nil"/>
              <w:right w:val="nil"/>
            </w:tcBorders>
            <w:noWrap/>
            <w:vAlign w:val="center"/>
            <w:hideMark/>
          </w:tcPr>
          <w:p w14:paraId="19D73E56" w14:textId="77777777" w:rsidR="00B43070" w:rsidRPr="00BC2376" w:rsidRDefault="00B43070" w:rsidP="00B43070">
            <w:pPr>
              <w:spacing w:line="240" w:lineRule="auto"/>
              <w:rPr>
                <w:rFonts w:cs="Times New Roman"/>
                <w:color w:val="000000"/>
                <w:sz w:val="20"/>
                <w:szCs w:val="20"/>
              </w:rPr>
            </w:pPr>
            <w:r>
              <w:rPr>
                <w:rFonts w:cs="Times New Roman"/>
                <w:color w:val="000000"/>
                <w:sz w:val="20"/>
                <w:szCs w:val="20"/>
              </w:rPr>
              <w:t>Pre-grazing</w:t>
            </w:r>
            <w:r w:rsidRPr="00BC2376">
              <w:rPr>
                <w:rFonts w:cs="Times New Roman"/>
                <w:color w:val="000000"/>
                <w:sz w:val="20"/>
                <w:szCs w:val="20"/>
              </w:rPr>
              <w:t xml:space="preserve"> 2019</w:t>
            </w:r>
          </w:p>
        </w:tc>
        <w:tc>
          <w:tcPr>
            <w:tcW w:w="1080" w:type="dxa"/>
            <w:tcBorders>
              <w:top w:val="nil"/>
              <w:left w:val="single" w:sz="12" w:space="0" w:color="FFFFFF"/>
              <w:bottom w:val="nil"/>
              <w:right w:val="nil"/>
            </w:tcBorders>
            <w:shd w:val="clear" w:color="auto" w:fill="auto"/>
            <w:noWrap/>
            <w:vAlign w:val="center"/>
          </w:tcPr>
          <w:p w14:paraId="717F3092" w14:textId="10FB5CCE" w:rsidR="00B43070" w:rsidRPr="00BC2376" w:rsidRDefault="00F0174B" w:rsidP="00B43070">
            <w:pPr>
              <w:spacing w:line="240" w:lineRule="auto"/>
              <w:jc w:val="center"/>
              <w:rPr>
                <w:rFonts w:cs="Times New Roman"/>
                <w:color w:val="000000"/>
                <w:sz w:val="20"/>
                <w:szCs w:val="20"/>
              </w:rPr>
            </w:pPr>
            <w:r>
              <w:rPr>
                <w:rFonts w:cs="Times New Roman"/>
                <w:color w:val="000000"/>
                <w:sz w:val="20"/>
                <w:szCs w:val="20"/>
              </w:rPr>
              <w:t xml:space="preserve">  </w:t>
            </w:r>
            <w:r w:rsidR="00B43070">
              <w:rPr>
                <w:rFonts w:cs="Times New Roman"/>
                <w:color w:val="000000"/>
                <w:sz w:val="20"/>
                <w:szCs w:val="20"/>
              </w:rPr>
              <w:t>4.3 b</w:t>
            </w:r>
          </w:p>
        </w:tc>
        <w:tc>
          <w:tcPr>
            <w:tcW w:w="990" w:type="dxa"/>
            <w:tcBorders>
              <w:top w:val="nil"/>
              <w:left w:val="nil"/>
              <w:bottom w:val="nil"/>
              <w:right w:val="nil"/>
            </w:tcBorders>
            <w:shd w:val="clear" w:color="auto" w:fill="auto"/>
            <w:noWrap/>
            <w:vAlign w:val="center"/>
          </w:tcPr>
          <w:p w14:paraId="37774E3F" w14:textId="0BC6772C"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15.0 a</w:t>
            </w:r>
          </w:p>
        </w:tc>
        <w:tc>
          <w:tcPr>
            <w:tcW w:w="990" w:type="dxa"/>
            <w:tcBorders>
              <w:top w:val="nil"/>
              <w:left w:val="nil"/>
              <w:bottom w:val="nil"/>
              <w:right w:val="nil"/>
            </w:tcBorders>
            <w:vAlign w:val="center"/>
          </w:tcPr>
          <w:p w14:paraId="77018E71" w14:textId="72AA902C"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1.7 b</w:t>
            </w:r>
          </w:p>
        </w:tc>
        <w:tc>
          <w:tcPr>
            <w:tcW w:w="990" w:type="dxa"/>
            <w:tcBorders>
              <w:top w:val="nil"/>
              <w:left w:val="nil"/>
              <w:bottom w:val="nil"/>
              <w:right w:val="nil"/>
            </w:tcBorders>
            <w:vAlign w:val="center"/>
          </w:tcPr>
          <w:p w14:paraId="11C270CD" w14:textId="468FEDF9"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3.8 a</w:t>
            </w:r>
          </w:p>
        </w:tc>
        <w:tc>
          <w:tcPr>
            <w:tcW w:w="900" w:type="dxa"/>
            <w:tcBorders>
              <w:top w:val="nil"/>
              <w:left w:val="nil"/>
              <w:bottom w:val="nil"/>
              <w:right w:val="nil"/>
            </w:tcBorders>
            <w:shd w:val="clear" w:color="auto" w:fill="auto"/>
            <w:vAlign w:val="center"/>
          </w:tcPr>
          <w:p w14:paraId="6B6E23BD" w14:textId="6F7E57F7"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 xml:space="preserve">  2.0 b</w:t>
            </w:r>
          </w:p>
        </w:tc>
      </w:tr>
      <w:tr w:rsidR="00B43070" w:rsidRPr="00BC2376" w14:paraId="1CEDE855" w14:textId="77777777" w:rsidTr="00D3370F">
        <w:trPr>
          <w:trHeight w:val="288"/>
        </w:trPr>
        <w:tc>
          <w:tcPr>
            <w:tcW w:w="2070" w:type="dxa"/>
            <w:tcBorders>
              <w:top w:val="nil"/>
              <w:left w:val="nil"/>
              <w:bottom w:val="nil"/>
              <w:right w:val="nil"/>
            </w:tcBorders>
            <w:shd w:val="clear" w:color="000000" w:fill="D9D9D9"/>
            <w:noWrap/>
            <w:vAlign w:val="center"/>
            <w:hideMark/>
          </w:tcPr>
          <w:p w14:paraId="5FD2EA72" w14:textId="77777777" w:rsidR="00B43070" w:rsidRPr="00BC2376" w:rsidRDefault="00B43070" w:rsidP="00B43070">
            <w:pPr>
              <w:spacing w:line="240" w:lineRule="auto"/>
              <w:rPr>
                <w:rFonts w:cs="Times New Roman"/>
                <w:color w:val="000000"/>
                <w:sz w:val="20"/>
                <w:szCs w:val="20"/>
              </w:rPr>
            </w:pPr>
            <w:r>
              <w:rPr>
                <w:rFonts w:cs="Times New Roman"/>
                <w:color w:val="000000"/>
                <w:sz w:val="20"/>
                <w:szCs w:val="20"/>
              </w:rPr>
              <w:t>Post-grazing</w:t>
            </w:r>
            <w:r w:rsidRPr="00BC2376">
              <w:rPr>
                <w:rFonts w:cs="Times New Roman"/>
                <w:color w:val="000000"/>
                <w:sz w:val="20"/>
                <w:szCs w:val="20"/>
              </w:rPr>
              <w:t xml:space="preserve"> 2019</w:t>
            </w:r>
          </w:p>
        </w:tc>
        <w:tc>
          <w:tcPr>
            <w:tcW w:w="1080" w:type="dxa"/>
            <w:tcBorders>
              <w:top w:val="nil"/>
              <w:left w:val="single" w:sz="12" w:space="0" w:color="D9D9D9" w:themeColor="background1" w:themeShade="D9"/>
              <w:bottom w:val="nil"/>
              <w:right w:val="single" w:sz="12" w:space="0" w:color="D9D9D9" w:themeColor="background1" w:themeShade="D9"/>
            </w:tcBorders>
            <w:shd w:val="clear" w:color="000000" w:fill="D9D9D9"/>
            <w:noWrap/>
            <w:vAlign w:val="center"/>
          </w:tcPr>
          <w:p w14:paraId="3978F440" w14:textId="7F922134" w:rsidR="00B43070" w:rsidRPr="00BC2376" w:rsidRDefault="00F0174B" w:rsidP="00B43070">
            <w:pPr>
              <w:spacing w:line="240" w:lineRule="auto"/>
              <w:jc w:val="center"/>
              <w:rPr>
                <w:rFonts w:cs="Times New Roman"/>
                <w:color w:val="000000"/>
                <w:sz w:val="20"/>
                <w:szCs w:val="20"/>
              </w:rPr>
            </w:pPr>
            <w:r>
              <w:rPr>
                <w:rFonts w:cs="Times New Roman"/>
                <w:color w:val="000000"/>
                <w:sz w:val="20"/>
                <w:szCs w:val="20"/>
              </w:rPr>
              <w:t xml:space="preserve">  </w:t>
            </w:r>
            <w:r w:rsidR="00B43070">
              <w:rPr>
                <w:rFonts w:cs="Times New Roman"/>
                <w:color w:val="000000"/>
                <w:sz w:val="20"/>
                <w:szCs w:val="20"/>
              </w:rPr>
              <w:t>0.5 c</w:t>
            </w:r>
          </w:p>
        </w:tc>
        <w:tc>
          <w:tcPr>
            <w:tcW w:w="990" w:type="dxa"/>
            <w:tcBorders>
              <w:top w:val="nil"/>
              <w:left w:val="single" w:sz="12" w:space="0" w:color="D9D9D9" w:themeColor="background1" w:themeShade="D9"/>
              <w:bottom w:val="nil"/>
              <w:right w:val="single" w:sz="12" w:space="0" w:color="D9D9D9" w:themeColor="background1" w:themeShade="D9"/>
            </w:tcBorders>
            <w:shd w:val="clear" w:color="000000" w:fill="D9D9D9"/>
            <w:noWrap/>
            <w:vAlign w:val="center"/>
          </w:tcPr>
          <w:p w14:paraId="703F171C" w14:textId="57F37682"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 xml:space="preserve"> </w:t>
            </w:r>
            <w:r w:rsidR="00F0174B">
              <w:rPr>
                <w:rFonts w:cs="Times New Roman"/>
                <w:color w:val="000000"/>
                <w:sz w:val="20"/>
                <w:szCs w:val="20"/>
              </w:rPr>
              <w:t xml:space="preserve"> </w:t>
            </w:r>
            <w:r>
              <w:rPr>
                <w:rFonts w:cs="Times New Roman"/>
                <w:color w:val="000000"/>
                <w:sz w:val="20"/>
                <w:szCs w:val="20"/>
              </w:rPr>
              <w:t>6.0 c</w:t>
            </w:r>
          </w:p>
        </w:tc>
        <w:tc>
          <w:tcPr>
            <w:tcW w:w="990" w:type="dxa"/>
            <w:tcBorders>
              <w:top w:val="nil"/>
              <w:left w:val="single" w:sz="12" w:space="0" w:color="D9D9D9" w:themeColor="background1" w:themeShade="D9"/>
              <w:bottom w:val="nil"/>
              <w:right w:val="single" w:sz="12" w:space="0" w:color="D9D9D9" w:themeColor="background1" w:themeShade="D9"/>
            </w:tcBorders>
            <w:shd w:val="clear" w:color="000000" w:fill="D9D9D9"/>
            <w:vAlign w:val="center"/>
          </w:tcPr>
          <w:p w14:paraId="3F668189" w14:textId="1469EFAF"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1.0 b</w:t>
            </w:r>
          </w:p>
        </w:tc>
        <w:tc>
          <w:tcPr>
            <w:tcW w:w="990" w:type="dxa"/>
            <w:tcBorders>
              <w:top w:val="nil"/>
              <w:left w:val="single" w:sz="12" w:space="0" w:color="D9D9D9" w:themeColor="background1" w:themeShade="D9"/>
              <w:bottom w:val="nil"/>
              <w:right w:val="single" w:sz="12" w:space="0" w:color="D9D9D9" w:themeColor="background1" w:themeShade="D9"/>
            </w:tcBorders>
            <w:shd w:val="clear" w:color="000000" w:fill="D9D9D9"/>
            <w:vAlign w:val="center"/>
          </w:tcPr>
          <w:p w14:paraId="5A84420E" w14:textId="3CBB2372"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 xml:space="preserve">  1.3 bc</w:t>
            </w:r>
          </w:p>
        </w:tc>
        <w:tc>
          <w:tcPr>
            <w:tcW w:w="900" w:type="dxa"/>
            <w:tcBorders>
              <w:top w:val="nil"/>
              <w:left w:val="single" w:sz="12" w:space="0" w:color="D9D9D9" w:themeColor="background1" w:themeShade="D9"/>
              <w:bottom w:val="nil"/>
              <w:right w:val="nil"/>
            </w:tcBorders>
            <w:shd w:val="clear" w:color="000000" w:fill="D9D9D9"/>
            <w:vAlign w:val="center"/>
          </w:tcPr>
          <w:p w14:paraId="1EE6F266" w14:textId="225D8705"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 xml:space="preserve">  0.3 b</w:t>
            </w:r>
          </w:p>
        </w:tc>
      </w:tr>
      <w:tr w:rsidR="00B43070" w:rsidRPr="00BC2376" w14:paraId="3FB11C16" w14:textId="77777777" w:rsidTr="00D3370F">
        <w:trPr>
          <w:trHeight w:val="288"/>
        </w:trPr>
        <w:tc>
          <w:tcPr>
            <w:tcW w:w="2070" w:type="dxa"/>
            <w:tcBorders>
              <w:top w:val="nil"/>
              <w:left w:val="nil"/>
              <w:bottom w:val="nil"/>
              <w:right w:val="nil"/>
            </w:tcBorders>
            <w:noWrap/>
            <w:vAlign w:val="center"/>
            <w:hideMark/>
          </w:tcPr>
          <w:p w14:paraId="6DF6BDF9" w14:textId="77777777" w:rsidR="00B43070" w:rsidRPr="00BC2376" w:rsidRDefault="00B43070" w:rsidP="00B43070">
            <w:pPr>
              <w:spacing w:line="240" w:lineRule="auto"/>
              <w:rPr>
                <w:rFonts w:cs="Times New Roman"/>
                <w:color w:val="000000"/>
                <w:sz w:val="20"/>
                <w:szCs w:val="20"/>
              </w:rPr>
            </w:pPr>
            <w:r>
              <w:rPr>
                <w:rFonts w:cs="Times New Roman"/>
                <w:color w:val="000000"/>
                <w:sz w:val="20"/>
                <w:szCs w:val="20"/>
              </w:rPr>
              <w:t>Pre-grazing</w:t>
            </w:r>
            <w:r w:rsidRPr="00BC2376">
              <w:rPr>
                <w:rFonts w:cs="Times New Roman"/>
                <w:color w:val="000000"/>
                <w:sz w:val="20"/>
                <w:szCs w:val="20"/>
              </w:rPr>
              <w:t xml:space="preserve"> 2020</w:t>
            </w:r>
          </w:p>
        </w:tc>
        <w:tc>
          <w:tcPr>
            <w:tcW w:w="1080" w:type="dxa"/>
            <w:tcBorders>
              <w:top w:val="nil"/>
              <w:left w:val="single" w:sz="12" w:space="0" w:color="FFFFFF"/>
              <w:bottom w:val="nil"/>
              <w:right w:val="nil"/>
            </w:tcBorders>
            <w:shd w:val="clear" w:color="auto" w:fill="auto"/>
            <w:noWrap/>
            <w:vAlign w:val="center"/>
          </w:tcPr>
          <w:p w14:paraId="2DE2E308" w14:textId="318301C8" w:rsidR="00B43070" w:rsidRPr="00BC2376" w:rsidRDefault="00F0174B" w:rsidP="00B43070">
            <w:pPr>
              <w:spacing w:line="240" w:lineRule="auto"/>
              <w:jc w:val="center"/>
              <w:rPr>
                <w:rFonts w:cs="Times New Roman"/>
                <w:color w:val="000000"/>
                <w:sz w:val="20"/>
                <w:szCs w:val="20"/>
              </w:rPr>
            </w:pPr>
            <w:r>
              <w:rPr>
                <w:rFonts w:cs="Times New Roman"/>
                <w:color w:val="000000"/>
                <w:sz w:val="20"/>
                <w:szCs w:val="20"/>
              </w:rPr>
              <w:t xml:space="preserve">  </w:t>
            </w:r>
            <w:r w:rsidR="00B43070">
              <w:rPr>
                <w:rFonts w:cs="Times New Roman"/>
                <w:color w:val="000000"/>
                <w:sz w:val="20"/>
                <w:szCs w:val="20"/>
              </w:rPr>
              <w:t>1.8 c</w:t>
            </w:r>
          </w:p>
        </w:tc>
        <w:tc>
          <w:tcPr>
            <w:tcW w:w="990" w:type="dxa"/>
            <w:tcBorders>
              <w:top w:val="nil"/>
              <w:left w:val="nil"/>
              <w:bottom w:val="nil"/>
              <w:right w:val="nil"/>
            </w:tcBorders>
            <w:shd w:val="clear" w:color="auto" w:fill="auto"/>
            <w:noWrap/>
            <w:vAlign w:val="center"/>
          </w:tcPr>
          <w:p w14:paraId="742C8132" w14:textId="32164CC4"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 xml:space="preserve"> </w:t>
            </w:r>
            <w:r w:rsidR="00F0174B">
              <w:rPr>
                <w:rFonts w:cs="Times New Roman"/>
                <w:color w:val="000000"/>
                <w:sz w:val="20"/>
                <w:szCs w:val="20"/>
              </w:rPr>
              <w:t xml:space="preserve"> </w:t>
            </w:r>
            <w:r>
              <w:rPr>
                <w:rFonts w:cs="Times New Roman"/>
                <w:color w:val="000000"/>
                <w:sz w:val="20"/>
                <w:szCs w:val="20"/>
              </w:rPr>
              <w:t>0.9 d</w:t>
            </w:r>
          </w:p>
        </w:tc>
        <w:tc>
          <w:tcPr>
            <w:tcW w:w="990" w:type="dxa"/>
            <w:tcBorders>
              <w:top w:val="nil"/>
              <w:left w:val="nil"/>
              <w:bottom w:val="nil"/>
              <w:right w:val="nil"/>
            </w:tcBorders>
            <w:vAlign w:val="center"/>
          </w:tcPr>
          <w:p w14:paraId="6A654C74" w14:textId="3F1CBE41"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5.5 a</w:t>
            </w:r>
          </w:p>
        </w:tc>
        <w:tc>
          <w:tcPr>
            <w:tcW w:w="990" w:type="dxa"/>
            <w:tcBorders>
              <w:top w:val="nil"/>
              <w:left w:val="nil"/>
              <w:bottom w:val="nil"/>
              <w:right w:val="nil"/>
            </w:tcBorders>
            <w:vAlign w:val="center"/>
          </w:tcPr>
          <w:p w14:paraId="4B32F08E" w14:textId="5BDC95C8"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 xml:space="preserve">  1.7 bc</w:t>
            </w:r>
          </w:p>
        </w:tc>
        <w:tc>
          <w:tcPr>
            <w:tcW w:w="900" w:type="dxa"/>
            <w:tcBorders>
              <w:top w:val="nil"/>
              <w:left w:val="nil"/>
              <w:bottom w:val="nil"/>
              <w:right w:val="nil"/>
            </w:tcBorders>
            <w:shd w:val="clear" w:color="auto" w:fill="auto"/>
            <w:vAlign w:val="center"/>
          </w:tcPr>
          <w:p w14:paraId="7C435F6F" w14:textId="34373A98"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 xml:space="preserve">  0.0 b</w:t>
            </w:r>
          </w:p>
        </w:tc>
      </w:tr>
      <w:tr w:rsidR="00B43070" w:rsidRPr="00BC2376" w14:paraId="2D36DE87" w14:textId="77777777" w:rsidTr="00D3370F">
        <w:trPr>
          <w:trHeight w:val="288"/>
        </w:trPr>
        <w:tc>
          <w:tcPr>
            <w:tcW w:w="2070" w:type="dxa"/>
            <w:tcBorders>
              <w:top w:val="nil"/>
              <w:left w:val="nil"/>
              <w:bottom w:val="single" w:sz="12" w:space="0" w:color="auto"/>
              <w:right w:val="single" w:sz="12" w:space="0" w:color="D9D9D9" w:themeColor="background1" w:themeShade="D9"/>
            </w:tcBorders>
            <w:shd w:val="clear" w:color="auto" w:fill="D9D9D9" w:themeFill="background1" w:themeFillShade="D9"/>
            <w:noWrap/>
            <w:vAlign w:val="center"/>
          </w:tcPr>
          <w:p w14:paraId="088F4E17" w14:textId="77777777" w:rsidR="00B43070" w:rsidRPr="00BC2376" w:rsidRDefault="00B43070" w:rsidP="00B43070">
            <w:pPr>
              <w:spacing w:line="240" w:lineRule="auto"/>
              <w:rPr>
                <w:rFonts w:cs="Times New Roman"/>
                <w:color w:val="000000"/>
                <w:sz w:val="20"/>
                <w:szCs w:val="20"/>
              </w:rPr>
            </w:pPr>
            <w:r>
              <w:rPr>
                <w:rFonts w:cs="Times New Roman"/>
                <w:color w:val="000000"/>
                <w:sz w:val="20"/>
                <w:szCs w:val="20"/>
              </w:rPr>
              <w:t>Post-grazing</w:t>
            </w:r>
            <w:r w:rsidRPr="00BC2376">
              <w:rPr>
                <w:rFonts w:cs="Times New Roman"/>
                <w:color w:val="000000"/>
                <w:sz w:val="20"/>
                <w:szCs w:val="20"/>
              </w:rPr>
              <w:t xml:space="preserve"> 2020</w:t>
            </w:r>
          </w:p>
        </w:tc>
        <w:tc>
          <w:tcPr>
            <w:tcW w:w="1080" w:type="dxa"/>
            <w:tcBorders>
              <w:top w:val="nil"/>
              <w:left w:val="single" w:sz="12" w:space="0" w:color="D9D9D9" w:themeColor="background1" w:themeShade="D9"/>
              <w:bottom w:val="single" w:sz="12" w:space="0" w:color="auto"/>
              <w:right w:val="single" w:sz="12" w:space="0" w:color="D9D9D9" w:themeColor="background1" w:themeShade="D9"/>
            </w:tcBorders>
            <w:shd w:val="clear" w:color="auto" w:fill="D9D9D9" w:themeFill="background1" w:themeFillShade="D9"/>
            <w:noWrap/>
            <w:vAlign w:val="center"/>
          </w:tcPr>
          <w:p w14:paraId="7CB37083" w14:textId="2A229BF1" w:rsidR="00B43070" w:rsidRPr="00BC2376" w:rsidRDefault="00F0174B" w:rsidP="00B43070">
            <w:pPr>
              <w:spacing w:line="240" w:lineRule="auto"/>
              <w:jc w:val="center"/>
              <w:rPr>
                <w:rFonts w:cs="Times New Roman"/>
                <w:color w:val="000000"/>
                <w:sz w:val="20"/>
                <w:szCs w:val="20"/>
              </w:rPr>
            </w:pPr>
            <w:r>
              <w:rPr>
                <w:rFonts w:cs="Times New Roman"/>
                <w:color w:val="000000"/>
                <w:sz w:val="20"/>
                <w:szCs w:val="20"/>
              </w:rPr>
              <w:t xml:space="preserve">  </w:t>
            </w:r>
            <w:r w:rsidR="00B43070">
              <w:rPr>
                <w:rFonts w:cs="Times New Roman"/>
                <w:color w:val="000000"/>
                <w:sz w:val="20"/>
                <w:szCs w:val="20"/>
              </w:rPr>
              <w:t>0.5 c</w:t>
            </w:r>
          </w:p>
        </w:tc>
        <w:tc>
          <w:tcPr>
            <w:tcW w:w="990" w:type="dxa"/>
            <w:tcBorders>
              <w:top w:val="nil"/>
              <w:left w:val="single" w:sz="12" w:space="0" w:color="D9D9D9" w:themeColor="background1" w:themeShade="D9"/>
              <w:bottom w:val="single" w:sz="12" w:space="0" w:color="auto"/>
              <w:right w:val="single" w:sz="12" w:space="0" w:color="D9D9D9" w:themeColor="background1" w:themeShade="D9"/>
            </w:tcBorders>
            <w:shd w:val="clear" w:color="auto" w:fill="D9D9D9" w:themeFill="background1" w:themeFillShade="D9"/>
            <w:noWrap/>
            <w:vAlign w:val="center"/>
          </w:tcPr>
          <w:p w14:paraId="0AF05F95" w14:textId="1C8BD87E"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 xml:space="preserve"> </w:t>
            </w:r>
            <w:r w:rsidR="00F0174B">
              <w:rPr>
                <w:rFonts w:cs="Times New Roman"/>
                <w:color w:val="000000"/>
                <w:sz w:val="20"/>
                <w:szCs w:val="20"/>
              </w:rPr>
              <w:t xml:space="preserve"> </w:t>
            </w:r>
            <w:r>
              <w:rPr>
                <w:rFonts w:cs="Times New Roman"/>
                <w:color w:val="000000"/>
                <w:sz w:val="20"/>
                <w:szCs w:val="20"/>
              </w:rPr>
              <w:t>0.4 d</w:t>
            </w:r>
          </w:p>
        </w:tc>
        <w:tc>
          <w:tcPr>
            <w:tcW w:w="990" w:type="dxa"/>
            <w:tcBorders>
              <w:top w:val="nil"/>
              <w:left w:val="single" w:sz="12" w:space="0" w:color="D9D9D9" w:themeColor="background1" w:themeShade="D9"/>
              <w:bottom w:val="single" w:sz="12" w:space="0" w:color="auto"/>
              <w:right w:val="single" w:sz="12" w:space="0" w:color="D9D9D9" w:themeColor="background1" w:themeShade="D9"/>
            </w:tcBorders>
            <w:shd w:val="clear" w:color="auto" w:fill="D9D9D9" w:themeFill="background1" w:themeFillShade="D9"/>
            <w:vAlign w:val="center"/>
          </w:tcPr>
          <w:p w14:paraId="428F92B2" w14:textId="4CBB877F"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1.2 b</w:t>
            </w:r>
          </w:p>
        </w:tc>
        <w:tc>
          <w:tcPr>
            <w:tcW w:w="990" w:type="dxa"/>
            <w:tcBorders>
              <w:top w:val="nil"/>
              <w:left w:val="single" w:sz="12" w:space="0" w:color="D9D9D9" w:themeColor="background1" w:themeShade="D9"/>
              <w:bottom w:val="single" w:sz="12" w:space="0" w:color="auto"/>
              <w:right w:val="single" w:sz="12" w:space="0" w:color="D9D9D9" w:themeColor="background1" w:themeShade="D9"/>
            </w:tcBorders>
            <w:shd w:val="clear" w:color="auto" w:fill="D9D9D9" w:themeFill="background1" w:themeFillShade="D9"/>
            <w:vAlign w:val="center"/>
          </w:tcPr>
          <w:p w14:paraId="18FBA004" w14:textId="7E676EA0"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 xml:space="preserve">  1.3 bc</w:t>
            </w:r>
          </w:p>
        </w:tc>
        <w:tc>
          <w:tcPr>
            <w:tcW w:w="900" w:type="dxa"/>
            <w:tcBorders>
              <w:top w:val="nil"/>
              <w:left w:val="single" w:sz="12" w:space="0" w:color="D9D9D9" w:themeColor="background1" w:themeShade="D9"/>
              <w:bottom w:val="single" w:sz="12" w:space="0" w:color="auto"/>
              <w:right w:val="nil"/>
            </w:tcBorders>
            <w:shd w:val="clear" w:color="auto" w:fill="D9D9D9" w:themeFill="background1" w:themeFillShade="D9"/>
            <w:vAlign w:val="center"/>
          </w:tcPr>
          <w:p w14:paraId="08367BC5" w14:textId="49747662" w:rsidR="00B43070" w:rsidRPr="00BC2376" w:rsidRDefault="00B43070" w:rsidP="00B43070">
            <w:pPr>
              <w:spacing w:line="240" w:lineRule="auto"/>
              <w:jc w:val="center"/>
              <w:rPr>
                <w:rFonts w:cs="Times New Roman"/>
                <w:color w:val="000000"/>
                <w:sz w:val="20"/>
                <w:szCs w:val="20"/>
              </w:rPr>
            </w:pPr>
            <w:r>
              <w:rPr>
                <w:rFonts w:cs="Times New Roman"/>
                <w:color w:val="000000"/>
                <w:sz w:val="20"/>
                <w:szCs w:val="20"/>
              </w:rPr>
              <w:t xml:space="preserve">  0.0 b</w:t>
            </w:r>
          </w:p>
        </w:tc>
      </w:tr>
    </w:tbl>
    <w:p w14:paraId="2D03B018" w14:textId="017F8543" w:rsidR="00B43070" w:rsidRDefault="00B43070" w:rsidP="00B43070">
      <w:pPr>
        <w:spacing w:line="240" w:lineRule="auto"/>
        <w:rPr>
          <w:rFonts w:eastAsia="Calibri" w:cs="Times New Roman"/>
        </w:rPr>
      </w:pPr>
      <w:r w:rsidRPr="00BC2376">
        <w:rPr>
          <w:rFonts w:eastAsia="Calibri" w:cs="Times New Roman"/>
        </w:rPr>
        <w:t>†</w:t>
      </w:r>
      <w:r w:rsidR="00D3370F" w:rsidRPr="00BC2376">
        <w:rPr>
          <w:rFonts w:eastAsia="Calibri" w:cs="Times New Roman"/>
          <w:bCs/>
        </w:rPr>
        <w:t>BESU = black-eyed susan, LANC = lanceleaf coreopsis, OXEY = oxeye sunflower, PCON = purple coneflower, PLAC = plains coreopsis</w:t>
      </w:r>
    </w:p>
    <w:p w14:paraId="01875467" w14:textId="1DDFC276" w:rsidR="00B43070" w:rsidRDefault="00B43070" w:rsidP="00B43070">
      <w:pPr>
        <w:spacing w:line="240" w:lineRule="auto"/>
        <w:rPr>
          <w:rFonts w:eastAsia="Calibri" w:cs="Times New Roman"/>
        </w:rPr>
      </w:pPr>
      <w:r>
        <w:rPr>
          <w:rFonts w:eastAsia="Calibri" w:cs="Times New Roman"/>
        </w:rPr>
        <w:t>‡Pre-grazing 2018, 2019, 2020 = May; Post-grazing 2018, 2019 = September; Post-grazing 2020 = August</w:t>
      </w:r>
      <w:r w:rsidR="00D3370F">
        <w:rPr>
          <w:rFonts w:eastAsia="Calibri" w:cs="Times New Roman"/>
        </w:rPr>
        <w:t>/September</w:t>
      </w:r>
    </w:p>
    <w:p w14:paraId="3FBD9210" w14:textId="77777777" w:rsidR="00B43070" w:rsidRDefault="00B43070" w:rsidP="00B43070">
      <w:pPr>
        <w:spacing w:line="240" w:lineRule="auto"/>
        <w:rPr>
          <w:rFonts w:eastAsia="Calibri" w:cs="Times New Roman"/>
        </w:rPr>
      </w:pPr>
      <w:r w:rsidRPr="00BC2376">
        <w:t xml:space="preserve">*Different letters </w:t>
      </w:r>
      <w:r>
        <w:t xml:space="preserve">within a column </w:t>
      </w:r>
      <w:r w:rsidRPr="00BC2376">
        <w:t>indicate significant difference at α = 0.05 for Year x Period interaction (Fisher’s least significant difference).</w:t>
      </w:r>
    </w:p>
    <w:p w14:paraId="09D9711F" w14:textId="669954D1" w:rsidR="00B43070" w:rsidRDefault="00B43070" w:rsidP="00B43070">
      <w:pPr>
        <w:pStyle w:val="Paragraphs"/>
        <w:ind w:firstLine="0"/>
        <w:rPr>
          <w:highlight w:val="cyan"/>
        </w:rPr>
      </w:pPr>
    </w:p>
    <w:p w14:paraId="2357B589" w14:textId="77777777" w:rsidR="00B43070" w:rsidRPr="00BC2376" w:rsidRDefault="00B43070" w:rsidP="00B43070">
      <w:pPr>
        <w:pStyle w:val="Paragraphs"/>
        <w:ind w:firstLine="0"/>
        <w:rPr>
          <w:highlight w:val="cyan"/>
        </w:rPr>
      </w:pPr>
    </w:p>
    <w:p w14:paraId="7D09C7AE" w14:textId="77777777" w:rsidR="004D78EA" w:rsidRPr="00BC2376" w:rsidRDefault="004D78EA" w:rsidP="004D78EA">
      <w:pPr>
        <w:spacing w:line="240" w:lineRule="auto"/>
        <w:rPr>
          <w:rFonts w:cs="Times New Roman"/>
        </w:rPr>
      </w:pPr>
    </w:p>
    <w:p w14:paraId="703764F8" w14:textId="77777777" w:rsidR="004D78EA" w:rsidRPr="00BC2376" w:rsidRDefault="004D78EA" w:rsidP="00A75640">
      <w:pPr>
        <w:spacing w:line="240" w:lineRule="auto"/>
        <w:rPr>
          <w:highlight w:val="cyan"/>
        </w:rPr>
      </w:pPr>
    </w:p>
    <w:p w14:paraId="5ED4D374" w14:textId="77777777" w:rsidR="0079596C" w:rsidRDefault="0079596C" w:rsidP="00BD6CF7">
      <w:pPr>
        <w:pStyle w:val="Caption"/>
        <w:rPr>
          <w:rFonts w:ascii="Times New Roman" w:hAnsi="Times New Roman" w:cs="Times New Roman"/>
          <w:b w:val="0"/>
          <w:bCs w:val="0"/>
        </w:rPr>
        <w:sectPr w:rsidR="0079596C" w:rsidSect="00B572F9">
          <w:pgSz w:w="12240" w:h="15840" w:code="1"/>
          <w:pgMar w:top="1440" w:right="1800" w:bottom="1872" w:left="1800" w:header="720" w:footer="1440" w:gutter="0"/>
          <w:cols w:space="720"/>
          <w:noEndnote/>
          <w:docGrid w:linePitch="360"/>
        </w:sectPr>
      </w:pPr>
    </w:p>
    <w:p w14:paraId="0C22CD49" w14:textId="63CC512B" w:rsidR="0079596C" w:rsidRPr="00BC2376" w:rsidRDefault="0079596C" w:rsidP="0079596C">
      <w:pPr>
        <w:pStyle w:val="Tables"/>
        <w:spacing w:after="60"/>
        <w:rPr>
          <w:b/>
        </w:rPr>
      </w:pPr>
      <w:bookmarkStart w:id="212" w:name="_Toc72300414"/>
      <w:r w:rsidRPr="00BC2376">
        <w:lastRenderedPageBreak/>
        <w:t>Table 2.1</w:t>
      </w:r>
      <w:r>
        <w:t>4</w:t>
      </w:r>
      <w:r w:rsidRPr="00BC2376">
        <w:t xml:space="preserve">.  Mixed-effects ANOVA model for </w:t>
      </w:r>
      <w:r>
        <w:t xml:space="preserve">forb, switchgrass, and total </w:t>
      </w:r>
      <w:r w:rsidRPr="00BC2376">
        <w:t xml:space="preserve">forage </w:t>
      </w:r>
      <w:r>
        <w:t>mass</w:t>
      </w:r>
      <w:r w:rsidRPr="00BC2376">
        <w:t xml:space="preserve"> </w:t>
      </w:r>
      <w:r>
        <w:t>across within-</w:t>
      </w:r>
      <w:r w:rsidR="003D3A24">
        <w:t xml:space="preserve">season </w:t>
      </w:r>
      <w:r>
        <w:t xml:space="preserve">rest treatments sampled within sampling date </w:t>
      </w:r>
      <w:r w:rsidRPr="00BC2376">
        <w:t xml:space="preserve">in a </w:t>
      </w:r>
      <w:r>
        <w:t>switchgrass</w:t>
      </w:r>
      <w:r w:rsidRPr="00BC2376">
        <w:t xml:space="preserve"> and native forb pasture</w:t>
      </w:r>
      <w:r w:rsidRPr="001157ED">
        <w:t xml:space="preserve"> </w:t>
      </w:r>
      <w:r w:rsidRPr="00BC2376">
        <w:t xml:space="preserve">for native </w:t>
      </w:r>
      <w:r>
        <w:t xml:space="preserve">grass </w:t>
      </w:r>
      <w:r w:rsidRPr="00BC2376">
        <w:t>pasture grazing experiment, 2019, University of Tennessee – Northeast Tennessee AgResearch and Education Center, Greeneville, TN.</w:t>
      </w:r>
      <w:bookmarkEnd w:id="212"/>
      <w:r w:rsidRPr="00BC2376">
        <w:t xml:space="preserve"> </w:t>
      </w:r>
    </w:p>
    <w:tbl>
      <w:tblPr>
        <w:tblW w:w="10710" w:type="dxa"/>
        <w:tblLook w:val="04A0" w:firstRow="1" w:lastRow="0" w:firstColumn="1" w:lastColumn="0" w:noHBand="0" w:noVBand="1"/>
      </w:tblPr>
      <w:tblGrid>
        <w:gridCol w:w="2160"/>
        <w:gridCol w:w="841"/>
        <w:gridCol w:w="779"/>
        <w:gridCol w:w="958"/>
        <w:gridCol w:w="892"/>
        <w:gridCol w:w="854"/>
        <w:gridCol w:w="806"/>
        <w:gridCol w:w="854"/>
        <w:gridCol w:w="766"/>
        <w:gridCol w:w="854"/>
        <w:gridCol w:w="946"/>
      </w:tblGrid>
      <w:tr w:rsidR="0079596C" w:rsidRPr="00401D64" w14:paraId="55B29B1D" w14:textId="77777777" w:rsidTr="00D849E6">
        <w:trPr>
          <w:trHeight w:val="312"/>
        </w:trPr>
        <w:tc>
          <w:tcPr>
            <w:tcW w:w="2160" w:type="dxa"/>
            <w:tcBorders>
              <w:top w:val="single" w:sz="12" w:space="0" w:color="auto"/>
              <w:left w:val="nil"/>
              <w:right w:val="single" w:sz="36" w:space="0" w:color="FFFFFF" w:themeColor="background1"/>
            </w:tcBorders>
            <w:shd w:val="clear" w:color="auto" w:fill="auto"/>
            <w:noWrap/>
            <w:vAlign w:val="bottom"/>
          </w:tcPr>
          <w:p w14:paraId="2E2A0FF6" w14:textId="77777777" w:rsidR="0079596C" w:rsidRPr="00401D64" w:rsidRDefault="0079596C" w:rsidP="00D849E6">
            <w:pPr>
              <w:spacing w:line="240" w:lineRule="auto"/>
              <w:rPr>
                <w:rFonts w:cs="Times New Roman"/>
                <w:color w:val="000000"/>
                <w:sz w:val="20"/>
                <w:szCs w:val="20"/>
              </w:rPr>
            </w:pPr>
          </w:p>
        </w:tc>
        <w:tc>
          <w:tcPr>
            <w:tcW w:w="8550" w:type="dxa"/>
            <w:gridSpan w:val="10"/>
            <w:tcBorders>
              <w:top w:val="single" w:sz="12" w:space="0" w:color="auto"/>
              <w:left w:val="single" w:sz="36" w:space="0" w:color="FFFFFF" w:themeColor="background1"/>
              <w:bottom w:val="single" w:sz="12" w:space="0" w:color="auto"/>
            </w:tcBorders>
            <w:vAlign w:val="center"/>
          </w:tcPr>
          <w:p w14:paraId="1EB30AD0" w14:textId="77777777" w:rsidR="0079596C" w:rsidRDefault="0079596C" w:rsidP="00D849E6">
            <w:pPr>
              <w:spacing w:line="240" w:lineRule="auto"/>
              <w:jc w:val="center"/>
              <w:rPr>
                <w:rFonts w:cs="Times New Roman"/>
                <w:color w:val="000000"/>
                <w:sz w:val="20"/>
                <w:szCs w:val="20"/>
              </w:rPr>
            </w:pPr>
            <w:r>
              <w:rPr>
                <w:rFonts w:cs="Times New Roman"/>
                <w:color w:val="000000"/>
                <w:sz w:val="20"/>
                <w:szCs w:val="20"/>
              </w:rPr>
              <w:t>Sampling Date</w:t>
            </w:r>
            <w:r w:rsidRPr="00476DAA">
              <w:rPr>
                <w:rFonts w:cs="Times New Roman"/>
                <w:color w:val="000000"/>
                <w:sz w:val="20"/>
                <w:szCs w:val="20"/>
                <w:vertAlign w:val="superscript"/>
              </w:rPr>
              <w:t>†</w:t>
            </w:r>
          </w:p>
        </w:tc>
      </w:tr>
      <w:tr w:rsidR="0079596C" w:rsidRPr="00401D64" w14:paraId="1FB60179" w14:textId="77777777" w:rsidTr="00D849E6">
        <w:trPr>
          <w:trHeight w:val="288"/>
        </w:trPr>
        <w:tc>
          <w:tcPr>
            <w:tcW w:w="2160" w:type="dxa"/>
            <w:tcBorders>
              <w:left w:val="nil"/>
              <w:right w:val="single" w:sz="36" w:space="0" w:color="FFFFFF" w:themeColor="background1"/>
            </w:tcBorders>
            <w:shd w:val="clear" w:color="auto" w:fill="auto"/>
            <w:noWrap/>
            <w:vAlign w:val="center"/>
          </w:tcPr>
          <w:p w14:paraId="3FF5814D" w14:textId="77777777" w:rsidR="0079596C" w:rsidRPr="00721CC9" w:rsidRDefault="0079596C" w:rsidP="00D849E6">
            <w:pPr>
              <w:spacing w:line="240" w:lineRule="auto"/>
              <w:rPr>
                <w:rFonts w:cs="Times New Roman"/>
                <w:color w:val="000000"/>
                <w:sz w:val="20"/>
                <w:szCs w:val="20"/>
              </w:rPr>
            </w:pPr>
          </w:p>
        </w:tc>
        <w:tc>
          <w:tcPr>
            <w:tcW w:w="1620" w:type="dxa"/>
            <w:gridSpan w:val="2"/>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486E31AD" w14:textId="77777777" w:rsidR="0079596C" w:rsidRPr="00721CC9" w:rsidRDefault="0079596C" w:rsidP="00D849E6">
            <w:pPr>
              <w:spacing w:line="240" w:lineRule="auto"/>
              <w:jc w:val="center"/>
              <w:rPr>
                <w:rFonts w:cs="Times New Roman"/>
                <w:color w:val="000000"/>
                <w:sz w:val="20"/>
                <w:szCs w:val="20"/>
              </w:rPr>
            </w:pPr>
            <w:r>
              <w:rPr>
                <w:sz w:val="20"/>
                <w:szCs w:val="20"/>
              </w:rPr>
              <w:t>15-</w:t>
            </w:r>
            <w:r w:rsidRPr="00721CC9">
              <w:rPr>
                <w:sz w:val="20"/>
                <w:szCs w:val="20"/>
              </w:rPr>
              <w:t>May</w:t>
            </w:r>
          </w:p>
        </w:tc>
        <w:tc>
          <w:tcPr>
            <w:tcW w:w="1850" w:type="dxa"/>
            <w:gridSpan w:val="2"/>
            <w:tcBorders>
              <w:top w:val="single" w:sz="12" w:space="0" w:color="auto"/>
              <w:left w:val="single" w:sz="36" w:space="0" w:color="FFFFFF" w:themeColor="background1"/>
              <w:bottom w:val="single" w:sz="12" w:space="0" w:color="auto"/>
            </w:tcBorders>
            <w:vAlign w:val="center"/>
          </w:tcPr>
          <w:p w14:paraId="4674975C" w14:textId="77777777" w:rsidR="0079596C" w:rsidRPr="00721CC9" w:rsidRDefault="0079596C" w:rsidP="00D849E6">
            <w:pPr>
              <w:spacing w:line="240" w:lineRule="auto"/>
              <w:jc w:val="center"/>
              <w:rPr>
                <w:rFonts w:cs="Times New Roman"/>
                <w:color w:val="000000"/>
                <w:sz w:val="20"/>
                <w:szCs w:val="20"/>
              </w:rPr>
            </w:pPr>
            <w:r>
              <w:rPr>
                <w:sz w:val="20"/>
                <w:szCs w:val="20"/>
              </w:rPr>
              <w:t>19-</w:t>
            </w:r>
            <w:r w:rsidRPr="00721CC9">
              <w:rPr>
                <w:sz w:val="20"/>
                <w:szCs w:val="20"/>
              </w:rPr>
              <w:t>Jun</w:t>
            </w:r>
          </w:p>
        </w:tc>
        <w:tc>
          <w:tcPr>
            <w:tcW w:w="1660" w:type="dxa"/>
            <w:gridSpan w:val="2"/>
            <w:tcBorders>
              <w:top w:val="single" w:sz="12" w:space="0" w:color="auto"/>
              <w:left w:val="single" w:sz="36" w:space="0" w:color="FFFFFF" w:themeColor="background1"/>
              <w:bottom w:val="single" w:sz="12" w:space="0" w:color="auto"/>
            </w:tcBorders>
            <w:vAlign w:val="center"/>
          </w:tcPr>
          <w:p w14:paraId="01DF7247" w14:textId="77777777" w:rsidR="0079596C" w:rsidRPr="00721CC9" w:rsidRDefault="0079596C" w:rsidP="00D849E6">
            <w:pPr>
              <w:spacing w:line="240" w:lineRule="auto"/>
              <w:jc w:val="center"/>
              <w:rPr>
                <w:rFonts w:cs="Times New Roman"/>
                <w:color w:val="000000"/>
                <w:sz w:val="20"/>
                <w:szCs w:val="20"/>
              </w:rPr>
            </w:pPr>
            <w:r>
              <w:rPr>
                <w:color w:val="000000"/>
                <w:sz w:val="20"/>
                <w:szCs w:val="20"/>
              </w:rPr>
              <w:t>10-Jul</w:t>
            </w:r>
          </w:p>
        </w:tc>
        <w:tc>
          <w:tcPr>
            <w:tcW w:w="1620" w:type="dxa"/>
            <w:gridSpan w:val="2"/>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742FB6B3" w14:textId="77777777" w:rsidR="0079596C" w:rsidRPr="00721CC9" w:rsidRDefault="0079596C" w:rsidP="00D849E6">
            <w:pPr>
              <w:spacing w:line="240" w:lineRule="auto"/>
              <w:jc w:val="center"/>
              <w:rPr>
                <w:rFonts w:cs="Times New Roman"/>
                <w:color w:val="000000"/>
                <w:sz w:val="20"/>
                <w:szCs w:val="20"/>
              </w:rPr>
            </w:pPr>
            <w:r>
              <w:rPr>
                <w:color w:val="000000"/>
                <w:sz w:val="20"/>
                <w:szCs w:val="20"/>
              </w:rPr>
              <w:t>1-Aug</w:t>
            </w:r>
          </w:p>
        </w:tc>
        <w:tc>
          <w:tcPr>
            <w:tcW w:w="1800" w:type="dxa"/>
            <w:gridSpan w:val="2"/>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6580F7F9" w14:textId="77777777" w:rsidR="0079596C" w:rsidRPr="00721CC9" w:rsidRDefault="0079596C" w:rsidP="00D849E6">
            <w:pPr>
              <w:spacing w:line="240" w:lineRule="auto"/>
              <w:jc w:val="center"/>
              <w:rPr>
                <w:rFonts w:cs="Times New Roman"/>
                <w:color w:val="000000"/>
                <w:sz w:val="20"/>
                <w:szCs w:val="20"/>
              </w:rPr>
            </w:pPr>
            <w:r>
              <w:rPr>
                <w:sz w:val="20"/>
                <w:szCs w:val="20"/>
              </w:rPr>
              <w:t>20-</w:t>
            </w:r>
            <w:r w:rsidRPr="00721CC9">
              <w:rPr>
                <w:sz w:val="20"/>
                <w:szCs w:val="20"/>
              </w:rPr>
              <w:t>Aug</w:t>
            </w:r>
          </w:p>
        </w:tc>
      </w:tr>
      <w:tr w:rsidR="0079596C" w:rsidRPr="00401D64" w14:paraId="1ADD7FF6" w14:textId="77777777" w:rsidTr="00D849E6">
        <w:trPr>
          <w:trHeight w:val="312"/>
        </w:trPr>
        <w:tc>
          <w:tcPr>
            <w:tcW w:w="2160" w:type="dxa"/>
            <w:tcBorders>
              <w:left w:val="nil"/>
              <w:bottom w:val="single" w:sz="12" w:space="0" w:color="auto"/>
              <w:right w:val="single" w:sz="36" w:space="0" w:color="FFFFFF" w:themeColor="background1"/>
            </w:tcBorders>
            <w:shd w:val="clear" w:color="auto" w:fill="auto"/>
            <w:noWrap/>
            <w:vAlign w:val="center"/>
          </w:tcPr>
          <w:p w14:paraId="246335A8" w14:textId="6C303036" w:rsidR="0079596C" w:rsidRPr="00721CC9" w:rsidRDefault="0079596C" w:rsidP="00D849E6">
            <w:pPr>
              <w:spacing w:line="240" w:lineRule="auto"/>
              <w:rPr>
                <w:sz w:val="20"/>
                <w:szCs w:val="20"/>
              </w:rPr>
            </w:pPr>
            <w:r>
              <w:rPr>
                <w:sz w:val="20"/>
                <w:szCs w:val="20"/>
              </w:rPr>
              <w:t>Forage Mass Categor</w:t>
            </w:r>
            <w:r w:rsidR="003D3A24">
              <w:rPr>
                <w:sz w:val="20"/>
                <w:szCs w:val="20"/>
              </w:rPr>
              <w:t>y</w:t>
            </w:r>
          </w:p>
        </w:tc>
        <w:tc>
          <w:tcPr>
            <w:tcW w:w="841"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0D0E3870" w14:textId="77777777" w:rsidR="0079596C" w:rsidRPr="00E4763E" w:rsidRDefault="0079596C" w:rsidP="00D849E6">
            <w:pPr>
              <w:spacing w:line="240" w:lineRule="auto"/>
              <w:jc w:val="center"/>
              <w:rPr>
                <w:sz w:val="20"/>
                <w:szCs w:val="20"/>
              </w:rPr>
            </w:pPr>
            <w:r w:rsidRPr="0066024E">
              <w:rPr>
                <w:i/>
                <w:iCs/>
                <w:sz w:val="20"/>
                <w:szCs w:val="20"/>
              </w:rPr>
              <w:t>F</w:t>
            </w:r>
            <w:r w:rsidRPr="00E4763E">
              <w:rPr>
                <w:sz w:val="20"/>
                <w:szCs w:val="20"/>
              </w:rPr>
              <w:t xml:space="preserve"> value</w:t>
            </w:r>
          </w:p>
        </w:tc>
        <w:tc>
          <w:tcPr>
            <w:tcW w:w="779"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tcPr>
          <w:p w14:paraId="7597E252" w14:textId="77777777" w:rsidR="0079596C" w:rsidRPr="0066024E" w:rsidRDefault="0079596C" w:rsidP="00D849E6">
            <w:pPr>
              <w:spacing w:line="240" w:lineRule="auto"/>
              <w:jc w:val="center"/>
              <w:rPr>
                <w:i/>
                <w:iCs/>
                <w:sz w:val="20"/>
                <w:szCs w:val="20"/>
              </w:rPr>
            </w:pPr>
            <w:r w:rsidRPr="0066024E">
              <w:rPr>
                <w:i/>
                <w:iCs/>
                <w:sz w:val="20"/>
                <w:szCs w:val="20"/>
              </w:rPr>
              <w:t>P &gt; F</w:t>
            </w:r>
          </w:p>
        </w:tc>
        <w:tc>
          <w:tcPr>
            <w:tcW w:w="958"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5ED2687C" w14:textId="77777777" w:rsidR="0079596C" w:rsidRPr="00E4763E" w:rsidRDefault="0079596C" w:rsidP="00D849E6">
            <w:pPr>
              <w:spacing w:line="240" w:lineRule="auto"/>
              <w:jc w:val="center"/>
              <w:rPr>
                <w:sz w:val="20"/>
                <w:szCs w:val="20"/>
              </w:rPr>
            </w:pPr>
            <w:r w:rsidRPr="0066024E">
              <w:rPr>
                <w:i/>
                <w:iCs/>
                <w:sz w:val="20"/>
                <w:szCs w:val="20"/>
              </w:rPr>
              <w:t>F</w:t>
            </w:r>
            <w:r w:rsidRPr="00E4763E">
              <w:rPr>
                <w:sz w:val="20"/>
                <w:szCs w:val="20"/>
              </w:rPr>
              <w:t xml:space="preserve"> value</w:t>
            </w:r>
          </w:p>
        </w:tc>
        <w:tc>
          <w:tcPr>
            <w:tcW w:w="892" w:type="dxa"/>
            <w:tcBorders>
              <w:top w:val="single" w:sz="12" w:space="0" w:color="auto"/>
              <w:left w:val="single" w:sz="36" w:space="0" w:color="FFFFFF" w:themeColor="background1"/>
              <w:bottom w:val="single" w:sz="12" w:space="0" w:color="auto"/>
            </w:tcBorders>
            <w:shd w:val="clear" w:color="auto" w:fill="auto"/>
            <w:vAlign w:val="center"/>
          </w:tcPr>
          <w:p w14:paraId="48FF5143" w14:textId="77777777" w:rsidR="0079596C" w:rsidRPr="0066024E" w:rsidRDefault="0079596C" w:rsidP="00D849E6">
            <w:pPr>
              <w:spacing w:line="240" w:lineRule="auto"/>
              <w:jc w:val="center"/>
              <w:rPr>
                <w:i/>
                <w:iCs/>
                <w:sz w:val="20"/>
                <w:szCs w:val="20"/>
              </w:rPr>
            </w:pPr>
            <w:r w:rsidRPr="0066024E">
              <w:rPr>
                <w:i/>
                <w:iCs/>
                <w:sz w:val="20"/>
                <w:szCs w:val="20"/>
              </w:rPr>
              <w:t>P &gt; F</w:t>
            </w:r>
          </w:p>
        </w:tc>
        <w:tc>
          <w:tcPr>
            <w:tcW w:w="854"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05DD469E" w14:textId="77777777" w:rsidR="0079596C" w:rsidRPr="00E4763E" w:rsidRDefault="0079596C" w:rsidP="00D849E6">
            <w:pPr>
              <w:spacing w:line="240" w:lineRule="auto"/>
              <w:jc w:val="center"/>
              <w:rPr>
                <w:color w:val="000000"/>
                <w:sz w:val="20"/>
                <w:szCs w:val="20"/>
              </w:rPr>
            </w:pPr>
            <w:r w:rsidRPr="0066024E">
              <w:rPr>
                <w:i/>
                <w:iCs/>
                <w:sz w:val="20"/>
                <w:szCs w:val="20"/>
              </w:rPr>
              <w:t>F</w:t>
            </w:r>
            <w:r w:rsidRPr="00E4763E">
              <w:rPr>
                <w:sz w:val="20"/>
                <w:szCs w:val="20"/>
              </w:rPr>
              <w:t xml:space="preserve"> value</w:t>
            </w:r>
          </w:p>
        </w:tc>
        <w:tc>
          <w:tcPr>
            <w:tcW w:w="806" w:type="dxa"/>
            <w:tcBorders>
              <w:top w:val="single" w:sz="12" w:space="0" w:color="auto"/>
              <w:left w:val="single" w:sz="36" w:space="0" w:color="FFFFFF" w:themeColor="background1"/>
              <w:bottom w:val="single" w:sz="12" w:space="0" w:color="auto"/>
            </w:tcBorders>
            <w:vAlign w:val="center"/>
          </w:tcPr>
          <w:p w14:paraId="14EAD59F" w14:textId="77777777" w:rsidR="0079596C" w:rsidRPr="0066024E" w:rsidRDefault="0079596C" w:rsidP="00D849E6">
            <w:pPr>
              <w:spacing w:line="240" w:lineRule="auto"/>
              <w:jc w:val="center"/>
              <w:rPr>
                <w:i/>
                <w:iCs/>
                <w:color w:val="000000"/>
                <w:sz w:val="20"/>
                <w:szCs w:val="20"/>
              </w:rPr>
            </w:pPr>
            <w:r w:rsidRPr="0066024E">
              <w:rPr>
                <w:i/>
                <w:iCs/>
                <w:sz w:val="20"/>
                <w:szCs w:val="20"/>
              </w:rPr>
              <w:t>P &gt; F</w:t>
            </w:r>
          </w:p>
        </w:tc>
        <w:tc>
          <w:tcPr>
            <w:tcW w:w="854" w:type="dxa"/>
            <w:tcBorders>
              <w:top w:val="single" w:sz="12" w:space="0" w:color="auto"/>
              <w:left w:val="single" w:sz="36" w:space="0" w:color="FFFFFF" w:themeColor="background1"/>
              <w:bottom w:val="single" w:sz="12" w:space="0" w:color="auto"/>
            </w:tcBorders>
            <w:vAlign w:val="center"/>
          </w:tcPr>
          <w:p w14:paraId="1011ED69" w14:textId="77777777" w:rsidR="0079596C" w:rsidRPr="00E4763E" w:rsidRDefault="0079596C" w:rsidP="00D849E6">
            <w:pPr>
              <w:spacing w:line="240" w:lineRule="auto"/>
              <w:jc w:val="center"/>
              <w:rPr>
                <w:color w:val="000000"/>
                <w:sz w:val="20"/>
                <w:szCs w:val="20"/>
              </w:rPr>
            </w:pPr>
            <w:r w:rsidRPr="0066024E">
              <w:rPr>
                <w:i/>
                <w:iCs/>
                <w:sz w:val="20"/>
                <w:szCs w:val="20"/>
              </w:rPr>
              <w:t>F</w:t>
            </w:r>
            <w:r w:rsidRPr="00E4763E">
              <w:rPr>
                <w:sz w:val="20"/>
                <w:szCs w:val="20"/>
              </w:rPr>
              <w:t xml:space="preserve"> value</w:t>
            </w:r>
          </w:p>
        </w:tc>
        <w:tc>
          <w:tcPr>
            <w:tcW w:w="766"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1ACD94E9" w14:textId="77777777" w:rsidR="0079596C" w:rsidRPr="0066024E" w:rsidRDefault="0079596C" w:rsidP="00D849E6">
            <w:pPr>
              <w:spacing w:line="240" w:lineRule="auto"/>
              <w:jc w:val="center"/>
              <w:rPr>
                <w:i/>
                <w:iCs/>
                <w:color w:val="000000"/>
                <w:sz w:val="20"/>
                <w:szCs w:val="20"/>
              </w:rPr>
            </w:pPr>
            <w:r w:rsidRPr="0066024E">
              <w:rPr>
                <w:i/>
                <w:iCs/>
                <w:sz w:val="20"/>
                <w:szCs w:val="20"/>
              </w:rPr>
              <w:t>P &gt; F</w:t>
            </w:r>
          </w:p>
        </w:tc>
        <w:tc>
          <w:tcPr>
            <w:tcW w:w="854"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5BD67839" w14:textId="77777777" w:rsidR="0079596C" w:rsidRPr="00E4763E" w:rsidRDefault="0079596C" w:rsidP="00D849E6">
            <w:pPr>
              <w:spacing w:line="240" w:lineRule="auto"/>
              <w:jc w:val="center"/>
              <w:rPr>
                <w:sz w:val="20"/>
                <w:szCs w:val="20"/>
              </w:rPr>
            </w:pPr>
            <w:r w:rsidRPr="0066024E">
              <w:rPr>
                <w:i/>
                <w:iCs/>
                <w:sz w:val="20"/>
                <w:szCs w:val="20"/>
              </w:rPr>
              <w:t>F</w:t>
            </w:r>
            <w:r w:rsidRPr="00E4763E">
              <w:rPr>
                <w:sz w:val="20"/>
                <w:szCs w:val="20"/>
              </w:rPr>
              <w:t xml:space="preserve"> value</w:t>
            </w:r>
          </w:p>
        </w:tc>
        <w:tc>
          <w:tcPr>
            <w:tcW w:w="946"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4DCF0AC8" w14:textId="77777777" w:rsidR="0079596C" w:rsidRPr="0066024E" w:rsidRDefault="0079596C" w:rsidP="00D849E6">
            <w:pPr>
              <w:spacing w:line="240" w:lineRule="auto"/>
              <w:jc w:val="center"/>
              <w:rPr>
                <w:i/>
                <w:iCs/>
                <w:sz w:val="20"/>
                <w:szCs w:val="20"/>
              </w:rPr>
            </w:pPr>
            <w:r w:rsidRPr="0066024E">
              <w:rPr>
                <w:i/>
                <w:iCs/>
                <w:sz w:val="20"/>
                <w:szCs w:val="20"/>
              </w:rPr>
              <w:t>P &gt; F</w:t>
            </w:r>
          </w:p>
        </w:tc>
      </w:tr>
      <w:tr w:rsidR="0079596C" w:rsidRPr="00401D64" w14:paraId="0CDA5F8F" w14:textId="77777777" w:rsidTr="00D849E6">
        <w:trPr>
          <w:trHeight w:val="324"/>
        </w:trPr>
        <w:tc>
          <w:tcPr>
            <w:tcW w:w="2160" w:type="dxa"/>
            <w:tcBorders>
              <w:top w:val="single" w:sz="12" w:space="0" w:color="auto"/>
              <w:left w:val="nil"/>
              <w:bottom w:val="nil"/>
              <w:right w:val="single" w:sz="36" w:space="0" w:color="FFFFFF" w:themeColor="background1"/>
            </w:tcBorders>
            <w:shd w:val="clear" w:color="auto" w:fill="auto"/>
            <w:noWrap/>
            <w:vAlign w:val="center"/>
            <w:hideMark/>
          </w:tcPr>
          <w:p w14:paraId="3E82CA06" w14:textId="0954DD9D" w:rsidR="0079596C" w:rsidRPr="00401D64" w:rsidRDefault="0079596C" w:rsidP="00D849E6">
            <w:pPr>
              <w:spacing w:line="240" w:lineRule="auto"/>
              <w:rPr>
                <w:rFonts w:cs="Times New Roman"/>
                <w:color w:val="000000"/>
                <w:sz w:val="20"/>
                <w:szCs w:val="20"/>
              </w:rPr>
            </w:pPr>
            <w:r w:rsidRPr="00056EA6">
              <w:rPr>
                <w:rFonts w:cs="Times New Roman"/>
                <w:sz w:val="20"/>
                <w:szCs w:val="20"/>
              </w:rPr>
              <w:t>Forb</w:t>
            </w:r>
          </w:p>
        </w:tc>
        <w:tc>
          <w:tcPr>
            <w:tcW w:w="841" w:type="dxa"/>
            <w:tcBorders>
              <w:top w:val="single" w:sz="12" w:space="0" w:color="auto"/>
              <w:left w:val="single" w:sz="36" w:space="0" w:color="FFFFFF" w:themeColor="background1"/>
              <w:bottom w:val="nil"/>
              <w:right w:val="single" w:sz="36" w:space="0" w:color="FFFFFF" w:themeColor="background1"/>
            </w:tcBorders>
            <w:vAlign w:val="center"/>
          </w:tcPr>
          <w:p w14:paraId="3A8D10DC" w14:textId="77777777" w:rsidR="0079596C" w:rsidRPr="00056EA6" w:rsidRDefault="0079596C" w:rsidP="00D849E6">
            <w:pPr>
              <w:spacing w:line="240" w:lineRule="auto"/>
              <w:jc w:val="center"/>
              <w:rPr>
                <w:rFonts w:cs="Times New Roman"/>
                <w:color w:val="000000"/>
                <w:sz w:val="20"/>
                <w:szCs w:val="20"/>
              </w:rPr>
            </w:pPr>
            <w:r w:rsidRPr="00056EA6">
              <w:rPr>
                <w:rFonts w:cs="Times New Roman"/>
                <w:color w:val="000000"/>
                <w:sz w:val="20"/>
                <w:szCs w:val="20"/>
              </w:rPr>
              <w:t>0.14</w:t>
            </w:r>
          </w:p>
        </w:tc>
        <w:tc>
          <w:tcPr>
            <w:tcW w:w="779"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tcPr>
          <w:p w14:paraId="50CCA91A" w14:textId="77777777" w:rsidR="0079596C" w:rsidRPr="00056EA6" w:rsidRDefault="0079596C" w:rsidP="00D849E6">
            <w:pPr>
              <w:spacing w:line="240" w:lineRule="auto"/>
              <w:jc w:val="center"/>
              <w:rPr>
                <w:rFonts w:cs="Times New Roman"/>
                <w:color w:val="000000"/>
                <w:sz w:val="20"/>
                <w:szCs w:val="20"/>
              </w:rPr>
            </w:pPr>
            <w:r w:rsidRPr="00056EA6">
              <w:rPr>
                <w:rFonts w:cs="Times New Roman"/>
                <w:color w:val="000000"/>
                <w:sz w:val="20"/>
                <w:szCs w:val="20"/>
              </w:rPr>
              <w:t>0.966</w:t>
            </w:r>
          </w:p>
        </w:tc>
        <w:tc>
          <w:tcPr>
            <w:tcW w:w="958" w:type="dxa"/>
            <w:tcBorders>
              <w:top w:val="single" w:sz="12" w:space="0" w:color="auto"/>
              <w:left w:val="single" w:sz="36" w:space="0" w:color="FFFFFF" w:themeColor="background1"/>
              <w:bottom w:val="nil"/>
              <w:right w:val="single" w:sz="36" w:space="0" w:color="FFFFFF" w:themeColor="background1"/>
            </w:tcBorders>
            <w:vAlign w:val="center"/>
          </w:tcPr>
          <w:p w14:paraId="56803AD6" w14:textId="77777777" w:rsidR="0079596C" w:rsidRPr="00056EA6" w:rsidRDefault="0079596C" w:rsidP="00D849E6">
            <w:pPr>
              <w:spacing w:line="240" w:lineRule="auto"/>
              <w:jc w:val="center"/>
              <w:rPr>
                <w:rFonts w:cs="Times New Roman"/>
                <w:color w:val="000000"/>
                <w:sz w:val="20"/>
                <w:szCs w:val="20"/>
              </w:rPr>
            </w:pPr>
            <w:r w:rsidRPr="00056EA6">
              <w:rPr>
                <w:rFonts w:cs="Times New Roman"/>
                <w:color w:val="000000"/>
                <w:sz w:val="20"/>
                <w:szCs w:val="20"/>
              </w:rPr>
              <w:t>0.42</w:t>
            </w:r>
          </w:p>
        </w:tc>
        <w:tc>
          <w:tcPr>
            <w:tcW w:w="892" w:type="dxa"/>
            <w:tcBorders>
              <w:top w:val="single" w:sz="12" w:space="0" w:color="auto"/>
              <w:left w:val="single" w:sz="36" w:space="0" w:color="FFFFFF" w:themeColor="background1"/>
              <w:bottom w:val="nil"/>
            </w:tcBorders>
            <w:shd w:val="clear" w:color="auto" w:fill="auto"/>
            <w:vAlign w:val="center"/>
          </w:tcPr>
          <w:p w14:paraId="105E0F44" w14:textId="77777777" w:rsidR="0079596C" w:rsidRPr="00056EA6" w:rsidRDefault="0079596C" w:rsidP="00D849E6">
            <w:pPr>
              <w:spacing w:line="240" w:lineRule="auto"/>
              <w:jc w:val="center"/>
              <w:rPr>
                <w:rFonts w:cs="Times New Roman"/>
                <w:color w:val="000000"/>
                <w:sz w:val="20"/>
                <w:szCs w:val="20"/>
              </w:rPr>
            </w:pPr>
            <w:r w:rsidRPr="00056EA6">
              <w:rPr>
                <w:rFonts w:cs="Times New Roman"/>
                <w:color w:val="000000"/>
                <w:sz w:val="20"/>
                <w:szCs w:val="20"/>
              </w:rPr>
              <w:t>0.672</w:t>
            </w:r>
          </w:p>
        </w:tc>
        <w:tc>
          <w:tcPr>
            <w:tcW w:w="854" w:type="dxa"/>
            <w:tcBorders>
              <w:top w:val="single" w:sz="12" w:space="0" w:color="auto"/>
              <w:left w:val="single" w:sz="36" w:space="0" w:color="FFFFFF" w:themeColor="background1"/>
              <w:bottom w:val="nil"/>
              <w:right w:val="single" w:sz="36" w:space="0" w:color="FFFFFF" w:themeColor="background1"/>
            </w:tcBorders>
            <w:vAlign w:val="center"/>
          </w:tcPr>
          <w:p w14:paraId="037C7049" w14:textId="77777777" w:rsidR="0079596C" w:rsidRPr="00056EA6" w:rsidRDefault="0079596C" w:rsidP="00D849E6">
            <w:pPr>
              <w:spacing w:line="240" w:lineRule="auto"/>
              <w:jc w:val="center"/>
              <w:rPr>
                <w:rFonts w:cs="Times New Roman"/>
                <w:color w:val="000000"/>
                <w:sz w:val="20"/>
                <w:szCs w:val="20"/>
              </w:rPr>
            </w:pPr>
            <w:r>
              <w:rPr>
                <w:rFonts w:cs="Times New Roman"/>
                <w:color w:val="000000"/>
                <w:sz w:val="20"/>
                <w:szCs w:val="20"/>
              </w:rPr>
              <w:t>0.00</w:t>
            </w:r>
          </w:p>
        </w:tc>
        <w:tc>
          <w:tcPr>
            <w:tcW w:w="806" w:type="dxa"/>
            <w:tcBorders>
              <w:top w:val="single" w:sz="12" w:space="0" w:color="auto"/>
              <w:left w:val="single" w:sz="36" w:space="0" w:color="FFFFFF" w:themeColor="background1"/>
              <w:bottom w:val="nil"/>
            </w:tcBorders>
            <w:vAlign w:val="center"/>
          </w:tcPr>
          <w:p w14:paraId="57EC460F" w14:textId="77777777" w:rsidR="0079596C" w:rsidRPr="00056EA6" w:rsidRDefault="0079596C" w:rsidP="00D849E6">
            <w:pPr>
              <w:spacing w:line="240" w:lineRule="auto"/>
              <w:jc w:val="center"/>
              <w:rPr>
                <w:rFonts w:cs="Times New Roman"/>
                <w:color w:val="000000"/>
                <w:sz w:val="20"/>
                <w:szCs w:val="20"/>
              </w:rPr>
            </w:pPr>
            <w:r>
              <w:rPr>
                <w:rFonts w:cs="Times New Roman"/>
                <w:color w:val="000000"/>
                <w:sz w:val="20"/>
                <w:szCs w:val="20"/>
              </w:rPr>
              <w:t>0.998</w:t>
            </w:r>
          </w:p>
        </w:tc>
        <w:tc>
          <w:tcPr>
            <w:tcW w:w="854" w:type="dxa"/>
            <w:tcBorders>
              <w:top w:val="single" w:sz="12" w:space="0" w:color="auto"/>
              <w:left w:val="single" w:sz="36" w:space="0" w:color="FFFFFF" w:themeColor="background1"/>
              <w:bottom w:val="nil"/>
            </w:tcBorders>
            <w:vAlign w:val="center"/>
          </w:tcPr>
          <w:p w14:paraId="1E48875E" w14:textId="77777777" w:rsidR="0079596C" w:rsidRPr="00056EA6" w:rsidRDefault="0079596C" w:rsidP="00D849E6">
            <w:pPr>
              <w:spacing w:line="240" w:lineRule="auto"/>
              <w:jc w:val="center"/>
              <w:rPr>
                <w:rFonts w:cs="Times New Roman"/>
                <w:color w:val="000000"/>
                <w:sz w:val="20"/>
                <w:szCs w:val="20"/>
              </w:rPr>
            </w:pPr>
            <w:r>
              <w:rPr>
                <w:rFonts w:cs="Times New Roman"/>
                <w:color w:val="000000"/>
                <w:sz w:val="20"/>
                <w:szCs w:val="20"/>
              </w:rPr>
              <w:t>2.23</w:t>
            </w:r>
          </w:p>
        </w:tc>
        <w:tc>
          <w:tcPr>
            <w:tcW w:w="766" w:type="dxa"/>
            <w:tcBorders>
              <w:top w:val="single" w:sz="12" w:space="0" w:color="auto"/>
              <w:left w:val="single" w:sz="36" w:space="0" w:color="FFFFFF" w:themeColor="background1"/>
              <w:bottom w:val="nil"/>
              <w:right w:val="single" w:sz="36" w:space="0" w:color="FFFFFF" w:themeColor="background1"/>
            </w:tcBorders>
            <w:vAlign w:val="center"/>
          </w:tcPr>
          <w:p w14:paraId="5F7DD36C" w14:textId="77777777" w:rsidR="0079596C" w:rsidRPr="00056EA6" w:rsidRDefault="0079596C" w:rsidP="00D849E6">
            <w:pPr>
              <w:spacing w:line="240" w:lineRule="auto"/>
              <w:jc w:val="center"/>
              <w:rPr>
                <w:rFonts w:cs="Times New Roman"/>
                <w:color w:val="000000"/>
                <w:sz w:val="20"/>
                <w:szCs w:val="20"/>
              </w:rPr>
            </w:pPr>
            <w:r>
              <w:rPr>
                <w:rFonts w:cs="Times New Roman"/>
                <w:color w:val="000000"/>
                <w:sz w:val="20"/>
                <w:szCs w:val="20"/>
              </w:rPr>
              <w:t>0.170</w:t>
            </w:r>
          </w:p>
        </w:tc>
        <w:tc>
          <w:tcPr>
            <w:tcW w:w="854" w:type="dxa"/>
            <w:tcBorders>
              <w:top w:val="single" w:sz="12" w:space="0" w:color="auto"/>
              <w:left w:val="single" w:sz="36" w:space="0" w:color="FFFFFF" w:themeColor="background1"/>
              <w:bottom w:val="nil"/>
              <w:right w:val="single" w:sz="36" w:space="0" w:color="FFFFFF" w:themeColor="background1"/>
            </w:tcBorders>
            <w:vAlign w:val="center"/>
          </w:tcPr>
          <w:p w14:paraId="7924D1DD" w14:textId="77777777" w:rsidR="0079596C" w:rsidRPr="00056EA6" w:rsidRDefault="0079596C" w:rsidP="00D849E6">
            <w:pPr>
              <w:spacing w:line="240" w:lineRule="auto"/>
              <w:jc w:val="center"/>
              <w:rPr>
                <w:rFonts w:cs="Times New Roman"/>
                <w:color w:val="000000"/>
                <w:sz w:val="20"/>
                <w:szCs w:val="20"/>
              </w:rPr>
            </w:pPr>
            <w:r>
              <w:rPr>
                <w:rFonts w:cs="Times New Roman"/>
                <w:color w:val="000000"/>
                <w:sz w:val="20"/>
                <w:szCs w:val="20"/>
              </w:rPr>
              <w:t>12.66</w:t>
            </w:r>
          </w:p>
        </w:tc>
        <w:tc>
          <w:tcPr>
            <w:tcW w:w="946" w:type="dxa"/>
            <w:tcBorders>
              <w:top w:val="single" w:sz="12" w:space="0" w:color="auto"/>
              <w:left w:val="single" w:sz="36" w:space="0" w:color="FFFFFF" w:themeColor="background1"/>
              <w:bottom w:val="nil"/>
              <w:right w:val="single" w:sz="36" w:space="0" w:color="FFFFFF" w:themeColor="background1"/>
            </w:tcBorders>
            <w:vAlign w:val="center"/>
          </w:tcPr>
          <w:p w14:paraId="14940040" w14:textId="77777777" w:rsidR="0079596C" w:rsidRPr="0066024E" w:rsidRDefault="0079596C" w:rsidP="00D849E6">
            <w:pPr>
              <w:spacing w:line="240" w:lineRule="auto"/>
              <w:jc w:val="center"/>
              <w:rPr>
                <w:rFonts w:cs="Times New Roman"/>
                <w:b/>
                <w:bCs/>
                <w:color w:val="000000"/>
                <w:sz w:val="20"/>
                <w:szCs w:val="20"/>
              </w:rPr>
            </w:pPr>
            <w:r w:rsidRPr="0066024E">
              <w:rPr>
                <w:rFonts w:cs="Times New Roman"/>
                <w:b/>
                <w:bCs/>
                <w:color w:val="000000"/>
                <w:sz w:val="20"/>
                <w:szCs w:val="20"/>
              </w:rPr>
              <w:t>0.016</w:t>
            </w:r>
          </w:p>
        </w:tc>
      </w:tr>
      <w:tr w:rsidR="0079596C" w:rsidRPr="00401D64" w14:paraId="22272C0D" w14:textId="77777777" w:rsidTr="00D849E6">
        <w:trPr>
          <w:trHeight w:val="288"/>
        </w:trPr>
        <w:tc>
          <w:tcPr>
            <w:tcW w:w="2160" w:type="dxa"/>
            <w:tcBorders>
              <w:top w:val="nil"/>
              <w:left w:val="nil"/>
              <w:bottom w:val="nil"/>
              <w:right w:val="nil"/>
            </w:tcBorders>
            <w:shd w:val="clear" w:color="auto" w:fill="D9D9D9" w:themeFill="background1" w:themeFillShade="D9"/>
            <w:noWrap/>
            <w:vAlign w:val="center"/>
            <w:hideMark/>
          </w:tcPr>
          <w:p w14:paraId="3090AF4A" w14:textId="77777777" w:rsidR="0079596C" w:rsidRPr="00401D64" w:rsidRDefault="0079596C" w:rsidP="00D849E6">
            <w:pPr>
              <w:spacing w:line="240" w:lineRule="auto"/>
              <w:rPr>
                <w:rFonts w:cs="Times New Roman"/>
                <w:color w:val="000000"/>
                <w:sz w:val="20"/>
                <w:szCs w:val="20"/>
              </w:rPr>
            </w:pPr>
            <w:r>
              <w:rPr>
                <w:rFonts w:cs="Times New Roman"/>
                <w:color w:val="000000"/>
                <w:sz w:val="20"/>
                <w:szCs w:val="20"/>
              </w:rPr>
              <w:t>Switchgrass</w:t>
            </w:r>
          </w:p>
        </w:tc>
        <w:tc>
          <w:tcPr>
            <w:tcW w:w="841" w:type="dxa"/>
            <w:tcBorders>
              <w:top w:val="nil"/>
              <w:left w:val="nil"/>
              <w:bottom w:val="nil"/>
              <w:right w:val="nil"/>
            </w:tcBorders>
            <w:shd w:val="clear" w:color="auto" w:fill="D9D9D9" w:themeFill="background1" w:themeFillShade="D9"/>
            <w:vAlign w:val="center"/>
          </w:tcPr>
          <w:p w14:paraId="39A18885" w14:textId="77777777" w:rsidR="0079596C" w:rsidRPr="00056EA6" w:rsidRDefault="0079596C" w:rsidP="00D849E6">
            <w:pPr>
              <w:spacing w:line="240" w:lineRule="auto"/>
              <w:jc w:val="center"/>
              <w:rPr>
                <w:rFonts w:cs="Times New Roman"/>
                <w:color w:val="000000"/>
                <w:sz w:val="20"/>
                <w:szCs w:val="20"/>
              </w:rPr>
            </w:pPr>
            <w:r w:rsidRPr="00056EA6">
              <w:rPr>
                <w:rFonts w:cs="Times New Roman"/>
                <w:color w:val="000000"/>
                <w:sz w:val="20"/>
                <w:szCs w:val="20"/>
              </w:rPr>
              <w:t>1.56</w:t>
            </w:r>
          </w:p>
        </w:tc>
        <w:tc>
          <w:tcPr>
            <w:tcW w:w="779" w:type="dxa"/>
            <w:tcBorders>
              <w:top w:val="nil"/>
              <w:left w:val="nil"/>
              <w:bottom w:val="nil"/>
              <w:right w:val="nil"/>
            </w:tcBorders>
            <w:shd w:val="clear" w:color="auto" w:fill="D9D9D9" w:themeFill="background1" w:themeFillShade="D9"/>
            <w:noWrap/>
            <w:vAlign w:val="center"/>
          </w:tcPr>
          <w:p w14:paraId="04FF199B" w14:textId="77777777" w:rsidR="0079596C" w:rsidRPr="00056EA6" w:rsidRDefault="0079596C" w:rsidP="00D849E6">
            <w:pPr>
              <w:spacing w:line="240" w:lineRule="auto"/>
              <w:jc w:val="center"/>
              <w:rPr>
                <w:rFonts w:cs="Times New Roman"/>
                <w:color w:val="000000"/>
                <w:sz w:val="20"/>
                <w:szCs w:val="20"/>
              </w:rPr>
            </w:pPr>
            <w:r w:rsidRPr="00056EA6">
              <w:rPr>
                <w:rFonts w:cs="Times New Roman"/>
                <w:color w:val="000000"/>
                <w:sz w:val="20"/>
                <w:szCs w:val="20"/>
              </w:rPr>
              <w:t>0.244</w:t>
            </w:r>
          </w:p>
        </w:tc>
        <w:tc>
          <w:tcPr>
            <w:tcW w:w="958" w:type="dxa"/>
            <w:tcBorders>
              <w:top w:val="nil"/>
              <w:left w:val="nil"/>
              <w:bottom w:val="nil"/>
              <w:right w:val="nil"/>
            </w:tcBorders>
            <w:shd w:val="clear" w:color="auto" w:fill="D9D9D9" w:themeFill="background1" w:themeFillShade="D9"/>
            <w:vAlign w:val="center"/>
          </w:tcPr>
          <w:p w14:paraId="49860721" w14:textId="77777777" w:rsidR="0079596C" w:rsidRPr="00056EA6" w:rsidRDefault="0079596C" w:rsidP="00D849E6">
            <w:pPr>
              <w:spacing w:line="240" w:lineRule="auto"/>
              <w:jc w:val="center"/>
              <w:rPr>
                <w:rFonts w:cs="Times New Roman"/>
                <w:color w:val="000000"/>
                <w:sz w:val="20"/>
                <w:szCs w:val="20"/>
              </w:rPr>
            </w:pPr>
            <w:r>
              <w:rPr>
                <w:rFonts w:cs="Times New Roman"/>
                <w:color w:val="000000"/>
                <w:sz w:val="20"/>
                <w:szCs w:val="20"/>
              </w:rPr>
              <w:t>2.59</w:t>
            </w:r>
          </w:p>
        </w:tc>
        <w:tc>
          <w:tcPr>
            <w:tcW w:w="892" w:type="dxa"/>
            <w:tcBorders>
              <w:top w:val="nil"/>
              <w:left w:val="nil"/>
              <w:bottom w:val="nil"/>
              <w:right w:val="nil"/>
            </w:tcBorders>
            <w:shd w:val="clear" w:color="auto" w:fill="D9D9D9" w:themeFill="background1" w:themeFillShade="D9"/>
            <w:vAlign w:val="center"/>
          </w:tcPr>
          <w:p w14:paraId="35CC6331" w14:textId="77777777" w:rsidR="0079596C" w:rsidRPr="00056EA6" w:rsidRDefault="0079596C" w:rsidP="00D849E6">
            <w:pPr>
              <w:spacing w:line="240" w:lineRule="auto"/>
              <w:jc w:val="center"/>
              <w:rPr>
                <w:rFonts w:cs="Times New Roman"/>
                <w:color w:val="000000"/>
                <w:sz w:val="20"/>
                <w:szCs w:val="20"/>
              </w:rPr>
            </w:pPr>
            <w:r>
              <w:rPr>
                <w:rFonts w:cs="Times New Roman"/>
                <w:color w:val="000000"/>
                <w:sz w:val="20"/>
                <w:szCs w:val="20"/>
              </w:rPr>
              <w:t>0.154</w:t>
            </w:r>
          </w:p>
        </w:tc>
        <w:tc>
          <w:tcPr>
            <w:tcW w:w="854" w:type="dxa"/>
            <w:tcBorders>
              <w:top w:val="nil"/>
              <w:left w:val="nil"/>
              <w:bottom w:val="nil"/>
              <w:right w:val="nil"/>
            </w:tcBorders>
            <w:shd w:val="clear" w:color="auto" w:fill="D9D9D9" w:themeFill="background1" w:themeFillShade="D9"/>
            <w:vAlign w:val="center"/>
          </w:tcPr>
          <w:p w14:paraId="7D061F58" w14:textId="77777777" w:rsidR="0079596C" w:rsidRPr="00056EA6" w:rsidRDefault="0079596C" w:rsidP="00D849E6">
            <w:pPr>
              <w:spacing w:line="240" w:lineRule="auto"/>
              <w:jc w:val="center"/>
              <w:rPr>
                <w:rFonts w:cs="Times New Roman"/>
                <w:color w:val="000000"/>
                <w:sz w:val="20"/>
                <w:szCs w:val="20"/>
              </w:rPr>
            </w:pPr>
            <w:r>
              <w:rPr>
                <w:rFonts w:cs="Times New Roman"/>
                <w:color w:val="000000"/>
                <w:sz w:val="20"/>
                <w:szCs w:val="20"/>
              </w:rPr>
              <w:t>0.15</w:t>
            </w:r>
          </w:p>
        </w:tc>
        <w:tc>
          <w:tcPr>
            <w:tcW w:w="806" w:type="dxa"/>
            <w:tcBorders>
              <w:top w:val="nil"/>
              <w:left w:val="nil"/>
              <w:bottom w:val="nil"/>
              <w:right w:val="nil"/>
            </w:tcBorders>
            <w:shd w:val="clear" w:color="auto" w:fill="D9D9D9" w:themeFill="background1" w:themeFillShade="D9"/>
            <w:vAlign w:val="center"/>
          </w:tcPr>
          <w:p w14:paraId="6EED7D49" w14:textId="77777777" w:rsidR="0079596C" w:rsidRPr="00056EA6" w:rsidRDefault="0079596C" w:rsidP="00D849E6">
            <w:pPr>
              <w:spacing w:line="240" w:lineRule="auto"/>
              <w:jc w:val="center"/>
              <w:rPr>
                <w:rFonts w:cs="Times New Roman"/>
                <w:color w:val="000000"/>
                <w:sz w:val="20"/>
                <w:szCs w:val="20"/>
              </w:rPr>
            </w:pPr>
            <w:r>
              <w:rPr>
                <w:rFonts w:cs="Times New Roman"/>
                <w:color w:val="000000"/>
                <w:sz w:val="20"/>
                <w:szCs w:val="20"/>
              </w:rPr>
              <w:t>0.859</w:t>
            </w:r>
          </w:p>
        </w:tc>
        <w:tc>
          <w:tcPr>
            <w:tcW w:w="854" w:type="dxa"/>
            <w:tcBorders>
              <w:top w:val="nil"/>
              <w:left w:val="nil"/>
              <w:bottom w:val="nil"/>
              <w:right w:val="nil"/>
            </w:tcBorders>
            <w:shd w:val="clear" w:color="auto" w:fill="D9D9D9" w:themeFill="background1" w:themeFillShade="D9"/>
            <w:vAlign w:val="center"/>
          </w:tcPr>
          <w:p w14:paraId="27EC3F59" w14:textId="77777777" w:rsidR="0079596C" w:rsidRPr="00056EA6" w:rsidRDefault="0079596C" w:rsidP="00D849E6">
            <w:pPr>
              <w:spacing w:line="240" w:lineRule="auto"/>
              <w:jc w:val="center"/>
              <w:rPr>
                <w:rFonts w:cs="Times New Roman"/>
                <w:color w:val="000000"/>
                <w:sz w:val="20"/>
                <w:szCs w:val="20"/>
              </w:rPr>
            </w:pPr>
            <w:r>
              <w:rPr>
                <w:rFonts w:cs="Times New Roman"/>
                <w:color w:val="000000"/>
                <w:sz w:val="20"/>
                <w:szCs w:val="20"/>
              </w:rPr>
              <w:t>4.45</w:t>
            </w:r>
          </w:p>
        </w:tc>
        <w:tc>
          <w:tcPr>
            <w:tcW w:w="766" w:type="dxa"/>
            <w:tcBorders>
              <w:top w:val="nil"/>
              <w:left w:val="nil"/>
              <w:bottom w:val="nil"/>
              <w:right w:val="nil"/>
            </w:tcBorders>
            <w:shd w:val="clear" w:color="auto" w:fill="D9D9D9" w:themeFill="background1" w:themeFillShade="D9"/>
            <w:vAlign w:val="center"/>
          </w:tcPr>
          <w:p w14:paraId="2D470D7A" w14:textId="6917F3BA" w:rsidR="0079596C" w:rsidRPr="00056EA6" w:rsidRDefault="0079596C" w:rsidP="00D849E6">
            <w:pPr>
              <w:spacing w:line="240" w:lineRule="auto"/>
              <w:jc w:val="center"/>
              <w:rPr>
                <w:rFonts w:cs="Times New Roman"/>
                <w:color w:val="000000"/>
                <w:sz w:val="20"/>
                <w:szCs w:val="20"/>
              </w:rPr>
            </w:pPr>
            <w:r>
              <w:rPr>
                <w:rFonts w:cs="Times New Roman"/>
                <w:color w:val="000000"/>
                <w:sz w:val="20"/>
                <w:szCs w:val="20"/>
              </w:rPr>
              <w:t>0.050</w:t>
            </w:r>
            <w:r w:rsidR="003D3A24">
              <w:rPr>
                <w:rFonts w:cs="Times New Roman"/>
                <w:color w:val="000000"/>
                <w:sz w:val="20"/>
                <w:szCs w:val="20"/>
              </w:rPr>
              <w:t>‡</w:t>
            </w:r>
          </w:p>
        </w:tc>
        <w:tc>
          <w:tcPr>
            <w:tcW w:w="854" w:type="dxa"/>
            <w:tcBorders>
              <w:top w:val="nil"/>
              <w:left w:val="nil"/>
              <w:bottom w:val="nil"/>
              <w:right w:val="nil"/>
            </w:tcBorders>
            <w:shd w:val="clear" w:color="auto" w:fill="D9D9D9" w:themeFill="background1" w:themeFillShade="D9"/>
            <w:vAlign w:val="center"/>
          </w:tcPr>
          <w:p w14:paraId="19DCDA7D" w14:textId="77777777" w:rsidR="0079596C" w:rsidRPr="00056EA6" w:rsidRDefault="0079596C" w:rsidP="00D849E6">
            <w:pPr>
              <w:spacing w:line="240" w:lineRule="auto"/>
              <w:jc w:val="center"/>
              <w:rPr>
                <w:rFonts w:cs="Times New Roman"/>
                <w:color w:val="000000"/>
                <w:sz w:val="20"/>
                <w:szCs w:val="20"/>
              </w:rPr>
            </w:pPr>
            <w:r>
              <w:rPr>
                <w:rFonts w:cs="Times New Roman"/>
                <w:color w:val="000000"/>
                <w:sz w:val="20"/>
                <w:szCs w:val="20"/>
              </w:rPr>
              <w:t>27.64</w:t>
            </w:r>
          </w:p>
        </w:tc>
        <w:tc>
          <w:tcPr>
            <w:tcW w:w="946" w:type="dxa"/>
            <w:tcBorders>
              <w:top w:val="nil"/>
              <w:left w:val="nil"/>
              <w:bottom w:val="nil"/>
              <w:right w:val="nil"/>
            </w:tcBorders>
            <w:shd w:val="clear" w:color="auto" w:fill="D9D9D9" w:themeFill="background1" w:themeFillShade="D9"/>
            <w:vAlign w:val="center"/>
          </w:tcPr>
          <w:p w14:paraId="48B6A6BB" w14:textId="77777777" w:rsidR="0079596C" w:rsidRPr="0066024E" w:rsidRDefault="0079596C" w:rsidP="00D849E6">
            <w:pPr>
              <w:spacing w:line="240" w:lineRule="auto"/>
              <w:jc w:val="center"/>
              <w:rPr>
                <w:rFonts w:cs="Times New Roman"/>
                <w:b/>
                <w:bCs/>
                <w:color w:val="000000"/>
                <w:sz w:val="20"/>
                <w:szCs w:val="20"/>
              </w:rPr>
            </w:pPr>
            <w:r w:rsidRPr="0066024E">
              <w:rPr>
                <w:rFonts w:cs="Times New Roman"/>
                <w:b/>
                <w:bCs/>
                <w:color w:val="000000"/>
                <w:sz w:val="20"/>
                <w:szCs w:val="20"/>
              </w:rPr>
              <w:t>0.003</w:t>
            </w:r>
          </w:p>
        </w:tc>
      </w:tr>
      <w:tr w:rsidR="0079596C" w:rsidRPr="00401D64" w14:paraId="592CF8B5" w14:textId="77777777" w:rsidTr="00D849E6">
        <w:trPr>
          <w:trHeight w:val="288"/>
        </w:trPr>
        <w:tc>
          <w:tcPr>
            <w:tcW w:w="2160" w:type="dxa"/>
            <w:tcBorders>
              <w:top w:val="nil"/>
              <w:left w:val="nil"/>
              <w:bottom w:val="single" w:sz="12" w:space="0" w:color="auto"/>
            </w:tcBorders>
            <w:shd w:val="clear" w:color="auto" w:fill="FFFFFF" w:themeFill="background1"/>
            <w:noWrap/>
            <w:vAlign w:val="center"/>
            <w:hideMark/>
          </w:tcPr>
          <w:p w14:paraId="53D1B993" w14:textId="77777777" w:rsidR="0079596C" w:rsidRPr="00401D64" w:rsidRDefault="0079596C" w:rsidP="00D849E6">
            <w:pPr>
              <w:spacing w:line="240" w:lineRule="auto"/>
              <w:rPr>
                <w:rFonts w:cs="Times New Roman"/>
                <w:color w:val="000000"/>
                <w:sz w:val="20"/>
                <w:szCs w:val="20"/>
              </w:rPr>
            </w:pPr>
            <w:r>
              <w:rPr>
                <w:rFonts w:cs="Times New Roman"/>
                <w:color w:val="000000"/>
                <w:sz w:val="20"/>
                <w:szCs w:val="20"/>
              </w:rPr>
              <w:t>Total</w:t>
            </w:r>
          </w:p>
        </w:tc>
        <w:tc>
          <w:tcPr>
            <w:tcW w:w="841" w:type="dxa"/>
            <w:tcBorders>
              <w:top w:val="nil"/>
              <w:bottom w:val="single" w:sz="12" w:space="0" w:color="auto"/>
            </w:tcBorders>
            <w:shd w:val="clear" w:color="auto" w:fill="FFFFFF" w:themeFill="background1"/>
            <w:vAlign w:val="center"/>
          </w:tcPr>
          <w:p w14:paraId="2FC927DA" w14:textId="77777777" w:rsidR="0079596C" w:rsidRPr="00056EA6" w:rsidRDefault="0079596C" w:rsidP="00D849E6">
            <w:pPr>
              <w:spacing w:line="240" w:lineRule="auto"/>
              <w:jc w:val="center"/>
              <w:rPr>
                <w:rFonts w:cs="Times New Roman"/>
                <w:color w:val="000000"/>
                <w:sz w:val="20"/>
                <w:szCs w:val="20"/>
              </w:rPr>
            </w:pPr>
            <w:r w:rsidRPr="00056EA6">
              <w:rPr>
                <w:rFonts w:cs="Times New Roman"/>
                <w:color w:val="000000"/>
                <w:sz w:val="20"/>
                <w:szCs w:val="20"/>
              </w:rPr>
              <w:t>0.63</w:t>
            </w:r>
          </w:p>
        </w:tc>
        <w:tc>
          <w:tcPr>
            <w:tcW w:w="779" w:type="dxa"/>
            <w:tcBorders>
              <w:top w:val="nil"/>
              <w:left w:val="nil"/>
              <w:bottom w:val="single" w:sz="12" w:space="0" w:color="auto"/>
              <w:right w:val="nil"/>
            </w:tcBorders>
            <w:shd w:val="clear" w:color="auto" w:fill="FFFFFF" w:themeFill="background1"/>
            <w:noWrap/>
            <w:vAlign w:val="center"/>
          </w:tcPr>
          <w:p w14:paraId="530A9BCE" w14:textId="77777777" w:rsidR="0079596C" w:rsidRPr="00056EA6" w:rsidRDefault="0079596C" w:rsidP="00D849E6">
            <w:pPr>
              <w:spacing w:line="240" w:lineRule="auto"/>
              <w:jc w:val="center"/>
              <w:rPr>
                <w:rFonts w:cs="Times New Roman"/>
                <w:color w:val="000000"/>
                <w:sz w:val="20"/>
                <w:szCs w:val="20"/>
              </w:rPr>
            </w:pPr>
            <w:r w:rsidRPr="00056EA6">
              <w:rPr>
                <w:rFonts w:cs="Times New Roman"/>
                <w:color w:val="000000"/>
                <w:sz w:val="20"/>
                <w:szCs w:val="20"/>
              </w:rPr>
              <w:t>0.649</w:t>
            </w:r>
          </w:p>
        </w:tc>
        <w:tc>
          <w:tcPr>
            <w:tcW w:w="958" w:type="dxa"/>
            <w:tcBorders>
              <w:top w:val="nil"/>
              <w:left w:val="nil"/>
              <w:bottom w:val="single" w:sz="12" w:space="0" w:color="auto"/>
              <w:right w:val="nil"/>
            </w:tcBorders>
            <w:shd w:val="clear" w:color="auto" w:fill="FFFFFF" w:themeFill="background1"/>
            <w:vAlign w:val="center"/>
          </w:tcPr>
          <w:p w14:paraId="5907FDDC" w14:textId="77777777" w:rsidR="0079596C" w:rsidRPr="00056EA6" w:rsidRDefault="0079596C" w:rsidP="00D849E6">
            <w:pPr>
              <w:spacing w:line="240" w:lineRule="auto"/>
              <w:jc w:val="center"/>
              <w:rPr>
                <w:rFonts w:cs="Times New Roman"/>
                <w:color w:val="000000"/>
                <w:sz w:val="20"/>
                <w:szCs w:val="20"/>
              </w:rPr>
            </w:pPr>
            <w:r>
              <w:rPr>
                <w:rFonts w:cs="Times New Roman"/>
                <w:color w:val="000000"/>
                <w:sz w:val="20"/>
                <w:szCs w:val="20"/>
              </w:rPr>
              <w:t>2.48</w:t>
            </w:r>
          </w:p>
        </w:tc>
        <w:tc>
          <w:tcPr>
            <w:tcW w:w="892" w:type="dxa"/>
            <w:tcBorders>
              <w:top w:val="nil"/>
              <w:left w:val="nil"/>
              <w:bottom w:val="single" w:sz="12" w:space="0" w:color="auto"/>
              <w:right w:val="nil"/>
            </w:tcBorders>
            <w:shd w:val="clear" w:color="auto" w:fill="FFFFFF" w:themeFill="background1"/>
            <w:vAlign w:val="center"/>
          </w:tcPr>
          <w:p w14:paraId="22A2BA77" w14:textId="77777777" w:rsidR="0079596C" w:rsidRPr="00056EA6" w:rsidRDefault="0079596C" w:rsidP="00D849E6">
            <w:pPr>
              <w:spacing w:line="240" w:lineRule="auto"/>
              <w:jc w:val="center"/>
              <w:rPr>
                <w:rFonts w:cs="Times New Roman"/>
                <w:color w:val="000000"/>
                <w:sz w:val="20"/>
                <w:szCs w:val="20"/>
              </w:rPr>
            </w:pPr>
            <w:r>
              <w:rPr>
                <w:rFonts w:cs="Times New Roman"/>
                <w:color w:val="000000"/>
                <w:sz w:val="20"/>
                <w:szCs w:val="20"/>
              </w:rPr>
              <w:t>0.164</w:t>
            </w:r>
          </w:p>
        </w:tc>
        <w:tc>
          <w:tcPr>
            <w:tcW w:w="854" w:type="dxa"/>
            <w:tcBorders>
              <w:top w:val="nil"/>
              <w:left w:val="nil"/>
              <w:bottom w:val="single" w:sz="12" w:space="0" w:color="auto"/>
              <w:right w:val="nil"/>
            </w:tcBorders>
            <w:shd w:val="clear" w:color="auto" w:fill="FFFFFF" w:themeFill="background1"/>
            <w:vAlign w:val="center"/>
          </w:tcPr>
          <w:p w14:paraId="57D81D07" w14:textId="77777777" w:rsidR="0079596C" w:rsidRPr="00056EA6" w:rsidRDefault="0079596C" w:rsidP="00D849E6">
            <w:pPr>
              <w:spacing w:line="240" w:lineRule="auto"/>
              <w:jc w:val="center"/>
              <w:rPr>
                <w:rFonts w:cs="Times New Roman"/>
                <w:color w:val="000000"/>
                <w:sz w:val="20"/>
                <w:szCs w:val="20"/>
              </w:rPr>
            </w:pPr>
            <w:r>
              <w:rPr>
                <w:rFonts w:cs="Times New Roman"/>
                <w:color w:val="000000"/>
                <w:sz w:val="20"/>
                <w:szCs w:val="20"/>
              </w:rPr>
              <w:t>0.04</w:t>
            </w:r>
          </w:p>
        </w:tc>
        <w:tc>
          <w:tcPr>
            <w:tcW w:w="806" w:type="dxa"/>
            <w:tcBorders>
              <w:top w:val="nil"/>
              <w:left w:val="nil"/>
              <w:bottom w:val="single" w:sz="12" w:space="0" w:color="auto"/>
              <w:right w:val="nil"/>
            </w:tcBorders>
            <w:shd w:val="clear" w:color="auto" w:fill="FFFFFF" w:themeFill="background1"/>
            <w:vAlign w:val="center"/>
          </w:tcPr>
          <w:p w14:paraId="18DE7F6B" w14:textId="77777777" w:rsidR="0079596C" w:rsidRPr="00056EA6" w:rsidRDefault="0079596C" w:rsidP="00D849E6">
            <w:pPr>
              <w:spacing w:line="240" w:lineRule="auto"/>
              <w:jc w:val="center"/>
              <w:rPr>
                <w:rFonts w:cs="Times New Roman"/>
                <w:color w:val="000000"/>
                <w:sz w:val="20"/>
                <w:szCs w:val="20"/>
              </w:rPr>
            </w:pPr>
            <w:r>
              <w:rPr>
                <w:rFonts w:cs="Times New Roman"/>
                <w:color w:val="000000"/>
                <w:sz w:val="20"/>
                <w:szCs w:val="20"/>
              </w:rPr>
              <w:t>0.964</w:t>
            </w:r>
          </w:p>
        </w:tc>
        <w:tc>
          <w:tcPr>
            <w:tcW w:w="854" w:type="dxa"/>
            <w:tcBorders>
              <w:top w:val="nil"/>
              <w:left w:val="nil"/>
              <w:bottom w:val="single" w:sz="12" w:space="0" w:color="auto"/>
              <w:right w:val="nil"/>
            </w:tcBorders>
            <w:shd w:val="clear" w:color="auto" w:fill="FFFFFF" w:themeFill="background1"/>
            <w:vAlign w:val="center"/>
          </w:tcPr>
          <w:p w14:paraId="2ACAF899" w14:textId="77777777" w:rsidR="0079596C" w:rsidRPr="00056EA6" w:rsidRDefault="0079596C" w:rsidP="00D849E6">
            <w:pPr>
              <w:spacing w:line="240" w:lineRule="auto"/>
              <w:jc w:val="center"/>
              <w:rPr>
                <w:rFonts w:cs="Times New Roman"/>
                <w:color w:val="000000"/>
                <w:sz w:val="20"/>
                <w:szCs w:val="20"/>
              </w:rPr>
            </w:pPr>
            <w:r>
              <w:rPr>
                <w:rFonts w:cs="Times New Roman"/>
                <w:color w:val="000000"/>
                <w:sz w:val="20"/>
                <w:szCs w:val="20"/>
              </w:rPr>
              <w:t>5.43</w:t>
            </w:r>
          </w:p>
        </w:tc>
        <w:tc>
          <w:tcPr>
            <w:tcW w:w="766" w:type="dxa"/>
            <w:tcBorders>
              <w:top w:val="nil"/>
              <w:left w:val="nil"/>
              <w:bottom w:val="single" w:sz="12" w:space="0" w:color="auto"/>
              <w:right w:val="nil"/>
            </w:tcBorders>
            <w:shd w:val="clear" w:color="auto" w:fill="FFFFFF" w:themeFill="background1"/>
            <w:vAlign w:val="center"/>
          </w:tcPr>
          <w:p w14:paraId="47AFDF6C" w14:textId="77777777" w:rsidR="0079596C" w:rsidRPr="0066024E" w:rsidRDefault="0079596C" w:rsidP="00D849E6">
            <w:pPr>
              <w:spacing w:line="240" w:lineRule="auto"/>
              <w:jc w:val="center"/>
              <w:rPr>
                <w:rFonts w:cs="Times New Roman"/>
                <w:b/>
                <w:bCs/>
                <w:color w:val="000000"/>
                <w:sz w:val="20"/>
                <w:szCs w:val="20"/>
              </w:rPr>
            </w:pPr>
            <w:r w:rsidRPr="0066024E">
              <w:rPr>
                <w:rFonts w:cs="Times New Roman"/>
                <w:b/>
                <w:bCs/>
                <w:color w:val="000000"/>
                <w:sz w:val="20"/>
                <w:szCs w:val="20"/>
              </w:rPr>
              <w:t>0.032</w:t>
            </w:r>
          </w:p>
        </w:tc>
        <w:tc>
          <w:tcPr>
            <w:tcW w:w="854" w:type="dxa"/>
            <w:tcBorders>
              <w:top w:val="nil"/>
              <w:left w:val="nil"/>
              <w:bottom w:val="single" w:sz="12" w:space="0" w:color="auto"/>
              <w:right w:val="nil"/>
            </w:tcBorders>
            <w:shd w:val="clear" w:color="auto" w:fill="FFFFFF" w:themeFill="background1"/>
            <w:vAlign w:val="center"/>
          </w:tcPr>
          <w:p w14:paraId="411B03E8" w14:textId="77777777" w:rsidR="0079596C" w:rsidRPr="00056EA6" w:rsidRDefault="0079596C" w:rsidP="00D849E6">
            <w:pPr>
              <w:spacing w:line="240" w:lineRule="auto"/>
              <w:jc w:val="center"/>
              <w:rPr>
                <w:rFonts w:cs="Times New Roman"/>
                <w:color w:val="000000"/>
                <w:sz w:val="20"/>
                <w:szCs w:val="20"/>
              </w:rPr>
            </w:pPr>
            <w:r>
              <w:rPr>
                <w:rFonts w:cs="Times New Roman"/>
                <w:color w:val="000000"/>
                <w:sz w:val="20"/>
                <w:szCs w:val="20"/>
              </w:rPr>
              <w:t>45.26</w:t>
            </w:r>
          </w:p>
        </w:tc>
        <w:tc>
          <w:tcPr>
            <w:tcW w:w="946" w:type="dxa"/>
            <w:tcBorders>
              <w:top w:val="nil"/>
              <w:left w:val="nil"/>
              <w:bottom w:val="single" w:sz="12" w:space="0" w:color="auto"/>
              <w:right w:val="nil"/>
            </w:tcBorders>
            <w:shd w:val="clear" w:color="auto" w:fill="FFFFFF" w:themeFill="background1"/>
            <w:vAlign w:val="center"/>
          </w:tcPr>
          <w:p w14:paraId="4471B4AC" w14:textId="77777777" w:rsidR="0079596C" w:rsidRPr="0066024E" w:rsidRDefault="0079596C" w:rsidP="00D849E6">
            <w:pPr>
              <w:spacing w:line="240" w:lineRule="auto"/>
              <w:jc w:val="center"/>
              <w:rPr>
                <w:rFonts w:cs="Times New Roman"/>
                <w:b/>
                <w:bCs/>
                <w:color w:val="000000"/>
                <w:sz w:val="20"/>
                <w:szCs w:val="20"/>
              </w:rPr>
            </w:pPr>
            <w:r w:rsidRPr="0066024E">
              <w:rPr>
                <w:rFonts w:cs="Times New Roman"/>
                <w:b/>
                <w:bCs/>
                <w:color w:val="000000"/>
                <w:sz w:val="20"/>
                <w:szCs w:val="20"/>
              </w:rPr>
              <w:t>0.001</w:t>
            </w:r>
          </w:p>
        </w:tc>
      </w:tr>
    </w:tbl>
    <w:p w14:paraId="2D4E29DF" w14:textId="77777777" w:rsidR="0079596C" w:rsidRPr="00BC2376" w:rsidRDefault="0079596C" w:rsidP="0079596C">
      <w:pPr>
        <w:spacing w:line="240" w:lineRule="auto"/>
        <w:rPr>
          <w:rFonts w:eastAsia="Calibri" w:cs="Times New Roman"/>
          <w:bCs/>
        </w:rPr>
      </w:pPr>
      <w:r w:rsidRPr="00BC2376">
        <w:rPr>
          <w:rFonts w:eastAsia="Calibri" w:cs="Times New Roman"/>
          <w:bCs/>
        </w:rPr>
        <w:t xml:space="preserve">†On May 15, early rest, middle rest, late rest, no rest, and no graze were sampled prior to grazing.  On June 19, early rest, no rest, and no graze were compared.  On July 10, middle rest, no rest, and no graze were analyzed for differences.  On August 1, late rest, no rest, and no graze were sampled.  On August 20, only no rest and no graze were compared at the conclusion of the grazing season. </w:t>
      </w:r>
    </w:p>
    <w:p w14:paraId="34A399CB" w14:textId="288D17EE" w:rsidR="0079596C" w:rsidRPr="00BC2376" w:rsidRDefault="0079596C" w:rsidP="0079596C">
      <w:pPr>
        <w:spacing w:line="240" w:lineRule="auto"/>
        <w:rPr>
          <w:rFonts w:eastAsia="Calibri" w:cs="Times New Roman"/>
          <w:bCs/>
        </w:rPr>
      </w:pPr>
      <w:r w:rsidRPr="00BC2376">
        <w:rPr>
          <w:rFonts w:eastAsia="Calibri" w:cs="Times New Roman"/>
          <w:bCs/>
        </w:rPr>
        <w:t>‡</w:t>
      </w:r>
      <w:r w:rsidRPr="0079596C">
        <w:rPr>
          <w:rFonts w:eastAsia="Calibri" w:cs="Times New Roman"/>
          <w:bCs/>
          <w:i/>
          <w:iCs/>
        </w:rPr>
        <w:t>P</w:t>
      </w:r>
      <w:r>
        <w:rPr>
          <w:rFonts w:eastAsia="Calibri" w:cs="Times New Roman"/>
          <w:bCs/>
        </w:rPr>
        <w:t xml:space="preserve"> = 0.0502</w:t>
      </w:r>
    </w:p>
    <w:p w14:paraId="0F4D16C6" w14:textId="77777777" w:rsidR="0079596C" w:rsidRDefault="0079596C" w:rsidP="00BD6CF7">
      <w:pPr>
        <w:pStyle w:val="Caption"/>
        <w:rPr>
          <w:rFonts w:ascii="Times New Roman" w:hAnsi="Times New Roman" w:cs="Times New Roman"/>
          <w:b w:val="0"/>
          <w:bCs w:val="0"/>
        </w:rPr>
        <w:sectPr w:rsidR="0079596C" w:rsidSect="00E61036">
          <w:pgSz w:w="15840" w:h="12240" w:orient="landscape" w:code="1"/>
          <w:pgMar w:top="1440" w:right="1800" w:bottom="1872" w:left="1800" w:header="720" w:footer="1440" w:gutter="0"/>
          <w:cols w:space="720"/>
          <w:noEndnote/>
          <w:docGrid w:linePitch="360"/>
        </w:sectPr>
      </w:pPr>
    </w:p>
    <w:p w14:paraId="423EF9EE" w14:textId="74AD1C51" w:rsidR="003D3A24" w:rsidRPr="00BC2376" w:rsidRDefault="003D3A24" w:rsidP="003D3A24">
      <w:pPr>
        <w:pStyle w:val="Tables"/>
        <w:spacing w:after="60"/>
        <w:rPr>
          <w:b/>
        </w:rPr>
      </w:pPr>
      <w:bookmarkStart w:id="213" w:name="_Toc72300415"/>
      <w:r w:rsidRPr="00BC2376">
        <w:lastRenderedPageBreak/>
        <w:t>Table 2.1</w:t>
      </w:r>
      <w:r>
        <w:t>5</w:t>
      </w:r>
      <w:r w:rsidRPr="00BC2376">
        <w:t xml:space="preserve">.  Mixed-effects ANOVA model for </w:t>
      </w:r>
      <w:r>
        <w:t xml:space="preserve">forb, big bluestem/indiangrass, and total </w:t>
      </w:r>
      <w:r w:rsidRPr="00BC2376">
        <w:t xml:space="preserve">forage </w:t>
      </w:r>
      <w:r>
        <w:t>mass</w:t>
      </w:r>
      <w:r w:rsidRPr="00BC2376">
        <w:t xml:space="preserve"> </w:t>
      </w:r>
      <w:r>
        <w:t xml:space="preserve">across within-season rest treatments sampled within sampling date </w:t>
      </w:r>
      <w:r w:rsidRPr="00BC2376">
        <w:t xml:space="preserve">in a </w:t>
      </w:r>
      <w:r>
        <w:t>big bluestem/indiangrass</w:t>
      </w:r>
      <w:r w:rsidRPr="00BC2376">
        <w:t xml:space="preserve"> and native forb pasture</w:t>
      </w:r>
      <w:r w:rsidRPr="001157ED">
        <w:t xml:space="preserve"> </w:t>
      </w:r>
      <w:r w:rsidRPr="00BC2376">
        <w:t xml:space="preserve">for native </w:t>
      </w:r>
      <w:r>
        <w:t xml:space="preserve">grass </w:t>
      </w:r>
      <w:r w:rsidRPr="00BC2376">
        <w:t>pasture grazing experiment, 2019, University of Tennessee – Northeast Tennessee AgResearch and Education Center, Greeneville, TN.</w:t>
      </w:r>
      <w:bookmarkEnd w:id="213"/>
      <w:r w:rsidRPr="00BC2376">
        <w:t xml:space="preserve"> </w:t>
      </w:r>
    </w:p>
    <w:tbl>
      <w:tblPr>
        <w:tblW w:w="10984" w:type="dxa"/>
        <w:tblLook w:val="04A0" w:firstRow="1" w:lastRow="0" w:firstColumn="1" w:lastColumn="0" w:noHBand="0" w:noVBand="1"/>
      </w:tblPr>
      <w:tblGrid>
        <w:gridCol w:w="2340"/>
        <w:gridCol w:w="900"/>
        <w:gridCol w:w="782"/>
        <w:gridCol w:w="890"/>
        <w:gridCol w:w="842"/>
        <w:gridCol w:w="906"/>
        <w:gridCol w:w="775"/>
        <w:gridCol w:w="8"/>
        <w:gridCol w:w="927"/>
        <w:gridCol w:w="766"/>
        <w:gridCol w:w="17"/>
        <w:gridCol w:w="927"/>
        <w:gridCol w:w="884"/>
        <w:gridCol w:w="20"/>
      </w:tblGrid>
      <w:tr w:rsidR="003D3A24" w:rsidRPr="00401D64" w14:paraId="111D3146" w14:textId="77777777" w:rsidTr="00D849E6">
        <w:trPr>
          <w:trHeight w:val="312"/>
        </w:trPr>
        <w:tc>
          <w:tcPr>
            <w:tcW w:w="2340" w:type="dxa"/>
            <w:tcBorders>
              <w:top w:val="single" w:sz="12" w:space="0" w:color="auto"/>
              <w:left w:val="nil"/>
              <w:right w:val="single" w:sz="36" w:space="0" w:color="FFFFFF" w:themeColor="background1"/>
            </w:tcBorders>
            <w:shd w:val="clear" w:color="auto" w:fill="auto"/>
            <w:noWrap/>
            <w:vAlign w:val="bottom"/>
          </w:tcPr>
          <w:p w14:paraId="05070033" w14:textId="77777777" w:rsidR="003D3A24" w:rsidRPr="00401D64" w:rsidRDefault="003D3A24" w:rsidP="00D849E6">
            <w:pPr>
              <w:spacing w:line="240" w:lineRule="auto"/>
              <w:rPr>
                <w:rFonts w:cs="Times New Roman"/>
                <w:color w:val="000000"/>
                <w:sz w:val="20"/>
                <w:szCs w:val="20"/>
              </w:rPr>
            </w:pPr>
          </w:p>
        </w:tc>
        <w:tc>
          <w:tcPr>
            <w:tcW w:w="8644" w:type="dxa"/>
            <w:gridSpan w:val="13"/>
            <w:tcBorders>
              <w:top w:val="single" w:sz="12" w:space="0" w:color="auto"/>
              <w:left w:val="single" w:sz="36" w:space="0" w:color="FFFFFF" w:themeColor="background1"/>
              <w:bottom w:val="single" w:sz="12" w:space="0" w:color="auto"/>
            </w:tcBorders>
            <w:vAlign w:val="center"/>
          </w:tcPr>
          <w:p w14:paraId="789F44BE" w14:textId="77777777" w:rsidR="003D3A24" w:rsidRDefault="003D3A24" w:rsidP="00D849E6">
            <w:pPr>
              <w:spacing w:line="240" w:lineRule="auto"/>
              <w:jc w:val="center"/>
              <w:rPr>
                <w:rFonts w:cs="Times New Roman"/>
                <w:color w:val="000000"/>
                <w:sz w:val="20"/>
                <w:szCs w:val="20"/>
              </w:rPr>
            </w:pPr>
            <w:r>
              <w:rPr>
                <w:rFonts w:cs="Times New Roman"/>
                <w:color w:val="000000"/>
                <w:sz w:val="20"/>
                <w:szCs w:val="20"/>
              </w:rPr>
              <w:t>Sampling Date</w:t>
            </w:r>
            <w:r w:rsidRPr="00476DAA">
              <w:rPr>
                <w:rFonts w:cs="Times New Roman"/>
                <w:color w:val="000000"/>
                <w:sz w:val="20"/>
                <w:szCs w:val="20"/>
                <w:vertAlign w:val="superscript"/>
              </w:rPr>
              <w:t>†</w:t>
            </w:r>
          </w:p>
        </w:tc>
      </w:tr>
      <w:tr w:rsidR="003D3A24" w:rsidRPr="00401D64" w14:paraId="7CFF131B" w14:textId="77777777" w:rsidTr="00D849E6">
        <w:trPr>
          <w:trHeight w:val="288"/>
        </w:trPr>
        <w:tc>
          <w:tcPr>
            <w:tcW w:w="2340" w:type="dxa"/>
            <w:tcBorders>
              <w:left w:val="nil"/>
              <w:right w:val="single" w:sz="36" w:space="0" w:color="FFFFFF" w:themeColor="background1"/>
            </w:tcBorders>
            <w:shd w:val="clear" w:color="auto" w:fill="auto"/>
            <w:noWrap/>
            <w:vAlign w:val="bottom"/>
          </w:tcPr>
          <w:p w14:paraId="27F814D6" w14:textId="77777777" w:rsidR="003D3A24" w:rsidRPr="00721CC9" w:rsidRDefault="003D3A24" w:rsidP="00D849E6">
            <w:pPr>
              <w:spacing w:line="240" w:lineRule="auto"/>
              <w:rPr>
                <w:rFonts w:cs="Times New Roman"/>
                <w:color w:val="000000"/>
                <w:sz w:val="20"/>
                <w:szCs w:val="20"/>
              </w:rPr>
            </w:pPr>
          </w:p>
        </w:tc>
        <w:tc>
          <w:tcPr>
            <w:tcW w:w="1682" w:type="dxa"/>
            <w:gridSpan w:val="2"/>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73441760" w14:textId="77777777" w:rsidR="003D3A24" w:rsidRPr="00721CC9" w:rsidRDefault="003D3A24" w:rsidP="00D849E6">
            <w:pPr>
              <w:spacing w:line="240" w:lineRule="auto"/>
              <w:jc w:val="center"/>
              <w:rPr>
                <w:rFonts w:cs="Times New Roman"/>
                <w:color w:val="000000"/>
                <w:sz w:val="20"/>
                <w:szCs w:val="20"/>
              </w:rPr>
            </w:pPr>
            <w:r>
              <w:rPr>
                <w:sz w:val="20"/>
                <w:szCs w:val="20"/>
              </w:rPr>
              <w:t>15-</w:t>
            </w:r>
            <w:r w:rsidRPr="00721CC9">
              <w:rPr>
                <w:sz w:val="20"/>
                <w:szCs w:val="20"/>
              </w:rPr>
              <w:t>May</w:t>
            </w:r>
          </w:p>
        </w:tc>
        <w:tc>
          <w:tcPr>
            <w:tcW w:w="1732" w:type="dxa"/>
            <w:gridSpan w:val="2"/>
            <w:tcBorders>
              <w:top w:val="single" w:sz="12" w:space="0" w:color="auto"/>
              <w:left w:val="single" w:sz="36" w:space="0" w:color="FFFFFF" w:themeColor="background1"/>
              <w:bottom w:val="single" w:sz="12" w:space="0" w:color="auto"/>
            </w:tcBorders>
            <w:vAlign w:val="center"/>
          </w:tcPr>
          <w:p w14:paraId="1641C293" w14:textId="77777777" w:rsidR="003D3A24" w:rsidRPr="00721CC9" w:rsidRDefault="003D3A24" w:rsidP="00D849E6">
            <w:pPr>
              <w:spacing w:line="240" w:lineRule="auto"/>
              <w:jc w:val="center"/>
              <w:rPr>
                <w:rFonts w:cs="Times New Roman"/>
                <w:color w:val="000000"/>
                <w:sz w:val="20"/>
                <w:szCs w:val="20"/>
              </w:rPr>
            </w:pPr>
            <w:r>
              <w:rPr>
                <w:sz w:val="20"/>
                <w:szCs w:val="20"/>
              </w:rPr>
              <w:t>19-</w:t>
            </w:r>
            <w:r w:rsidRPr="00721CC9">
              <w:rPr>
                <w:sz w:val="20"/>
                <w:szCs w:val="20"/>
              </w:rPr>
              <w:t>Jun</w:t>
            </w:r>
          </w:p>
        </w:tc>
        <w:tc>
          <w:tcPr>
            <w:tcW w:w="1689" w:type="dxa"/>
            <w:gridSpan w:val="3"/>
            <w:tcBorders>
              <w:top w:val="single" w:sz="12" w:space="0" w:color="auto"/>
              <w:left w:val="single" w:sz="36" w:space="0" w:color="FFFFFF" w:themeColor="background1"/>
              <w:bottom w:val="single" w:sz="12" w:space="0" w:color="auto"/>
            </w:tcBorders>
            <w:vAlign w:val="center"/>
          </w:tcPr>
          <w:p w14:paraId="73D24F40" w14:textId="77777777" w:rsidR="003D3A24" w:rsidRPr="00721CC9" w:rsidRDefault="003D3A24" w:rsidP="00D849E6">
            <w:pPr>
              <w:spacing w:line="240" w:lineRule="auto"/>
              <w:jc w:val="center"/>
              <w:rPr>
                <w:rFonts w:cs="Times New Roman"/>
                <w:color w:val="000000"/>
                <w:sz w:val="20"/>
                <w:szCs w:val="20"/>
              </w:rPr>
            </w:pPr>
            <w:r>
              <w:rPr>
                <w:color w:val="000000"/>
                <w:sz w:val="20"/>
                <w:szCs w:val="20"/>
              </w:rPr>
              <w:t>10-Jul</w:t>
            </w:r>
          </w:p>
        </w:tc>
        <w:tc>
          <w:tcPr>
            <w:tcW w:w="1710" w:type="dxa"/>
            <w:gridSpan w:val="3"/>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66373FE3" w14:textId="77777777" w:rsidR="003D3A24" w:rsidRPr="00721CC9" w:rsidRDefault="003D3A24" w:rsidP="00D849E6">
            <w:pPr>
              <w:spacing w:line="240" w:lineRule="auto"/>
              <w:jc w:val="center"/>
              <w:rPr>
                <w:rFonts w:cs="Times New Roman"/>
                <w:color w:val="000000"/>
                <w:sz w:val="20"/>
                <w:szCs w:val="20"/>
              </w:rPr>
            </w:pPr>
            <w:r>
              <w:rPr>
                <w:color w:val="000000"/>
                <w:sz w:val="20"/>
                <w:szCs w:val="20"/>
              </w:rPr>
              <w:t>1-Aug</w:t>
            </w:r>
          </w:p>
        </w:tc>
        <w:tc>
          <w:tcPr>
            <w:tcW w:w="1831" w:type="dxa"/>
            <w:gridSpan w:val="3"/>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709AC832" w14:textId="77777777" w:rsidR="003D3A24" w:rsidRPr="00721CC9" w:rsidRDefault="003D3A24" w:rsidP="00D849E6">
            <w:pPr>
              <w:spacing w:line="240" w:lineRule="auto"/>
              <w:jc w:val="center"/>
              <w:rPr>
                <w:rFonts w:cs="Times New Roman"/>
                <w:color w:val="000000"/>
                <w:sz w:val="20"/>
                <w:szCs w:val="20"/>
              </w:rPr>
            </w:pPr>
            <w:r>
              <w:rPr>
                <w:sz w:val="20"/>
                <w:szCs w:val="20"/>
              </w:rPr>
              <w:t>20-</w:t>
            </w:r>
            <w:r w:rsidRPr="00721CC9">
              <w:rPr>
                <w:sz w:val="20"/>
                <w:szCs w:val="20"/>
              </w:rPr>
              <w:t>Aug</w:t>
            </w:r>
          </w:p>
        </w:tc>
      </w:tr>
      <w:tr w:rsidR="003D3A24" w:rsidRPr="00401D64" w14:paraId="3FC06EC3" w14:textId="77777777" w:rsidTr="00D849E6">
        <w:trPr>
          <w:gridAfter w:val="1"/>
          <w:wAfter w:w="20" w:type="dxa"/>
          <w:trHeight w:val="312"/>
        </w:trPr>
        <w:tc>
          <w:tcPr>
            <w:tcW w:w="2340" w:type="dxa"/>
            <w:tcBorders>
              <w:left w:val="nil"/>
              <w:bottom w:val="single" w:sz="12" w:space="0" w:color="auto"/>
              <w:right w:val="single" w:sz="36" w:space="0" w:color="FFFFFF" w:themeColor="background1"/>
            </w:tcBorders>
            <w:shd w:val="clear" w:color="auto" w:fill="auto"/>
            <w:noWrap/>
            <w:vAlign w:val="center"/>
          </w:tcPr>
          <w:p w14:paraId="608CF735" w14:textId="279E7131" w:rsidR="003D3A24" w:rsidRPr="00721CC9" w:rsidRDefault="003D3A24" w:rsidP="00D849E6">
            <w:pPr>
              <w:spacing w:line="240" w:lineRule="auto"/>
              <w:rPr>
                <w:sz w:val="20"/>
                <w:szCs w:val="20"/>
              </w:rPr>
            </w:pPr>
            <w:r>
              <w:rPr>
                <w:sz w:val="20"/>
                <w:szCs w:val="20"/>
              </w:rPr>
              <w:t>Forage Mass Category</w:t>
            </w:r>
          </w:p>
        </w:tc>
        <w:tc>
          <w:tcPr>
            <w:tcW w:w="900"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1AF48499" w14:textId="77777777" w:rsidR="003D3A24" w:rsidRPr="00E4763E" w:rsidRDefault="003D3A24" w:rsidP="00D849E6">
            <w:pPr>
              <w:spacing w:line="240" w:lineRule="auto"/>
              <w:jc w:val="center"/>
              <w:rPr>
                <w:sz w:val="20"/>
                <w:szCs w:val="20"/>
              </w:rPr>
            </w:pPr>
            <w:r w:rsidRPr="0066024E">
              <w:rPr>
                <w:i/>
                <w:iCs/>
                <w:sz w:val="20"/>
                <w:szCs w:val="20"/>
              </w:rPr>
              <w:t>F</w:t>
            </w:r>
            <w:r w:rsidRPr="00E4763E">
              <w:rPr>
                <w:sz w:val="20"/>
                <w:szCs w:val="20"/>
              </w:rPr>
              <w:t xml:space="preserve"> value</w:t>
            </w:r>
          </w:p>
        </w:tc>
        <w:tc>
          <w:tcPr>
            <w:tcW w:w="782"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tcPr>
          <w:p w14:paraId="318F9AFA" w14:textId="77777777" w:rsidR="003D3A24" w:rsidRPr="0066024E" w:rsidRDefault="003D3A24" w:rsidP="00D849E6">
            <w:pPr>
              <w:spacing w:line="240" w:lineRule="auto"/>
              <w:jc w:val="center"/>
              <w:rPr>
                <w:i/>
                <w:iCs/>
                <w:sz w:val="20"/>
                <w:szCs w:val="20"/>
              </w:rPr>
            </w:pPr>
            <w:r w:rsidRPr="0066024E">
              <w:rPr>
                <w:i/>
                <w:iCs/>
                <w:sz w:val="20"/>
                <w:szCs w:val="20"/>
              </w:rPr>
              <w:t>P &gt; F</w:t>
            </w:r>
          </w:p>
        </w:tc>
        <w:tc>
          <w:tcPr>
            <w:tcW w:w="890"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6D3947E7" w14:textId="77777777" w:rsidR="003D3A24" w:rsidRPr="00E4763E" w:rsidRDefault="003D3A24" w:rsidP="00D849E6">
            <w:pPr>
              <w:spacing w:line="240" w:lineRule="auto"/>
              <w:jc w:val="center"/>
              <w:rPr>
                <w:sz w:val="20"/>
                <w:szCs w:val="20"/>
              </w:rPr>
            </w:pPr>
            <w:r w:rsidRPr="0066024E">
              <w:rPr>
                <w:i/>
                <w:iCs/>
                <w:sz w:val="20"/>
                <w:szCs w:val="20"/>
              </w:rPr>
              <w:t>F</w:t>
            </w:r>
            <w:r w:rsidRPr="00E4763E">
              <w:rPr>
                <w:sz w:val="20"/>
                <w:szCs w:val="20"/>
              </w:rPr>
              <w:t xml:space="preserve"> value</w:t>
            </w:r>
          </w:p>
        </w:tc>
        <w:tc>
          <w:tcPr>
            <w:tcW w:w="842" w:type="dxa"/>
            <w:tcBorders>
              <w:top w:val="single" w:sz="12" w:space="0" w:color="auto"/>
              <w:left w:val="single" w:sz="36" w:space="0" w:color="FFFFFF" w:themeColor="background1"/>
              <w:bottom w:val="single" w:sz="12" w:space="0" w:color="auto"/>
            </w:tcBorders>
            <w:shd w:val="clear" w:color="auto" w:fill="auto"/>
            <w:vAlign w:val="center"/>
          </w:tcPr>
          <w:p w14:paraId="49885603" w14:textId="77777777" w:rsidR="003D3A24" w:rsidRPr="0066024E" w:rsidRDefault="003D3A24" w:rsidP="00D849E6">
            <w:pPr>
              <w:spacing w:line="240" w:lineRule="auto"/>
              <w:jc w:val="center"/>
              <w:rPr>
                <w:i/>
                <w:iCs/>
                <w:sz w:val="20"/>
                <w:szCs w:val="20"/>
              </w:rPr>
            </w:pPr>
            <w:r w:rsidRPr="0066024E">
              <w:rPr>
                <w:i/>
                <w:iCs/>
                <w:sz w:val="20"/>
                <w:szCs w:val="20"/>
              </w:rPr>
              <w:t>P &gt; F</w:t>
            </w:r>
          </w:p>
        </w:tc>
        <w:tc>
          <w:tcPr>
            <w:tcW w:w="906"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0E589CEA" w14:textId="77777777" w:rsidR="003D3A24" w:rsidRPr="00E4763E" w:rsidRDefault="003D3A24" w:rsidP="00D849E6">
            <w:pPr>
              <w:spacing w:line="240" w:lineRule="auto"/>
              <w:jc w:val="center"/>
              <w:rPr>
                <w:color w:val="000000"/>
                <w:sz w:val="20"/>
                <w:szCs w:val="20"/>
              </w:rPr>
            </w:pPr>
            <w:r w:rsidRPr="0066024E">
              <w:rPr>
                <w:i/>
                <w:iCs/>
                <w:sz w:val="20"/>
                <w:szCs w:val="20"/>
              </w:rPr>
              <w:t>F</w:t>
            </w:r>
            <w:r w:rsidRPr="00E4763E">
              <w:rPr>
                <w:sz w:val="20"/>
                <w:szCs w:val="20"/>
              </w:rPr>
              <w:t xml:space="preserve"> value</w:t>
            </w:r>
          </w:p>
        </w:tc>
        <w:tc>
          <w:tcPr>
            <w:tcW w:w="775" w:type="dxa"/>
            <w:tcBorders>
              <w:top w:val="single" w:sz="12" w:space="0" w:color="auto"/>
              <w:left w:val="single" w:sz="36" w:space="0" w:color="FFFFFF" w:themeColor="background1"/>
              <w:bottom w:val="single" w:sz="12" w:space="0" w:color="auto"/>
            </w:tcBorders>
            <w:vAlign w:val="center"/>
          </w:tcPr>
          <w:p w14:paraId="78887F17" w14:textId="77777777" w:rsidR="003D3A24" w:rsidRPr="0066024E" w:rsidRDefault="003D3A24" w:rsidP="00D849E6">
            <w:pPr>
              <w:spacing w:line="240" w:lineRule="auto"/>
              <w:jc w:val="center"/>
              <w:rPr>
                <w:i/>
                <w:iCs/>
                <w:color w:val="000000"/>
                <w:sz w:val="20"/>
                <w:szCs w:val="20"/>
              </w:rPr>
            </w:pPr>
            <w:r w:rsidRPr="0066024E">
              <w:rPr>
                <w:i/>
                <w:iCs/>
                <w:sz w:val="20"/>
                <w:szCs w:val="20"/>
              </w:rPr>
              <w:t>P &gt; F</w:t>
            </w:r>
          </w:p>
        </w:tc>
        <w:tc>
          <w:tcPr>
            <w:tcW w:w="935" w:type="dxa"/>
            <w:gridSpan w:val="2"/>
            <w:tcBorders>
              <w:top w:val="single" w:sz="12" w:space="0" w:color="auto"/>
              <w:left w:val="single" w:sz="36" w:space="0" w:color="FFFFFF" w:themeColor="background1"/>
              <w:bottom w:val="single" w:sz="12" w:space="0" w:color="auto"/>
            </w:tcBorders>
            <w:vAlign w:val="center"/>
          </w:tcPr>
          <w:p w14:paraId="27809D81" w14:textId="77777777" w:rsidR="003D3A24" w:rsidRPr="00E4763E" w:rsidRDefault="003D3A24" w:rsidP="00D849E6">
            <w:pPr>
              <w:spacing w:line="240" w:lineRule="auto"/>
              <w:jc w:val="center"/>
              <w:rPr>
                <w:color w:val="000000"/>
                <w:sz w:val="20"/>
                <w:szCs w:val="20"/>
              </w:rPr>
            </w:pPr>
            <w:r w:rsidRPr="0066024E">
              <w:rPr>
                <w:i/>
                <w:iCs/>
                <w:sz w:val="20"/>
                <w:szCs w:val="20"/>
              </w:rPr>
              <w:t>F</w:t>
            </w:r>
            <w:r w:rsidRPr="00E4763E">
              <w:rPr>
                <w:sz w:val="20"/>
                <w:szCs w:val="20"/>
              </w:rPr>
              <w:t xml:space="preserve"> value</w:t>
            </w:r>
          </w:p>
        </w:tc>
        <w:tc>
          <w:tcPr>
            <w:tcW w:w="766"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0C2712FE" w14:textId="77777777" w:rsidR="003D3A24" w:rsidRPr="0066024E" w:rsidRDefault="003D3A24" w:rsidP="00D849E6">
            <w:pPr>
              <w:spacing w:line="240" w:lineRule="auto"/>
              <w:jc w:val="center"/>
              <w:rPr>
                <w:i/>
                <w:iCs/>
                <w:color w:val="000000"/>
                <w:sz w:val="20"/>
                <w:szCs w:val="20"/>
              </w:rPr>
            </w:pPr>
            <w:r w:rsidRPr="0066024E">
              <w:rPr>
                <w:i/>
                <w:iCs/>
                <w:sz w:val="20"/>
                <w:szCs w:val="20"/>
              </w:rPr>
              <w:t>P &gt; F</w:t>
            </w:r>
          </w:p>
        </w:tc>
        <w:tc>
          <w:tcPr>
            <w:tcW w:w="944" w:type="dxa"/>
            <w:gridSpan w:val="2"/>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5210456E" w14:textId="77777777" w:rsidR="003D3A24" w:rsidRPr="00E4763E" w:rsidRDefault="003D3A24" w:rsidP="00D849E6">
            <w:pPr>
              <w:spacing w:line="240" w:lineRule="auto"/>
              <w:jc w:val="center"/>
              <w:rPr>
                <w:sz w:val="20"/>
                <w:szCs w:val="20"/>
              </w:rPr>
            </w:pPr>
            <w:r w:rsidRPr="0066024E">
              <w:rPr>
                <w:i/>
                <w:iCs/>
                <w:sz w:val="20"/>
                <w:szCs w:val="20"/>
              </w:rPr>
              <w:t>F</w:t>
            </w:r>
            <w:r w:rsidRPr="00E4763E">
              <w:rPr>
                <w:sz w:val="20"/>
                <w:szCs w:val="20"/>
              </w:rPr>
              <w:t xml:space="preserve"> value</w:t>
            </w:r>
          </w:p>
        </w:tc>
        <w:tc>
          <w:tcPr>
            <w:tcW w:w="884"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55447EC7" w14:textId="77777777" w:rsidR="003D3A24" w:rsidRPr="0066024E" w:rsidRDefault="003D3A24" w:rsidP="00D849E6">
            <w:pPr>
              <w:spacing w:line="240" w:lineRule="auto"/>
              <w:jc w:val="center"/>
              <w:rPr>
                <w:i/>
                <w:iCs/>
                <w:sz w:val="20"/>
                <w:szCs w:val="20"/>
              </w:rPr>
            </w:pPr>
            <w:r w:rsidRPr="0066024E">
              <w:rPr>
                <w:i/>
                <w:iCs/>
                <w:sz w:val="20"/>
                <w:szCs w:val="20"/>
              </w:rPr>
              <w:t>P &gt; F</w:t>
            </w:r>
          </w:p>
        </w:tc>
      </w:tr>
      <w:tr w:rsidR="00CA684B" w:rsidRPr="00401D64" w14:paraId="690679D5" w14:textId="77777777" w:rsidTr="00D849E6">
        <w:trPr>
          <w:gridAfter w:val="1"/>
          <w:wAfter w:w="20" w:type="dxa"/>
          <w:trHeight w:val="324"/>
        </w:trPr>
        <w:tc>
          <w:tcPr>
            <w:tcW w:w="2340" w:type="dxa"/>
            <w:tcBorders>
              <w:top w:val="single" w:sz="12" w:space="0" w:color="auto"/>
              <w:left w:val="nil"/>
              <w:bottom w:val="nil"/>
              <w:right w:val="single" w:sz="36" w:space="0" w:color="FFFFFF" w:themeColor="background1"/>
            </w:tcBorders>
            <w:shd w:val="clear" w:color="auto" w:fill="auto"/>
            <w:noWrap/>
            <w:vAlign w:val="center"/>
            <w:hideMark/>
          </w:tcPr>
          <w:p w14:paraId="5465F9D8" w14:textId="430CB59D" w:rsidR="003D3A24" w:rsidRPr="00401D64" w:rsidRDefault="003D3A24" w:rsidP="00D849E6">
            <w:pPr>
              <w:spacing w:line="240" w:lineRule="auto"/>
              <w:rPr>
                <w:rFonts w:cs="Times New Roman"/>
                <w:color w:val="000000"/>
                <w:sz w:val="20"/>
                <w:szCs w:val="20"/>
              </w:rPr>
            </w:pPr>
            <w:r w:rsidRPr="00056EA6">
              <w:rPr>
                <w:rFonts w:cs="Times New Roman"/>
                <w:sz w:val="20"/>
                <w:szCs w:val="20"/>
              </w:rPr>
              <w:t>Forb</w:t>
            </w:r>
          </w:p>
        </w:tc>
        <w:tc>
          <w:tcPr>
            <w:tcW w:w="900" w:type="dxa"/>
            <w:tcBorders>
              <w:top w:val="single" w:sz="12" w:space="0" w:color="auto"/>
              <w:left w:val="single" w:sz="36" w:space="0" w:color="FFFFFF" w:themeColor="background1"/>
              <w:bottom w:val="nil"/>
              <w:right w:val="single" w:sz="36" w:space="0" w:color="FFFFFF" w:themeColor="background1"/>
            </w:tcBorders>
            <w:vAlign w:val="center"/>
          </w:tcPr>
          <w:p w14:paraId="672EA67D"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0.62</w:t>
            </w:r>
          </w:p>
        </w:tc>
        <w:tc>
          <w:tcPr>
            <w:tcW w:w="782"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tcPr>
          <w:p w14:paraId="03B5ED25"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0.656</w:t>
            </w:r>
          </w:p>
        </w:tc>
        <w:tc>
          <w:tcPr>
            <w:tcW w:w="890" w:type="dxa"/>
            <w:tcBorders>
              <w:top w:val="single" w:sz="12" w:space="0" w:color="auto"/>
              <w:left w:val="single" w:sz="36" w:space="0" w:color="FFFFFF" w:themeColor="background1"/>
              <w:bottom w:val="nil"/>
              <w:right w:val="single" w:sz="36" w:space="0" w:color="FFFFFF" w:themeColor="background1"/>
            </w:tcBorders>
            <w:vAlign w:val="center"/>
          </w:tcPr>
          <w:p w14:paraId="75574ED9"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0.36</w:t>
            </w:r>
          </w:p>
        </w:tc>
        <w:tc>
          <w:tcPr>
            <w:tcW w:w="842" w:type="dxa"/>
            <w:tcBorders>
              <w:top w:val="single" w:sz="12" w:space="0" w:color="auto"/>
              <w:left w:val="single" w:sz="36" w:space="0" w:color="FFFFFF" w:themeColor="background1"/>
              <w:bottom w:val="nil"/>
            </w:tcBorders>
            <w:shd w:val="clear" w:color="auto" w:fill="auto"/>
            <w:vAlign w:val="center"/>
          </w:tcPr>
          <w:p w14:paraId="3178D3B1"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0.710</w:t>
            </w:r>
          </w:p>
        </w:tc>
        <w:tc>
          <w:tcPr>
            <w:tcW w:w="906" w:type="dxa"/>
            <w:tcBorders>
              <w:top w:val="single" w:sz="12" w:space="0" w:color="auto"/>
              <w:left w:val="single" w:sz="36" w:space="0" w:color="FFFFFF" w:themeColor="background1"/>
              <w:bottom w:val="nil"/>
              <w:right w:val="single" w:sz="36" w:space="0" w:color="FFFFFF" w:themeColor="background1"/>
            </w:tcBorders>
            <w:vAlign w:val="center"/>
          </w:tcPr>
          <w:p w14:paraId="035E06B2"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 xml:space="preserve">  2.58</w:t>
            </w:r>
          </w:p>
        </w:tc>
        <w:tc>
          <w:tcPr>
            <w:tcW w:w="775" w:type="dxa"/>
            <w:tcBorders>
              <w:top w:val="single" w:sz="12" w:space="0" w:color="auto"/>
              <w:left w:val="single" w:sz="36" w:space="0" w:color="FFFFFF" w:themeColor="background1"/>
              <w:bottom w:val="nil"/>
            </w:tcBorders>
            <w:vAlign w:val="center"/>
          </w:tcPr>
          <w:p w14:paraId="49338287"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0.130</w:t>
            </w:r>
          </w:p>
        </w:tc>
        <w:tc>
          <w:tcPr>
            <w:tcW w:w="935" w:type="dxa"/>
            <w:gridSpan w:val="2"/>
            <w:tcBorders>
              <w:top w:val="single" w:sz="12" w:space="0" w:color="auto"/>
              <w:left w:val="single" w:sz="36" w:space="0" w:color="FFFFFF" w:themeColor="background1"/>
              <w:bottom w:val="nil"/>
            </w:tcBorders>
            <w:vAlign w:val="center"/>
          </w:tcPr>
          <w:p w14:paraId="582340CB"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0.07</w:t>
            </w:r>
          </w:p>
        </w:tc>
        <w:tc>
          <w:tcPr>
            <w:tcW w:w="766" w:type="dxa"/>
            <w:tcBorders>
              <w:top w:val="single" w:sz="12" w:space="0" w:color="auto"/>
              <w:left w:val="single" w:sz="36" w:space="0" w:color="FFFFFF" w:themeColor="background1"/>
              <w:bottom w:val="nil"/>
              <w:right w:val="single" w:sz="36" w:space="0" w:color="FFFFFF" w:themeColor="background1"/>
            </w:tcBorders>
            <w:vAlign w:val="center"/>
          </w:tcPr>
          <w:p w14:paraId="5B799E16"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0.937</w:t>
            </w:r>
          </w:p>
        </w:tc>
        <w:tc>
          <w:tcPr>
            <w:tcW w:w="944" w:type="dxa"/>
            <w:gridSpan w:val="2"/>
            <w:tcBorders>
              <w:top w:val="single" w:sz="12" w:space="0" w:color="auto"/>
              <w:left w:val="single" w:sz="36" w:space="0" w:color="FFFFFF" w:themeColor="background1"/>
              <w:bottom w:val="nil"/>
              <w:right w:val="single" w:sz="36" w:space="0" w:color="FFFFFF" w:themeColor="background1"/>
            </w:tcBorders>
            <w:vAlign w:val="center"/>
          </w:tcPr>
          <w:p w14:paraId="63B292DF"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 xml:space="preserve">  0.03</w:t>
            </w:r>
          </w:p>
        </w:tc>
        <w:tc>
          <w:tcPr>
            <w:tcW w:w="884" w:type="dxa"/>
            <w:tcBorders>
              <w:top w:val="single" w:sz="12" w:space="0" w:color="auto"/>
              <w:left w:val="single" w:sz="36" w:space="0" w:color="FFFFFF" w:themeColor="background1"/>
              <w:bottom w:val="nil"/>
              <w:right w:val="single" w:sz="36" w:space="0" w:color="FFFFFF" w:themeColor="background1"/>
            </w:tcBorders>
            <w:vAlign w:val="center"/>
          </w:tcPr>
          <w:p w14:paraId="54B96FE5" w14:textId="77777777" w:rsidR="003D3A24" w:rsidRPr="00AC5F09" w:rsidRDefault="003D3A24" w:rsidP="00D849E6">
            <w:pPr>
              <w:spacing w:line="240" w:lineRule="auto"/>
              <w:jc w:val="center"/>
              <w:rPr>
                <w:rFonts w:cs="Times New Roman"/>
                <w:color w:val="000000"/>
                <w:sz w:val="20"/>
                <w:szCs w:val="20"/>
              </w:rPr>
            </w:pPr>
            <w:r w:rsidRPr="00AC5F09">
              <w:rPr>
                <w:rFonts w:cs="Times New Roman"/>
                <w:color w:val="000000"/>
                <w:sz w:val="20"/>
                <w:szCs w:val="20"/>
              </w:rPr>
              <w:t>0.875</w:t>
            </w:r>
          </w:p>
        </w:tc>
      </w:tr>
      <w:tr w:rsidR="003D3A24" w:rsidRPr="00401D64" w14:paraId="68984B32" w14:textId="77777777" w:rsidTr="00D849E6">
        <w:trPr>
          <w:gridAfter w:val="1"/>
          <w:wAfter w:w="20" w:type="dxa"/>
          <w:trHeight w:val="288"/>
        </w:trPr>
        <w:tc>
          <w:tcPr>
            <w:tcW w:w="2340" w:type="dxa"/>
            <w:tcBorders>
              <w:top w:val="nil"/>
              <w:left w:val="nil"/>
              <w:bottom w:val="nil"/>
              <w:right w:val="nil"/>
            </w:tcBorders>
            <w:shd w:val="clear" w:color="auto" w:fill="D9D9D9" w:themeFill="background1" w:themeFillShade="D9"/>
            <w:noWrap/>
            <w:vAlign w:val="center"/>
            <w:hideMark/>
          </w:tcPr>
          <w:p w14:paraId="387CD1D2" w14:textId="77777777" w:rsidR="003D3A24" w:rsidRPr="00401D64" w:rsidRDefault="003D3A24" w:rsidP="00D849E6">
            <w:pPr>
              <w:spacing w:line="240" w:lineRule="auto"/>
              <w:rPr>
                <w:rFonts w:cs="Times New Roman"/>
                <w:color w:val="000000"/>
                <w:sz w:val="20"/>
                <w:szCs w:val="20"/>
              </w:rPr>
            </w:pPr>
            <w:r>
              <w:rPr>
                <w:rFonts w:cs="Times New Roman"/>
                <w:color w:val="000000"/>
                <w:sz w:val="20"/>
                <w:szCs w:val="20"/>
              </w:rPr>
              <w:t>B</w:t>
            </w:r>
            <w:r w:rsidRPr="0066024E">
              <w:rPr>
                <w:rFonts w:cs="Times New Roman"/>
                <w:color w:val="000000"/>
                <w:sz w:val="20"/>
                <w:szCs w:val="20"/>
              </w:rPr>
              <w:t xml:space="preserve">ig </w:t>
            </w:r>
            <w:r>
              <w:rPr>
                <w:rFonts w:cs="Times New Roman"/>
                <w:color w:val="000000"/>
                <w:sz w:val="20"/>
                <w:szCs w:val="20"/>
              </w:rPr>
              <w:t>b</w:t>
            </w:r>
            <w:r w:rsidRPr="0066024E">
              <w:rPr>
                <w:rFonts w:cs="Times New Roman"/>
                <w:color w:val="000000"/>
                <w:sz w:val="20"/>
                <w:szCs w:val="20"/>
              </w:rPr>
              <w:t>luestem/</w:t>
            </w:r>
            <w:r>
              <w:rPr>
                <w:rFonts w:cs="Times New Roman"/>
                <w:color w:val="000000"/>
                <w:sz w:val="20"/>
                <w:szCs w:val="20"/>
              </w:rPr>
              <w:t>I</w:t>
            </w:r>
            <w:r w:rsidRPr="0066024E">
              <w:rPr>
                <w:rFonts w:cs="Times New Roman"/>
                <w:color w:val="000000"/>
                <w:sz w:val="20"/>
                <w:szCs w:val="20"/>
              </w:rPr>
              <w:t>ndiangrass</w:t>
            </w:r>
          </w:p>
        </w:tc>
        <w:tc>
          <w:tcPr>
            <w:tcW w:w="900" w:type="dxa"/>
            <w:tcBorders>
              <w:top w:val="nil"/>
              <w:left w:val="nil"/>
              <w:bottom w:val="nil"/>
              <w:right w:val="nil"/>
            </w:tcBorders>
            <w:shd w:val="clear" w:color="auto" w:fill="D9D9D9" w:themeFill="background1" w:themeFillShade="D9"/>
            <w:vAlign w:val="center"/>
          </w:tcPr>
          <w:p w14:paraId="278A3F48"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6.45</w:t>
            </w:r>
          </w:p>
        </w:tc>
        <w:tc>
          <w:tcPr>
            <w:tcW w:w="782" w:type="dxa"/>
            <w:tcBorders>
              <w:top w:val="nil"/>
              <w:left w:val="nil"/>
              <w:bottom w:val="nil"/>
              <w:right w:val="nil"/>
            </w:tcBorders>
            <w:shd w:val="clear" w:color="auto" w:fill="D9D9D9" w:themeFill="background1" w:themeFillShade="D9"/>
            <w:noWrap/>
            <w:vAlign w:val="center"/>
          </w:tcPr>
          <w:p w14:paraId="7DAA6666" w14:textId="77777777" w:rsidR="003D3A24" w:rsidRPr="0066024E" w:rsidRDefault="003D3A24" w:rsidP="00D849E6">
            <w:pPr>
              <w:spacing w:line="240" w:lineRule="auto"/>
              <w:jc w:val="center"/>
              <w:rPr>
                <w:rFonts w:cs="Times New Roman"/>
                <w:b/>
                <w:bCs/>
                <w:color w:val="000000"/>
                <w:sz w:val="20"/>
                <w:szCs w:val="20"/>
              </w:rPr>
            </w:pPr>
            <w:r w:rsidRPr="0066024E">
              <w:rPr>
                <w:rFonts w:cs="Times New Roman"/>
                <w:b/>
                <w:bCs/>
                <w:color w:val="000000"/>
                <w:sz w:val="20"/>
                <w:szCs w:val="20"/>
              </w:rPr>
              <w:t>0.004</w:t>
            </w:r>
          </w:p>
        </w:tc>
        <w:tc>
          <w:tcPr>
            <w:tcW w:w="890" w:type="dxa"/>
            <w:tcBorders>
              <w:top w:val="nil"/>
              <w:left w:val="nil"/>
              <w:bottom w:val="nil"/>
              <w:right w:val="nil"/>
            </w:tcBorders>
            <w:shd w:val="clear" w:color="auto" w:fill="D9D9D9" w:themeFill="background1" w:themeFillShade="D9"/>
            <w:vAlign w:val="center"/>
          </w:tcPr>
          <w:p w14:paraId="0D274E92"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6.62</w:t>
            </w:r>
          </w:p>
        </w:tc>
        <w:tc>
          <w:tcPr>
            <w:tcW w:w="842" w:type="dxa"/>
            <w:tcBorders>
              <w:top w:val="nil"/>
              <w:left w:val="nil"/>
              <w:bottom w:val="nil"/>
              <w:right w:val="nil"/>
            </w:tcBorders>
            <w:shd w:val="clear" w:color="auto" w:fill="D9D9D9" w:themeFill="background1" w:themeFillShade="D9"/>
            <w:vAlign w:val="center"/>
          </w:tcPr>
          <w:p w14:paraId="37FDDFBA" w14:textId="77777777" w:rsidR="003D3A24" w:rsidRPr="005E4F6D" w:rsidRDefault="003D3A24" w:rsidP="00D849E6">
            <w:pPr>
              <w:spacing w:line="240" w:lineRule="auto"/>
              <w:jc w:val="center"/>
              <w:rPr>
                <w:rFonts w:cs="Times New Roman"/>
                <w:b/>
                <w:bCs/>
                <w:color w:val="000000"/>
                <w:sz w:val="20"/>
                <w:szCs w:val="20"/>
              </w:rPr>
            </w:pPr>
            <w:r w:rsidRPr="005E4F6D">
              <w:rPr>
                <w:rFonts w:cs="Times New Roman"/>
                <w:b/>
                <w:bCs/>
                <w:color w:val="000000"/>
                <w:sz w:val="20"/>
                <w:szCs w:val="20"/>
              </w:rPr>
              <w:t>0.017</w:t>
            </w:r>
          </w:p>
        </w:tc>
        <w:tc>
          <w:tcPr>
            <w:tcW w:w="906" w:type="dxa"/>
            <w:tcBorders>
              <w:top w:val="nil"/>
              <w:left w:val="nil"/>
              <w:bottom w:val="nil"/>
              <w:right w:val="nil"/>
            </w:tcBorders>
            <w:shd w:val="clear" w:color="auto" w:fill="D9D9D9" w:themeFill="background1" w:themeFillShade="D9"/>
            <w:vAlign w:val="center"/>
          </w:tcPr>
          <w:p w14:paraId="217CAE40"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 xml:space="preserve">  5.58</w:t>
            </w:r>
          </w:p>
        </w:tc>
        <w:tc>
          <w:tcPr>
            <w:tcW w:w="775" w:type="dxa"/>
            <w:tcBorders>
              <w:top w:val="nil"/>
              <w:left w:val="nil"/>
              <w:bottom w:val="nil"/>
              <w:right w:val="nil"/>
            </w:tcBorders>
            <w:shd w:val="clear" w:color="auto" w:fill="D9D9D9" w:themeFill="background1" w:themeFillShade="D9"/>
            <w:vAlign w:val="center"/>
          </w:tcPr>
          <w:p w14:paraId="47359242" w14:textId="77777777" w:rsidR="003D3A24" w:rsidRPr="005E4F6D" w:rsidRDefault="003D3A24" w:rsidP="00D849E6">
            <w:pPr>
              <w:spacing w:line="240" w:lineRule="auto"/>
              <w:jc w:val="center"/>
              <w:rPr>
                <w:rFonts w:cs="Times New Roman"/>
                <w:b/>
                <w:bCs/>
                <w:color w:val="000000"/>
                <w:sz w:val="20"/>
                <w:szCs w:val="20"/>
              </w:rPr>
            </w:pPr>
            <w:r w:rsidRPr="005E4F6D">
              <w:rPr>
                <w:rFonts w:cs="Times New Roman"/>
                <w:b/>
                <w:bCs/>
                <w:color w:val="000000"/>
                <w:sz w:val="20"/>
                <w:szCs w:val="20"/>
              </w:rPr>
              <w:t>0.027</w:t>
            </w:r>
          </w:p>
        </w:tc>
        <w:tc>
          <w:tcPr>
            <w:tcW w:w="935" w:type="dxa"/>
            <w:gridSpan w:val="2"/>
            <w:tcBorders>
              <w:top w:val="nil"/>
              <w:left w:val="nil"/>
              <w:bottom w:val="nil"/>
              <w:right w:val="nil"/>
            </w:tcBorders>
            <w:shd w:val="clear" w:color="auto" w:fill="D9D9D9" w:themeFill="background1" w:themeFillShade="D9"/>
            <w:vAlign w:val="center"/>
          </w:tcPr>
          <w:p w14:paraId="6D38D2FA"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6.56</w:t>
            </w:r>
          </w:p>
        </w:tc>
        <w:tc>
          <w:tcPr>
            <w:tcW w:w="766" w:type="dxa"/>
            <w:tcBorders>
              <w:top w:val="nil"/>
              <w:left w:val="nil"/>
              <w:bottom w:val="nil"/>
              <w:right w:val="nil"/>
            </w:tcBorders>
            <w:shd w:val="clear" w:color="auto" w:fill="D9D9D9" w:themeFill="background1" w:themeFillShade="D9"/>
            <w:vAlign w:val="center"/>
          </w:tcPr>
          <w:p w14:paraId="3802BB54" w14:textId="77777777" w:rsidR="003D3A24" w:rsidRPr="008D42C2" w:rsidRDefault="003D3A24" w:rsidP="00D849E6">
            <w:pPr>
              <w:spacing w:line="240" w:lineRule="auto"/>
              <w:jc w:val="center"/>
              <w:rPr>
                <w:rFonts w:cs="Times New Roman"/>
                <w:b/>
                <w:bCs/>
                <w:color w:val="000000"/>
                <w:sz w:val="20"/>
                <w:szCs w:val="20"/>
              </w:rPr>
            </w:pPr>
            <w:r w:rsidRPr="008D42C2">
              <w:rPr>
                <w:rFonts w:cs="Times New Roman"/>
                <w:b/>
                <w:bCs/>
                <w:color w:val="000000"/>
                <w:sz w:val="20"/>
                <w:szCs w:val="20"/>
              </w:rPr>
              <w:t>0.018</w:t>
            </w:r>
          </w:p>
        </w:tc>
        <w:tc>
          <w:tcPr>
            <w:tcW w:w="944" w:type="dxa"/>
            <w:gridSpan w:val="2"/>
            <w:tcBorders>
              <w:top w:val="nil"/>
              <w:left w:val="nil"/>
              <w:bottom w:val="nil"/>
              <w:right w:val="nil"/>
            </w:tcBorders>
            <w:shd w:val="clear" w:color="auto" w:fill="D9D9D9" w:themeFill="background1" w:themeFillShade="D9"/>
            <w:vAlign w:val="center"/>
          </w:tcPr>
          <w:p w14:paraId="5BD95EC1"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 xml:space="preserve">  9.65</w:t>
            </w:r>
          </w:p>
        </w:tc>
        <w:tc>
          <w:tcPr>
            <w:tcW w:w="884" w:type="dxa"/>
            <w:tcBorders>
              <w:top w:val="nil"/>
              <w:left w:val="nil"/>
              <w:bottom w:val="nil"/>
              <w:right w:val="nil"/>
            </w:tcBorders>
            <w:shd w:val="clear" w:color="auto" w:fill="D9D9D9" w:themeFill="background1" w:themeFillShade="D9"/>
            <w:vAlign w:val="center"/>
          </w:tcPr>
          <w:p w14:paraId="3D14F8C4" w14:textId="77777777" w:rsidR="003D3A24" w:rsidRPr="0066024E" w:rsidRDefault="003D3A24" w:rsidP="00D849E6">
            <w:pPr>
              <w:spacing w:line="240" w:lineRule="auto"/>
              <w:jc w:val="center"/>
              <w:rPr>
                <w:rFonts w:cs="Times New Roman"/>
                <w:b/>
                <w:bCs/>
                <w:color w:val="000000"/>
                <w:sz w:val="20"/>
                <w:szCs w:val="20"/>
              </w:rPr>
            </w:pPr>
            <w:r>
              <w:rPr>
                <w:rFonts w:cs="Times New Roman"/>
                <w:b/>
                <w:bCs/>
                <w:color w:val="000000"/>
                <w:sz w:val="20"/>
                <w:szCs w:val="20"/>
              </w:rPr>
              <w:t>0.021</w:t>
            </w:r>
          </w:p>
        </w:tc>
      </w:tr>
      <w:tr w:rsidR="003D3A24" w:rsidRPr="00401D64" w14:paraId="6314E6F9" w14:textId="77777777" w:rsidTr="00D849E6">
        <w:trPr>
          <w:gridAfter w:val="1"/>
          <w:wAfter w:w="20" w:type="dxa"/>
          <w:trHeight w:val="288"/>
        </w:trPr>
        <w:tc>
          <w:tcPr>
            <w:tcW w:w="2340" w:type="dxa"/>
            <w:tcBorders>
              <w:top w:val="nil"/>
              <w:left w:val="nil"/>
              <w:bottom w:val="single" w:sz="12" w:space="0" w:color="auto"/>
            </w:tcBorders>
            <w:shd w:val="clear" w:color="auto" w:fill="FFFFFF" w:themeFill="background1"/>
            <w:noWrap/>
            <w:vAlign w:val="center"/>
            <w:hideMark/>
          </w:tcPr>
          <w:p w14:paraId="3589AEC2" w14:textId="77777777" w:rsidR="003D3A24" w:rsidRPr="00401D64" w:rsidRDefault="003D3A24" w:rsidP="00D849E6">
            <w:pPr>
              <w:spacing w:line="240" w:lineRule="auto"/>
              <w:rPr>
                <w:rFonts w:cs="Times New Roman"/>
                <w:color w:val="000000"/>
                <w:sz w:val="20"/>
                <w:szCs w:val="20"/>
              </w:rPr>
            </w:pPr>
            <w:r>
              <w:rPr>
                <w:rFonts w:cs="Times New Roman"/>
                <w:color w:val="000000"/>
                <w:sz w:val="20"/>
                <w:szCs w:val="20"/>
              </w:rPr>
              <w:t>Total</w:t>
            </w:r>
          </w:p>
        </w:tc>
        <w:tc>
          <w:tcPr>
            <w:tcW w:w="900" w:type="dxa"/>
            <w:tcBorders>
              <w:top w:val="nil"/>
              <w:bottom w:val="single" w:sz="12" w:space="0" w:color="auto"/>
            </w:tcBorders>
            <w:shd w:val="clear" w:color="auto" w:fill="FFFFFF" w:themeFill="background1"/>
            <w:vAlign w:val="center"/>
          </w:tcPr>
          <w:p w14:paraId="7E020A09"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1.81</w:t>
            </w:r>
          </w:p>
        </w:tc>
        <w:tc>
          <w:tcPr>
            <w:tcW w:w="782" w:type="dxa"/>
            <w:tcBorders>
              <w:top w:val="nil"/>
              <w:left w:val="nil"/>
              <w:bottom w:val="single" w:sz="12" w:space="0" w:color="auto"/>
              <w:right w:val="nil"/>
            </w:tcBorders>
            <w:shd w:val="clear" w:color="auto" w:fill="FFFFFF" w:themeFill="background1"/>
            <w:noWrap/>
            <w:vAlign w:val="center"/>
          </w:tcPr>
          <w:p w14:paraId="2F47F900"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0.183</w:t>
            </w:r>
          </w:p>
        </w:tc>
        <w:tc>
          <w:tcPr>
            <w:tcW w:w="890" w:type="dxa"/>
            <w:tcBorders>
              <w:top w:val="nil"/>
              <w:left w:val="nil"/>
              <w:bottom w:val="single" w:sz="12" w:space="0" w:color="auto"/>
              <w:right w:val="nil"/>
            </w:tcBorders>
            <w:shd w:val="clear" w:color="auto" w:fill="FFFFFF" w:themeFill="background1"/>
            <w:vAlign w:val="center"/>
          </w:tcPr>
          <w:p w14:paraId="7728470B"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3.90</w:t>
            </w:r>
          </w:p>
        </w:tc>
        <w:tc>
          <w:tcPr>
            <w:tcW w:w="842" w:type="dxa"/>
            <w:tcBorders>
              <w:top w:val="nil"/>
              <w:left w:val="nil"/>
              <w:bottom w:val="single" w:sz="12" w:space="0" w:color="auto"/>
              <w:right w:val="nil"/>
            </w:tcBorders>
            <w:shd w:val="clear" w:color="auto" w:fill="FFFFFF" w:themeFill="background1"/>
            <w:vAlign w:val="center"/>
          </w:tcPr>
          <w:p w14:paraId="5F3A6D3A"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0.060</w:t>
            </w:r>
          </w:p>
        </w:tc>
        <w:tc>
          <w:tcPr>
            <w:tcW w:w="906" w:type="dxa"/>
            <w:tcBorders>
              <w:top w:val="nil"/>
              <w:left w:val="nil"/>
              <w:bottom w:val="single" w:sz="12" w:space="0" w:color="auto"/>
              <w:right w:val="nil"/>
            </w:tcBorders>
            <w:shd w:val="clear" w:color="auto" w:fill="FFFFFF" w:themeFill="background1"/>
            <w:vAlign w:val="center"/>
          </w:tcPr>
          <w:p w14:paraId="5F7D2A34"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13.64</w:t>
            </w:r>
          </w:p>
        </w:tc>
        <w:tc>
          <w:tcPr>
            <w:tcW w:w="775" w:type="dxa"/>
            <w:tcBorders>
              <w:top w:val="nil"/>
              <w:left w:val="nil"/>
              <w:bottom w:val="single" w:sz="12" w:space="0" w:color="auto"/>
              <w:right w:val="nil"/>
            </w:tcBorders>
            <w:shd w:val="clear" w:color="auto" w:fill="FFFFFF" w:themeFill="background1"/>
            <w:vAlign w:val="center"/>
          </w:tcPr>
          <w:p w14:paraId="5FC8E874" w14:textId="77777777" w:rsidR="003D3A24" w:rsidRPr="008D42C2" w:rsidRDefault="003D3A24" w:rsidP="00D849E6">
            <w:pPr>
              <w:spacing w:line="240" w:lineRule="auto"/>
              <w:jc w:val="center"/>
              <w:rPr>
                <w:rFonts w:cs="Times New Roman"/>
                <w:b/>
                <w:bCs/>
                <w:color w:val="000000"/>
                <w:sz w:val="20"/>
                <w:szCs w:val="20"/>
              </w:rPr>
            </w:pPr>
            <w:r w:rsidRPr="008D42C2">
              <w:rPr>
                <w:rFonts w:cs="Times New Roman"/>
                <w:b/>
                <w:bCs/>
                <w:color w:val="000000"/>
                <w:sz w:val="20"/>
                <w:szCs w:val="20"/>
              </w:rPr>
              <w:t>0.002</w:t>
            </w:r>
          </w:p>
        </w:tc>
        <w:tc>
          <w:tcPr>
            <w:tcW w:w="935" w:type="dxa"/>
            <w:gridSpan w:val="2"/>
            <w:tcBorders>
              <w:top w:val="nil"/>
              <w:left w:val="nil"/>
              <w:bottom w:val="single" w:sz="12" w:space="0" w:color="auto"/>
              <w:right w:val="nil"/>
            </w:tcBorders>
            <w:shd w:val="clear" w:color="auto" w:fill="FFFFFF" w:themeFill="background1"/>
            <w:vAlign w:val="center"/>
          </w:tcPr>
          <w:p w14:paraId="398A82A2"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7.18</w:t>
            </w:r>
          </w:p>
        </w:tc>
        <w:tc>
          <w:tcPr>
            <w:tcW w:w="766" w:type="dxa"/>
            <w:tcBorders>
              <w:top w:val="nil"/>
              <w:left w:val="nil"/>
              <w:bottom w:val="single" w:sz="12" w:space="0" w:color="auto"/>
              <w:right w:val="nil"/>
            </w:tcBorders>
            <w:shd w:val="clear" w:color="auto" w:fill="FFFFFF" w:themeFill="background1"/>
            <w:vAlign w:val="center"/>
          </w:tcPr>
          <w:p w14:paraId="11C24830" w14:textId="77777777" w:rsidR="003D3A24" w:rsidRPr="0066024E" w:rsidRDefault="003D3A24" w:rsidP="00D849E6">
            <w:pPr>
              <w:spacing w:line="240" w:lineRule="auto"/>
              <w:jc w:val="center"/>
              <w:rPr>
                <w:rFonts w:cs="Times New Roman"/>
                <w:b/>
                <w:bCs/>
                <w:color w:val="000000"/>
                <w:sz w:val="20"/>
                <w:szCs w:val="20"/>
              </w:rPr>
            </w:pPr>
            <w:r>
              <w:rPr>
                <w:rFonts w:cs="Times New Roman"/>
                <w:b/>
                <w:bCs/>
                <w:color w:val="000000"/>
                <w:sz w:val="20"/>
                <w:szCs w:val="20"/>
              </w:rPr>
              <w:t>0.014</w:t>
            </w:r>
          </w:p>
        </w:tc>
        <w:tc>
          <w:tcPr>
            <w:tcW w:w="944" w:type="dxa"/>
            <w:gridSpan w:val="2"/>
            <w:tcBorders>
              <w:top w:val="nil"/>
              <w:left w:val="nil"/>
              <w:bottom w:val="single" w:sz="12" w:space="0" w:color="auto"/>
              <w:right w:val="nil"/>
            </w:tcBorders>
            <w:shd w:val="clear" w:color="auto" w:fill="FFFFFF" w:themeFill="background1"/>
            <w:vAlign w:val="center"/>
          </w:tcPr>
          <w:p w14:paraId="655809EA" w14:textId="77777777" w:rsidR="003D3A24" w:rsidRPr="00056EA6" w:rsidRDefault="003D3A24" w:rsidP="00D849E6">
            <w:pPr>
              <w:spacing w:line="240" w:lineRule="auto"/>
              <w:jc w:val="center"/>
              <w:rPr>
                <w:rFonts w:cs="Times New Roman"/>
                <w:color w:val="000000"/>
                <w:sz w:val="20"/>
                <w:szCs w:val="20"/>
              </w:rPr>
            </w:pPr>
            <w:r>
              <w:rPr>
                <w:rFonts w:cs="Times New Roman"/>
                <w:color w:val="000000"/>
                <w:sz w:val="20"/>
                <w:szCs w:val="20"/>
              </w:rPr>
              <w:t>21.50</w:t>
            </w:r>
          </w:p>
        </w:tc>
        <w:tc>
          <w:tcPr>
            <w:tcW w:w="884" w:type="dxa"/>
            <w:tcBorders>
              <w:top w:val="nil"/>
              <w:left w:val="nil"/>
              <w:bottom w:val="single" w:sz="12" w:space="0" w:color="auto"/>
              <w:right w:val="nil"/>
            </w:tcBorders>
            <w:shd w:val="clear" w:color="auto" w:fill="FFFFFF" w:themeFill="background1"/>
            <w:vAlign w:val="center"/>
          </w:tcPr>
          <w:p w14:paraId="7D8143D9" w14:textId="77777777" w:rsidR="003D3A24" w:rsidRPr="0066024E" w:rsidRDefault="003D3A24" w:rsidP="00D849E6">
            <w:pPr>
              <w:spacing w:line="240" w:lineRule="auto"/>
              <w:jc w:val="center"/>
              <w:rPr>
                <w:rFonts w:cs="Times New Roman"/>
                <w:b/>
                <w:bCs/>
                <w:color w:val="000000"/>
                <w:sz w:val="20"/>
                <w:szCs w:val="20"/>
              </w:rPr>
            </w:pPr>
            <w:r>
              <w:rPr>
                <w:rFonts w:cs="Times New Roman"/>
                <w:b/>
                <w:bCs/>
                <w:color w:val="000000"/>
                <w:sz w:val="20"/>
                <w:szCs w:val="20"/>
              </w:rPr>
              <w:t>0.004</w:t>
            </w:r>
          </w:p>
        </w:tc>
      </w:tr>
    </w:tbl>
    <w:p w14:paraId="33EDC423" w14:textId="77777777" w:rsidR="003D3A24" w:rsidRPr="00BC2376" w:rsidRDefault="003D3A24" w:rsidP="003D3A24">
      <w:pPr>
        <w:spacing w:line="240" w:lineRule="auto"/>
        <w:rPr>
          <w:rFonts w:eastAsia="Calibri" w:cs="Times New Roman"/>
          <w:bCs/>
        </w:rPr>
      </w:pPr>
      <w:r w:rsidRPr="00BC2376">
        <w:rPr>
          <w:rFonts w:eastAsia="Calibri" w:cs="Times New Roman"/>
          <w:bCs/>
        </w:rPr>
        <w:t xml:space="preserve">†On May 15, early rest, middle rest, late rest, no rest, and no graze were sampled prior to grazing.  On June 19, early rest, no rest, and no graze were compared.  On July 10, middle rest, no rest, and no graze were analyzed for differences.  On August 1, late rest, no rest, and no graze were sampled.  On August 20, only no rest and no graze were compared at the conclusion of the grazing season. </w:t>
      </w:r>
    </w:p>
    <w:p w14:paraId="6F90BCB2" w14:textId="3C15117F" w:rsidR="00C91ACA" w:rsidRPr="00BC2376" w:rsidRDefault="00C91ACA" w:rsidP="00BD6CF7">
      <w:pPr>
        <w:pStyle w:val="Caption"/>
        <w:rPr>
          <w:rFonts w:ascii="Times New Roman" w:hAnsi="Times New Roman" w:cs="Times New Roman"/>
          <w:b w:val="0"/>
          <w:bCs w:val="0"/>
        </w:rPr>
      </w:pPr>
    </w:p>
    <w:p w14:paraId="1424A7AC" w14:textId="77777777" w:rsidR="00C91ACA" w:rsidRPr="00BC2376" w:rsidRDefault="00C91ACA" w:rsidP="00BD6CF7">
      <w:pPr>
        <w:pStyle w:val="Caption"/>
        <w:rPr>
          <w:rFonts w:ascii="Times New Roman" w:hAnsi="Times New Roman" w:cs="Times New Roman"/>
          <w:b w:val="0"/>
          <w:bCs w:val="0"/>
        </w:rPr>
      </w:pPr>
    </w:p>
    <w:p w14:paraId="5A66C6B0" w14:textId="77777777" w:rsidR="002A7E33" w:rsidRDefault="002A7E33" w:rsidP="00BD6CF7">
      <w:pPr>
        <w:spacing w:line="240" w:lineRule="auto"/>
        <w:rPr>
          <w:rFonts w:eastAsia="Calibri" w:cs="Times New Roman"/>
        </w:rPr>
        <w:sectPr w:rsidR="002A7E33" w:rsidSect="00CA684B">
          <w:pgSz w:w="15840" w:h="12240" w:orient="landscape" w:code="1"/>
          <w:pgMar w:top="1440" w:right="1800" w:bottom="1872" w:left="1800" w:header="720" w:footer="1440" w:gutter="0"/>
          <w:cols w:space="720"/>
          <w:noEndnote/>
          <w:docGrid w:linePitch="360"/>
        </w:sectPr>
      </w:pPr>
    </w:p>
    <w:p w14:paraId="195A50B8" w14:textId="58B80C5B" w:rsidR="00BD6CF7" w:rsidRPr="00BC2376" w:rsidRDefault="00BD6CF7" w:rsidP="00E43975">
      <w:pPr>
        <w:pStyle w:val="Tables"/>
        <w:spacing w:after="60"/>
        <w:rPr>
          <w:b/>
        </w:rPr>
      </w:pPr>
      <w:bookmarkStart w:id="214" w:name="_Toc72300416"/>
      <w:r w:rsidRPr="00BC2376">
        <w:lastRenderedPageBreak/>
        <w:t>Table 2</w:t>
      </w:r>
      <w:r w:rsidR="00C80ECB" w:rsidRPr="00BC2376">
        <w:t>.1</w:t>
      </w:r>
      <w:r w:rsidR="003D3A24">
        <w:t>6</w:t>
      </w:r>
      <w:r w:rsidRPr="00BC2376">
        <w:t xml:space="preserve">.  </w:t>
      </w:r>
      <w:r w:rsidR="007D4FBA" w:rsidRPr="00BC2376">
        <w:t xml:space="preserve">Mixed-effects ANOVA model for forage nutritive value parameters </w:t>
      </w:r>
      <w:r w:rsidR="00F47A5C">
        <w:t xml:space="preserve">across within-rest treatments sampled within sampling date </w:t>
      </w:r>
      <w:r w:rsidR="007D4FBA" w:rsidRPr="00BC2376">
        <w:t>in a big bluestem/indiangrass and native forb pasture</w:t>
      </w:r>
      <w:r w:rsidR="001157ED" w:rsidRPr="001157ED">
        <w:t xml:space="preserve"> </w:t>
      </w:r>
      <w:r w:rsidR="001157ED" w:rsidRPr="00BC2376">
        <w:t xml:space="preserve">for native </w:t>
      </w:r>
      <w:r w:rsidR="00706798">
        <w:t xml:space="preserve">grass </w:t>
      </w:r>
      <w:r w:rsidR="001157ED" w:rsidRPr="00BC2376">
        <w:t>pasture grazing experiment</w:t>
      </w:r>
      <w:r w:rsidR="007D4FBA" w:rsidRPr="00BC2376">
        <w:t xml:space="preserve">, 2019, </w:t>
      </w:r>
      <w:bookmarkStart w:id="215" w:name="_Hlk64415904"/>
      <w:r w:rsidR="007D4FBA" w:rsidRPr="00BC2376">
        <w:t>University of Tennessee – Northeast Tennessee AgResearch and Education Center, Greeneville, TN.</w:t>
      </w:r>
      <w:bookmarkEnd w:id="214"/>
      <w:r w:rsidR="007D4FBA" w:rsidRPr="00BC2376">
        <w:t xml:space="preserve"> </w:t>
      </w:r>
    </w:p>
    <w:bookmarkEnd w:id="215"/>
    <w:tbl>
      <w:tblPr>
        <w:tblW w:w="10080" w:type="dxa"/>
        <w:tblLook w:val="04A0" w:firstRow="1" w:lastRow="0" w:firstColumn="1" w:lastColumn="0" w:noHBand="0" w:noVBand="1"/>
      </w:tblPr>
      <w:tblGrid>
        <w:gridCol w:w="1530"/>
        <w:gridCol w:w="841"/>
        <w:gridCol w:w="779"/>
        <w:gridCol w:w="958"/>
        <w:gridCol w:w="892"/>
        <w:gridCol w:w="854"/>
        <w:gridCol w:w="806"/>
        <w:gridCol w:w="854"/>
        <w:gridCol w:w="766"/>
        <w:gridCol w:w="854"/>
        <w:gridCol w:w="946"/>
      </w:tblGrid>
      <w:tr w:rsidR="00C405E9" w:rsidRPr="00401D64" w14:paraId="58DF255B" w14:textId="77777777" w:rsidTr="008017D7">
        <w:trPr>
          <w:trHeight w:val="312"/>
        </w:trPr>
        <w:tc>
          <w:tcPr>
            <w:tcW w:w="1530" w:type="dxa"/>
            <w:tcBorders>
              <w:top w:val="single" w:sz="12" w:space="0" w:color="auto"/>
              <w:left w:val="nil"/>
              <w:right w:val="single" w:sz="36" w:space="0" w:color="FFFFFF" w:themeColor="background1"/>
            </w:tcBorders>
            <w:shd w:val="clear" w:color="auto" w:fill="auto"/>
            <w:noWrap/>
            <w:vAlign w:val="bottom"/>
          </w:tcPr>
          <w:p w14:paraId="38D763F5" w14:textId="43978867" w:rsidR="00C405E9" w:rsidRPr="00401D64" w:rsidRDefault="00C405E9" w:rsidP="00E4763E">
            <w:pPr>
              <w:spacing w:line="240" w:lineRule="auto"/>
              <w:rPr>
                <w:rFonts w:cs="Times New Roman"/>
                <w:color w:val="000000"/>
                <w:sz w:val="20"/>
                <w:szCs w:val="20"/>
              </w:rPr>
            </w:pPr>
          </w:p>
        </w:tc>
        <w:tc>
          <w:tcPr>
            <w:tcW w:w="8550" w:type="dxa"/>
            <w:gridSpan w:val="10"/>
            <w:tcBorders>
              <w:top w:val="single" w:sz="12" w:space="0" w:color="auto"/>
              <w:left w:val="single" w:sz="36" w:space="0" w:color="FFFFFF" w:themeColor="background1"/>
              <w:bottom w:val="single" w:sz="12" w:space="0" w:color="auto"/>
            </w:tcBorders>
            <w:vAlign w:val="center"/>
          </w:tcPr>
          <w:p w14:paraId="0A24A687" w14:textId="06286557" w:rsidR="00C405E9" w:rsidRDefault="00C405E9" w:rsidP="00E4763E">
            <w:pPr>
              <w:spacing w:line="240" w:lineRule="auto"/>
              <w:jc w:val="center"/>
              <w:rPr>
                <w:rFonts w:cs="Times New Roman"/>
                <w:color w:val="000000"/>
                <w:sz w:val="20"/>
                <w:szCs w:val="20"/>
              </w:rPr>
            </w:pPr>
            <w:r>
              <w:rPr>
                <w:rFonts w:cs="Times New Roman"/>
                <w:color w:val="000000"/>
                <w:sz w:val="20"/>
                <w:szCs w:val="20"/>
              </w:rPr>
              <w:t>Sampling Date</w:t>
            </w:r>
            <w:r w:rsidRPr="00476DAA">
              <w:rPr>
                <w:rFonts w:cs="Times New Roman"/>
                <w:color w:val="000000"/>
                <w:sz w:val="20"/>
                <w:szCs w:val="20"/>
                <w:vertAlign w:val="superscript"/>
              </w:rPr>
              <w:t>†</w:t>
            </w:r>
          </w:p>
        </w:tc>
      </w:tr>
      <w:tr w:rsidR="00C405E9" w:rsidRPr="00401D64" w14:paraId="5116CF96" w14:textId="77777777" w:rsidTr="00C405E9">
        <w:trPr>
          <w:trHeight w:val="312"/>
        </w:trPr>
        <w:tc>
          <w:tcPr>
            <w:tcW w:w="1530" w:type="dxa"/>
            <w:vMerge w:val="restart"/>
            <w:tcBorders>
              <w:left w:val="nil"/>
              <w:right w:val="single" w:sz="36" w:space="0" w:color="FFFFFF" w:themeColor="background1"/>
            </w:tcBorders>
            <w:shd w:val="clear" w:color="auto" w:fill="auto"/>
            <w:noWrap/>
            <w:vAlign w:val="bottom"/>
          </w:tcPr>
          <w:p w14:paraId="03A9001C" w14:textId="02E1CA0A" w:rsidR="00C405E9" w:rsidRPr="00721CC9" w:rsidRDefault="00C405E9" w:rsidP="00E4763E">
            <w:pPr>
              <w:spacing w:line="240" w:lineRule="auto"/>
              <w:rPr>
                <w:rFonts w:cs="Times New Roman"/>
                <w:color w:val="000000"/>
                <w:sz w:val="20"/>
                <w:szCs w:val="20"/>
              </w:rPr>
            </w:pPr>
            <w:r w:rsidRPr="00E4763E">
              <w:rPr>
                <w:sz w:val="20"/>
                <w:szCs w:val="20"/>
              </w:rPr>
              <w:t>Nutritive Value Parameter</w:t>
            </w:r>
          </w:p>
        </w:tc>
        <w:tc>
          <w:tcPr>
            <w:tcW w:w="1620" w:type="dxa"/>
            <w:gridSpan w:val="2"/>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0575E2CE" w14:textId="7829D231" w:rsidR="00C405E9" w:rsidRPr="00721CC9" w:rsidRDefault="00C405E9" w:rsidP="00E4763E">
            <w:pPr>
              <w:spacing w:line="240" w:lineRule="auto"/>
              <w:jc w:val="center"/>
              <w:rPr>
                <w:rFonts w:cs="Times New Roman"/>
                <w:color w:val="000000"/>
                <w:sz w:val="20"/>
                <w:szCs w:val="20"/>
              </w:rPr>
            </w:pPr>
            <w:r>
              <w:rPr>
                <w:sz w:val="20"/>
                <w:szCs w:val="20"/>
              </w:rPr>
              <w:t>15-</w:t>
            </w:r>
            <w:r w:rsidRPr="00721CC9">
              <w:rPr>
                <w:sz w:val="20"/>
                <w:szCs w:val="20"/>
              </w:rPr>
              <w:t>May</w:t>
            </w:r>
          </w:p>
        </w:tc>
        <w:tc>
          <w:tcPr>
            <w:tcW w:w="1850" w:type="dxa"/>
            <w:gridSpan w:val="2"/>
            <w:tcBorders>
              <w:top w:val="single" w:sz="12" w:space="0" w:color="auto"/>
              <w:left w:val="single" w:sz="36" w:space="0" w:color="FFFFFF" w:themeColor="background1"/>
              <w:bottom w:val="single" w:sz="12" w:space="0" w:color="auto"/>
            </w:tcBorders>
            <w:vAlign w:val="center"/>
          </w:tcPr>
          <w:p w14:paraId="6057B25D" w14:textId="0CFD145A" w:rsidR="00C405E9" w:rsidRPr="00721CC9" w:rsidRDefault="00C405E9" w:rsidP="00E4763E">
            <w:pPr>
              <w:spacing w:line="240" w:lineRule="auto"/>
              <w:jc w:val="center"/>
              <w:rPr>
                <w:rFonts w:cs="Times New Roman"/>
                <w:color w:val="000000"/>
                <w:sz w:val="20"/>
                <w:szCs w:val="20"/>
              </w:rPr>
            </w:pPr>
            <w:r>
              <w:rPr>
                <w:sz w:val="20"/>
                <w:szCs w:val="20"/>
              </w:rPr>
              <w:t>19-</w:t>
            </w:r>
            <w:r w:rsidRPr="00721CC9">
              <w:rPr>
                <w:sz w:val="20"/>
                <w:szCs w:val="20"/>
              </w:rPr>
              <w:t>Jun</w:t>
            </w:r>
          </w:p>
        </w:tc>
        <w:tc>
          <w:tcPr>
            <w:tcW w:w="1660" w:type="dxa"/>
            <w:gridSpan w:val="2"/>
            <w:tcBorders>
              <w:top w:val="single" w:sz="12" w:space="0" w:color="auto"/>
              <w:left w:val="single" w:sz="36" w:space="0" w:color="FFFFFF" w:themeColor="background1"/>
              <w:bottom w:val="single" w:sz="12" w:space="0" w:color="auto"/>
            </w:tcBorders>
            <w:vAlign w:val="center"/>
          </w:tcPr>
          <w:p w14:paraId="1F628024" w14:textId="6CDF032E" w:rsidR="00C405E9" w:rsidRPr="00721CC9" w:rsidRDefault="00C405E9" w:rsidP="00E4763E">
            <w:pPr>
              <w:spacing w:line="240" w:lineRule="auto"/>
              <w:jc w:val="center"/>
              <w:rPr>
                <w:rFonts w:cs="Times New Roman"/>
                <w:color w:val="000000"/>
                <w:sz w:val="20"/>
                <w:szCs w:val="20"/>
              </w:rPr>
            </w:pPr>
            <w:r>
              <w:rPr>
                <w:color w:val="000000"/>
                <w:sz w:val="20"/>
                <w:szCs w:val="20"/>
              </w:rPr>
              <w:t>10-Jul</w:t>
            </w:r>
          </w:p>
        </w:tc>
        <w:tc>
          <w:tcPr>
            <w:tcW w:w="1620" w:type="dxa"/>
            <w:gridSpan w:val="2"/>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20DA9D34" w14:textId="3ABD1409" w:rsidR="00C405E9" w:rsidRPr="00721CC9" w:rsidRDefault="00C405E9" w:rsidP="00E4763E">
            <w:pPr>
              <w:spacing w:line="240" w:lineRule="auto"/>
              <w:jc w:val="center"/>
              <w:rPr>
                <w:rFonts w:cs="Times New Roman"/>
                <w:color w:val="000000"/>
                <w:sz w:val="20"/>
                <w:szCs w:val="20"/>
              </w:rPr>
            </w:pPr>
            <w:r>
              <w:rPr>
                <w:color w:val="000000"/>
                <w:sz w:val="20"/>
                <w:szCs w:val="20"/>
              </w:rPr>
              <w:t>1-Aug</w:t>
            </w:r>
          </w:p>
        </w:tc>
        <w:tc>
          <w:tcPr>
            <w:tcW w:w="1800" w:type="dxa"/>
            <w:gridSpan w:val="2"/>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7DCD893C" w14:textId="2F846373" w:rsidR="00C405E9" w:rsidRPr="00721CC9" w:rsidRDefault="00C405E9" w:rsidP="00E4763E">
            <w:pPr>
              <w:spacing w:line="240" w:lineRule="auto"/>
              <w:jc w:val="center"/>
              <w:rPr>
                <w:rFonts w:cs="Times New Roman"/>
                <w:color w:val="000000"/>
                <w:sz w:val="20"/>
                <w:szCs w:val="20"/>
              </w:rPr>
            </w:pPr>
            <w:r>
              <w:rPr>
                <w:sz w:val="20"/>
                <w:szCs w:val="20"/>
              </w:rPr>
              <w:t>20-</w:t>
            </w:r>
            <w:r w:rsidRPr="00721CC9">
              <w:rPr>
                <w:sz w:val="20"/>
                <w:szCs w:val="20"/>
              </w:rPr>
              <w:t>Aug</w:t>
            </w:r>
          </w:p>
        </w:tc>
      </w:tr>
      <w:tr w:rsidR="00C405E9" w:rsidRPr="00401D64" w14:paraId="6FF8F315" w14:textId="77777777" w:rsidTr="00C405E9">
        <w:trPr>
          <w:trHeight w:val="312"/>
        </w:trPr>
        <w:tc>
          <w:tcPr>
            <w:tcW w:w="1530" w:type="dxa"/>
            <w:vMerge/>
            <w:tcBorders>
              <w:left w:val="nil"/>
              <w:bottom w:val="single" w:sz="12" w:space="0" w:color="auto"/>
              <w:right w:val="single" w:sz="36" w:space="0" w:color="FFFFFF" w:themeColor="background1"/>
            </w:tcBorders>
            <w:shd w:val="clear" w:color="auto" w:fill="auto"/>
            <w:noWrap/>
            <w:vAlign w:val="center"/>
          </w:tcPr>
          <w:p w14:paraId="311C18AA" w14:textId="234402E0" w:rsidR="00C405E9" w:rsidRPr="00721CC9" w:rsidRDefault="00C405E9" w:rsidP="00E4763E">
            <w:pPr>
              <w:spacing w:line="240" w:lineRule="auto"/>
              <w:rPr>
                <w:sz w:val="20"/>
                <w:szCs w:val="20"/>
              </w:rPr>
            </w:pPr>
          </w:p>
        </w:tc>
        <w:tc>
          <w:tcPr>
            <w:tcW w:w="841"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1DEAF199" w14:textId="2A06ADE3" w:rsidR="00C405E9" w:rsidRPr="00E4763E" w:rsidRDefault="00C405E9" w:rsidP="00E4763E">
            <w:pPr>
              <w:spacing w:line="240" w:lineRule="auto"/>
              <w:jc w:val="center"/>
              <w:rPr>
                <w:sz w:val="20"/>
                <w:szCs w:val="20"/>
              </w:rPr>
            </w:pPr>
            <w:r w:rsidRPr="00E4763E">
              <w:rPr>
                <w:sz w:val="20"/>
                <w:szCs w:val="20"/>
              </w:rPr>
              <w:t>F value</w:t>
            </w:r>
          </w:p>
        </w:tc>
        <w:tc>
          <w:tcPr>
            <w:tcW w:w="779"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tcPr>
          <w:p w14:paraId="59434B21" w14:textId="5D499C8E" w:rsidR="00C405E9" w:rsidRPr="00E4763E" w:rsidRDefault="00C405E9" w:rsidP="00E4763E">
            <w:pPr>
              <w:spacing w:line="240" w:lineRule="auto"/>
              <w:jc w:val="center"/>
              <w:rPr>
                <w:sz w:val="20"/>
                <w:szCs w:val="20"/>
              </w:rPr>
            </w:pPr>
            <w:r w:rsidRPr="00E4763E">
              <w:rPr>
                <w:sz w:val="20"/>
                <w:szCs w:val="20"/>
              </w:rPr>
              <w:t>P &gt; F</w:t>
            </w:r>
          </w:p>
        </w:tc>
        <w:tc>
          <w:tcPr>
            <w:tcW w:w="958"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3A7F6891" w14:textId="63B0E7BC" w:rsidR="00C405E9" w:rsidRPr="00E4763E" w:rsidRDefault="00C405E9" w:rsidP="00E4763E">
            <w:pPr>
              <w:spacing w:line="240" w:lineRule="auto"/>
              <w:jc w:val="center"/>
              <w:rPr>
                <w:sz w:val="20"/>
                <w:szCs w:val="20"/>
              </w:rPr>
            </w:pPr>
            <w:r w:rsidRPr="00E4763E">
              <w:rPr>
                <w:sz w:val="20"/>
                <w:szCs w:val="20"/>
              </w:rPr>
              <w:t>F value</w:t>
            </w:r>
          </w:p>
        </w:tc>
        <w:tc>
          <w:tcPr>
            <w:tcW w:w="892" w:type="dxa"/>
            <w:tcBorders>
              <w:top w:val="single" w:sz="12" w:space="0" w:color="auto"/>
              <w:left w:val="single" w:sz="36" w:space="0" w:color="FFFFFF" w:themeColor="background1"/>
              <w:bottom w:val="single" w:sz="12" w:space="0" w:color="auto"/>
            </w:tcBorders>
            <w:shd w:val="clear" w:color="auto" w:fill="auto"/>
            <w:vAlign w:val="center"/>
          </w:tcPr>
          <w:p w14:paraId="44DB5D1D" w14:textId="14B700A7" w:rsidR="00C405E9" w:rsidRPr="00E4763E" w:rsidRDefault="00C405E9" w:rsidP="00E4763E">
            <w:pPr>
              <w:spacing w:line="240" w:lineRule="auto"/>
              <w:jc w:val="center"/>
              <w:rPr>
                <w:sz w:val="20"/>
                <w:szCs w:val="20"/>
              </w:rPr>
            </w:pPr>
            <w:r w:rsidRPr="00E4763E">
              <w:rPr>
                <w:sz w:val="20"/>
                <w:szCs w:val="20"/>
              </w:rPr>
              <w:t>P &gt; F</w:t>
            </w:r>
          </w:p>
        </w:tc>
        <w:tc>
          <w:tcPr>
            <w:tcW w:w="854"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2E900497" w14:textId="4BA0B99E" w:rsidR="00C405E9" w:rsidRPr="00E4763E" w:rsidRDefault="00C405E9" w:rsidP="00E4763E">
            <w:pPr>
              <w:spacing w:line="240" w:lineRule="auto"/>
              <w:jc w:val="center"/>
              <w:rPr>
                <w:color w:val="000000"/>
                <w:sz w:val="20"/>
                <w:szCs w:val="20"/>
              </w:rPr>
            </w:pPr>
            <w:r w:rsidRPr="00E4763E">
              <w:rPr>
                <w:sz w:val="20"/>
                <w:szCs w:val="20"/>
              </w:rPr>
              <w:t>F value</w:t>
            </w:r>
          </w:p>
        </w:tc>
        <w:tc>
          <w:tcPr>
            <w:tcW w:w="806" w:type="dxa"/>
            <w:tcBorders>
              <w:top w:val="single" w:sz="12" w:space="0" w:color="auto"/>
              <w:left w:val="single" w:sz="36" w:space="0" w:color="FFFFFF" w:themeColor="background1"/>
              <w:bottom w:val="single" w:sz="12" w:space="0" w:color="auto"/>
            </w:tcBorders>
            <w:vAlign w:val="center"/>
          </w:tcPr>
          <w:p w14:paraId="660CF3A3" w14:textId="6FFDD004" w:rsidR="00C405E9" w:rsidRPr="00E4763E" w:rsidRDefault="00C405E9" w:rsidP="00E4763E">
            <w:pPr>
              <w:spacing w:line="240" w:lineRule="auto"/>
              <w:jc w:val="center"/>
              <w:rPr>
                <w:color w:val="000000"/>
                <w:sz w:val="20"/>
                <w:szCs w:val="20"/>
              </w:rPr>
            </w:pPr>
            <w:r w:rsidRPr="00E4763E">
              <w:rPr>
                <w:sz w:val="20"/>
                <w:szCs w:val="20"/>
              </w:rPr>
              <w:t>P &gt; F</w:t>
            </w:r>
          </w:p>
        </w:tc>
        <w:tc>
          <w:tcPr>
            <w:tcW w:w="854" w:type="dxa"/>
            <w:tcBorders>
              <w:top w:val="single" w:sz="12" w:space="0" w:color="auto"/>
              <w:left w:val="single" w:sz="36" w:space="0" w:color="FFFFFF" w:themeColor="background1"/>
              <w:bottom w:val="single" w:sz="12" w:space="0" w:color="auto"/>
            </w:tcBorders>
            <w:vAlign w:val="center"/>
          </w:tcPr>
          <w:p w14:paraId="19EBABCE" w14:textId="77221FB0" w:rsidR="00C405E9" w:rsidRPr="00E4763E" w:rsidRDefault="00C405E9" w:rsidP="00E4763E">
            <w:pPr>
              <w:spacing w:line="240" w:lineRule="auto"/>
              <w:jc w:val="center"/>
              <w:rPr>
                <w:color w:val="000000"/>
                <w:sz w:val="20"/>
                <w:szCs w:val="20"/>
              </w:rPr>
            </w:pPr>
            <w:r w:rsidRPr="00E4763E">
              <w:rPr>
                <w:sz w:val="20"/>
                <w:szCs w:val="20"/>
              </w:rPr>
              <w:t>F value</w:t>
            </w:r>
          </w:p>
        </w:tc>
        <w:tc>
          <w:tcPr>
            <w:tcW w:w="766"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012AAD6B" w14:textId="7326950D" w:rsidR="00C405E9" w:rsidRPr="00E4763E" w:rsidRDefault="00C405E9" w:rsidP="00E4763E">
            <w:pPr>
              <w:spacing w:line="240" w:lineRule="auto"/>
              <w:jc w:val="center"/>
              <w:rPr>
                <w:color w:val="000000"/>
                <w:sz w:val="20"/>
                <w:szCs w:val="20"/>
              </w:rPr>
            </w:pPr>
            <w:r w:rsidRPr="00E4763E">
              <w:rPr>
                <w:sz w:val="20"/>
                <w:szCs w:val="20"/>
              </w:rPr>
              <w:t>P &gt; F</w:t>
            </w:r>
          </w:p>
        </w:tc>
        <w:tc>
          <w:tcPr>
            <w:tcW w:w="854"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5D4BA275" w14:textId="2A310624" w:rsidR="00C405E9" w:rsidRPr="00E4763E" w:rsidRDefault="00C405E9" w:rsidP="00E4763E">
            <w:pPr>
              <w:spacing w:line="240" w:lineRule="auto"/>
              <w:jc w:val="center"/>
              <w:rPr>
                <w:sz w:val="20"/>
                <w:szCs w:val="20"/>
              </w:rPr>
            </w:pPr>
            <w:r w:rsidRPr="00E4763E">
              <w:rPr>
                <w:sz w:val="20"/>
                <w:szCs w:val="20"/>
              </w:rPr>
              <w:t>F value</w:t>
            </w:r>
          </w:p>
        </w:tc>
        <w:tc>
          <w:tcPr>
            <w:tcW w:w="946" w:type="dxa"/>
            <w:tcBorders>
              <w:top w:val="single" w:sz="12" w:space="0" w:color="auto"/>
              <w:left w:val="single" w:sz="36" w:space="0" w:color="FFFFFF" w:themeColor="background1"/>
              <w:bottom w:val="single" w:sz="12" w:space="0" w:color="auto"/>
              <w:right w:val="single" w:sz="36" w:space="0" w:color="FFFFFF" w:themeColor="background1"/>
            </w:tcBorders>
            <w:vAlign w:val="center"/>
          </w:tcPr>
          <w:p w14:paraId="39A45260" w14:textId="35C554A4" w:rsidR="00C405E9" w:rsidRPr="00E4763E" w:rsidRDefault="00C405E9" w:rsidP="00E4763E">
            <w:pPr>
              <w:spacing w:line="240" w:lineRule="auto"/>
              <w:jc w:val="center"/>
              <w:rPr>
                <w:sz w:val="20"/>
                <w:szCs w:val="20"/>
              </w:rPr>
            </w:pPr>
            <w:r w:rsidRPr="00E4763E">
              <w:rPr>
                <w:sz w:val="20"/>
                <w:szCs w:val="20"/>
              </w:rPr>
              <w:t>P &gt; F</w:t>
            </w:r>
          </w:p>
        </w:tc>
      </w:tr>
      <w:tr w:rsidR="00C405E9" w:rsidRPr="00401D64" w14:paraId="45B66845" w14:textId="77777777" w:rsidTr="00C405E9">
        <w:trPr>
          <w:trHeight w:val="324"/>
        </w:trPr>
        <w:tc>
          <w:tcPr>
            <w:tcW w:w="1530" w:type="dxa"/>
            <w:tcBorders>
              <w:top w:val="single" w:sz="12" w:space="0" w:color="auto"/>
              <w:left w:val="nil"/>
              <w:bottom w:val="nil"/>
              <w:right w:val="single" w:sz="36" w:space="0" w:color="FFFFFF" w:themeColor="background1"/>
            </w:tcBorders>
            <w:shd w:val="clear" w:color="auto" w:fill="auto"/>
            <w:noWrap/>
            <w:vAlign w:val="center"/>
            <w:hideMark/>
          </w:tcPr>
          <w:p w14:paraId="73269304" w14:textId="618FB461" w:rsidR="00C405E9" w:rsidRPr="00401D64" w:rsidRDefault="00C405E9" w:rsidP="008017D7">
            <w:pPr>
              <w:spacing w:line="240" w:lineRule="auto"/>
              <w:rPr>
                <w:rFonts w:cs="Times New Roman"/>
                <w:color w:val="000000"/>
                <w:sz w:val="20"/>
                <w:szCs w:val="20"/>
              </w:rPr>
            </w:pPr>
            <w:r>
              <w:rPr>
                <w:rFonts w:cs="Times New Roman"/>
                <w:color w:val="000000"/>
                <w:sz w:val="20"/>
                <w:szCs w:val="20"/>
              </w:rPr>
              <w:t>CP</w:t>
            </w:r>
            <w:r w:rsidR="002C35E3">
              <w:rPr>
                <w:rFonts w:cs="Times New Roman"/>
                <w:sz w:val="20"/>
                <w:szCs w:val="20"/>
                <w:vertAlign w:val="superscript"/>
              </w:rPr>
              <w:t>‡</w:t>
            </w:r>
          </w:p>
        </w:tc>
        <w:tc>
          <w:tcPr>
            <w:tcW w:w="841" w:type="dxa"/>
            <w:tcBorders>
              <w:top w:val="single" w:sz="12" w:space="0" w:color="auto"/>
              <w:left w:val="single" w:sz="36" w:space="0" w:color="FFFFFF" w:themeColor="background1"/>
              <w:bottom w:val="nil"/>
              <w:right w:val="single" w:sz="36" w:space="0" w:color="FFFFFF" w:themeColor="background1"/>
            </w:tcBorders>
            <w:vAlign w:val="center"/>
          </w:tcPr>
          <w:p w14:paraId="19F8FDCB" w14:textId="1C38B498" w:rsidR="00C405E9" w:rsidRPr="00537978" w:rsidRDefault="00AD3758" w:rsidP="00537978">
            <w:pPr>
              <w:spacing w:line="240" w:lineRule="auto"/>
              <w:jc w:val="center"/>
              <w:rPr>
                <w:rFonts w:cs="Times New Roman"/>
                <w:color w:val="000000"/>
                <w:sz w:val="20"/>
                <w:szCs w:val="20"/>
              </w:rPr>
            </w:pPr>
            <w:r>
              <w:rPr>
                <w:rFonts w:cs="Times New Roman"/>
                <w:color w:val="000000"/>
                <w:sz w:val="20"/>
                <w:szCs w:val="20"/>
              </w:rPr>
              <w:t>0.56</w:t>
            </w:r>
          </w:p>
        </w:tc>
        <w:tc>
          <w:tcPr>
            <w:tcW w:w="779"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tcPr>
          <w:p w14:paraId="29E30561" w14:textId="520EDB1F" w:rsidR="00AD3758" w:rsidRPr="00537978" w:rsidRDefault="00AD3758" w:rsidP="00AD3758">
            <w:pPr>
              <w:spacing w:line="240" w:lineRule="auto"/>
              <w:jc w:val="center"/>
              <w:rPr>
                <w:rFonts w:cs="Times New Roman"/>
                <w:color w:val="000000"/>
                <w:sz w:val="20"/>
                <w:szCs w:val="20"/>
              </w:rPr>
            </w:pPr>
            <w:r>
              <w:rPr>
                <w:rFonts w:cs="Times New Roman"/>
                <w:color w:val="000000"/>
                <w:sz w:val="20"/>
                <w:szCs w:val="20"/>
              </w:rPr>
              <w:t>0.697</w:t>
            </w:r>
          </w:p>
        </w:tc>
        <w:tc>
          <w:tcPr>
            <w:tcW w:w="958" w:type="dxa"/>
            <w:tcBorders>
              <w:top w:val="single" w:sz="12" w:space="0" w:color="auto"/>
              <w:left w:val="single" w:sz="36" w:space="0" w:color="FFFFFF" w:themeColor="background1"/>
              <w:bottom w:val="nil"/>
              <w:right w:val="single" w:sz="36" w:space="0" w:color="FFFFFF" w:themeColor="background1"/>
            </w:tcBorders>
            <w:vAlign w:val="center"/>
          </w:tcPr>
          <w:p w14:paraId="4A1FD7DF" w14:textId="4DA392A5" w:rsidR="00C405E9" w:rsidRPr="0049145B" w:rsidRDefault="00C405E9" w:rsidP="00537978">
            <w:pPr>
              <w:spacing w:line="240" w:lineRule="auto"/>
              <w:jc w:val="center"/>
              <w:rPr>
                <w:rFonts w:cs="Times New Roman"/>
                <w:color w:val="000000"/>
                <w:sz w:val="20"/>
                <w:szCs w:val="20"/>
              </w:rPr>
            </w:pPr>
            <w:r w:rsidRPr="0049145B">
              <w:rPr>
                <w:rFonts w:cs="Times New Roman"/>
                <w:color w:val="000000"/>
                <w:sz w:val="20"/>
                <w:szCs w:val="20"/>
              </w:rPr>
              <w:t>5.93</w:t>
            </w:r>
          </w:p>
        </w:tc>
        <w:tc>
          <w:tcPr>
            <w:tcW w:w="892" w:type="dxa"/>
            <w:tcBorders>
              <w:top w:val="single" w:sz="12" w:space="0" w:color="auto"/>
              <w:left w:val="single" w:sz="36" w:space="0" w:color="FFFFFF" w:themeColor="background1"/>
              <w:bottom w:val="nil"/>
            </w:tcBorders>
            <w:shd w:val="clear" w:color="auto" w:fill="auto"/>
            <w:vAlign w:val="center"/>
          </w:tcPr>
          <w:p w14:paraId="393DE7A2" w14:textId="4C85F549" w:rsidR="00C405E9" w:rsidRPr="00AD3758" w:rsidRDefault="00C405E9" w:rsidP="00537978">
            <w:pPr>
              <w:spacing w:line="240" w:lineRule="auto"/>
              <w:jc w:val="center"/>
              <w:rPr>
                <w:rFonts w:cs="Times New Roman"/>
                <w:b/>
                <w:bCs/>
                <w:color w:val="000000"/>
                <w:sz w:val="20"/>
                <w:szCs w:val="20"/>
              </w:rPr>
            </w:pPr>
            <w:r w:rsidRPr="00AD3758">
              <w:rPr>
                <w:rFonts w:cs="Times New Roman"/>
                <w:b/>
                <w:bCs/>
                <w:color w:val="000000"/>
                <w:sz w:val="20"/>
                <w:szCs w:val="20"/>
              </w:rPr>
              <w:t>0.023</w:t>
            </w:r>
          </w:p>
        </w:tc>
        <w:tc>
          <w:tcPr>
            <w:tcW w:w="854" w:type="dxa"/>
            <w:tcBorders>
              <w:top w:val="single" w:sz="12" w:space="0" w:color="auto"/>
              <w:left w:val="single" w:sz="36" w:space="0" w:color="FFFFFF" w:themeColor="background1"/>
              <w:bottom w:val="nil"/>
              <w:right w:val="single" w:sz="36" w:space="0" w:color="FFFFFF" w:themeColor="background1"/>
            </w:tcBorders>
            <w:vAlign w:val="center"/>
          </w:tcPr>
          <w:p w14:paraId="5BBC2816" w14:textId="0B17075A" w:rsidR="00C405E9" w:rsidRPr="00537978" w:rsidRDefault="00AD3758" w:rsidP="00537978">
            <w:pPr>
              <w:spacing w:line="240" w:lineRule="auto"/>
              <w:jc w:val="center"/>
              <w:rPr>
                <w:rFonts w:cs="Times New Roman"/>
                <w:color w:val="000000"/>
                <w:sz w:val="20"/>
                <w:szCs w:val="20"/>
              </w:rPr>
            </w:pPr>
            <w:r>
              <w:rPr>
                <w:rFonts w:cs="Times New Roman"/>
                <w:color w:val="000000"/>
                <w:sz w:val="20"/>
                <w:szCs w:val="20"/>
              </w:rPr>
              <w:t>0.40</w:t>
            </w:r>
          </w:p>
        </w:tc>
        <w:tc>
          <w:tcPr>
            <w:tcW w:w="806" w:type="dxa"/>
            <w:tcBorders>
              <w:top w:val="single" w:sz="12" w:space="0" w:color="auto"/>
              <w:left w:val="single" w:sz="36" w:space="0" w:color="FFFFFF" w:themeColor="background1"/>
              <w:bottom w:val="nil"/>
            </w:tcBorders>
            <w:vAlign w:val="center"/>
          </w:tcPr>
          <w:p w14:paraId="16EC0F71" w14:textId="657AAE1F" w:rsidR="00C405E9" w:rsidRPr="00537978" w:rsidRDefault="00AD3758" w:rsidP="00537978">
            <w:pPr>
              <w:spacing w:line="240" w:lineRule="auto"/>
              <w:jc w:val="center"/>
              <w:rPr>
                <w:rFonts w:cs="Times New Roman"/>
                <w:color w:val="000000"/>
                <w:sz w:val="20"/>
                <w:szCs w:val="20"/>
              </w:rPr>
            </w:pPr>
            <w:r>
              <w:rPr>
                <w:rFonts w:cs="Times New Roman"/>
                <w:color w:val="000000"/>
                <w:sz w:val="20"/>
                <w:szCs w:val="20"/>
              </w:rPr>
              <w:t>0.683</w:t>
            </w:r>
          </w:p>
        </w:tc>
        <w:tc>
          <w:tcPr>
            <w:tcW w:w="854" w:type="dxa"/>
            <w:tcBorders>
              <w:top w:val="single" w:sz="12" w:space="0" w:color="auto"/>
              <w:left w:val="single" w:sz="36" w:space="0" w:color="FFFFFF" w:themeColor="background1"/>
              <w:bottom w:val="nil"/>
            </w:tcBorders>
            <w:vAlign w:val="center"/>
          </w:tcPr>
          <w:p w14:paraId="38780604" w14:textId="3C942E92" w:rsidR="00C405E9" w:rsidRPr="00537978" w:rsidRDefault="004F1189" w:rsidP="00537978">
            <w:pPr>
              <w:spacing w:line="240" w:lineRule="auto"/>
              <w:jc w:val="center"/>
              <w:rPr>
                <w:rFonts w:cs="Times New Roman"/>
                <w:color w:val="000000"/>
                <w:sz w:val="20"/>
                <w:szCs w:val="20"/>
              </w:rPr>
            </w:pPr>
            <w:r>
              <w:rPr>
                <w:rFonts w:cs="Times New Roman"/>
                <w:color w:val="000000"/>
                <w:sz w:val="20"/>
                <w:szCs w:val="20"/>
              </w:rPr>
              <w:t>1.96</w:t>
            </w:r>
          </w:p>
        </w:tc>
        <w:tc>
          <w:tcPr>
            <w:tcW w:w="766" w:type="dxa"/>
            <w:tcBorders>
              <w:top w:val="single" w:sz="12" w:space="0" w:color="auto"/>
              <w:left w:val="single" w:sz="36" w:space="0" w:color="FFFFFF" w:themeColor="background1"/>
              <w:bottom w:val="nil"/>
              <w:right w:val="single" w:sz="36" w:space="0" w:color="FFFFFF" w:themeColor="background1"/>
            </w:tcBorders>
            <w:vAlign w:val="center"/>
          </w:tcPr>
          <w:p w14:paraId="79191081" w14:textId="76AB8F35" w:rsidR="00C405E9" w:rsidRPr="00537978" w:rsidRDefault="004F1189" w:rsidP="00537978">
            <w:pPr>
              <w:spacing w:line="240" w:lineRule="auto"/>
              <w:jc w:val="center"/>
              <w:rPr>
                <w:rFonts w:cs="Times New Roman"/>
                <w:color w:val="000000"/>
                <w:sz w:val="20"/>
                <w:szCs w:val="20"/>
              </w:rPr>
            </w:pPr>
            <w:r>
              <w:rPr>
                <w:rFonts w:cs="Times New Roman"/>
                <w:color w:val="000000"/>
                <w:sz w:val="20"/>
                <w:szCs w:val="20"/>
              </w:rPr>
              <w:t>0.197</w:t>
            </w:r>
          </w:p>
        </w:tc>
        <w:tc>
          <w:tcPr>
            <w:tcW w:w="854" w:type="dxa"/>
            <w:tcBorders>
              <w:top w:val="single" w:sz="12" w:space="0" w:color="auto"/>
              <w:left w:val="single" w:sz="36" w:space="0" w:color="FFFFFF" w:themeColor="background1"/>
              <w:bottom w:val="nil"/>
              <w:right w:val="single" w:sz="36" w:space="0" w:color="FFFFFF" w:themeColor="background1"/>
            </w:tcBorders>
            <w:vAlign w:val="center"/>
          </w:tcPr>
          <w:p w14:paraId="1923D1A9" w14:textId="414EE379" w:rsidR="00C405E9" w:rsidRPr="00537978" w:rsidRDefault="004F1189" w:rsidP="00537978">
            <w:pPr>
              <w:spacing w:line="240" w:lineRule="auto"/>
              <w:jc w:val="center"/>
              <w:rPr>
                <w:rFonts w:cs="Times New Roman"/>
                <w:color w:val="000000"/>
                <w:sz w:val="20"/>
                <w:szCs w:val="20"/>
              </w:rPr>
            </w:pPr>
            <w:r>
              <w:rPr>
                <w:rFonts w:cs="Times New Roman"/>
                <w:color w:val="000000"/>
                <w:sz w:val="20"/>
                <w:szCs w:val="20"/>
              </w:rPr>
              <w:t>4.77</w:t>
            </w:r>
          </w:p>
        </w:tc>
        <w:tc>
          <w:tcPr>
            <w:tcW w:w="946" w:type="dxa"/>
            <w:tcBorders>
              <w:top w:val="single" w:sz="12" w:space="0" w:color="auto"/>
              <w:left w:val="single" w:sz="36" w:space="0" w:color="FFFFFF" w:themeColor="background1"/>
              <w:bottom w:val="nil"/>
              <w:right w:val="single" w:sz="36" w:space="0" w:color="FFFFFF" w:themeColor="background1"/>
            </w:tcBorders>
            <w:vAlign w:val="center"/>
          </w:tcPr>
          <w:p w14:paraId="519B1661" w14:textId="468F794B" w:rsidR="00C405E9" w:rsidRPr="00537978" w:rsidRDefault="004F1189" w:rsidP="00537978">
            <w:pPr>
              <w:spacing w:line="240" w:lineRule="auto"/>
              <w:jc w:val="center"/>
              <w:rPr>
                <w:rFonts w:cs="Times New Roman"/>
                <w:color w:val="000000"/>
                <w:sz w:val="20"/>
                <w:szCs w:val="20"/>
              </w:rPr>
            </w:pPr>
            <w:r>
              <w:rPr>
                <w:rFonts w:cs="Times New Roman"/>
                <w:color w:val="000000"/>
                <w:sz w:val="20"/>
                <w:szCs w:val="20"/>
              </w:rPr>
              <w:t>0.094</w:t>
            </w:r>
          </w:p>
        </w:tc>
      </w:tr>
      <w:tr w:rsidR="00C405E9" w:rsidRPr="00401D64" w14:paraId="57998EC4" w14:textId="77777777" w:rsidTr="00797027">
        <w:trPr>
          <w:trHeight w:val="288"/>
        </w:trPr>
        <w:tc>
          <w:tcPr>
            <w:tcW w:w="1530" w:type="dxa"/>
            <w:tcBorders>
              <w:top w:val="nil"/>
              <w:left w:val="nil"/>
              <w:bottom w:val="nil"/>
              <w:right w:val="nil"/>
            </w:tcBorders>
            <w:shd w:val="clear" w:color="auto" w:fill="D9D9D9" w:themeFill="background1" w:themeFillShade="D9"/>
            <w:noWrap/>
            <w:vAlign w:val="center"/>
            <w:hideMark/>
          </w:tcPr>
          <w:p w14:paraId="01CB0187" w14:textId="77777777" w:rsidR="00C405E9" w:rsidRPr="00401D64" w:rsidRDefault="00C405E9" w:rsidP="00E4763E">
            <w:pPr>
              <w:spacing w:line="240" w:lineRule="auto"/>
              <w:rPr>
                <w:rFonts w:cs="Times New Roman"/>
                <w:color w:val="000000"/>
                <w:sz w:val="20"/>
                <w:szCs w:val="20"/>
              </w:rPr>
            </w:pPr>
            <w:r>
              <w:rPr>
                <w:rFonts w:cs="Times New Roman"/>
                <w:color w:val="000000"/>
                <w:sz w:val="20"/>
                <w:szCs w:val="20"/>
              </w:rPr>
              <w:t>ADF</w:t>
            </w:r>
          </w:p>
        </w:tc>
        <w:tc>
          <w:tcPr>
            <w:tcW w:w="841" w:type="dxa"/>
            <w:tcBorders>
              <w:top w:val="nil"/>
              <w:left w:val="nil"/>
              <w:bottom w:val="nil"/>
              <w:right w:val="nil"/>
            </w:tcBorders>
            <w:shd w:val="clear" w:color="auto" w:fill="D9D9D9" w:themeFill="background1" w:themeFillShade="D9"/>
            <w:vAlign w:val="center"/>
          </w:tcPr>
          <w:p w14:paraId="5D02A8F6" w14:textId="1BF8859E" w:rsidR="00C405E9" w:rsidRPr="00537978" w:rsidRDefault="00AD3758" w:rsidP="00AD3758">
            <w:pPr>
              <w:spacing w:line="240" w:lineRule="auto"/>
              <w:jc w:val="center"/>
              <w:rPr>
                <w:rFonts w:cs="Times New Roman"/>
                <w:color w:val="000000"/>
                <w:sz w:val="20"/>
                <w:szCs w:val="20"/>
              </w:rPr>
            </w:pPr>
            <w:r>
              <w:rPr>
                <w:rFonts w:cs="Times New Roman"/>
                <w:color w:val="000000"/>
                <w:sz w:val="20"/>
                <w:szCs w:val="20"/>
              </w:rPr>
              <w:t>0.53</w:t>
            </w:r>
          </w:p>
        </w:tc>
        <w:tc>
          <w:tcPr>
            <w:tcW w:w="779" w:type="dxa"/>
            <w:tcBorders>
              <w:top w:val="nil"/>
              <w:left w:val="nil"/>
              <w:bottom w:val="nil"/>
              <w:right w:val="nil"/>
            </w:tcBorders>
            <w:shd w:val="clear" w:color="auto" w:fill="D9D9D9" w:themeFill="background1" w:themeFillShade="D9"/>
            <w:noWrap/>
            <w:vAlign w:val="center"/>
          </w:tcPr>
          <w:p w14:paraId="64063F14" w14:textId="147F4BF0" w:rsidR="00C405E9" w:rsidRPr="00537978" w:rsidRDefault="00AD3758" w:rsidP="00537978">
            <w:pPr>
              <w:spacing w:line="240" w:lineRule="auto"/>
              <w:jc w:val="center"/>
              <w:rPr>
                <w:rFonts w:cs="Times New Roman"/>
                <w:color w:val="000000"/>
                <w:sz w:val="20"/>
                <w:szCs w:val="20"/>
              </w:rPr>
            </w:pPr>
            <w:r>
              <w:rPr>
                <w:rFonts w:cs="Times New Roman"/>
                <w:color w:val="000000"/>
                <w:sz w:val="20"/>
                <w:szCs w:val="20"/>
              </w:rPr>
              <w:t>0.718</w:t>
            </w:r>
          </w:p>
        </w:tc>
        <w:tc>
          <w:tcPr>
            <w:tcW w:w="958" w:type="dxa"/>
            <w:tcBorders>
              <w:top w:val="nil"/>
              <w:left w:val="nil"/>
              <w:bottom w:val="nil"/>
              <w:right w:val="nil"/>
            </w:tcBorders>
            <w:shd w:val="clear" w:color="auto" w:fill="D9D9D9" w:themeFill="background1" w:themeFillShade="D9"/>
            <w:vAlign w:val="center"/>
          </w:tcPr>
          <w:p w14:paraId="778137D9" w14:textId="06C7259E" w:rsidR="00C405E9" w:rsidRPr="00537978" w:rsidRDefault="00AD3758" w:rsidP="00537978">
            <w:pPr>
              <w:spacing w:line="240" w:lineRule="auto"/>
              <w:jc w:val="center"/>
              <w:rPr>
                <w:rFonts w:cs="Times New Roman"/>
                <w:color w:val="000000"/>
                <w:sz w:val="20"/>
                <w:szCs w:val="20"/>
              </w:rPr>
            </w:pPr>
            <w:r>
              <w:rPr>
                <w:rFonts w:cs="Times New Roman"/>
                <w:color w:val="000000"/>
                <w:sz w:val="20"/>
                <w:szCs w:val="20"/>
              </w:rPr>
              <w:t>1.70</w:t>
            </w:r>
          </w:p>
        </w:tc>
        <w:tc>
          <w:tcPr>
            <w:tcW w:w="892" w:type="dxa"/>
            <w:tcBorders>
              <w:top w:val="nil"/>
              <w:left w:val="nil"/>
              <w:bottom w:val="nil"/>
              <w:right w:val="nil"/>
            </w:tcBorders>
            <w:shd w:val="clear" w:color="auto" w:fill="D9D9D9" w:themeFill="background1" w:themeFillShade="D9"/>
            <w:vAlign w:val="center"/>
          </w:tcPr>
          <w:p w14:paraId="74197673" w14:textId="1B52DD18" w:rsidR="00C405E9" w:rsidRPr="00537978" w:rsidRDefault="00AD3758" w:rsidP="00537978">
            <w:pPr>
              <w:spacing w:line="240" w:lineRule="auto"/>
              <w:jc w:val="center"/>
              <w:rPr>
                <w:rFonts w:cs="Times New Roman"/>
                <w:color w:val="000000"/>
                <w:sz w:val="20"/>
                <w:szCs w:val="20"/>
              </w:rPr>
            </w:pPr>
            <w:r>
              <w:rPr>
                <w:rFonts w:cs="Times New Roman"/>
                <w:color w:val="000000"/>
                <w:sz w:val="20"/>
                <w:szCs w:val="20"/>
              </w:rPr>
              <w:t>0.237</w:t>
            </w:r>
          </w:p>
        </w:tc>
        <w:tc>
          <w:tcPr>
            <w:tcW w:w="854" w:type="dxa"/>
            <w:tcBorders>
              <w:top w:val="nil"/>
              <w:left w:val="nil"/>
              <w:bottom w:val="nil"/>
              <w:right w:val="nil"/>
            </w:tcBorders>
            <w:shd w:val="clear" w:color="auto" w:fill="D9D9D9" w:themeFill="background1" w:themeFillShade="D9"/>
            <w:vAlign w:val="center"/>
          </w:tcPr>
          <w:p w14:paraId="1CF6DFA0" w14:textId="58F753CB" w:rsidR="00C405E9" w:rsidRPr="00537978" w:rsidRDefault="00AD3758" w:rsidP="00537978">
            <w:pPr>
              <w:spacing w:line="240" w:lineRule="auto"/>
              <w:jc w:val="center"/>
              <w:rPr>
                <w:rFonts w:cs="Times New Roman"/>
                <w:color w:val="000000"/>
                <w:sz w:val="20"/>
                <w:szCs w:val="20"/>
              </w:rPr>
            </w:pPr>
            <w:r>
              <w:rPr>
                <w:rFonts w:cs="Times New Roman"/>
                <w:color w:val="000000"/>
                <w:sz w:val="20"/>
                <w:szCs w:val="20"/>
              </w:rPr>
              <w:t>1.90</w:t>
            </w:r>
          </w:p>
        </w:tc>
        <w:tc>
          <w:tcPr>
            <w:tcW w:w="806" w:type="dxa"/>
            <w:tcBorders>
              <w:top w:val="nil"/>
              <w:left w:val="nil"/>
              <w:bottom w:val="nil"/>
              <w:right w:val="nil"/>
            </w:tcBorders>
            <w:shd w:val="clear" w:color="auto" w:fill="D9D9D9" w:themeFill="background1" w:themeFillShade="D9"/>
            <w:vAlign w:val="center"/>
          </w:tcPr>
          <w:p w14:paraId="0FE213D7" w14:textId="4CDD254B" w:rsidR="00C405E9" w:rsidRPr="00537978" w:rsidRDefault="00AD3758" w:rsidP="00537978">
            <w:pPr>
              <w:spacing w:line="240" w:lineRule="auto"/>
              <w:jc w:val="center"/>
              <w:rPr>
                <w:rFonts w:cs="Times New Roman"/>
                <w:color w:val="000000"/>
                <w:sz w:val="20"/>
                <w:szCs w:val="20"/>
              </w:rPr>
            </w:pPr>
            <w:r>
              <w:rPr>
                <w:rFonts w:cs="Times New Roman"/>
                <w:color w:val="000000"/>
                <w:sz w:val="20"/>
                <w:szCs w:val="20"/>
              </w:rPr>
              <w:t>0.219</w:t>
            </w:r>
          </w:p>
        </w:tc>
        <w:tc>
          <w:tcPr>
            <w:tcW w:w="854" w:type="dxa"/>
            <w:tcBorders>
              <w:top w:val="nil"/>
              <w:left w:val="nil"/>
              <w:bottom w:val="nil"/>
              <w:right w:val="nil"/>
            </w:tcBorders>
            <w:shd w:val="clear" w:color="auto" w:fill="D9D9D9" w:themeFill="background1" w:themeFillShade="D9"/>
            <w:vAlign w:val="center"/>
          </w:tcPr>
          <w:p w14:paraId="5A4A50D5" w14:textId="0C1284CB" w:rsidR="00C405E9" w:rsidRPr="00537978" w:rsidRDefault="004F1189" w:rsidP="00537978">
            <w:pPr>
              <w:spacing w:line="240" w:lineRule="auto"/>
              <w:jc w:val="center"/>
              <w:rPr>
                <w:rFonts w:cs="Times New Roman"/>
                <w:color w:val="000000"/>
                <w:sz w:val="20"/>
                <w:szCs w:val="20"/>
              </w:rPr>
            </w:pPr>
            <w:r>
              <w:rPr>
                <w:rFonts w:cs="Times New Roman"/>
                <w:color w:val="000000"/>
                <w:sz w:val="20"/>
                <w:szCs w:val="20"/>
              </w:rPr>
              <w:t>2.98</w:t>
            </w:r>
          </w:p>
        </w:tc>
        <w:tc>
          <w:tcPr>
            <w:tcW w:w="766" w:type="dxa"/>
            <w:tcBorders>
              <w:top w:val="nil"/>
              <w:left w:val="nil"/>
              <w:bottom w:val="nil"/>
              <w:right w:val="nil"/>
            </w:tcBorders>
            <w:shd w:val="clear" w:color="auto" w:fill="D9D9D9" w:themeFill="background1" w:themeFillShade="D9"/>
            <w:vAlign w:val="center"/>
          </w:tcPr>
          <w:p w14:paraId="6F1FCE88" w14:textId="7FB60350" w:rsidR="00C405E9" w:rsidRPr="00537978" w:rsidRDefault="004F1189" w:rsidP="00537978">
            <w:pPr>
              <w:spacing w:line="240" w:lineRule="auto"/>
              <w:jc w:val="center"/>
              <w:rPr>
                <w:rFonts w:cs="Times New Roman"/>
                <w:color w:val="000000"/>
                <w:sz w:val="20"/>
                <w:szCs w:val="20"/>
              </w:rPr>
            </w:pPr>
            <w:r>
              <w:rPr>
                <w:rFonts w:cs="Times New Roman"/>
                <w:color w:val="000000"/>
                <w:sz w:val="20"/>
                <w:szCs w:val="20"/>
              </w:rPr>
              <w:t>0.102</w:t>
            </w:r>
          </w:p>
        </w:tc>
        <w:tc>
          <w:tcPr>
            <w:tcW w:w="854" w:type="dxa"/>
            <w:tcBorders>
              <w:top w:val="nil"/>
              <w:left w:val="nil"/>
              <w:bottom w:val="nil"/>
              <w:right w:val="nil"/>
            </w:tcBorders>
            <w:shd w:val="clear" w:color="auto" w:fill="D9D9D9" w:themeFill="background1" w:themeFillShade="D9"/>
            <w:vAlign w:val="center"/>
          </w:tcPr>
          <w:p w14:paraId="3B79763C" w14:textId="2EC494CE" w:rsidR="00C405E9" w:rsidRPr="0049145B" w:rsidRDefault="00C405E9" w:rsidP="00537978">
            <w:pPr>
              <w:spacing w:line="240" w:lineRule="auto"/>
              <w:jc w:val="center"/>
              <w:rPr>
                <w:rFonts w:cs="Times New Roman"/>
                <w:color w:val="000000"/>
                <w:sz w:val="20"/>
                <w:szCs w:val="20"/>
              </w:rPr>
            </w:pPr>
            <w:r w:rsidRPr="0049145B">
              <w:rPr>
                <w:rFonts w:cs="Times New Roman"/>
                <w:color w:val="000000"/>
                <w:sz w:val="20"/>
                <w:szCs w:val="20"/>
              </w:rPr>
              <w:t>10.07</w:t>
            </w:r>
          </w:p>
        </w:tc>
        <w:tc>
          <w:tcPr>
            <w:tcW w:w="946" w:type="dxa"/>
            <w:tcBorders>
              <w:top w:val="nil"/>
              <w:left w:val="nil"/>
              <w:bottom w:val="nil"/>
              <w:right w:val="nil"/>
            </w:tcBorders>
            <w:shd w:val="clear" w:color="auto" w:fill="D9D9D9" w:themeFill="background1" w:themeFillShade="D9"/>
            <w:vAlign w:val="center"/>
          </w:tcPr>
          <w:p w14:paraId="324336C9" w14:textId="0E2EFBAB" w:rsidR="00C405E9" w:rsidRPr="004F1189" w:rsidRDefault="00C405E9" w:rsidP="00537978">
            <w:pPr>
              <w:spacing w:line="240" w:lineRule="auto"/>
              <w:jc w:val="center"/>
              <w:rPr>
                <w:rFonts w:cs="Times New Roman"/>
                <w:b/>
                <w:bCs/>
                <w:color w:val="000000"/>
                <w:sz w:val="20"/>
                <w:szCs w:val="20"/>
              </w:rPr>
            </w:pPr>
            <w:r w:rsidRPr="004F1189">
              <w:rPr>
                <w:rFonts w:cs="Times New Roman"/>
                <w:b/>
                <w:bCs/>
                <w:color w:val="000000"/>
                <w:sz w:val="20"/>
                <w:szCs w:val="20"/>
              </w:rPr>
              <w:t>0.034</w:t>
            </w:r>
          </w:p>
        </w:tc>
      </w:tr>
      <w:tr w:rsidR="00C405E9" w:rsidRPr="00401D64" w14:paraId="6C37529E" w14:textId="77777777" w:rsidTr="00797027">
        <w:trPr>
          <w:trHeight w:val="288"/>
        </w:trPr>
        <w:tc>
          <w:tcPr>
            <w:tcW w:w="1530" w:type="dxa"/>
            <w:tcBorders>
              <w:top w:val="nil"/>
              <w:left w:val="nil"/>
              <w:bottom w:val="nil"/>
              <w:right w:val="nil"/>
            </w:tcBorders>
            <w:shd w:val="clear" w:color="auto" w:fill="auto"/>
            <w:noWrap/>
            <w:vAlign w:val="center"/>
            <w:hideMark/>
          </w:tcPr>
          <w:p w14:paraId="3906D590" w14:textId="77777777" w:rsidR="00C405E9" w:rsidRPr="00401D64" w:rsidRDefault="00C405E9" w:rsidP="00E4763E">
            <w:pPr>
              <w:spacing w:line="240" w:lineRule="auto"/>
              <w:rPr>
                <w:rFonts w:cs="Times New Roman"/>
                <w:color w:val="000000"/>
                <w:sz w:val="20"/>
                <w:szCs w:val="20"/>
              </w:rPr>
            </w:pPr>
            <w:r>
              <w:rPr>
                <w:rFonts w:cs="Times New Roman"/>
                <w:color w:val="000000"/>
                <w:sz w:val="20"/>
                <w:szCs w:val="20"/>
              </w:rPr>
              <w:t>aNDF</w:t>
            </w:r>
          </w:p>
        </w:tc>
        <w:tc>
          <w:tcPr>
            <w:tcW w:w="841" w:type="dxa"/>
            <w:tcBorders>
              <w:top w:val="nil"/>
              <w:left w:val="single" w:sz="12" w:space="0" w:color="FFFFFF"/>
              <w:right w:val="single" w:sz="12" w:space="0" w:color="FFFFFF"/>
            </w:tcBorders>
            <w:vAlign w:val="center"/>
          </w:tcPr>
          <w:p w14:paraId="33A86616" w14:textId="33931E4A" w:rsidR="00C405E9" w:rsidRPr="00537978" w:rsidRDefault="00AD3758" w:rsidP="00537978">
            <w:pPr>
              <w:spacing w:line="240" w:lineRule="auto"/>
              <w:jc w:val="center"/>
              <w:rPr>
                <w:rFonts w:cs="Times New Roman"/>
                <w:color w:val="000000"/>
                <w:sz w:val="20"/>
                <w:szCs w:val="20"/>
              </w:rPr>
            </w:pPr>
            <w:r>
              <w:rPr>
                <w:rFonts w:cs="Times New Roman"/>
                <w:color w:val="000000"/>
                <w:sz w:val="20"/>
                <w:szCs w:val="20"/>
              </w:rPr>
              <w:t>1.97</w:t>
            </w:r>
          </w:p>
        </w:tc>
        <w:tc>
          <w:tcPr>
            <w:tcW w:w="779" w:type="dxa"/>
            <w:tcBorders>
              <w:top w:val="nil"/>
              <w:left w:val="single" w:sz="12" w:space="0" w:color="FFFFFF"/>
              <w:bottom w:val="nil"/>
              <w:right w:val="nil"/>
            </w:tcBorders>
            <w:shd w:val="clear" w:color="auto" w:fill="auto"/>
            <w:noWrap/>
            <w:vAlign w:val="center"/>
          </w:tcPr>
          <w:p w14:paraId="563BBF6A" w14:textId="4FE77F19" w:rsidR="00C405E9" w:rsidRPr="00537978" w:rsidRDefault="00AD3758" w:rsidP="00537978">
            <w:pPr>
              <w:spacing w:line="240" w:lineRule="auto"/>
              <w:jc w:val="center"/>
              <w:rPr>
                <w:rFonts w:cs="Times New Roman"/>
                <w:color w:val="000000"/>
                <w:sz w:val="20"/>
                <w:szCs w:val="20"/>
              </w:rPr>
            </w:pPr>
            <w:r>
              <w:rPr>
                <w:rFonts w:cs="Times New Roman"/>
                <w:color w:val="000000"/>
                <w:sz w:val="20"/>
                <w:szCs w:val="20"/>
              </w:rPr>
              <w:t>0.151</w:t>
            </w:r>
          </w:p>
        </w:tc>
        <w:tc>
          <w:tcPr>
            <w:tcW w:w="958" w:type="dxa"/>
            <w:tcBorders>
              <w:top w:val="nil"/>
              <w:left w:val="nil"/>
              <w:bottom w:val="nil"/>
              <w:right w:val="nil"/>
            </w:tcBorders>
            <w:vAlign w:val="center"/>
          </w:tcPr>
          <w:p w14:paraId="7B87D780" w14:textId="1D7FB4F3" w:rsidR="00C405E9" w:rsidRPr="0049145B" w:rsidRDefault="00C405E9" w:rsidP="00537978">
            <w:pPr>
              <w:spacing w:line="240" w:lineRule="auto"/>
              <w:jc w:val="center"/>
              <w:rPr>
                <w:rFonts w:cs="Times New Roman"/>
                <w:color w:val="000000"/>
                <w:sz w:val="20"/>
                <w:szCs w:val="20"/>
              </w:rPr>
            </w:pPr>
            <w:r w:rsidRPr="0049145B">
              <w:rPr>
                <w:rFonts w:cs="Times New Roman"/>
                <w:color w:val="000000"/>
                <w:sz w:val="20"/>
                <w:szCs w:val="20"/>
              </w:rPr>
              <w:t>4.79</w:t>
            </w:r>
          </w:p>
        </w:tc>
        <w:tc>
          <w:tcPr>
            <w:tcW w:w="892" w:type="dxa"/>
            <w:tcBorders>
              <w:top w:val="nil"/>
              <w:left w:val="nil"/>
              <w:bottom w:val="nil"/>
              <w:right w:val="nil"/>
            </w:tcBorders>
            <w:shd w:val="clear" w:color="auto" w:fill="auto"/>
            <w:vAlign w:val="center"/>
          </w:tcPr>
          <w:p w14:paraId="0E102076" w14:textId="33486643" w:rsidR="00C405E9" w:rsidRPr="00AD3758" w:rsidRDefault="00C405E9" w:rsidP="00537978">
            <w:pPr>
              <w:spacing w:line="240" w:lineRule="auto"/>
              <w:jc w:val="center"/>
              <w:rPr>
                <w:rFonts w:cs="Times New Roman"/>
                <w:b/>
                <w:bCs/>
                <w:color w:val="000000"/>
                <w:sz w:val="20"/>
                <w:szCs w:val="20"/>
              </w:rPr>
            </w:pPr>
            <w:r w:rsidRPr="00AD3758">
              <w:rPr>
                <w:rFonts w:cs="Times New Roman"/>
                <w:b/>
                <w:bCs/>
                <w:color w:val="000000"/>
                <w:sz w:val="20"/>
                <w:szCs w:val="20"/>
              </w:rPr>
              <w:t>0.038</w:t>
            </w:r>
          </w:p>
        </w:tc>
        <w:tc>
          <w:tcPr>
            <w:tcW w:w="854" w:type="dxa"/>
            <w:tcBorders>
              <w:top w:val="nil"/>
              <w:left w:val="nil"/>
              <w:bottom w:val="nil"/>
              <w:right w:val="nil"/>
            </w:tcBorders>
            <w:vAlign w:val="center"/>
          </w:tcPr>
          <w:p w14:paraId="4A40D9C1" w14:textId="08B6D24C" w:rsidR="00C405E9" w:rsidRPr="00537978" w:rsidRDefault="004F1189" w:rsidP="00537978">
            <w:pPr>
              <w:spacing w:line="240" w:lineRule="auto"/>
              <w:jc w:val="center"/>
              <w:rPr>
                <w:rFonts w:cs="Times New Roman"/>
                <w:color w:val="000000"/>
                <w:sz w:val="20"/>
                <w:szCs w:val="20"/>
              </w:rPr>
            </w:pPr>
            <w:r>
              <w:rPr>
                <w:rFonts w:cs="Times New Roman"/>
                <w:color w:val="000000"/>
                <w:sz w:val="20"/>
                <w:szCs w:val="20"/>
              </w:rPr>
              <w:t>0.78</w:t>
            </w:r>
          </w:p>
        </w:tc>
        <w:tc>
          <w:tcPr>
            <w:tcW w:w="806" w:type="dxa"/>
            <w:tcBorders>
              <w:top w:val="nil"/>
              <w:left w:val="nil"/>
              <w:bottom w:val="nil"/>
              <w:right w:val="nil"/>
            </w:tcBorders>
            <w:vAlign w:val="center"/>
          </w:tcPr>
          <w:p w14:paraId="1BB9F4C9" w14:textId="586458C2" w:rsidR="00C405E9" w:rsidRPr="00537978" w:rsidRDefault="004F1189" w:rsidP="00537978">
            <w:pPr>
              <w:spacing w:line="240" w:lineRule="auto"/>
              <w:jc w:val="center"/>
              <w:rPr>
                <w:rFonts w:cs="Times New Roman"/>
                <w:color w:val="000000"/>
                <w:sz w:val="20"/>
                <w:szCs w:val="20"/>
              </w:rPr>
            </w:pPr>
            <w:r>
              <w:rPr>
                <w:rFonts w:cs="Times New Roman"/>
                <w:color w:val="000000"/>
                <w:sz w:val="20"/>
                <w:szCs w:val="20"/>
              </w:rPr>
              <w:t>0.493</w:t>
            </w:r>
          </w:p>
        </w:tc>
        <w:tc>
          <w:tcPr>
            <w:tcW w:w="854" w:type="dxa"/>
            <w:tcBorders>
              <w:top w:val="nil"/>
              <w:left w:val="nil"/>
              <w:bottom w:val="nil"/>
              <w:right w:val="nil"/>
            </w:tcBorders>
            <w:vAlign w:val="center"/>
          </w:tcPr>
          <w:p w14:paraId="1167125D" w14:textId="1CC1F6B4" w:rsidR="00C405E9" w:rsidRPr="00537978" w:rsidRDefault="004F1189" w:rsidP="00537978">
            <w:pPr>
              <w:spacing w:line="240" w:lineRule="auto"/>
              <w:jc w:val="center"/>
              <w:rPr>
                <w:rFonts w:cs="Times New Roman"/>
                <w:color w:val="000000"/>
                <w:sz w:val="20"/>
                <w:szCs w:val="20"/>
              </w:rPr>
            </w:pPr>
            <w:r>
              <w:rPr>
                <w:rFonts w:cs="Times New Roman"/>
                <w:color w:val="000000"/>
                <w:sz w:val="20"/>
                <w:szCs w:val="20"/>
              </w:rPr>
              <w:t>0.83</w:t>
            </w:r>
          </w:p>
        </w:tc>
        <w:tc>
          <w:tcPr>
            <w:tcW w:w="766" w:type="dxa"/>
            <w:tcBorders>
              <w:top w:val="nil"/>
              <w:left w:val="nil"/>
              <w:bottom w:val="nil"/>
              <w:right w:val="nil"/>
            </w:tcBorders>
            <w:vAlign w:val="center"/>
          </w:tcPr>
          <w:p w14:paraId="47F0730C" w14:textId="3546FB5B" w:rsidR="00C405E9" w:rsidRPr="00537978" w:rsidRDefault="004F1189" w:rsidP="00537978">
            <w:pPr>
              <w:spacing w:line="240" w:lineRule="auto"/>
              <w:jc w:val="center"/>
              <w:rPr>
                <w:rFonts w:cs="Times New Roman"/>
                <w:color w:val="000000"/>
                <w:sz w:val="20"/>
                <w:szCs w:val="20"/>
              </w:rPr>
            </w:pPr>
            <w:r>
              <w:rPr>
                <w:rFonts w:cs="Times New Roman"/>
                <w:color w:val="000000"/>
                <w:sz w:val="20"/>
                <w:szCs w:val="20"/>
              </w:rPr>
              <w:t>0.468</w:t>
            </w:r>
          </w:p>
        </w:tc>
        <w:tc>
          <w:tcPr>
            <w:tcW w:w="854" w:type="dxa"/>
            <w:tcBorders>
              <w:top w:val="nil"/>
              <w:left w:val="nil"/>
              <w:bottom w:val="nil"/>
              <w:right w:val="nil"/>
            </w:tcBorders>
            <w:vAlign w:val="center"/>
          </w:tcPr>
          <w:p w14:paraId="176BCC0C" w14:textId="74A84B2F" w:rsidR="00C405E9" w:rsidRPr="00537978" w:rsidRDefault="004F1189" w:rsidP="00537978">
            <w:pPr>
              <w:spacing w:line="240" w:lineRule="auto"/>
              <w:jc w:val="center"/>
              <w:rPr>
                <w:rFonts w:cs="Times New Roman"/>
                <w:color w:val="000000"/>
                <w:sz w:val="20"/>
                <w:szCs w:val="20"/>
              </w:rPr>
            </w:pPr>
            <w:r>
              <w:rPr>
                <w:rFonts w:cs="Times New Roman"/>
                <w:color w:val="000000"/>
                <w:sz w:val="20"/>
                <w:szCs w:val="20"/>
              </w:rPr>
              <w:t>1.76</w:t>
            </w:r>
          </w:p>
        </w:tc>
        <w:tc>
          <w:tcPr>
            <w:tcW w:w="946" w:type="dxa"/>
            <w:tcBorders>
              <w:top w:val="nil"/>
              <w:left w:val="nil"/>
              <w:bottom w:val="nil"/>
              <w:right w:val="nil"/>
            </w:tcBorders>
            <w:vAlign w:val="center"/>
          </w:tcPr>
          <w:p w14:paraId="6E7A7DC1" w14:textId="49D2378F" w:rsidR="00C405E9" w:rsidRPr="00537978" w:rsidRDefault="004F1189" w:rsidP="00537978">
            <w:pPr>
              <w:spacing w:line="240" w:lineRule="auto"/>
              <w:jc w:val="center"/>
              <w:rPr>
                <w:rFonts w:cs="Times New Roman"/>
                <w:color w:val="000000"/>
                <w:sz w:val="20"/>
                <w:szCs w:val="20"/>
              </w:rPr>
            </w:pPr>
            <w:r>
              <w:rPr>
                <w:rFonts w:cs="Times New Roman"/>
                <w:color w:val="000000"/>
                <w:sz w:val="20"/>
                <w:szCs w:val="20"/>
              </w:rPr>
              <w:t>0.255</w:t>
            </w:r>
          </w:p>
        </w:tc>
      </w:tr>
      <w:tr w:rsidR="00797027" w:rsidRPr="00401D64" w14:paraId="7E10E0B8" w14:textId="77777777" w:rsidTr="00797027">
        <w:trPr>
          <w:trHeight w:val="288"/>
        </w:trPr>
        <w:tc>
          <w:tcPr>
            <w:tcW w:w="1530" w:type="dxa"/>
            <w:tcBorders>
              <w:top w:val="nil"/>
              <w:left w:val="nil"/>
              <w:bottom w:val="single" w:sz="12" w:space="0" w:color="auto"/>
            </w:tcBorders>
            <w:shd w:val="clear" w:color="auto" w:fill="D9D9D9" w:themeFill="background1" w:themeFillShade="D9"/>
            <w:noWrap/>
            <w:vAlign w:val="center"/>
            <w:hideMark/>
          </w:tcPr>
          <w:p w14:paraId="21695AD5" w14:textId="3423C1D8" w:rsidR="00797027" w:rsidRPr="00401D64" w:rsidRDefault="00797027" w:rsidP="00797027">
            <w:pPr>
              <w:spacing w:line="240" w:lineRule="auto"/>
              <w:rPr>
                <w:rFonts w:cs="Times New Roman"/>
                <w:color w:val="000000"/>
                <w:sz w:val="20"/>
                <w:szCs w:val="20"/>
              </w:rPr>
            </w:pPr>
            <w:r>
              <w:rPr>
                <w:rFonts w:cs="Times New Roman"/>
                <w:color w:val="000000"/>
                <w:sz w:val="20"/>
                <w:szCs w:val="20"/>
              </w:rPr>
              <w:t>IVTDMD48H</w:t>
            </w:r>
          </w:p>
        </w:tc>
        <w:tc>
          <w:tcPr>
            <w:tcW w:w="841" w:type="dxa"/>
            <w:tcBorders>
              <w:top w:val="nil"/>
              <w:bottom w:val="single" w:sz="12" w:space="0" w:color="auto"/>
            </w:tcBorders>
            <w:shd w:val="clear" w:color="auto" w:fill="D9D9D9" w:themeFill="background1" w:themeFillShade="D9"/>
            <w:vAlign w:val="center"/>
          </w:tcPr>
          <w:p w14:paraId="525340F2" w14:textId="03999E11" w:rsidR="00797027" w:rsidRPr="00537978" w:rsidRDefault="00797027" w:rsidP="00797027">
            <w:pPr>
              <w:spacing w:line="240" w:lineRule="auto"/>
              <w:jc w:val="center"/>
              <w:rPr>
                <w:rFonts w:cs="Times New Roman"/>
                <w:color w:val="000000"/>
                <w:sz w:val="20"/>
                <w:szCs w:val="20"/>
              </w:rPr>
            </w:pPr>
            <w:r>
              <w:rPr>
                <w:rFonts w:cs="Times New Roman"/>
                <w:color w:val="000000"/>
                <w:sz w:val="20"/>
                <w:szCs w:val="20"/>
              </w:rPr>
              <w:t>1.28</w:t>
            </w:r>
          </w:p>
        </w:tc>
        <w:tc>
          <w:tcPr>
            <w:tcW w:w="779" w:type="dxa"/>
            <w:tcBorders>
              <w:top w:val="nil"/>
              <w:left w:val="nil"/>
              <w:bottom w:val="single" w:sz="12" w:space="0" w:color="auto"/>
              <w:right w:val="nil"/>
            </w:tcBorders>
            <w:shd w:val="clear" w:color="auto" w:fill="D9D9D9" w:themeFill="background1" w:themeFillShade="D9"/>
            <w:noWrap/>
            <w:vAlign w:val="center"/>
          </w:tcPr>
          <w:p w14:paraId="61CE525A" w14:textId="534F7DB3" w:rsidR="00797027" w:rsidRPr="00537978" w:rsidRDefault="00797027" w:rsidP="00797027">
            <w:pPr>
              <w:spacing w:line="240" w:lineRule="auto"/>
              <w:jc w:val="center"/>
              <w:rPr>
                <w:rFonts w:cs="Times New Roman"/>
                <w:color w:val="000000"/>
                <w:sz w:val="20"/>
                <w:szCs w:val="20"/>
              </w:rPr>
            </w:pPr>
            <w:r>
              <w:rPr>
                <w:rFonts w:cs="Times New Roman"/>
                <w:color w:val="000000"/>
                <w:sz w:val="20"/>
                <w:szCs w:val="20"/>
              </w:rPr>
              <w:t>0.321</w:t>
            </w:r>
          </w:p>
        </w:tc>
        <w:tc>
          <w:tcPr>
            <w:tcW w:w="958" w:type="dxa"/>
            <w:tcBorders>
              <w:top w:val="nil"/>
              <w:left w:val="nil"/>
              <w:bottom w:val="single" w:sz="12" w:space="0" w:color="auto"/>
              <w:right w:val="nil"/>
            </w:tcBorders>
            <w:shd w:val="clear" w:color="auto" w:fill="D9D9D9" w:themeFill="background1" w:themeFillShade="D9"/>
            <w:vAlign w:val="center"/>
          </w:tcPr>
          <w:p w14:paraId="6DC46810" w14:textId="39A9221D" w:rsidR="00797027" w:rsidRPr="00537978" w:rsidRDefault="00797027" w:rsidP="00797027">
            <w:pPr>
              <w:spacing w:line="240" w:lineRule="auto"/>
              <w:jc w:val="center"/>
              <w:rPr>
                <w:rFonts w:cs="Times New Roman"/>
                <w:color w:val="000000"/>
                <w:sz w:val="20"/>
                <w:szCs w:val="20"/>
              </w:rPr>
            </w:pPr>
            <w:r>
              <w:rPr>
                <w:rFonts w:cs="Times New Roman"/>
                <w:color w:val="000000"/>
                <w:sz w:val="20"/>
                <w:szCs w:val="20"/>
              </w:rPr>
              <w:t>2.80</w:t>
            </w:r>
          </w:p>
        </w:tc>
        <w:tc>
          <w:tcPr>
            <w:tcW w:w="892" w:type="dxa"/>
            <w:tcBorders>
              <w:top w:val="nil"/>
              <w:left w:val="nil"/>
              <w:bottom w:val="single" w:sz="12" w:space="0" w:color="auto"/>
              <w:right w:val="nil"/>
            </w:tcBorders>
            <w:shd w:val="clear" w:color="auto" w:fill="D9D9D9" w:themeFill="background1" w:themeFillShade="D9"/>
            <w:vAlign w:val="center"/>
          </w:tcPr>
          <w:p w14:paraId="2A68FDA3" w14:textId="7C0E7A30" w:rsidR="00797027" w:rsidRPr="00537978" w:rsidRDefault="00797027" w:rsidP="00797027">
            <w:pPr>
              <w:spacing w:line="240" w:lineRule="auto"/>
              <w:jc w:val="center"/>
              <w:rPr>
                <w:rFonts w:cs="Times New Roman"/>
                <w:color w:val="000000"/>
                <w:sz w:val="20"/>
                <w:szCs w:val="20"/>
              </w:rPr>
            </w:pPr>
            <w:r>
              <w:rPr>
                <w:rFonts w:cs="Times New Roman"/>
                <w:color w:val="000000"/>
                <w:sz w:val="20"/>
                <w:szCs w:val="20"/>
              </w:rPr>
              <w:t>0.114</w:t>
            </w:r>
          </w:p>
        </w:tc>
        <w:tc>
          <w:tcPr>
            <w:tcW w:w="854" w:type="dxa"/>
            <w:tcBorders>
              <w:top w:val="nil"/>
              <w:left w:val="nil"/>
              <w:bottom w:val="single" w:sz="12" w:space="0" w:color="auto"/>
              <w:right w:val="nil"/>
            </w:tcBorders>
            <w:shd w:val="clear" w:color="auto" w:fill="D9D9D9" w:themeFill="background1" w:themeFillShade="D9"/>
            <w:vAlign w:val="center"/>
          </w:tcPr>
          <w:p w14:paraId="432DF81F" w14:textId="0BC41843" w:rsidR="00797027" w:rsidRPr="00537978" w:rsidRDefault="00797027" w:rsidP="00797027">
            <w:pPr>
              <w:spacing w:line="240" w:lineRule="auto"/>
              <w:jc w:val="center"/>
              <w:rPr>
                <w:rFonts w:cs="Times New Roman"/>
                <w:color w:val="000000"/>
                <w:sz w:val="20"/>
                <w:szCs w:val="20"/>
              </w:rPr>
            </w:pPr>
            <w:r>
              <w:rPr>
                <w:rFonts w:cs="Times New Roman"/>
                <w:color w:val="000000"/>
                <w:sz w:val="20"/>
                <w:szCs w:val="20"/>
              </w:rPr>
              <w:t>0.77</w:t>
            </w:r>
          </w:p>
        </w:tc>
        <w:tc>
          <w:tcPr>
            <w:tcW w:w="806" w:type="dxa"/>
            <w:tcBorders>
              <w:top w:val="nil"/>
              <w:left w:val="nil"/>
              <w:bottom w:val="single" w:sz="12" w:space="0" w:color="auto"/>
              <w:right w:val="nil"/>
            </w:tcBorders>
            <w:shd w:val="clear" w:color="auto" w:fill="D9D9D9" w:themeFill="background1" w:themeFillShade="D9"/>
            <w:vAlign w:val="center"/>
          </w:tcPr>
          <w:p w14:paraId="18D72BEF" w14:textId="3F50ABE6" w:rsidR="00797027" w:rsidRPr="00537978" w:rsidRDefault="00797027" w:rsidP="00797027">
            <w:pPr>
              <w:spacing w:line="240" w:lineRule="auto"/>
              <w:jc w:val="center"/>
              <w:rPr>
                <w:rFonts w:cs="Times New Roman"/>
                <w:color w:val="000000"/>
                <w:sz w:val="20"/>
                <w:szCs w:val="20"/>
              </w:rPr>
            </w:pPr>
            <w:r>
              <w:rPr>
                <w:rFonts w:cs="Times New Roman"/>
                <w:color w:val="000000"/>
                <w:sz w:val="20"/>
                <w:szCs w:val="20"/>
              </w:rPr>
              <w:t>0.501</w:t>
            </w:r>
          </w:p>
        </w:tc>
        <w:tc>
          <w:tcPr>
            <w:tcW w:w="854" w:type="dxa"/>
            <w:tcBorders>
              <w:top w:val="nil"/>
              <w:left w:val="nil"/>
              <w:bottom w:val="single" w:sz="12" w:space="0" w:color="auto"/>
              <w:right w:val="nil"/>
            </w:tcBorders>
            <w:shd w:val="clear" w:color="auto" w:fill="D9D9D9" w:themeFill="background1" w:themeFillShade="D9"/>
            <w:vAlign w:val="center"/>
          </w:tcPr>
          <w:p w14:paraId="18E52CBD" w14:textId="57DF8748" w:rsidR="00797027" w:rsidRPr="00537978" w:rsidRDefault="00797027" w:rsidP="00797027">
            <w:pPr>
              <w:spacing w:line="240" w:lineRule="auto"/>
              <w:jc w:val="center"/>
              <w:rPr>
                <w:rFonts w:cs="Times New Roman"/>
                <w:color w:val="000000"/>
                <w:sz w:val="20"/>
                <w:szCs w:val="20"/>
              </w:rPr>
            </w:pPr>
            <w:r>
              <w:rPr>
                <w:rFonts w:cs="Times New Roman"/>
                <w:color w:val="000000"/>
                <w:sz w:val="20"/>
                <w:szCs w:val="20"/>
              </w:rPr>
              <w:t>2.66</w:t>
            </w:r>
          </w:p>
        </w:tc>
        <w:tc>
          <w:tcPr>
            <w:tcW w:w="766" w:type="dxa"/>
            <w:tcBorders>
              <w:top w:val="nil"/>
              <w:left w:val="nil"/>
              <w:bottom w:val="single" w:sz="12" w:space="0" w:color="auto"/>
              <w:right w:val="nil"/>
            </w:tcBorders>
            <w:shd w:val="clear" w:color="auto" w:fill="D9D9D9" w:themeFill="background1" w:themeFillShade="D9"/>
            <w:vAlign w:val="center"/>
          </w:tcPr>
          <w:p w14:paraId="11BD41E0" w14:textId="331BBED4" w:rsidR="00797027" w:rsidRPr="00537978" w:rsidRDefault="00797027" w:rsidP="00797027">
            <w:pPr>
              <w:spacing w:line="240" w:lineRule="auto"/>
              <w:jc w:val="center"/>
              <w:rPr>
                <w:rFonts w:cs="Times New Roman"/>
                <w:color w:val="000000"/>
                <w:sz w:val="20"/>
                <w:szCs w:val="20"/>
              </w:rPr>
            </w:pPr>
            <w:r>
              <w:rPr>
                <w:rFonts w:cs="Times New Roman"/>
                <w:color w:val="000000"/>
                <w:sz w:val="20"/>
                <w:szCs w:val="20"/>
              </w:rPr>
              <w:t>0.124</w:t>
            </w:r>
          </w:p>
        </w:tc>
        <w:tc>
          <w:tcPr>
            <w:tcW w:w="854" w:type="dxa"/>
            <w:tcBorders>
              <w:top w:val="nil"/>
              <w:left w:val="nil"/>
              <w:bottom w:val="single" w:sz="12" w:space="0" w:color="auto"/>
              <w:right w:val="nil"/>
            </w:tcBorders>
            <w:shd w:val="clear" w:color="auto" w:fill="D9D9D9" w:themeFill="background1" w:themeFillShade="D9"/>
            <w:vAlign w:val="center"/>
          </w:tcPr>
          <w:p w14:paraId="4408ACB9" w14:textId="748C9DC4" w:rsidR="00797027" w:rsidRPr="0049145B" w:rsidRDefault="00797027" w:rsidP="00797027">
            <w:pPr>
              <w:spacing w:line="240" w:lineRule="auto"/>
              <w:jc w:val="center"/>
              <w:rPr>
                <w:rFonts w:cs="Times New Roman"/>
                <w:color w:val="000000"/>
                <w:sz w:val="20"/>
                <w:szCs w:val="20"/>
              </w:rPr>
            </w:pPr>
            <w:r>
              <w:rPr>
                <w:rFonts w:cs="Times New Roman"/>
                <w:color w:val="000000"/>
                <w:sz w:val="20"/>
                <w:szCs w:val="20"/>
              </w:rPr>
              <w:t>9.43</w:t>
            </w:r>
          </w:p>
        </w:tc>
        <w:tc>
          <w:tcPr>
            <w:tcW w:w="946" w:type="dxa"/>
            <w:tcBorders>
              <w:top w:val="nil"/>
              <w:left w:val="nil"/>
              <w:bottom w:val="single" w:sz="12" w:space="0" w:color="auto"/>
              <w:right w:val="nil"/>
            </w:tcBorders>
            <w:shd w:val="clear" w:color="auto" w:fill="D9D9D9" w:themeFill="background1" w:themeFillShade="D9"/>
            <w:vAlign w:val="center"/>
          </w:tcPr>
          <w:p w14:paraId="2494DDE2" w14:textId="38EB2F87" w:rsidR="00797027" w:rsidRPr="004F1189" w:rsidRDefault="00797027" w:rsidP="00797027">
            <w:pPr>
              <w:spacing w:line="240" w:lineRule="auto"/>
              <w:jc w:val="center"/>
              <w:rPr>
                <w:rFonts w:cs="Times New Roman"/>
                <w:b/>
                <w:bCs/>
                <w:color w:val="000000"/>
                <w:sz w:val="20"/>
                <w:szCs w:val="20"/>
              </w:rPr>
            </w:pPr>
            <w:r w:rsidRPr="0049145B">
              <w:rPr>
                <w:rFonts w:cs="Times New Roman"/>
                <w:b/>
                <w:bCs/>
                <w:color w:val="000000"/>
                <w:sz w:val="20"/>
                <w:szCs w:val="20"/>
              </w:rPr>
              <w:t>0.037</w:t>
            </w:r>
          </w:p>
        </w:tc>
      </w:tr>
    </w:tbl>
    <w:p w14:paraId="01E46E01" w14:textId="77E4554D" w:rsidR="00BD6CF7" w:rsidRPr="00BC2376" w:rsidRDefault="00BD6CF7" w:rsidP="00BD6CF7">
      <w:pPr>
        <w:spacing w:line="240" w:lineRule="auto"/>
        <w:rPr>
          <w:rFonts w:eastAsia="Calibri" w:cs="Times New Roman"/>
          <w:bCs/>
        </w:rPr>
      </w:pPr>
      <w:r w:rsidRPr="00BC2376">
        <w:rPr>
          <w:rFonts w:eastAsia="Calibri" w:cs="Times New Roman"/>
          <w:bCs/>
        </w:rPr>
        <w:t xml:space="preserve">†On May 15, early rest, middle rest, late rest, no rest, and no graze were sampled prior to grazing.  On June 19, early rest, no rest, and no graze were compared.  On July 10, middle rest, no rest, and no graze were analyzed for differences.  On August 1, late rest, no rest, and no graze were sampled.  On August 20, only no rest and no graze were compared at the conclusion of the grazing season. </w:t>
      </w:r>
    </w:p>
    <w:p w14:paraId="335CCFEA" w14:textId="226D0563" w:rsidR="00BD6CF7" w:rsidRPr="00BC2376" w:rsidRDefault="00BD6CF7" w:rsidP="00BD6CF7">
      <w:pPr>
        <w:spacing w:line="240" w:lineRule="auto"/>
        <w:rPr>
          <w:rFonts w:eastAsia="Calibri" w:cs="Times New Roman"/>
          <w:bCs/>
        </w:rPr>
      </w:pPr>
      <w:r w:rsidRPr="00BC2376">
        <w:rPr>
          <w:rFonts w:eastAsia="Calibri" w:cs="Times New Roman"/>
          <w:bCs/>
        </w:rPr>
        <w:t>‡CP = crude protein; ADF = acid detergent fiber; aNDF = amylase neutral detergent fiber; IVDMD48</w:t>
      </w:r>
      <w:r w:rsidR="002C35E3">
        <w:rPr>
          <w:rFonts w:eastAsia="Calibri" w:cs="Times New Roman"/>
          <w:bCs/>
        </w:rPr>
        <w:t>H</w:t>
      </w:r>
      <w:r w:rsidRPr="00BC2376">
        <w:rPr>
          <w:rFonts w:eastAsia="Calibri" w:cs="Times New Roman"/>
          <w:bCs/>
        </w:rPr>
        <w:t xml:space="preserve"> = </w:t>
      </w:r>
      <w:r w:rsidRPr="00BC2376">
        <w:rPr>
          <w:rFonts w:eastAsia="Calibri" w:cs="Times New Roman"/>
          <w:bCs/>
          <w:i/>
          <w:iCs/>
        </w:rPr>
        <w:t>in vitro</w:t>
      </w:r>
      <w:r w:rsidRPr="00BC2376">
        <w:rPr>
          <w:rFonts w:eastAsia="Calibri" w:cs="Times New Roman"/>
          <w:bCs/>
        </w:rPr>
        <w:t xml:space="preserve"> true dry matter digestibility following 48-hour incubation</w:t>
      </w:r>
    </w:p>
    <w:p w14:paraId="488E2F54" w14:textId="77777777" w:rsidR="005736A9" w:rsidRDefault="005736A9" w:rsidP="00B572F9">
      <w:pPr>
        <w:pStyle w:val="Paragraphs"/>
        <w:rPr>
          <w:highlight w:val="cyan"/>
        </w:rPr>
      </w:pPr>
    </w:p>
    <w:p w14:paraId="0748B8D5" w14:textId="0BE76EB1" w:rsidR="005736A9" w:rsidRDefault="005736A9" w:rsidP="00B572F9">
      <w:pPr>
        <w:pStyle w:val="Paragraphs"/>
        <w:rPr>
          <w:highlight w:val="cyan"/>
        </w:rPr>
        <w:sectPr w:rsidR="005736A9" w:rsidSect="00BD6CF7">
          <w:pgSz w:w="15840" w:h="12240" w:orient="landscape" w:code="1"/>
          <w:pgMar w:top="1440" w:right="1800" w:bottom="1872" w:left="1800" w:header="720" w:footer="1440" w:gutter="0"/>
          <w:cols w:space="720"/>
          <w:noEndnote/>
          <w:docGrid w:linePitch="360"/>
        </w:sectPr>
      </w:pPr>
    </w:p>
    <w:p w14:paraId="53AF3042" w14:textId="09DB1B0A" w:rsidR="005736A9" w:rsidRPr="00BC2376" w:rsidRDefault="005736A9" w:rsidP="00E43975">
      <w:pPr>
        <w:pStyle w:val="Tables"/>
        <w:spacing w:before="0" w:after="60"/>
        <w:rPr>
          <w:b/>
        </w:rPr>
      </w:pPr>
      <w:bookmarkStart w:id="216" w:name="_Toc72300417"/>
      <w:r w:rsidRPr="00BC2376">
        <w:lastRenderedPageBreak/>
        <w:t xml:space="preserve">Table </w:t>
      </w:r>
      <w:r>
        <w:t>2.1</w:t>
      </w:r>
      <w:r w:rsidR="003D3A24">
        <w:t>7</w:t>
      </w:r>
      <w:r>
        <w:t>.</w:t>
      </w:r>
      <w:r w:rsidRPr="00BC2376">
        <w:t xml:space="preserve">  </w:t>
      </w:r>
      <w:r>
        <w:t xml:space="preserve">Chi-square test </w:t>
      </w:r>
      <w:r w:rsidRPr="00BC2376">
        <w:t xml:space="preserve">for </w:t>
      </w:r>
      <w:r>
        <w:t>native forb flowering of</w:t>
      </w:r>
      <w:r w:rsidRPr="005736A9">
        <w:t xml:space="preserve"> </w:t>
      </w:r>
      <w:r>
        <w:t xml:space="preserve">an </w:t>
      </w:r>
      <w:r w:rsidRPr="00BC2376">
        <w:t>11-species forb blend</w:t>
      </w:r>
      <w:r>
        <w:t xml:space="preserve"> planted w</w:t>
      </w:r>
      <w:r w:rsidRPr="00BC2376">
        <w:t xml:space="preserve">ithin switchgrass and big bluestem/indiangrass pastures </w:t>
      </w:r>
      <w:bookmarkStart w:id="217" w:name="_Hlk69604633"/>
      <w:r w:rsidRPr="00BC2376">
        <w:t xml:space="preserve">for native </w:t>
      </w:r>
      <w:r w:rsidR="00706798">
        <w:t xml:space="preserve">grass </w:t>
      </w:r>
      <w:r w:rsidRPr="00BC2376">
        <w:t>pasture grazing experiments</w:t>
      </w:r>
      <w:bookmarkEnd w:id="217"/>
      <w:r w:rsidRPr="00BC2376">
        <w:t>, 201</w:t>
      </w:r>
      <w:r>
        <w:t>9-2020</w:t>
      </w:r>
      <w:r w:rsidRPr="00BC2376">
        <w:t>, University of Tennessee – Northeast Tennessee AgResearch and Education Center, Greeneville, TN.</w:t>
      </w:r>
      <w:bookmarkEnd w:id="216"/>
    </w:p>
    <w:tbl>
      <w:tblPr>
        <w:tblW w:w="7200" w:type="dxa"/>
        <w:tblLook w:val="04A0" w:firstRow="1" w:lastRow="0" w:firstColumn="1" w:lastColumn="0" w:noHBand="0" w:noVBand="1"/>
      </w:tblPr>
      <w:tblGrid>
        <w:gridCol w:w="2340"/>
        <w:gridCol w:w="1260"/>
        <w:gridCol w:w="1321"/>
        <w:gridCol w:w="29"/>
        <w:gridCol w:w="1321"/>
        <w:gridCol w:w="29"/>
        <w:gridCol w:w="900"/>
      </w:tblGrid>
      <w:tr w:rsidR="005736A9" w:rsidRPr="00C61664" w14:paraId="7D7FF964" w14:textId="77777777" w:rsidTr="00EC4DF6">
        <w:trPr>
          <w:trHeight w:val="312"/>
        </w:trPr>
        <w:tc>
          <w:tcPr>
            <w:tcW w:w="2340" w:type="dxa"/>
            <w:tcBorders>
              <w:top w:val="single" w:sz="12" w:space="0" w:color="auto"/>
              <w:left w:val="nil"/>
            </w:tcBorders>
            <w:shd w:val="clear" w:color="auto" w:fill="auto"/>
            <w:noWrap/>
            <w:vAlign w:val="bottom"/>
          </w:tcPr>
          <w:p w14:paraId="02DB280D" w14:textId="77777777" w:rsidR="005736A9" w:rsidRPr="00C61664" w:rsidRDefault="005736A9" w:rsidP="005736A9">
            <w:pPr>
              <w:spacing w:line="240" w:lineRule="auto"/>
              <w:rPr>
                <w:rFonts w:cs="Times New Roman"/>
                <w:color w:val="000000"/>
                <w:sz w:val="20"/>
                <w:szCs w:val="20"/>
              </w:rPr>
            </w:pPr>
          </w:p>
        </w:tc>
        <w:tc>
          <w:tcPr>
            <w:tcW w:w="4860" w:type="dxa"/>
            <w:gridSpan w:val="6"/>
            <w:tcBorders>
              <w:top w:val="single" w:sz="12" w:space="0" w:color="auto"/>
              <w:left w:val="nil"/>
              <w:bottom w:val="single" w:sz="12" w:space="0" w:color="auto"/>
              <w:right w:val="single" w:sz="36" w:space="0" w:color="FFFFFF" w:themeColor="background1"/>
            </w:tcBorders>
            <w:shd w:val="clear" w:color="auto" w:fill="auto"/>
            <w:noWrap/>
            <w:vAlign w:val="center"/>
          </w:tcPr>
          <w:p w14:paraId="2C9C268F" w14:textId="77777777" w:rsidR="005736A9" w:rsidRPr="00C61664" w:rsidRDefault="005736A9" w:rsidP="005736A9">
            <w:pPr>
              <w:spacing w:line="240" w:lineRule="auto"/>
              <w:jc w:val="center"/>
              <w:rPr>
                <w:rFonts w:cs="Times New Roman"/>
                <w:color w:val="000000"/>
                <w:sz w:val="20"/>
                <w:szCs w:val="20"/>
              </w:rPr>
            </w:pPr>
            <w:r>
              <w:rPr>
                <w:rFonts w:cs="Times New Roman"/>
                <w:color w:val="000000"/>
                <w:sz w:val="20"/>
                <w:szCs w:val="20"/>
              </w:rPr>
              <w:t>Switchgrass</w:t>
            </w:r>
          </w:p>
        </w:tc>
      </w:tr>
      <w:tr w:rsidR="00462B8E" w:rsidRPr="00C61664" w14:paraId="75A5405A" w14:textId="77777777" w:rsidTr="00EC4DF6">
        <w:trPr>
          <w:trHeight w:val="312"/>
        </w:trPr>
        <w:tc>
          <w:tcPr>
            <w:tcW w:w="2340" w:type="dxa"/>
            <w:tcBorders>
              <w:left w:val="nil"/>
              <w:bottom w:val="single" w:sz="12" w:space="0" w:color="auto"/>
              <w:right w:val="single" w:sz="36" w:space="0" w:color="FFFFFF" w:themeColor="background1"/>
            </w:tcBorders>
            <w:shd w:val="clear" w:color="auto" w:fill="auto"/>
            <w:noWrap/>
            <w:vAlign w:val="center"/>
            <w:hideMark/>
          </w:tcPr>
          <w:p w14:paraId="318F6013" w14:textId="68CE94A2" w:rsidR="00462B8E" w:rsidRPr="00C61664" w:rsidRDefault="00462B8E" w:rsidP="00462B8E">
            <w:pPr>
              <w:spacing w:line="240" w:lineRule="auto"/>
              <w:rPr>
                <w:rFonts w:cs="Times New Roman"/>
                <w:color w:val="000000"/>
                <w:sz w:val="20"/>
                <w:szCs w:val="20"/>
              </w:rPr>
            </w:pPr>
            <w:r w:rsidRPr="005736A9">
              <w:rPr>
                <w:rFonts w:cs="Times New Roman"/>
                <w:color w:val="000000"/>
                <w:sz w:val="20"/>
                <w:szCs w:val="20"/>
              </w:rPr>
              <w:t>Sampling Period</w:t>
            </w:r>
            <w:r w:rsidR="000218C6" w:rsidRPr="00AC553F">
              <w:rPr>
                <w:rFonts w:cs="Times New Roman"/>
                <w:color w:val="000000"/>
                <w:sz w:val="20"/>
                <w:szCs w:val="20"/>
                <w:vertAlign w:val="superscript"/>
              </w:rPr>
              <w:t>†</w:t>
            </w:r>
          </w:p>
        </w:tc>
        <w:tc>
          <w:tcPr>
            <w:tcW w:w="1260"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64657E5C" w14:textId="15440B55" w:rsidR="00462B8E" w:rsidRPr="00C61664" w:rsidRDefault="00ED7430" w:rsidP="005736A9">
            <w:pPr>
              <w:spacing w:line="240" w:lineRule="auto"/>
              <w:jc w:val="center"/>
              <w:rPr>
                <w:rFonts w:cs="Times New Roman"/>
                <w:color w:val="000000"/>
                <w:sz w:val="20"/>
                <w:szCs w:val="20"/>
              </w:rPr>
            </w:pPr>
            <w:r>
              <w:rPr>
                <w:rFonts w:cs="Times New Roman"/>
                <w:i/>
                <w:iCs/>
                <w:color w:val="000000"/>
                <w:sz w:val="20"/>
                <w:szCs w:val="20"/>
              </w:rPr>
              <w:t>x</w:t>
            </w:r>
            <w:r w:rsidR="00462B8E" w:rsidRPr="00462B8E">
              <w:rPr>
                <w:rFonts w:cs="Times New Roman"/>
                <w:color w:val="000000"/>
                <w:sz w:val="20"/>
                <w:szCs w:val="20"/>
                <w:vertAlign w:val="superscript"/>
              </w:rPr>
              <w:t>2</w:t>
            </w:r>
          </w:p>
        </w:tc>
        <w:tc>
          <w:tcPr>
            <w:tcW w:w="1321" w:type="dxa"/>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24AD77E0" w14:textId="01EF9C8E" w:rsidR="00462B8E" w:rsidRPr="00C61664" w:rsidRDefault="00462B8E" w:rsidP="005736A9">
            <w:pPr>
              <w:spacing w:line="240" w:lineRule="auto"/>
              <w:jc w:val="center"/>
              <w:rPr>
                <w:rFonts w:cs="Times New Roman"/>
                <w:color w:val="000000"/>
                <w:sz w:val="20"/>
                <w:szCs w:val="20"/>
              </w:rPr>
            </w:pPr>
            <w:r w:rsidRPr="00462B8E">
              <w:rPr>
                <w:rFonts w:cs="Times New Roman"/>
                <w:color w:val="000000"/>
                <w:sz w:val="20"/>
                <w:szCs w:val="20"/>
              </w:rPr>
              <w:t>P</w:t>
            </w:r>
            <w:r>
              <w:rPr>
                <w:rFonts w:cs="Times New Roman"/>
                <w:color w:val="000000"/>
                <w:sz w:val="20"/>
                <w:szCs w:val="20"/>
              </w:rPr>
              <w:t>-Value</w:t>
            </w:r>
          </w:p>
        </w:tc>
        <w:tc>
          <w:tcPr>
            <w:tcW w:w="1350"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hideMark/>
          </w:tcPr>
          <w:p w14:paraId="2DDC87CB" w14:textId="3D6C3AE0" w:rsidR="00462B8E" w:rsidRPr="00C61664" w:rsidRDefault="00462B8E" w:rsidP="005736A9">
            <w:pPr>
              <w:spacing w:line="240" w:lineRule="auto"/>
              <w:jc w:val="center"/>
              <w:rPr>
                <w:rFonts w:cs="Times New Roman"/>
                <w:color w:val="000000"/>
                <w:sz w:val="20"/>
                <w:szCs w:val="20"/>
              </w:rPr>
            </w:pPr>
            <w:r>
              <w:rPr>
                <w:rFonts w:cs="Times New Roman"/>
                <w:color w:val="000000"/>
                <w:sz w:val="20"/>
                <w:szCs w:val="20"/>
              </w:rPr>
              <w:t>n</w:t>
            </w:r>
          </w:p>
        </w:tc>
        <w:tc>
          <w:tcPr>
            <w:tcW w:w="929" w:type="dxa"/>
            <w:gridSpan w:val="2"/>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vAlign w:val="center"/>
            <w:hideMark/>
          </w:tcPr>
          <w:p w14:paraId="0052522A" w14:textId="515C7500" w:rsidR="00462B8E" w:rsidRPr="00C61664" w:rsidRDefault="000218C6" w:rsidP="005736A9">
            <w:pPr>
              <w:spacing w:line="240" w:lineRule="auto"/>
              <w:jc w:val="center"/>
              <w:rPr>
                <w:rFonts w:cs="Times New Roman"/>
                <w:color w:val="000000"/>
                <w:sz w:val="20"/>
                <w:szCs w:val="20"/>
              </w:rPr>
            </w:pPr>
            <w:r>
              <w:rPr>
                <w:rFonts w:cs="Times New Roman"/>
                <w:color w:val="000000"/>
                <w:sz w:val="20"/>
                <w:szCs w:val="20"/>
              </w:rPr>
              <w:t>df</w:t>
            </w:r>
          </w:p>
        </w:tc>
      </w:tr>
      <w:tr w:rsidR="00462B8E" w:rsidRPr="00C61664" w14:paraId="6A46BF1D" w14:textId="77777777" w:rsidTr="008D1016">
        <w:trPr>
          <w:trHeight w:val="324"/>
        </w:trPr>
        <w:tc>
          <w:tcPr>
            <w:tcW w:w="2340" w:type="dxa"/>
            <w:tcBorders>
              <w:top w:val="single" w:sz="12" w:space="0" w:color="auto"/>
              <w:left w:val="nil"/>
              <w:bottom w:val="nil"/>
              <w:right w:val="single" w:sz="36" w:space="0" w:color="FFFFFF" w:themeColor="background1"/>
            </w:tcBorders>
            <w:shd w:val="clear" w:color="auto" w:fill="auto"/>
            <w:noWrap/>
            <w:vAlign w:val="center"/>
            <w:hideMark/>
          </w:tcPr>
          <w:p w14:paraId="0D0B533E" w14:textId="5098ABE1" w:rsidR="00462B8E" w:rsidRPr="00C61664" w:rsidRDefault="00462B8E" w:rsidP="00EC4DF6">
            <w:pPr>
              <w:spacing w:line="240" w:lineRule="auto"/>
              <w:rPr>
                <w:rFonts w:cs="Times New Roman"/>
                <w:color w:val="000000"/>
                <w:sz w:val="20"/>
                <w:szCs w:val="20"/>
              </w:rPr>
            </w:pPr>
            <w:r>
              <w:rPr>
                <w:rFonts w:cs="Times New Roman"/>
                <w:color w:val="000000"/>
                <w:sz w:val="20"/>
                <w:szCs w:val="20"/>
              </w:rPr>
              <w:t>Pre-grazing</w:t>
            </w:r>
          </w:p>
        </w:tc>
        <w:tc>
          <w:tcPr>
            <w:tcW w:w="1260" w:type="dxa"/>
            <w:tcBorders>
              <w:top w:val="single" w:sz="12" w:space="0" w:color="auto"/>
              <w:left w:val="single" w:sz="36" w:space="0" w:color="FFFFFF" w:themeColor="background1"/>
              <w:bottom w:val="nil"/>
              <w:right w:val="single" w:sz="36" w:space="0" w:color="FFFFFF" w:themeColor="background1"/>
            </w:tcBorders>
            <w:shd w:val="clear" w:color="auto" w:fill="auto"/>
            <w:noWrap/>
            <w:vAlign w:val="center"/>
          </w:tcPr>
          <w:p w14:paraId="3DE6374B" w14:textId="4944C0AC" w:rsidR="00462B8E" w:rsidRPr="00C245B6" w:rsidRDefault="00462B8E" w:rsidP="00EC4DF6">
            <w:pPr>
              <w:spacing w:line="240" w:lineRule="auto"/>
              <w:jc w:val="center"/>
              <w:rPr>
                <w:rFonts w:cs="Times New Roman"/>
                <w:color w:val="000000"/>
                <w:sz w:val="20"/>
                <w:szCs w:val="20"/>
              </w:rPr>
            </w:pPr>
            <w:r w:rsidRPr="00C245B6">
              <w:rPr>
                <w:rFonts w:cs="Times New Roman"/>
                <w:color w:val="000000"/>
                <w:sz w:val="20"/>
                <w:szCs w:val="20"/>
              </w:rPr>
              <w:t>2.31</w:t>
            </w:r>
          </w:p>
        </w:tc>
        <w:tc>
          <w:tcPr>
            <w:tcW w:w="1321" w:type="dxa"/>
            <w:tcBorders>
              <w:top w:val="nil"/>
              <w:left w:val="single" w:sz="36" w:space="0" w:color="FFFFFF" w:themeColor="background1"/>
              <w:bottom w:val="nil"/>
              <w:right w:val="single" w:sz="36" w:space="0" w:color="FFFFFF" w:themeColor="background1"/>
            </w:tcBorders>
            <w:shd w:val="clear" w:color="auto" w:fill="auto"/>
            <w:noWrap/>
            <w:vAlign w:val="center"/>
          </w:tcPr>
          <w:p w14:paraId="1CEA8672" w14:textId="4FC397A2" w:rsidR="00462B8E" w:rsidRPr="00C245B6" w:rsidRDefault="008D1016" w:rsidP="008D1016">
            <w:pPr>
              <w:spacing w:line="240" w:lineRule="auto"/>
              <w:rPr>
                <w:rFonts w:cs="Times New Roman"/>
                <w:color w:val="000000"/>
                <w:sz w:val="20"/>
                <w:szCs w:val="20"/>
              </w:rPr>
            </w:pPr>
            <w:r>
              <w:rPr>
                <w:rFonts w:cs="Times New Roman"/>
                <w:color w:val="000000"/>
                <w:sz w:val="20"/>
                <w:szCs w:val="20"/>
              </w:rPr>
              <w:t xml:space="preserve">      </w:t>
            </w:r>
            <w:r w:rsidR="006A1BF1">
              <w:rPr>
                <w:rFonts w:cs="Times New Roman"/>
                <w:color w:val="000000"/>
                <w:sz w:val="20"/>
                <w:szCs w:val="20"/>
              </w:rPr>
              <w:t xml:space="preserve"> </w:t>
            </w:r>
            <w:r w:rsidR="00462B8E" w:rsidRPr="00C245B6">
              <w:rPr>
                <w:rFonts w:cs="Times New Roman"/>
                <w:color w:val="000000"/>
                <w:sz w:val="20"/>
                <w:szCs w:val="20"/>
              </w:rPr>
              <w:t>0.678</w:t>
            </w:r>
          </w:p>
        </w:tc>
        <w:tc>
          <w:tcPr>
            <w:tcW w:w="1350" w:type="dxa"/>
            <w:gridSpan w:val="2"/>
            <w:tcBorders>
              <w:top w:val="nil"/>
              <w:left w:val="single" w:sz="36" w:space="0" w:color="FFFFFF" w:themeColor="background1"/>
              <w:bottom w:val="nil"/>
              <w:right w:val="single" w:sz="36" w:space="0" w:color="FFFFFF" w:themeColor="background1"/>
            </w:tcBorders>
            <w:shd w:val="clear" w:color="auto" w:fill="auto"/>
            <w:vAlign w:val="center"/>
          </w:tcPr>
          <w:p w14:paraId="36F235C6" w14:textId="7290CB69" w:rsidR="00462B8E" w:rsidRPr="00C245B6" w:rsidRDefault="00462B8E" w:rsidP="00EC4DF6">
            <w:pPr>
              <w:spacing w:line="240" w:lineRule="auto"/>
              <w:jc w:val="center"/>
              <w:rPr>
                <w:rFonts w:cs="Times New Roman"/>
                <w:color w:val="000000"/>
                <w:sz w:val="20"/>
                <w:szCs w:val="20"/>
              </w:rPr>
            </w:pPr>
            <w:r w:rsidRPr="00C245B6">
              <w:rPr>
                <w:rFonts w:cs="Times New Roman"/>
                <w:color w:val="000000"/>
                <w:sz w:val="20"/>
                <w:szCs w:val="20"/>
              </w:rPr>
              <w:t>232</w:t>
            </w:r>
          </w:p>
        </w:tc>
        <w:tc>
          <w:tcPr>
            <w:tcW w:w="929" w:type="dxa"/>
            <w:gridSpan w:val="2"/>
            <w:tcBorders>
              <w:top w:val="nil"/>
              <w:left w:val="single" w:sz="36" w:space="0" w:color="FFFFFF" w:themeColor="background1"/>
              <w:bottom w:val="nil"/>
              <w:right w:val="single" w:sz="36" w:space="0" w:color="FFFFFF" w:themeColor="background1"/>
            </w:tcBorders>
            <w:shd w:val="clear" w:color="auto" w:fill="auto"/>
            <w:vAlign w:val="center"/>
          </w:tcPr>
          <w:p w14:paraId="46B06761" w14:textId="15F4426F" w:rsidR="00462B8E" w:rsidRPr="00C245B6" w:rsidRDefault="00462B8E" w:rsidP="00EC4DF6">
            <w:pPr>
              <w:spacing w:line="240" w:lineRule="auto"/>
              <w:jc w:val="center"/>
              <w:rPr>
                <w:rFonts w:cs="Times New Roman"/>
                <w:color w:val="000000"/>
                <w:sz w:val="20"/>
                <w:szCs w:val="20"/>
              </w:rPr>
            </w:pPr>
            <w:r w:rsidRPr="00C245B6">
              <w:rPr>
                <w:rFonts w:cs="Times New Roman"/>
                <w:color w:val="000000"/>
                <w:sz w:val="20"/>
                <w:szCs w:val="20"/>
              </w:rPr>
              <w:t>4</w:t>
            </w:r>
          </w:p>
        </w:tc>
      </w:tr>
      <w:tr w:rsidR="00462B8E" w:rsidRPr="00C61664" w14:paraId="54681FFA" w14:textId="77777777" w:rsidTr="008D1016">
        <w:trPr>
          <w:trHeight w:val="288"/>
        </w:trPr>
        <w:tc>
          <w:tcPr>
            <w:tcW w:w="2340" w:type="dxa"/>
            <w:tcBorders>
              <w:top w:val="nil"/>
              <w:left w:val="nil"/>
              <w:bottom w:val="nil"/>
              <w:right w:val="nil"/>
            </w:tcBorders>
            <w:shd w:val="clear" w:color="000000" w:fill="D9D9D9"/>
            <w:noWrap/>
            <w:vAlign w:val="center"/>
          </w:tcPr>
          <w:p w14:paraId="371EA616" w14:textId="068CAD2B" w:rsidR="00462B8E" w:rsidRPr="00C61664" w:rsidRDefault="00462B8E" w:rsidP="00EC4DF6">
            <w:pPr>
              <w:spacing w:line="240" w:lineRule="auto"/>
              <w:rPr>
                <w:rFonts w:cs="Times New Roman"/>
                <w:color w:val="000000"/>
                <w:sz w:val="20"/>
                <w:szCs w:val="20"/>
              </w:rPr>
            </w:pPr>
            <w:r>
              <w:rPr>
                <w:rFonts w:cs="Times New Roman"/>
                <w:color w:val="000000"/>
                <w:sz w:val="20"/>
                <w:szCs w:val="20"/>
              </w:rPr>
              <w:t>Early Rest</w:t>
            </w:r>
          </w:p>
        </w:tc>
        <w:tc>
          <w:tcPr>
            <w:tcW w:w="1260" w:type="dxa"/>
            <w:tcBorders>
              <w:top w:val="nil"/>
              <w:left w:val="nil"/>
              <w:bottom w:val="nil"/>
              <w:right w:val="nil"/>
            </w:tcBorders>
            <w:shd w:val="clear" w:color="000000" w:fill="D9D9D9"/>
            <w:noWrap/>
            <w:vAlign w:val="center"/>
          </w:tcPr>
          <w:p w14:paraId="1315F2DF" w14:textId="3E08DFA8" w:rsidR="00462B8E" w:rsidRPr="00C245B6" w:rsidRDefault="00462B8E" w:rsidP="00EC4DF6">
            <w:pPr>
              <w:spacing w:line="240" w:lineRule="auto"/>
              <w:jc w:val="center"/>
              <w:rPr>
                <w:rFonts w:cs="Times New Roman"/>
                <w:color w:val="000000"/>
                <w:sz w:val="20"/>
                <w:szCs w:val="20"/>
              </w:rPr>
            </w:pPr>
            <w:r w:rsidRPr="00C245B6">
              <w:rPr>
                <w:rFonts w:cs="Times New Roman"/>
                <w:color w:val="000000"/>
                <w:sz w:val="20"/>
                <w:szCs w:val="20"/>
              </w:rPr>
              <w:t>3.35</w:t>
            </w:r>
          </w:p>
        </w:tc>
        <w:tc>
          <w:tcPr>
            <w:tcW w:w="1321" w:type="dxa"/>
            <w:tcBorders>
              <w:top w:val="nil"/>
              <w:left w:val="nil"/>
              <w:bottom w:val="nil"/>
              <w:right w:val="nil"/>
            </w:tcBorders>
            <w:shd w:val="clear" w:color="000000" w:fill="D9D9D9"/>
            <w:noWrap/>
            <w:vAlign w:val="center"/>
          </w:tcPr>
          <w:p w14:paraId="10817D5D" w14:textId="2D1D0074" w:rsidR="00462B8E" w:rsidRPr="00C245B6" w:rsidRDefault="008D1016" w:rsidP="008D1016">
            <w:pPr>
              <w:spacing w:line="240" w:lineRule="auto"/>
              <w:rPr>
                <w:rFonts w:cs="Times New Roman"/>
                <w:color w:val="000000"/>
                <w:sz w:val="20"/>
                <w:szCs w:val="20"/>
              </w:rPr>
            </w:pPr>
            <w:r>
              <w:rPr>
                <w:rFonts w:cs="Times New Roman"/>
                <w:color w:val="000000"/>
                <w:sz w:val="20"/>
                <w:szCs w:val="20"/>
              </w:rPr>
              <w:t xml:space="preserve">      </w:t>
            </w:r>
            <w:r w:rsidR="006A1BF1">
              <w:rPr>
                <w:rFonts w:cs="Times New Roman"/>
                <w:color w:val="000000"/>
                <w:sz w:val="20"/>
                <w:szCs w:val="20"/>
              </w:rPr>
              <w:t xml:space="preserve"> </w:t>
            </w:r>
            <w:r w:rsidR="00462B8E" w:rsidRPr="00C245B6">
              <w:rPr>
                <w:rFonts w:cs="Times New Roman"/>
                <w:color w:val="000000"/>
                <w:sz w:val="20"/>
                <w:szCs w:val="20"/>
              </w:rPr>
              <w:t>0.187</w:t>
            </w:r>
          </w:p>
        </w:tc>
        <w:tc>
          <w:tcPr>
            <w:tcW w:w="1350" w:type="dxa"/>
            <w:gridSpan w:val="2"/>
            <w:tcBorders>
              <w:top w:val="nil"/>
              <w:left w:val="nil"/>
              <w:bottom w:val="nil"/>
              <w:right w:val="nil"/>
            </w:tcBorders>
            <w:shd w:val="clear" w:color="000000" w:fill="D9D9D9"/>
            <w:vAlign w:val="center"/>
          </w:tcPr>
          <w:p w14:paraId="39210111" w14:textId="5E6C68D7" w:rsidR="00462B8E" w:rsidRPr="00C245B6" w:rsidRDefault="00462B8E" w:rsidP="00EC4DF6">
            <w:pPr>
              <w:spacing w:line="240" w:lineRule="auto"/>
              <w:jc w:val="center"/>
              <w:rPr>
                <w:rFonts w:cs="Times New Roman"/>
                <w:color w:val="000000"/>
                <w:sz w:val="20"/>
                <w:szCs w:val="20"/>
              </w:rPr>
            </w:pPr>
            <w:r w:rsidRPr="00C245B6">
              <w:rPr>
                <w:rFonts w:cs="Times New Roman"/>
                <w:color w:val="000000"/>
                <w:sz w:val="20"/>
                <w:szCs w:val="20"/>
              </w:rPr>
              <w:t>155</w:t>
            </w:r>
          </w:p>
        </w:tc>
        <w:tc>
          <w:tcPr>
            <w:tcW w:w="929" w:type="dxa"/>
            <w:gridSpan w:val="2"/>
            <w:tcBorders>
              <w:top w:val="nil"/>
              <w:left w:val="nil"/>
              <w:bottom w:val="nil"/>
              <w:right w:val="nil"/>
            </w:tcBorders>
            <w:shd w:val="clear" w:color="000000" w:fill="D9D9D9"/>
            <w:vAlign w:val="center"/>
          </w:tcPr>
          <w:p w14:paraId="2D9BE2B7" w14:textId="56A55AF7" w:rsidR="00462B8E" w:rsidRPr="00C245B6" w:rsidRDefault="00462B8E" w:rsidP="00EC4DF6">
            <w:pPr>
              <w:spacing w:line="240" w:lineRule="auto"/>
              <w:jc w:val="center"/>
              <w:rPr>
                <w:rFonts w:cs="Times New Roman"/>
                <w:color w:val="000000"/>
                <w:sz w:val="20"/>
                <w:szCs w:val="20"/>
              </w:rPr>
            </w:pPr>
            <w:r w:rsidRPr="00C245B6">
              <w:rPr>
                <w:rFonts w:cs="Times New Roman"/>
                <w:color w:val="000000"/>
                <w:sz w:val="20"/>
                <w:szCs w:val="20"/>
              </w:rPr>
              <w:t>2</w:t>
            </w:r>
          </w:p>
        </w:tc>
      </w:tr>
      <w:tr w:rsidR="00462B8E" w:rsidRPr="00C61664" w14:paraId="49225BDB" w14:textId="77777777" w:rsidTr="008D1016">
        <w:trPr>
          <w:trHeight w:val="288"/>
        </w:trPr>
        <w:tc>
          <w:tcPr>
            <w:tcW w:w="2340" w:type="dxa"/>
            <w:tcBorders>
              <w:top w:val="nil"/>
              <w:left w:val="nil"/>
              <w:bottom w:val="nil"/>
              <w:right w:val="nil"/>
            </w:tcBorders>
            <w:shd w:val="clear" w:color="auto" w:fill="auto"/>
            <w:noWrap/>
            <w:vAlign w:val="center"/>
          </w:tcPr>
          <w:p w14:paraId="2DC1E9E2" w14:textId="2F0DDBDB" w:rsidR="00462B8E" w:rsidRDefault="00462B8E" w:rsidP="00EC4DF6">
            <w:pPr>
              <w:spacing w:line="240" w:lineRule="auto"/>
              <w:rPr>
                <w:rFonts w:cs="Times New Roman"/>
                <w:color w:val="000000"/>
                <w:sz w:val="20"/>
                <w:szCs w:val="20"/>
              </w:rPr>
            </w:pPr>
            <w:r>
              <w:rPr>
                <w:rFonts w:cs="Times New Roman"/>
                <w:color w:val="000000"/>
                <w:sz w:val="20"/>
                <w:szCs w:val="20"/>
              </w:rPr>
              <w:t>Middle Rest</w:t>
            </w:r>
          </w:p>
        </w:tc>
        <w:tc>
          <w:tcPr>
            <w:tcW w:w="1260" w:type="dxa"/>
            <w:tcBorders>
              <w:top w:val="nil"/>
              <w:left w:val="nil"/>
              <w:bottom w:val="nil"/>
              <w:right w:val="nil"/>
            </w:tcBorders>
            <w:shd w:val="clear" w:color="auto" w:fill="auto"/>
            <w:noWrap/>
            <w:vAlign w:val="center"/>
          </w:tcPr>
          <w:p w14:paraId="555C54F5" w14:textId="769194E2" w:rsidR="00462B8E" w:rsidRPr="00C245B6" w:rsidRDefault="00462B8E" w:rsidP="00EC4DF6">
            <w:pPr>
              <w:spacing w:line="240" w:lineRule="auto"/>
              <w:jc w:val="center"/>
              <w:rPr>
                <w:rFonts w:cs="Times New Roman"/>
                <w:color w:val="000000"/>
                <w:sz w:val="20"/>
                <w:szCs w:val="20"/>
              </w:rPr>
            </w:pPr>
            <w:r w:rsidRPr="00C245B6">
              <w:rPr>
                <w:rFonts w:cs="Times New Roman"/>
                <w:color w:val="000000"/>
                <w:sz w:val="20"/>
                <w:szCs w:val="20"/>
              </w:rPr>
              <w:t>0.76</w:t>
            </w:r>
          </w:p>
        </w:tc>
        <w:tc>
          <w:tcPr>
            <w:tcW w:w="1321" w:type="dxa"/>
            <w:tcBorders>
              <w:top w:val="nil"/>
              <w:left w:val="nil"/>
              <w:bottom w:val="nil"/>
              <w:right w:val="nil"/>
            </w:tcBorders>
            <w:shd w:val="clear" w:color="auto" w:fill="auto"/>
            <w:noWrap/>
            <w:vAlign w:val="center"/>
          </w:tcPr>
          <w:p w14:paraId="352A12F6" w14:textId="4CA722CE" w:rsidR="00462B8E" w:rsidRPr="00C245B6" w:rsidRDefault="008D1016" w:rsidP="006A1BF1">
            <w:pPr>
              <w:spacing w:line="240" w:lineRule="auto"/>
              <w:rPr>
                <w:rFonts w:cs="Times New Roman"/>
                <w:color w:val="000000"/>
                <w:sz w:val="20"/>
                <w:szCs w:val="20"/>
              </w:rPr>
            </w:pPr>
            <w:r>
              <w:rPr>
                <w:rFonts w:cs="Times New Roman"/>
                <w:color w:val="000000"/>
                <w:sz w:val="20"/>
                <w:szCs w:val="20"/>
              </w:rPr>
              <w:t xml:space="preserve">      </w:t>
            </w:r>
            <w:r w:rsidR="006A1BF1">
              <w:rPr>
                <w:rFonts w:cs="Times New Roman"/>
                <w:color w:val="000000"/>
                <w:sz w:val="20"/>
                <w:szCs w:val="20"/>
              </w:rPr>
              <w:t xml:space="preserve"> </w:t>
            </w:r>
            <w:r w:rsidR="00462B8E" w:rsidRPr="00C245B6">
              <w:rPr>
                <w:rFonts w:cs="Times New Roman"/>
                <w:color w:val="000000"/>
                <w:sz w:val="20"/>
                <w:szCs w:val="20"/>
              </w:rPr>
              <w:t>0.685</w:t>
            </w:r>
          </w:p>
        </w:tc>
        <w:tc>
          <w:tcPr>
            <w:tcW w:w="1350" w:type="dxa"/>
            <w:gridSpan w:val="2"/>
            <w:tcBorders>
              <w:top w:val="nil"/>
              <w:left w:val="nil"/>
              <w:bottom w:val="nil"/>
              <w:right w:val="nil"/>
            </w:tcBorders>
            <w:shd w:val="clear" w:color="auto" w:fill="auto"/>
            <w:vAlign w:val="center"/>
          </w:tcPr>
          <w:p w14:paraId="16B1F62C" w14:textId="15E655FB" w:rsidR="00462B8E" w:rsidRPr="00C245B6" w:rsidRDefault="00462B8E" w:rsidP="00EC4DF6">
            <w:pPr>
              <w:spacing w:line="240" w:lineRule="auto"/>
              <w:jc w:val="center"/>
              <w:rPr>
                <w:rFonts w:cs="Times New Roman"/>
                <w:color w:val="000000"/>
                <w:sz w:val="20"/>
                <w:szCs w:val="20"/>
              </w:rPr>
            </w:pPr>
            <w:r w:rsidRPr="00C245B6">
              <w:rPr>
                <w:rFonts w:cs="Times New Roman"/>
                <w:color w:val="000000"/>
                <w:sz w:val="20"/>
                <w:szCs w:val="20"/>
              </w:rPr>
              <w:t>133</w:t>
            </w:r>
          </w:p>
        </w:tc>
        <w:tc>
          <w:tcPr>
            <w:tcW w:w="929" w:type="dxa"/>
            <w:gridSpan w:val="2"/>
            <w:tcBorders>
              <w:top w:val="nil"/>
              <w:left w:val="nil"/>
              <w:bottom w:val="nil"/>
              <w:right w:val="nil"/>
            </w:tcBorders>
            <w:shd w:val="clear" w:color="auto" w:fill="auto"/>
            <w:vAlign w:val="center"/>
          </w:tcPr>
          <w:p w14:paraId="0F4706C3" w14:textId="209F89E1" w:rsidR="00462B8E" w:rsidRPr="00C245B6" w:rsidRDefault="00462B8E" w:rsidP="00EC4DF6">
            <w:pPr>
              <w:spacing w:line="240" w:lineRule="auto"/>
              <w:jc w:val="center"/>
              <w:rPr>
                <w:rFonts w:cs="Times New Roman"/>
                <w:color w:val="000000"/>
                <w:sz w:val="20"/>
                <w:szCs w:val="20"/>
              </w:rPr>
            </w:pPr>
            <w:r w:rsidRPr="00C245B6">
              <w:rPr>
                <w:rFonts w:cs="Times New Roman"/>
                <w:color w:val="000000"/>
                <w:sz w:val="20"/>
                <w:szCs w:val="20"/>
              </w:rPr>
              <w:t>2</w:t>
            </w:r>
          </w:p>
        </w:tc>
      </w:tr>
      <w:tr w:rsidR="00462B8E" w:rsidRPr="00C61664" w14:paraId="431B5FA6" w14:textId="77777777" w:rsidTr="008D1016">
        <w:trPr>
          <w:trHeight w:val="288"/>
        </w:trPr>
        <w:tc>
          <w:tcPr>
            <w:tcW w:w="2340" w:type="dxa"/>
            <w:tcBorders>
              <w:top w:val="nil"/>
              <w:left w:val="nil"/>
              <w:bottom w:val="nil"/>
              <w:right w:val="nil"/>
            </w:tcBorders>
            <w:shd w:val="clear" w:color="000000" w:fill="D9D9D9"/>
            <w:noWrap/>
            <w:vAlign w:val="center"/>
          </w:tcPr>
          <w:p w14:paraId="411B8C78" w14:textId="3318D0E4" w:rsidR="00462B8E" w:rsidRDefault="00462B8E" w:rsidP="00EC4DF6">
            <w:pPr>
              <w:spacing w:line="240" w:lineRule="auto"/>
              <w:rPr>
                <w:rFonts w:cs="Times New Roman"/>
                <w:color w:val="000000"/>
                <w:sz w:val="20"/>
                <w:szCs w:val="20"/>
              </w:rPr>
            </w:pPr>
            <w:r>
              <w:rPr>
                <w:rFonts w:cs="Times New Roman"/>
                <w:color w:val="000000"/>
                <w:sz w:val="20"/>
                <w:szCs w:val="20"/>
              </w:rPr>
              <w:t>Late Rest</w:t>
            </w:r>
          </w:p>
        </w:tc>
        <w:tc>
          <w:tcPr>
            <w:tcW w:w="1260" w:type="dxa"/>
            <w:tcBorders>
              <w:top w:val="nil"/>
              <w:left w:val="nil"/>
              <w:bottom w:val="nil"/>
              <w:right w:val="nil"/>
            </w:tcBorders>
            <w:shd w:val="clear" w:color="000000" w:fill="D9D9D9"/>
            <w:noWrap/>
            <w:vAlign w:val="center"/>
          </w:tcPr>
          <w:p w14:paraId="72F714F7" w14:textId="7ADBD10B" w:rsidR="00462B8E" w:rsidRPr="00C245B6" w:rsidRDefault="00462B8E" w:rsidP="00EC4DF6">
            <w:pPr>
              <w:spacing w:line="240" w:lineRule="auto"/>
              <w:jc w:val="center"/>
              <w:rPr>
                <w:rFonts w:cs="Times New Roman"/>
                <w:color w:val="000000"/>
                <w:sz w:val="20"/>
                <w:szCs w:val="20"/>
              </w:rPr>
            </w:pPr>
            <w:r w:rsidRPr="00C245B6">
              <w:rPr>
                <w:rFonts w:cs="Times New Roman"/>
                <w:color w:val="000000"/>
                <w:sz w:val="20"/>
                <w:szCs w:val="20"/>
              </w:rPr>
              <w:t>14.80</w:t>
            </w:r>
          </w:p>
        </w:tc>
        <w:tc>
          <w:tcPr>
            <w:tcW w:w="1321" w:type="dxa"/>
            <w:tcBorders>
              <w:top w:val="nil"/>
              <w:left w:val="nil"/>
              <w:bottom w:val="nil"/>
              <w:right w:val="nil"/>
            </w:tcBorders>
            <w:shd w:val="clear" w:color="000000" w:fill="D9D9D9"/>
            <w:noWrap/>
            <w:vAlign w:val="center"/>
          </w:tcPr>
          <w:p w14:paraId="028D8DC8" w14:textId="42EF094F" w:rsidR="00462B8E" w:rsidRPr="00ED7430" w:rsidRDefault="008D1016" w:rsidP="008D1016">
            <w:pPr>
              <w:spacing w:line="240" w:lineRule="auto"/>
              <w:rPr>
                <w:rFonts w:cs="Times New Roman"/>
                <w:b/>
                <w:bCs/>
                <w:color w:val="000000"/>
                <w:sz w:val="20"/>
                <w:szCs w:val="20"/>
              </w:rPr>
            </w:pPr>
            <w:r>
              <w:rPr>
                <w:rFonts w:cs="Times New Roman"/>
                <w:b/>
                <w:bCs/>
                <w:color w:val="000000"/>
                <w:sz w:val="20"/>
                <w:szCs w:val="20"/>
              </w:rPr>
              <w:t xml:space="preserve">   </w:t>
            </w:r>
            <w:r w:rsidR="006A1BF1">
              <w:rPr>
                <w:rFonts w:cs="Times New Roman"/>
                <w:b/>
                <w:bCs/>
                <w:color w:val="000000"/>
                <w:sz w:val="20"/>
                <w:szCs w:val="20"/>
              </w:rPr>
              <w:t xml:space="preserve">  </w:t>
            </w:r>
            <w:r w:rsidR="00462B8E" w:rsidRPr="00ED7430">
              <w:rPr>
                <w:rFonts w:cs="Times New Roman"/>
                <w:b/>
                <w:bCs/>
                <w:color w:val="000000"/>
                <w:sz w:val="20"/>
                <w:szCs w:val="20"/>
              </w:rPr>
              <w:t>&lt;0.001</w:t>
            </w:r>
          </w:p>
        </w:tc>
        <w:tc>
          <w:tcPr>
            <w:tcW w:w="1350" w:type="dxa"/>
            <w:gridSpan w:val="2"/>
            <w:tcBorders>
              <w:top w:val="nil"/>
              <w:left w:val="nil"/>
              <w:bottom w:val="nil"/>
              <w:right w:val="nil"/>
            </w:tcBorders>
            <w:shd w:val="clear" w:color="000000" w:fill="D9D9D9"/>
            <w:vAlign w:val="center"/>
          </w:tcPr>
          <w:p w14:paraId="013ADEDA" w14:textId="4595FBC2" w:rsidR="00462B8E" w:rsidRPr="00C245B6" w:rsidRDefault="00462B8E" w:rsidP="00EC4DF6">
            <w:pPr>
              <w:spacing w:line="240" w:lineRule="auto"/>
              <w:jc w:val="center"/>
              <w:rPr>
                <w:rFonts w:cs="Times New Roman"/>
                <w:color w:val="000000"/>
                <w:sz w:val="20"/>
                <w:szCs w:val="20"/>
              </w:rPr>
            </w:pPr>
            <w:r w:rsidRPr="00C245B6">
              <w:rPr>
                <w:rFonts w:cs="Times New Roman"/>
                <w:color w:val="000000"/>
                <w:sz w:val="20"/>
                <w:szCs w:val="20"/>
              </w:rPr>
              <w:t>105</w:t>
            </w:r>
          </w:p>
        </w:tc>
        <w:tc>
          <w:tcPr>
            <w:tcW w:w="929" w:type="dxa"/>
            <w:gridSpan w:val="2"/>
            <w:tcBorders>
              <w:top w:val="nil"/>
              <w:left w:val="nil"/>
              <w:bottom w:val="nil"/>
              <w:right w:val="nil"/>
            </w:tcBorders>
            <w:shd w:val="clear" w:color="000000" w:fill="D9D9D9"/>
            <w:vAlign w:val="center"/>
          </w:tcPr>
          <w:p w14:paraId="47AD9969" w14:textId="23792F8B" w:rsidR="00462B8E" w:rsidRPr="00C245B6" w:rsidRDefault="00462B8E" w:rsidP="00EC4DF6">
            <w:pPr>
              <w:spacing w:line="240" w:lineRule="auto"/>
              <w:jc w:val="center"/>
              <w:rPr>
                <w:rFonts w:cs="Times New Roman"/>
                <w:color w:val="000000"/>
                <w:sz w:val="20"/>
                <w:szCs w:val="20"/>
              </w:rPr>
            </w:pPr>
            <w:r w:rsidRPr="00C245B6">
              <w:rPr>
                <w:rFonts w:cs="Times New Roman"/>
                <w:color w:val="000000"/>
                <w:sz w:val="20"/>
                <w:szCs w:val="20"/>
              </w:rPr>
              <w:t>2</w:t>
            </w:r>
          </w:p>
        </w:tc>
      </w:tr>
      <w:tr w:rsidR="00462B8E" w:rsidRPr="00C61664" w14:paraId="4051E082" w14:textId="77777777" w:rsidTr="008D1016">
        <w:trPr>
          <w:trHeight w:val="288"/>
        </w:trPr>
        <w:tc>
          <w:tcPr>
            <w:tcW w:w="2340" w:type="dxa"/>
            <w:tcBorders>
              <w:top w:val="nil"/>
              <w:left w:val="nil"/>
              <w:bottom w:val="single" w:sz="12" w:space="0" w:color="auto"/>
              <w:right w:val="nil"/>
            </w:tcBorders>
            <w:shd w:val="clear" w:color="auto" w:fill="auto"/>
            <w:noWrap/>
            <w:vAlign w:val="center"/>
          </w:tcPr>
          <w:p w14:paraId="399F935C" w14:textId="77E559B4" w:rsidR="00462B8E" w:rsidRPr="00C61664" w:rsidRDefault="00462B8E" w:rsidP="00EC4DF6">
            <w:pPr>
              <w:spacing w:line="240" w:lineRule="auto"/>
              <w:rPr>
                <w:rFonts w:cs="Times New Roman"/>
                <w:color w:val="000000"/>
                <w:sz w:val="20"/>
                <w:szCs w:val="20"/>
              </w:rPr>
            </w:pPr>
            <w:r>
              <w:rPr>
                <w:rFonts w:cs="Times New Roman"/>
                <w:color w:val="000000"/>
                <w:sz w:val="20"/>
                <w:szCs w:val="20"/>
              </w:rPr>
              <w:t>Post-grazing</w:t>
            </w:r>
          </w:p>
        </w:tc>
        <w:tc>
          <w:tcPr>
            <w:tcW w:w="1260" w:type="dxa"/>
            <w:tcBorders>
              <w:top w:val="nil"/>
              <w:left w:val="nil"/>
              <w:bottom w:val="single" w:sz="12" w:space="0" w:color="auto"/>
              <w:right w:val="nil"/>
            </w:tcBorders>
            <w:shd w:val="clear" w:color="auto" w:fill="auto"/>
            <w:noWrap/>
            <w:vAlign w:val="center"/>
          </w:tcPr>
          <w:p w14:paraId="23209A01" w14:textId="6EFD8765" w:rsidR="00462B8E" w:rsidRPr="00C245B6" w:rsidRDefault="00462B8E" w:rsidP="00EC4DF6">
            <w:pPr>
              <w:spacing w:line="240" w:lineRule="auto"/>
              <w:jc w:val="center"/>
              <w:rPr>
                <w:rFonts w:cs="Times New Roman"/>
                <w:color w:val="000000"/>
                <w:sz w:val="20"/>
                <w:szCs w:val="20"/>
              </w:rPr>
            </w:pPr>
            <w:r w:rsidRPr="00C245B6">
              <w:rPr>
                <w:rFonts w:cs="Times New Roman"/>
                <w:color w:val="000000"/>
                <w:sz w:val="20"/>
                <w:szCs w:val="20"/>
              </w:rPr>
              <w:t>3.15</w:t>
            </w:r>
          </w:p>
        </w:tc>
        <w:tc>
          <w:tcPr>
            <w:tcW w:w="1321" w:type="dxa"/>
            <w:tcBorders>
              <w:top w:val="nil"/>
              <w:left w:val="nil"/>
              <w:bottom w:val="single" w:sz="12" w:space="0" w:color="auto"/>
              <w:right w:val="nil"/>
            </w:tcBorders>
            <w:shd w:val="clear" w:color="auto" w:fill="auto"/>
            <w:noWrap/>
            <w:vAlign w:val="center"/>
          </w:tcPr>
          <w:p w14:paraId="67217D31" w14:textId="6744F8AF" w:rsidR="00462B8E" w:rsidRPr="00C245B6" w:rsidRDefault="008D1016" w:rsidP="008D1016">
            <w:pPr>
              <w:spacing w:line="240" w:lineRule="auto"/>
              <w:rPr>
                <w:rFonts w:cs="Times New Roman"/>
                <w:color w:val="000000"/>
                <w:sz w:val="20"/>
                <w:szCs w:val="20"/>
              </w:rPr>
            </w:pPr>
            <w:r>
              <w:rPr>
                <w:rFonts w:cs="Times New Roman"/>
                <w:color w:val="000000"/>
                <w:sz w:val="20"/>
                <w:szCs w:val="20"/>
              </w:rPr>
              <w:t xml:space="preserve">      </w:t>
            </w:r>
            <w:r w:rsidR="006A1BF1">
              <w:rPr>
                <w:rFonts w:cs="Times New Roman"/>
                <w:color w:val="000000"/>
                <w:sz w:val="20"/>
                <w:szCs w:val="20"/>
              </w:rPr>
              <w:t xml:space="preserve"> </w:t>
            </w:r>
            <w:r w:rsidR="00462B8E" w:rsidRPr="00C245B6">
              <w:rPr>
                <w:rFonts w:cs="Times New Roman"/>
                <w:color w:val="000000"/>
                <w:sz w:val="20"/>
                <w:szCs w:val="20"/>
              </w:rPr>
              <w:t>0.533</w:t>
            </w:r>
          </w:p>
        </w:tc>
        <w:tc>
          <w:tcPr>
            <w:tcW w:w="1350" w:type="dxa"/>
            <w:gridSpan w:val="2"/>
            <w:tcBorders>
              <w:top w:val="nil"/>
              <w:left w:val="nil"/>
              <w:bottom w:val="single" w:sz="12" w:space="0" w:color="auto"/>
              <w:right w:val="nil"/>
            </w:tcBorders>
            <w:shd w:val="clear" w:color="auto" w:fill="auto"/>
            <w:vAlign w:val="center"/>
          </w:tcPr>
          <w:p w14:paraId="6ADBC321" w14:textId="721165BC" w:rsidR="00462B8E" w:rsidRPr="00C245B6" w:rsidRDefault="00462B8E" w:rsidP="00EC4DF6">
            <w:pPr>
              <w:spacing w:line="240" w:lineRule="auto"/>
              <w:jc w:val="center"/>
              <w:rPr>
                <w:rFonts w:cs="Times New Roman"/>
                <w:color w:val="000000"/>
                <w:sz w:val="20"/>
                <w:szCs w:val="20"/>
              </w:rPr>
            </w:pPr>
            <w:r w:rsidRPr="00C245B6">
              <w:rPr>
                <w:rFonts w:cs="Times New Roman"/>
                <w:color w:val="000000"/>
                <w:sz w:val="20"/>
                <w:szCs w:val="20"/>
              </w:rPr>
              <w:t>193</w:t>
            </w:r>
          </w:p>
        </w:tc>
        <w:tc>
          <w:tcPr>
            <w:tcW w:w="929" w:type="dxa"/>
            <w:gridSpan w:val="2"/>
            <w:tcBorders>
              <w:top w:val="nil"/>
              <w:left w:val="nil"/>
              <w:bottom w:val="single" w:sz="12" w:space="0" w:color="auto"/>
              <w:right w:val="nil"/>
            </w:tcBorders>
            <w:shd w:val="clear" w:color="auto" w:fill="auto"/>
            <w:vAlign w:val="center"/>
          </w:tcPr>
          <w:p w14:paraId="3B4AA285" w14:textId="7B21A0D0" w:rsidR="00462B8E" w:rsidRPr="00C245B6" w:rsidRDefault="00462B8E" w:rsidP="00EC4DF6">
            <w:pPr>
              <w:spacing w:line="240" w:lineRule="auto"/>
              <w:jc w:val="center"/>
              <w:rPr>
                <w:rFonts w:cs="Times New Roman"/>
                <w:color w:val="000000"/>
                <w:sz w:val="20"/>
                <w:szCs w:val="20"/>
              </w:rPr>
            </w:pPr>
            <w:r w:rsidRPr="00C245B6">
              <w:rPr>
                <w:rFonts w:cs="Times New Roman"/>
                <w:color w:val="000000"/>
                <w:sz w:val="20"/>
                <w:szCs w:val="20"/>
              </w:rPr>
              <w:t>4</w:t>
            </w:r>
          </w:p>
        </w:tc>
      </w:tr>
      <w:tr w:rsidR="00462B8E" w:rsidRPr="00C61664" w14:paraId="5B64680A" w14:textId="77777777" w:rsidTr="00EC4DF6">
        <w:trPr>
          <w:trHeight w:val="312"/>
        </w:trPr>
        <w:tc>
          <w:tcPr>
            <w:tcW w:w="2340" w:type="dxa"/>
            <w:tcBorders>
              <w:top w:val="single" w:sz="12" w:space="0" w:color="auto"/>
              <w:left w:val="nil"/>
              <w:bottom w:val="nil"/>
              <w:right w:val="nil"/>
            </w:tcBorders>
            <w:shd w:val="clear" w:color="auto" w:fill="auto"/>
            <w:noWrap/>
            <w:vAlign w:val="bottom"/>
            <w:hideMark/>
          </w:tcPr>
          <w:p w14:paraId="201EB0DF" w14:textId="77777777" w:rsidR="00462B8E" w:rsidRPr="00C61664" w:rsidRDefault="00462B8E" w:rsidP="005736A9">
            <w:pPr>
              <w:spacing w:line="240" w:lineRule="auto"/>
              <w:jc w:val="right"/>
              <w:rPr>
                <w:rFonts w:cs="Times New Roman"/>
                <w:color w:val="000000"/>
                <w:sz w:val="20"/>
                <w:szCs w:val="20"/>
              </w:rPr>
            </w:pPr>
          </w:p>
        </w:tc>
        <w:tc>
          <w:tcPr>
            <w:tcW w:w="1260" w:type="dxa"/>
            <w:tcBorders>
              <w:top w:val="single" w:sz="12" w:space="0" w:color="auto"/>
              <w:left w:val="nil"/>
              <w:bottom w:val="nil"/>
              <w:right w:val="nil"/>
            </w:tcBorders>
            <w:shd w:val="clear" w:color="auto" w:fill="auto"/>
            <w:noWrap/>
            <w:vAlign w:val="bottom"/>
          </w:tcPr>
          <w:p w14:paraId="06E61A59" w14:textId="77777777" w:rsidR="00462B8E" w:rsidRPr="00C61664" w:rsidRDefault="00462B8E" w:rsidP="005736A9">
            <w:pPr>
              <w:spacing w:line="240" w:lineRule="auto"/>
              <w:rPr>
                <w:rFonts w:cs="Times New Roman"/>
                <w:sz w:val="20"/>
                <w:szCs w:val="20"/>
              </w:rPr>
            </w:pPr>
          </w:p>
        </w:tc>
        <w:tc>
          <w:tcPr>
            <w:tcW w:w="1321" w:type="dxa"/>
            <w:tcBorders>
              <w:top w:val="single" w:sz="12" w:space="0" w:color="auto"/>
              <w:left w:val="nil"/>
              <w:bottom w:val="nil"/>
              <w:right w:val="nil"/>
            </w:tcBorders>
            <w:shd w:val="clear" w:color="auto" w:fill="auto"/>
            <w:noWrap/>
            <w:vAlign w:val="bottom"/>
          </w:tcPr>
          <w:p w14:paraId="03B0DBEB" w14:textId="77777777" w:rsidR="00462B8E" w:rsidRPr="00C61664" w:rsidRDefault="00462B8E" w:rsidP="005736A9">
            <w:pPr>
              <w:spacing w:line="240" w:lineRule="auto"/>
              <w:rPr>
                <w:rFonts w:cs="Times New Roman"/>
                <w:sz w:val="20"/>
                <w:szCs w:val="20"/>
              </w:rPr>
            </w:pPr>
          </w:p>
        </w:tc>
        <w:tc>
          <w:tcPr>
            <w:tcW w:w="1350" w:type="dxa"/>
            <w:gridSpan w:val="2"/>
            <w:tcBorders>
              <w:top w:val="single" w:sz="12" w:space="0" w:color="auto"/>
              <w:left w:val="nil"/>
              <w:bottom w:val="nil"/>
              <w:right w:val="nil"/>
            </w:tcBorders>
            <w:shd w:val="clear" w:color="auto" w:fill="auto"/>
            <w:noWrap/>
            <w:vAlign w:val="bottom"/>
          </w:tcPr>
          <w:p w14:paraId="733B7E41" w14:textId="77777777" w:rsidR="00462B8E" w:rsidRPr="00C61664" w:rsidRDefault="00462B8E" w:rsidP="005736A9">
            <w:pPr>
              <w:spacing w:line="240" w:lineRule="auto"/>
              <w:rPr>
                <w:rFonts w:cs="Times New Roman"/>
                <w:sz w:val="20"/>
                <w:szCs w:val="20"/>
              </w:rPr>
            </w:pPr>
          </w:p>
        </w:tc>
        <w:tc>
          <w:tcPr>
            <w:tcW w:w="929" w:type="dxa"/>
            <w:gridSpan w:val="2"/>
            <w:tcBorders>
              <w:top w:val="single" w:sz="12" w:space="0" w:color="auto"/>
              <w:left w:val="nil"/>
              <w:bottom w:val="nil"/>
              <w:right w:val="nil"/>
            </w:tcBorders>
            <w:shd w:val="clear" w:color="auto" w:fill="auto"/>
            <w:noWrap/>
            <w:vAlign w:val="bottom"/>
          </w:tcPr>
          <w:p w14:paraId="37B7B770" w14:textId="77777777" w:rsidR="00462B8E" w:rsidRPr="00C61664" w:rsidRDefault="00462B8E" w:rsidP="005736A9">
            <w:pPr>
              <w:spacing w:line="240" w:lineRule="auto"/>
              <w:rPr>
                <w:rFonts w:cs="Times New Roman"/>
                <w:sz w:val="20"/>
                <w:szCs w:val="20"/>
              </w:rPr>
            </w:pPr>
          </w:p>
        </w:tc>
      </w:tr>
      <w:tr w:rsidR="005736A9" w:rsidRPr="00C61664" w14:paraId="0EF3DAB4" w14:textId="77777777" w:rsidTr="00EC4DF6">
        <w:trPr>
          <w:trHeight w:val="312"/>
        </w:trPr>
        <w:tc>
          <w:tcPr>
            <w:tcW w:w="2340" w:type="dxa"/>
            <w:tcBorders>
              <w:top w:val="single" w:sz="12" w:space="0" w:color="auto"/>
              <w:left w:val="nil"/>
              <w:right w:val="single" w:sz="36" w:space="0" w:color="FFFFFF" w:themeColor="background1"/>
            </w:tcBorders>
            <w:shd w:val="clear" w:color="auto" w:fill="auto"/>
            <w:noWrap/>
            <w:vAlign w:val="bottom"/>
            <w:hideMark/>
          </w:tcPr>
          <w:p w14:paraId="35F8315C" w14:textId="77777777" w:rsidR="005736A9" w:rsidRPr="00C61664" w:rsidRDefault="005736A9" w:rsidP="005736A9">
            <w:pPr>
              <w:spacing w:line="240" w:lineRule="auto"/>
              <w:rPr>
                <w:rFonts w:cs="Times New Roman"/>
                <w:color w:val="000000"/>
                <w:sz w:val="20"/>
                <w:szCs w:val="20"/>
              </w:rPr>
            </w:pPr>
            <w:r w:rsidRPr="00C61664">
              <w:rPr>
                <w:rFonts w:cs="Times New Roman"/>
                <w:color w:val="000000"/>
                <w:sz w:val="20"/>
                <w:szCs w:val="20"/>
              </w:rPr>
              <w:t> </w:t>
            </w:r>
          </w:p>
        </w:tc>
        <w:tc>
          <w:tcPr>
            <w:tcW w:w="4860" w:type="dxa"/>
            <w:gridSpan w:val="6"/>
            <w:tcBorders>
              <w:top w:val="single" w:sz="12" w:space="0" w:color="auto"/>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0D8A5537" w14:textId="77777777" w:rsidR="005736A9" w:rsidRPr="00C61664" w:rsidRDefault="005736A9" w:rsidP="005736A9">
            <w:pPr>
              <w:spacing w:line="240" w:lineRule="auto"/>
              <w:jc w:val="center"/>
              <w:rPr>
                <w:rFonts w:cs="Times New Roman"/>
                <w:color w:val="000000"/>
                <w:sz w:val="20"/>
                <w:szCs w:val="20"/>
              </w:rPr>
            </w:pPr>
            <w:r>
              <w:rPr>
                <w:rFonts w:cs="Times New Roman"/>
                <w:color w:val="000000"/>
                <w:sz w:val="20"/>
                <w:szCs w:val="20"/>
              </w:rPr>
              <w:t>Big bluestem/Indiangrass</w:t>
            </w:r>
          </w:p>
        </w:tc>
      </w:tr>
      <w:tr w:rsidR="00EC4DF6" w:rsidRPr="00C61664" w14:paraId="4F230311" w14:textId="77777777" w:rsidTr="00EC4DF6">
        <w:trPr>
          <w:trHeight w:val="312"/>
        </w:trPr>
        <w:tc>
          <w:tcPr>
            <w:tcW w:w="2340" w:type="dxa"/>
            <w:tcBorders>
              <w:top w:val="nil"/>
              <w:left w:val="nil"/>
              <w:bottom w:val="single" w:sz="12" w:space="0" w:color="auto"/>
              <w:right w:val="single" w:sz="36" w:space="0" w:color="FFFFFF" w:themeColor="background1"/>
            </w:tcBorders>
            <w:shd w:val="clear" w:color="auto" w:fill="auto"/>
            <w:noWrap/>
            <w:vAlign w:val="center"/>
            <w:hideMark/>
          </w:tcPr>
          <w:p w14:paraId="5FD8E5F8" w14:textId="68E8DDD4" w:rsidR="00EC4DF6" w:rsidRPr="00EC4DF6" w:rsidRDefault="00EC4DF6" w:rsidP="00EC4DF6">
            <w:pPr>
              <w:spacing w:line="240" w:lineRule="auto"/>
              <w:rPr>
                <w:rFonts w:cs="Times New Roman"/>
                <w:color w:val="000000"/>
                <w:sz w:val="20"/>
                <w:szCs w:val="20"/>
              </w:rPr>
            </w:pPr>
            <w:r w:rsidRPr="00EC4DF6">
              <w:rPr>
                <w:sz w:val="20"/>
                <w:szCs w:val="20"/>
              </w:rPr>
              <w:t>Sampling Period</w:t>
            </w:r>
          </w:p>
        </w:tc>
        <w:tc>
          <w:tcPr>
            <w:tcW w:w="1260" w:type="dxa"/>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1EFB439F" w14:textId="20FE21FA" w:rsidR="00EC4DF6" w:rsidRPr="00EC4DF6" w:rsidRDefault="00ED7430" w:rsidP="00EC4DF6">
            <w:pPr>
              <w:spacing w:line="240" w:lineRule="auto"/>
              <w:jc w:val="center"/>
              <w:rPr>
                <w:rFonts w:cs="Times New Roman"/>
                <w:i/>
                <w:iCs/>
                <w:color w:val="000000"/>
                <w:sz w:val="20"/>
                <w:szCs w:val="20"/>
              </w:rPr>
            </w:pPr>
            <w:r>
              <w:rPr>
                <w:i/>
                <w:iCs/>
                <w:sz w:val="20"/>
                <w:szCs w:val="20"/>
              </w:rPr>
              <w:t>x</w:t>
            </w:r>
            <w:r w:rsidR="00EC4DF6" w:rsidRPr="00EC4DF6">
              <w:rPr>
                <w:sz w:val="20"/>
                <w:szCs w:val="20"/>
                <w:vertAlign w:val="superscript"/>
              </w:rPr>
              <w:t>2</w:t>
            </w:r>
          </w:p>
        </w:tc>
        <w:tc>
          <w:tcPr>
            <w:tcW w:w="1350" w:type="dxa"/>
            <w:gridSpan w:val="2"/>
            <w:tcBorders>
              <w:top w:val="nil"/>
              <w:left w:val="single" w:sz="36" w:space="0" w:color="FFFFFF" w:themeColor="background1"/>
              <w:bottom w:val="single" w:sz="12" w:space="0" w:color="auto"/>
              <w:right w:val="single" w:sz="36" w:space="0" w:color="FFFFFF" w:themeColor="background1"/>
            </w:tcBorders>
            <w:shd w:val="clear" w:color="auto" w:fill="auto"/>
            <w:noWrap/>
            <w:vAlign w:val="center"/>
            <w:hideMark/>
          </w:tcPr>
          <w:p w14:paraId="285DED26" w14:textId="00EB97F1" w:rsidR="00EC4DF6" w:rsidRPr="00EC4DF6" w:rsidRDefault="00EC4DF6" w:rsidP="00EC4DF6">
            <w:pPr>
              <w:spacing w:line="240" w:lineRule="auto"/>
              <w:jc w:val="center"/>
              <w:rPr>
                <w:rFonts w:cs="Times New Roman"/>
                <w:i/>
                <w:iCs/>
                <w:color w:val="000000"/>
                <w:sz w:val="20"/>
                <w:szCs w:val="20"/>
              </w:rPr>
            </w:pPr>
            <w:r w:rsidRPr="00EC4DF6">
              <w:rPr>
                <w:sz w:val="20"/>
                <w:szCs w:val="20"/>
              </w:rPr>
              <w:t>P-Value</w:t>
            </w:r>
          </w:p>
        </w:tc>
        <w:tc>
          <w:tcPr>
            <w:tcW w:w="1350" w:type="dxa"/>
            <w:gridSpan w:val="2"/>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365FA219" w14:textId="0AF3DDD7" w:rsidR="00EC4DF6" w:rsidRPr="00EC4DF6" w:rsidRDefault="00EC4DF6" w:rsidP="00EC4DF6">
            <w:pPr>
              <w:spacing w:line="240" w:lineRule="auto"/>
              <w:jc w:val="center"/>
              <w:rPr>
                <w:rFonts w:cs="Times New Roman"/>
                <w:i/>
                <w:iCs/>
                <w:color w:val="000000"/>
                <w:sz w:val="20"/>
                <w:szCs w:val="20"/>
              </w:rPr>
            </w:pPr>
            <w:r w:rsidRPr="00EC4DF6">
              <w:rPr>
                <w:sz w:val="20"/>
                <w:szCs w:val="20"/>
              </w:rPr>
              <w:t>n</w:t>
            </w:r>
          </w:p>
        </w:tc>
        <w:tc>
          <w:tcPr>
            <w:tcW w:w="900" w:type="dxa"/>
            <w:tcBorders>
              <w:top w:val="nil"/>
              <w:left w:val="single" w:sz="36" w:space="0" w:color="FFFFFF" w:themeColor="background1"/>
              <w:bottom w:val="single" w:sz="12" w:space="0" w:color="auto"/>
              <w:right w:val="single" w:sz="36" w:space="0" w:color="FFFFFF" w:themeColor="background1"/>
            </w:tcBorders>
            <w:shd w:val="clear" w:color="auto" w:fill="auto"/>
            <w:vAlign w:val="center"/>
            <w:hideMark/>
          </w:tcPr>
          <w:p w14:paraId="0DDA6404" w14:textId="526579B9" w:rsidR="00EC4DF6" w:rsidRPr="000218C6" w:rsidRDefault="000218C6" w:rsidP="00EC4DF6">
            <w:pPr>
              <w:spacing w:line="240" w:lineRule="auto"/>
              <w:jc w:val="center"/>
              <w:rPr>
                <w:rFonts w:cs="Times New Roman"/>
                <w:color w:val="000000"/>
                <w:sz w:val="20"/>
                <w:szCs w:val="20"/>
              </w:rPr>
            </w:pPr>
            <w:r w:rsidRPr="000218C6">
              <w:rPr>
                <w:color w:val="000000"/>
                <w:sz w:val="20"/>
                <w:szCs w:val="20"/>
              </w:rPr>
              <w:t>df</w:t>
            </w:r>
          </w:p>
        </w:tc>
      </w:tr>
      <w:tr w:rsidR="00EC4DF6" w:rsidRPr="00C61664" w14:paraId="321B209B" w14:textId="77777777" w:rsidTr="00EC4DF6">
        <w:trPr>
          <w:trHeight w:val="324"/>
        </w:trPr>
        <w:tc>
          <w:tcPr>
            <w:tcW w:w="2340" w:type="dxa"/>
            <w:tcBorders>
              <w:top w:val="nil"/>
              <w:left w:val="nil"/>
              <w:bottom w:val="nil"/>
              <w:right w:val="single" w:sz="36" w:space="0" w:color="FFFFFF" w:themeColor="background1"/>
            </w:tcBorders>
            <w:shd w:val="clear" w:color="auto" w:fill="auto"/>
            <w:noWrap/>
            <w:vAlign w:val="center"/>
            <w:hideMark/>
          </w:tcPr>
          <w:p w14:paraId="0D398915" w14:textId="40211A9D" w:rsidR="00EC4DF6" w:rsidRPr="00EC4DF6" w:rsidRDefault="00EC4DF6" w:rsidP="00EC4DF6">
            <w:pPr>
              <w:spacing w:line="240" w:lineRule="auto"/>
              <w:rPr>
                <w:rFonts w:cs="Times New Roman"/>
                <w:color w:val="000000"/>
                <w:sz w:val="20"/>
                <w:szCs w:val="20"/>
              </w:rPr>
            </w:pPr>
            <w:r w:rsidRPr="00EC4DF6">
              <w:rPr>
                <w:sz w:val="20"/>
                <w:szCs w:val="20"/>
              </w:rPr>
              <w:t>Pre-grazing</w:t>
            </w:r>
          </w:p>
        </w:tc>
        <w:tc>
          <w:tcPr>
            <w:tcW w:w="1260" w:type="dxa"/>
            <w:tcBorders>
              <w:top w:val="nil"/>
              <w:left w:val="single" w:sz="36" w:space="0" w:color="FFFFFF" w:themeColor="background1"/>
              <w:bottom w:val="nil"/>
              <w:right w:val="single" w:sz="36" w:space="0" w:color="FFFFFF" w:themeColor="background1"/>
            </w:tcBorders>
            <w:shd w:val="clear" w:color="auto" w:fill="auto"/>
            <w:noWrap/>
            <w:vAlign w:val="center"/>
          </w:tcPr>
          <w:p w14:paraId="734C9F4D" w14:textId="19BDB748" w:rsidR="00EC4DF6" w:rsidRPr="00C245B6" w:rsidRDefault="00EC4DF6" w:rsidP="00EC4DF6">
            <w:pPr>
              <w:spacing w:line="240" w:lineRule="auto"/>
              <w:jc w:val="center"/>
              <w:rPr>
                <w:rFonts w:cs="Times New Roman"/>
                <w:color w:val="000000"/>
                <w:sz w:val="20"/>
                <w:szCs w:val="20"/>
              </w:rPr>
            </w:pPr>
            <w:r w:rsidRPr="00C245B6">
              <w:rPr>
                <w:rFonts w:cs="Times New Roman"/>
                <w:color w:val="000000"/>
                <w:sz w:val="20"/>
                <w:szCs w:val="20"/>
              </w:rPr>
              <w:t>1.59</w:t>
            </w:r>
          </w:p>
        </w:tc>
        <w:tc>
          <w:tcPr>
            <w:tcW w:w="1350" w:type="dxa"/>
            <w:gridSpan w:val="2"/>
            <w:tcBorders>
              <w:top w:val="nil"/>
              <w:left w:val="single" w:sz="36" w:space="0" w:color="FFFFFF" w:themeColor="background1"/>
              <w:bottom w:val="nil"/>
              <w:right w:val="single" w:sz="36" w:space="0" w:color="FFFFFF" w:themeColor="background1"/>
            </w:tcBorders>
            <w:shd w:val="clear" w:color="auto" w:fill="auto"/>
            <w:noWrap/>
            <w:vAlign w:val="center"/>
          </w:tcPr>
          <w:p w14:paraId="5D884169" w14:textId="0D2AB3A8" w:rsidR="00EC4DF6" w:rsidRPr="00C245B6" w:rsidRDefault="00EC4DF6" w:rsidP="00EC4DF6">
            <w:pPr>
              <w:spacing w:line="240" w:lineRule="auto"/>
              <w:jc w:val="center"/>
              <w:rPr>
                <w:rFonts w:cs="Times New Roman"/>
                <w:color w:val="000000"/>
                <w:sz w:val="20"/>
                <w:szCs w:val="20"/>
              </w:rPr>
            </w:pPr>
            <w:r w:rsidRPr="00C245B6">
              <w:rPr>
                <w:rFonts w:cs="Times New Roman"/>
                <w:color w:val="000000"/>
                <w:sz w:val="20"/>
                <w:szCs w:val="20"/>
              </w:rPr>
              <w:t>0.810</w:t>
            </w:r>
          </w:p>
        </w:tc>
        <w:tc>
          <w:tcPr>
            <w:tcW w:w="1350" w:type="dxa"/>
            <w:gridSpan w:val="2"/>
            <w:tcBorders>
              <w:top w:val="nil"/>
              <w:left w:val="single" w:sz="36" w:space="0" w:color="FFFFFF" w:themeColor="background1"/>
              <w:bottom w:val="nil"/>
              <w:right w:val="single" w:sz="36" w:space="0" w:color="FFFFFF" w:themeColor="background1"/>
            </w:tcBorders>
            <w:shd w:val="clear" w:color="auto" w:fill="auto"/>
            <w:vAlign w:val="center"/>
          </w:tcPr>
          <w:p w14:paraId="4F423D79" w14:textId="35762617" w:rsidR="00EC4DF6" w:rsidRPr="00C245B6" w:rsidRDefault="00EC4DF6" w:rsidP="00EC4DF6">
            <w:pPr>
              <w:spacing w:line="240" w:lineRule="auto"/>
              <w:jc w:val="center"/>
              <w:rPr>
                <w:rFonts w:cs="Times New Roman"/>
                <w:color w:val="000000"/>
                <w:sz w:val="20"/>
                <w:szCs w:val="20"/>
              </w:rPr>
            </w:pPr>
            <w:r w:rsidRPr="00C245B6">
              <w:rPr>
                <w:rFonts w:cs="Times New Roman"/>
                <w:color w:val="000000"/>
                <w:sz w:val="20"/>
                <w:szCs w:val="20"/>
              </w:rPr>
              <w:t>247</w:t>
            </w:r>
          </w:p>
        </w:tc>
        <w:tc>
          <w:tcPr>
            <w:tcW w:w="900" w:type="dxa"/>
            <w:tcBorders>
              <w:top w:val="nil"/>
              <w:left w:val="single" w:sz="36" w:space="0" w:color="FFFFFF" w:themeColor="background1"/>
              <w:bottom w:val="nil"/>
              <w:right w:val="single" w:sz="36" w:space="0" w:color="FFFFFF" w:themeColor="background1"/>
            </w:tcBorders>
            <w:shd w:val="clear" w:color="auto" w:fill="auto"/>
            <w:vAlign w:val="center"/>
          </w:tcPr>
          <w:p w14:paraId="3B3D2D1D" w14:textId="3A3AE2B6" w:rsidR="00EC4DF6" w:rsidRPr="00C245B6" w:rsidRDefault="00EC4DF6" w:rsidP="00EC4DF6">
            <w:pPr>
              <w:spacing w:line="240" w:lineRule="auto"/>
              <w:jc w:val="center"/>
              <w:rPr>
                <w:rFonts w:cs="Times New Roman"/>
                <w:color w:val="000000"/>
                <w:sz w:val="20"/>
                <w:szCs w:val="20"/>
              </w:rPr>
            </w:pPr>
            <w:r w:rsidRPr="00C245B6">
              <w:rPr>
                <w:rFonts w:cs="Times New Roman"/>
                <w:color w:val="000000"/>
                <w:sz w:val="20"/>
                <w:szCs w:val="20"/>
              </w:rPr>
              <w:t>4</w:t>
            </w:r>
          </w:p>
        </w:tc>
      </w:tr>
      <w:tr w:rsidR="00EC4DF6" w:rsidRPr="00C61664" w14:paraId="6FB2C22A" w14:textId="77777777" w:rsidTr="00EC4DF6">
        <w:trPr>
          <w:trHeight w:val="288"/>
        </w:trPr>
        <w:tc>
          <w:tcPr>
            <w:tcW w:w="2340" w:type="dxa"/>
            <w:tcBorders>
              <w:top w:val="nil"/>
              <w:left w:val="nil"/>
              <w:bottom w:val="nil"/>
              <w:right w:val="nil"/>
            </w:tcBorders>
            <w:shd w:val="clear" w:color="000000" w:fill="D9D9D9"/>
            <w:noWrap/>
            <w:vAlign w:val="center"/>
            <w:hideMark/>
          </w:tcPr>
          <w:p w14:paraId="55BEAC47" w14:textId="066B0DE6" w:rsidR="00EC4DF6" w:rsidRPr="00EC4DF6" w:rsidRDefault="00EC4DF6" w:rsidP="00EC4DF6">
            <w:pPr>
              <w:spacing w:line="240" w:lineRule="auto"/>
              <w:rPr>
                <w:rFonts w:cs="Times New Roman"/>
                <w:color w:val="000000"/>
                <w:sz w:val="20"/>
                <w:szCs w:val="20"/>
              </w:rPr>
            </w:pPr>
            <w:r w:rsidRPr="00EC4DF6">
              <w:rPr>
                <w:sz w:val="20"/>
                <w:szCs w:val="20"/>
              </w:rPr>
              <w:t>Early Rest</w:t>
            </w:r>
          </w:p>
        </w:tc>
        <w:tc>
          <w:tcPr>
            <w:tcW w:w="1260" w:type="dxa"/>
            <w:tcBorders>
              <w:top w:val="nil"/>
              <w:left w:val="nil"/>
              <w:bottom w:val="nil"/>
              <w:right w:val="nil"/>
            </w:tcBorders>
            <w:shd w:val="clear" w:color="000000" w:fill="D9D9D9"/>
            <w:noWrap/>
            <w:vAlign w:val="center"/>
          </w:tcPr>
          <w:p w14:paraId="0EE4150F" w14:textId="2730DF81" w:rsidR="00EC4DF6" w:rsidRPr="00C245B6" w:rsidRDefault="00EC4DF6" w:rsidP="00EC4DF6">
            <w:pPr>
              <w:spacing w:line="240" w:lineRule="auto"/>
              <w:jc w:val="center"/>
              <w:rPr>
                <w:rFonts w:cs="Times New Roman"/>
                <w:color w:val="000000"/>
                <w:sz w:val="20"/>
                <w:szCs w:val="20"/>
              </w:rPr>
            </w:pPr>
            <w:r w:rsidRPr="00C245B6">
              <w:rPr>
                <w:rFonts w:cs="Times New Roman"/>
                <w:color w:val="000000"/>
                <w:sz w:val="20"/>
                <w:szCs w:val="20"/>
              </w:rPr>
              <w:t>1.90</w:t>
            </w:r>
          </w:p>
        </w:tc>
        <w:tc>
          <w:tcPr>
            <w:tcW w:w="1350" w:type="dxa"/>
            <w:gridSpan w:val="2"/>
            <w:tcBorders>
              <w:top w:val="nil"/>
              <w:left w:val="nil"/>
              <w:bottom w:val="nil"/>
              <w:right w:val="nil"/>
            </w:tcBorders>
            <w:shd w:val="clear" w:color="000000" w:fill="D9D9D9"/>
            <w:noWrap/>
            <w:vAlign w:val="center"/>
          </w:tcPr>
          <w:p w14:paraId="5F089E30" w14:textId="07EDD4D9" w:rsidR="00EC4DF6" w:rsidRPr="00C245B6" w:rsidRDefault="00C245B6" w:rsidP="00EC4DF6">
            <w:pPr>
              <w:spacing w:line="240" w:lineRule="auto"/>
              <w:jc w:val="center"/>
              <w:rPr>
                <w:rFonts w:cs="Times New Roman"/>
                <w:color w:val="000000"/>
                <w:sz w:val="20"/>
                <w:szCs w:val="20"/>
              </w:rPr>
            </w:pPr>
            <w:r w:rsidRPr="00C245B6">
              <w:rPr>
                <w:rFonts w:cs="Times New Roman"/>
                <w:color w:val="000000"/>
                <w:sz w:val="20"/>
                <w:szCs w:val="20"/>
              </w:rPr>
              <w:t>0.387</w:t>
            </w:r>
          </w:p>
        </w:tc>
        <w:tc>
          <w:tcPr>
            <w:tcW w:w="1350" w:type="dxa"/>
            <w:gridSpan w:val="2"/>
            <w:tcBorders>
              <w:top w:val="nil"/>
              <w:left w:val="nil"/>
              <w:bottom w:val="nil"/>
              <w:right w:val="nil"/>
            </w:tcBorders>
            <w:shd w:val="clear" w:color="000000" w:fill="D9D9D9"/>
            <w:vAlign w:val="center"/>
          </w:tcPr>
          <w:p w14:paraId="68A98B0D" w14:textId="7665F8EB" w:rsidR="00EC4DF6" w:rsidRPr="00C245B6" w:rsidRDefault="00EC4DF6" w:rsidP="00EC4DF6">
            <w:pPr>
              <w:spacing w:line="240" w:lineRule="auto"/>
              <w:jc w:val="center"/>
              <w:rPr>
                <w:rFonts w:cs="Times New Roman"/>
                <w:color w:val="000000"/>
                <w:sz w:val="20"/>
                <w:szCs w:val="20"/>
              </w:rPr>
            </w:pPr>
            <w:r w:rsidRPr="00C245B6">
              <w:rPr>
                <w:rFonts w:cs="Times New Roman"/>
                <w:color w:val="000000"/>
                <w:sz w:val="20"/>
                <w:szCs w:val="20"/>
              </w:rPr>
              <w:t>166</w:t>
            </w:r>
          </w:p>
        </w:tc>
        <w:tc>
          <w:tcPr>
            <w:tcW w:w="900" w:type="dxa"/>
            <w:tcBorders>
              <w:top w:val="nil"/>
              <w:left w:val="nil"/>
              <w:bottom w:val="nil"/>
              <w:right w:val="nil"/>
            </w:tcBorders>
            <w:shd w:val="clear" w:color="000000" w:fill="D9D9D9"/>
            <w:vAlign w:val="center"/>
          </w:tcPr>
          <w:p w14:paraId="4B4855FA" w14:textId="0018402E" w:rsidR="00EC4DF6" w:rsidRPr="00C245B6" w:rsidRDefault="00EC4DF6" w:rsidP="00EC4DF6">
            <w:pPr>
              <w:spacing w:line="240" w:lineRule="auto"/>
              <w:jc w:val="center"/>
              <w:rPr>
                <w:rFonts w:cs="Times New Roman"/>
                <w:color w:val="000000"/>
                <w:sz w:val="20"/>
                <w:szCs w:val="20"/>
              </w:rPr>
            </w:pPr>
            <w:r w:rsidRPr="00C245B6">
              <w:rPr>
                <w:rFonts w:cs="Times New Roman"/>
                <w:color w:val="000000"/>
                <w:sz w:val="20"/>
                <w:szCs w:val="20"/>
              </w:rPr>
              <w:t>2</w:t>
            </w:r>
          </w:p>
        </w:tc>
      </w:tr>
      <w:tr w:rsidR="00EC4DF6" w:rsidRPr="00C61664" w14:paraId="4CA24D00" w14:textId="77777777" w:rsidTr="00EC4DF6">
        <w:trPr>
          <w:trHeight w:val="288"/>
        </w:trPr>
        <w:tc>
          <w:tcPr>
            <w:tcW w:w="2340" w:type="dxa"/>
            <w:tcBorders>
              <w:top w:val="nil"/>
              <w:left w:val="nil"/>
              <w:bottom w:val="nil"/>
              <w:right w:val="nil"/>
            </w:tcBorders>
            <w:shd w:val="clear" w:color="auto" w:fill="auto"/>
            <w:noWrap/>
            <w:vAlign w:val="center"/>
          </w:tcPr>
          <w:p w14:paraId="4E009D6D" w14:textId="5400F2B7" w:rsidR="00EC4DF6" w:rsidRPr="00EC4DF6" w:rsidRDefault="00EC4DF6" w:rsidP="00EC4DF6">
            <w:pPr>
              <w:spacing w:line="240" w:lineRule="auto"/>
              <w:rPr>
                <w:rFonts w:cs="Times New Roman"/>
                <w:color w:val="000000"/>
                <w:sz w:val="20"/>
                <w:szCs w:val="20"/>
              </w:rPr>
            </w:pPr>
            <w:r w:rsidRPr="00EC4DF6">
              <w:rPr>
                <w:sz w:val="20"/>
                <w:szCs w:val="20"/>
              </w:rPr>
              <w:t>Middle Rest</w:t>
            </w:r>
          </w:p>
        </w:tc>
        <w:tc>
          <w:tcPr>
            <w:tcW w:w="1260" w:type="dxa"/>
            <w:tcBorders>
              <w:top w:val="nil"/>
              <w:left w:val="nil"/>
              <w:bottom w:val="nil"/>
              <w:right w:val="nil"/>
            </w:tcBorders>
            <w:shd w:val="clear" w:color="auto" w:fill="auto"/>
            <w:noWrap/>
            <w:vAlign w:val="center"/>
          </w:tcPr>
          <w:p w14:paraId="08A42DA7" w14:textId="436B99CB" w:rsidR="00EC4DF6" w:rsidRPr="00C245B6" w:rsidRDefault="00EC4DF6" w:rsidP="00EC4DF6">
            <w:pPr>
              <w:spacing w:line="240" w:lineRule="auto"/>
              <w:jc w:val="center"/>
              <w:rPr>
                <w:rFonts w:cs="Times New Roman"/>
                <w:color w:val="000000"/>
                <w:sz w:val="20"/>
                <w:szCs w:val="20"/>
              </w:rPr>
            </w:pPr>
            <w:r w:rsidRPr="00C245B6">
              <w:rPr>
                <w:rFonts w:cs="Times New Roman"/>
                <w:color w:val="000000"/>
                <w:sz w:val="20"/>
                <w:szCs w:val="20"/>
              </w:rPr>
              <w:t>0.09</w:t>
            </w:r>
          </w:p>
        </w:tc>
        <w:tc>
          <w:tcPr>
            <w:tcW w:w="1350" w:type="dxa"/>
            <w:gridSpan w:val="2"/>
            <w:tcBorders>
              <w:top w:val="nil"/>
              <w:left w:val="nil"/>
              <w:bottom w:val="nil"/>
              <w:right w:val="nil"/>
            </w:tcBorders>
            <w:shd w:val="clear" w:color="auto" w:fill="auto"/>
            <w:noWrap/>
            <w:vAlign w:val="center"/>
          </w:tcPr>
          <w:p w14:paraId="1D7804FC" w14:textId="63EC9DF8" w:rsidR="00EC4DF6" w:rsidRPr="00C245B6" w:rsidRDefault="00C245B6" w:rsidP="00EC4DF6">
            <w:pPr>
              <w:spacing w:line="240" w:lineRule="auto"/>
              <w:jc w:val="center"/>
              <w:rPr>
                <w:rFonts w:cs="Times New Roman"/>
                <w:color w:val="000000"/>
                <w:sz w:val="20"/>
                <w:szCs w:val="20"/>
              </w:rPr>
            </w:pPr>
            <w:r w:rsidRPr="00C245B6">
              <w:rPr>
                <w:rFonts w:cs="Times New Roman"/>
                <w:color w:val="000000"/>
                <w:sz w:val="20"/>
                <w:szCs w:val="20"/>
              </w:rPr>
              <w:t>0.955</w:t>
            </w:r>
          </w:p>
        </w:tc>
        <w:tc>
          <w:tcPr>
            <w:tcW w:w="1350" w:type="dxa"/>
            <w:gridSpan w:val="2"/>
            <w:tcBorders>
              <w:top w:val="nil"/>
              <w:left w:val="nil"/>
              <w:bottom w:val="nil"/>
              <w:right w:val="nil"/>
            </w:tcBorders>
            <w:shd w:val="clear" w:color="auto" w:fill="auto"/>
            <w:vAlign w:val="center"/>
          </w:tcPr>
          <w:p w14:paraId="2063FC8F" w14:textId="03ADE4F0" w:rsidR="00EC4DF6" w:rsidRPr="00C245B6" w:rsidRDefault="00EC4DF6" w:rsidP="00EC4DF6">
            <w:pPr>
              <w:spacing w:line="240" w:lineRule="auto"/>
              <w:jc w:val="center"/>
              <w:rPr>
                <w:rFonts w:cs="Times New Roman"/>
                <w:color w:val="000000"/>
                <w:sz w:val="20"/>
                <w:szCs w:val="20"/>
              </w:rPr>
            </w:pPr>
            <w:r w:rsidRPr="00C245B6">
              <w:rPr>
                <w:rFonts w:cs="Times New Roman"/>
                <w:color w:val="000000"/>
                <w:sz w:val="20"/>
                <w:szCs w:val="20"/>
              </w:rPr>
              <w:t>164</w:t>
            </w:r>
          </w:p>
        </w:tc>
        <w:tc>
          <w:tcPr>
            <w:tcW w:w="900" w:type="dxa"/>
            <w:tcBorders>
              <w:top w:val="nil"/>
              <w:left w:val="nil"/>
              <w:bottom w:val="nil"/>
              <w:right w:val="nil"/>
            </w:tcBorders>
            <w:shd w:val="clear" w:color="auto" w:fill="auto"/>
            <w:vAlign w:val="center"/>
          </w:tcPr>
          <w:p w14:paraId="36DCB897" w14:textId="3D62D2F1" w:rsidR="00EC4DF6" w:rsidRPr="00C245B6" w:rsidRDefault="00EC4DF6" w:rsidP="00EC4DF6">
            <w:pPr>
              <w:spacing w:line="240" w:lineRule="auto"/>
              <w:jc w:val="center"/>
              <w:rPr>
                <w:rFonts w:cs="Times New Roman"/>
                <w:color w:val="000000"/>
                <w:sz w:val="20"/>
                <w:szCs w:val="20"/>
              </w:rPr>
            </w:pPr>
            <w:r w:rsidRPr="00C245B6">
              <w:rPr>
                <w:rFonts w:cs="Times New Roman"/>
                <w:color w:val="000000"/>
                <w:sz w:val="20"/>
                <w:szCs w:val="20"/>
              </w:rPr>
              <w:t>2</w:t>
            </w:r>
          </w:p>
        </w:tc>
      </w:tr>
      <w:tr w:rsidR="00EC4DF6" w:rsidRPr="00C61664" w14:paraId="21803663" w14:textId="77777777" w:rsidTr="00EC4DF6">
        <w:trPr>
          <w:trHeight w:val="288"/>
        </w:trPr>
        <w:tc>
          <w:tcPr>
            <w:tcW w:w="2340" w:type="dxa"/>
            <w:tcBorders>
              <w:top w:val="nil"/>
              <w:left w:val="nil"/>
              <w:bottom w:val="nil"/>
              <w:right w:val="nil"/>
            </w:tcBorders>
            <w:shd w:val="clear" w:color="000000" w:fill="D9D9D9"/>
            <w:noWrap/>
            <w:vAlign w:val="center"/>
          </w:tcPr>
          <w:p w14:paraId="7E115556" w14:textId="436C3F3B" w:rsidR="00EC4DF6" w:rsidRPr="00EC4DF6" w:rsidRDefault="00EC4DF6" w:rsidP="00EC4DF6">
            <w:pPr>
              <w:spacing w:line="240" w:lineRule="auto"/>
              <w:rPr>
                <w:rFonts w:cs="Times New Roman"/>
                <w:color w:val="000000"/>
                <w:sz w:val="20"/>
                <w:szCs w:val="20"/>
              </w:rPr>
            </w:pPr>
            <w:r w:rsidRPr="00EC4DF6">
              <w:rPr>
                <w:sz w:val="20"/>
                <w:szCs w:val="20"/>
              </w:rPr>
              <w:t>Late Rest</w:t>
            </w:r>
          </w:p>
        </w:tc>
        <w:tc>
          <w:tcPr>
            <w:tcW w:w="1260" w:type="dxa"/>
            <w:tcBorders>
              <w:top w:val="nil"/>
              <w:left w:val="nil"/>
              <w:bottom w:val="nil"/>
              <w:right w:val="nil"/>
            </w:tcBorders>
            <w:shd w:val="clear" w:color="000000" w:fill="D9D9D9"/>
            <w:noWrap/>
            <w:vAlign w:val="center"/>
          </w:tcPr>
          <w:p w14:paraId="7A03BA2D" w14:textId="312C6AF7" w:rsidR="00EC4DF6" w:rsidRPr="00C245B6" w:rsidRDefault="00EC4DF6" w:rsidP="00EC4DF6">
            <w:pPr>
              <w:spacing w:line="240" w:lineRule="auto"/>
              <w:jc w:val="center"/>
              <w:rPr>
                <w:rFonts w:cs="Times New Roman"/>
                <w:color w:val="000000"/>
                <w:sz w:val="20"/>
                <w:szCs w:val="20"/>
              </w:rPr>
            </w:pPr>
            <w:r w:rsidRPr="00C245B6">
              <w:rPr>
                <w:rFonts w:cs="Times New Roman"/>
                <w:color w:val="000000"/>
                <w:sz w:val="20"/>
                <w:szCs w:val="20"/>
              </w:rPr>
              <w:t>1.58</w:t>
            </w:r>
          </w:p>
        </w:tc>
        <w:tc>
          <w:tcPr>
            <w:tcW w:w="1350" w:type="dxa"/>
            <w:gridSpan w:val="2"/>
            <w:tcBorders>
              <w:top w:val="nil"/>
              <w:left w:val="nil"/>
              <w:bottom w:val="nil"/>
              <w:right w:val="nil"/>
            </w:tcBorders>
            <w:shd w:val="clear" w:color="000000" w:fill="D9D9D9"/>
            <w:noWrap/>
            <w:vAlign w:val="center"/>
          </w:tcPr>
          <w:p w14:paraId="7C0A4CF3" w14:textId="1C261445" w:rsidR="00EC4DF6" w:rsidRPr="00C245B6" w:rsidRDefault="00C245B6" w:rsidP="00EC4DF6">
            <w:pPr>
              <w:spacing w:line="240" w:lineRule="auto"/>
              <w:jc w:val="center"/>
              <w:rPr>
                <w:rFonts w:cs="Times New Roman"/>
                <w:color w:val="000000"/>
                <w:sz w:val="20"/>
                <w:szCs w:val="20"/>
              </w:rPr>
            </w:pPr>
            <w:r w:rsidRPr="00C245B6">
              <w:rPr>
                <w:rFonts w:cs="Times New Roman"/>
                <w:color w:val="000000"/>
                <w:sz w:val="20"/>
                <w:szCs w:val="20"/>
              </w:rPr>
              <w:t>0.454</w:t>
            </w:r>
          </w:p>
        </w:tc>
        <w:tc>
          <w:tcPr>
            <w:tcW w:w="1350" w:type="dxa"/>
            <w:gridSpan w:val="2"/>
            <w:tcBorders>
              <w:top w:val="nil"/>
              <w:left w:val="nil"/>
              <w:bottom w:val="nil"/>
              <w:right w:val="nil"/>
            </w:tcBorders>
            <w:shd w:val="clear" w:color="000000" w:fill="D9D9D9"/>
            <w:vAlign w:val="center"/>
          </w:tcPr>
          <w:p w14:paraId="3237092E" w14:textId="63C84F37" w:rsidR="00EC4DF6" w:rsidRPr="00C245B6" w:rsidRDefault="00EC4DF6" w:rsidP="00EC4DF6">
            <w:pPr>
              <w:spacing w:line="240" w:lineRule="auto"/>
              <w:jc w:val="center"/>
              <w:rPr>
                <w:rFonts w:cs="Times New Roman"/>
                <w:color w:val="000000"/>
                <w:sz w:val="20"/>
                <w:szCs w:val="20"/>
              </w:rPr>
            </w:pPr>
            <w:r w:rsidRPr="00C245B6">
              <w:rPr>
                <w:rFonts w:cs="Times New Roman"/>
                <w:color w:val="000000"/>
                <w:sz w:val="20"/>
                <w:szCs w:val="20"/>
              </w:rPr>
              <w:t>152</w:t>
            </w:r>
          </w:p>
        </w:tc>
        <w:tc>
          <w:tcPr>
            <w:tcW w:w="900" w:type="dxa"/>
            <w:tcBorders>
              <w:top w:val="nil"/>
              <w:left w:val="nil"/>
              <w:bottom w:val="nil"/>
              <w:right w:val="nil"/>
            </w:tcBorders>
            <w:shd w:val="clear" w:color="000000" w:fill="D9D9D9"/>
            <w:vAlign w:val="center"/>
          </w:tcPr>
          <w:p w14:paraId="0467E9C7" w14:textId="1343442B" w:rsidR="00EC4DF6" w:rsidRPr="00C245B6" w:rsidRDefault="00EC4DF6" w:rsidP="00EC4DF6">
            <w:pPr>
              <w:spacing w:line="240" w:lineRule="auto"/>
              <w:jc w:val="center"/>
              <w:rPr>
                <w:rFonts w:cs="Times New Roman"/>
                <w:color w:val="000000"/>
                <w:sz w:val="20"/>
                <w:szCs w:val="20"/>
              </w:rPr>
            </w:pPr>
            <w:r w:rsidRPr="00C245B6">
              <w:rPr>
                <w:rFonts w:cs="Times New Roman"/>
                <w:color w:val="000000"/>
                <w:sz w:val="20"/>
                <w:szCs w:val="20"/>
              </w:rPr>
              <w:t>2</w:t>
            </w:r>
          </w:p>
        </w:tc>
      </w:tr>
      <w:tr w:rsidR="00EC4DF6" w:rsidRPr="00C61664" w14:paraId="546868E2" w14:textId="77777777" w:rsidTr="00EC4DF6">
        <w:trPr>
          <w:trHeight w:val="288"/>
        </w:trPr>
        <w:tc>
          <w:tcPr>
            <w:tcW w:w="2340" w:type="dxa"/>
            <w:tcBorders>
              <w:top w:val="nil"/>
              <w:left w:val="nil"/>
              <w:bottom w:val="single" w:sz="12" w:space="0" w:color="auto"/>
              <w:right w:val="nil"/>
            </w:tcBorders>
            <w:shd w:val="clear" w:color="auto" w:fill="auto"/>
            <w:noWrap/>
            <w:vAlign w:val="center"/>
            <w:hideMark/>
          </w:tcPr>
          <w:p w14:paraId="37CFB859" w14:textId="51D0FD78" w:rsidR="00EC4DF6" w:rsidRPr="00EC4DF6" w:rsidRDefault="00EC4DF6" w:rsidP="00EC4DF6">
            <w:pPr>
              <w:spacing w:line="240" w:lineRule="auto"/>
              <w:rPr>
                <w:rFonts w:cs="Times New Roman"/>
                <w:color w:val="000000"/>
                <w:sz w:val="20"/>
                <w:szCs w:val="20"/>
              </w:rPr>
            </w:pPr>
            <w:r w:rsidRPr="00EC4DF6">
              <w:rPr>
                <w:sz w:val="20"/>
                <w:szCs w:val="20"/>
              </w:rPr>
              <w:t>Post-grazing</w:t>
            </w:r>
          </w:p>
        </w:tc>
        <w:tc>
          <w:tcPr>
            <w:tcW w:w="1260" w:type="dxa"/>
            <w:tcBorders>
              <w:top w:val="nil"/>
              <w:left w:val="nil"/>
              <w:bottom w:val="single" w:sz="12" w:space="0" w:color="auto"/>
              <w:right w:val="nil"/>
            </w:tcBorders>
            <w:shd w:val="clear" w:color="auto" w:fill="auto"/>
            <w:noWrap/>
            <w:vAlign w:val="center"/>
          </w:tcPr>
          <w:p w14:paraId="36E0082C" w14:textId="4421886B" w:rsidR="00EC4DF6" w:rsidRPr="00C245B6" w:rsidRDefault="00C245B6" w:rsidP="00EC4DF6">
            <w:pPr>
              <w:spacing w:line="240" w:lineRule="auto"/>
              <w:jc w:val="center"/>
              <w:rPr>
                <w:rFonts w:cs="Times New Roman"/>
                <w:color w:val="000000"/>
                <w:sz w:val="20"/>
                <w:szCs w:val="20"/>
              </w:rPr>
            </w:pPr>
            <w:r w:rsidRPr="00C245B6">
              <w:rPr>
                <w:rFonts w:cs="Times New Roman"/>
                <w:color w:val="000000"/>
                <w:sz w:val="20"/>
                <w:szCs w:val="20"/>
              </w:rPr>
              <w:t>5.82</w:t>
            </w:r>
          </w:p>
        </w:tc>
        <w:tc>
          <w:tcPr>
            <w:tcW w:w="1350" w:type="dxa"/>
            <w:gridSpan w:val="2"/>
            <w:tcBorders>
              <w:top w:val="nil"/>
              <w:left w:val="nil"/>
              <w:bottom w:val="single" w:sz="12" w:space="0" w:color="auto"/>
              <w:right w:val="nil"/>
            </w:tcBorders>
            <w:shd w:val="clear" w:color="auto" w:fill="auto"/>
            <w:noWrap/>
            <w:vAlign w:val="center"/>
          </w:tcPr>
          <w:p w14:paraId="4BA651A8" w14:textId="1F095AF1" w:rsidR="00EC4DF6" w:rsidRPr="00C245B6" w:rsidRDefault="00C245B6" w:rsidP="00EC4DF6">
            <w:pPr>
              <w:spacing w:line="240" w:lineRule="auto"/>
              <w:jc w:val="center"/>
              <w:rPr>
                <w:rFonts w:cs="Times New Roman"/>
                <w:color w:val="000000"/>
                <w:sz w:val="20"/>
                <w:szCs w:val="20"/>
              </w:rPr>
            </w:pPr>
            <w:r w:rsidRPr="00C245B6">
              <w:rPr>
                <w:rFonts w:cs="Times New Roman"/>
                <w:color w:val="000000"/>
                <w:sz w:val="20"/>
                <w:szCs w:val="20"/>
              </w:rPr>
              <w:t>0.213</w:t>
            </w:r>
          </w:p>
        </w:tc>
        <w:tc>
          <w:tcPr>
            <w:tcW w:w="1350" w:type="dxa"/>
            <w:gridSpan w:val="2"/>
            <w:tcBorders>
              <w:top w:val="nil"/>
              <w:left w:val="nil"/>
              <w:bottom w:val="single" w:sz="12" w:space="0" w:color="auto"/>
              <w:right w:val="nil"/>
            </w:tcBorders>
            <w:shd w:val="clear" w:color="auto" w:fill="auto"/>
            <w:vAlign w:val="center"/>
          </w:tcPr>
          <w:p w14:paraId="4697736C" w14:textId="5547AFB1" w:rsidR="00EC4DF6" w:rsidRPr="00C245B6" w:rsidRDefault="00EC4DF6" w:rsidP="00EC4DF6">
            <w:pPr>
              <w:spacing w:line="240" w:lineRule="auto"/>
              <w:jc w:val="center"/>
              <w:rPr>
                <w:rFonts w:cs="Times New Roman"/>
                <w:color w:val="000000"/>
                <w:sz w:val="20"/>
                <w:szCs w:val="20"/>
              </w:rPr>
            </w:pPr>
            <w:r w:rsidRPr="00C245B6">
              <w:rPr>
                <w:rFonts w:cs="Times New Roman"/>
                <w:color w:val="000000"/>
                <w:sz w:val="20"/>
                <w:szCs w:val="20"/>
              </w:rPr>
              <w:t>234</w:t>
            </w:r>
          </w:p>
        </w:tc>
        <w:tc>
          <w:tcPr>
            <w:tcW w:w="900" w:type="dxa"/>
            <w:tcBorders>
              <w:top w:val="nil"/>
              <w:left w:val="nil"/>
              <w:bottom w:val="single" w:sz="12" w:space="0" w:color="auto"/>
              <w:right w:val="nil"/>
            </w:tcBorders>
            <w:shd w:val="clear" w:color="auto" w:fill="auto"/>
            <w:vAlign w:val="center"/>
          </w:tcPr>
          <w:p w14:paraId="3B33C476" w14:textId="169AD3DB" w:rsidR="00EC4DF6" w:rsidRPr="00C245B6" w:rsidRDefault="00EC4DF6" w:rsidP="00EC4DF6">
            <w:pPr>
              <w:spacing w:line="240" w:lineRule="auto"/>
              <w:jc w:val="center"/>
              <w:rPr>
                <w:rFonts w:cs="Times New Roman"/>
                <w:color w:val="000000"/>
                <w:sz w:val="20"/>
                <w:szCs w:val="20"/>
              </w:rPr>
            </w:pPr>
            <w:r w:rsidRPr="00C245B6">
              <w:rPr>
                <w:rFonts w:cs="Times New Roman"/>
                <w:color w:val="000000"/>
                <w:sz w:val="20"/>
                <w:szCs w:val="20"/>
              </w:rPr>
              <w:t>4</w:t>
            </w:r>
          </w:p>
        </w:tc>
      </w:tr>
    </w:tbl>
    <w:p w14:paraId="2340062D" w14:textId="77777777" w:rsidR="000C3632" w:rsidRDefault="005736A9" w:rsidP="005736A9">
      <w:pPr>
        <w:spacing w:line="240" w:lineRule="auto"/>
        <w:rPr>
          <w:rFonts w:eastAsia="Calibri" w:cs="Times New Roman"/>
          <w:bCs/>
        </w:rPr>
        <w:sectPr w:rsidR="000C3632" w:rsidSect="00C92DB5">
          <w:headerReference w:type="default" r:id="rId34"/>
          <w:footerReference w:type="default" r:id="rId35"/>
          <w:pgSz w:w="12240" w:h="15840" w:code="1"/>
          <w:pgMar w:top="1440" w:right="1800" w:bottom="1872" w:left="1800" w:header="720" w:footer="1440" w:gutter="0"/>
          <w:cols w:space="720"/>
          <w:noEndnote/>
          <w:docGrid w:linePitch="360"/>
        </w:sectPr>
      </w:pPr>
      <w:r w:rsidRPr="00BC2376">
        <w:rPr>
          <w:rFonts w:eastAsia="Calibri" w:cs="Times New Roman"/>
          <w:bCs/>
        </w:rPr>
        <w:t>†</w:t>
      </w:r>
      <w:r w:rsidR="00881FE0">
        <w:rPr>
          <w:rFonts w:eastAsia="Calibri" w:cs="Times New Roman"/>
          <w:bCs/>
        </w:rPr>
        <w:t>Sampling period = Pre-grazing (May), Earl</w:t>
      </w:r>
      <w:r w:rsidR="007D02CB">
        <w:rPr>
          <w:rFonts w:eastAsia="Calibri" w:cs="Times New Roman"/>
          <w:bCs/>
        </w:rPr>
        <w:t>y</w:t>
      </w:r>
      <w:r w:rsidR="00881FE0">
        <w:rPr>
          <w:rFonts w:eastAsia="Calibri" w:cs="Times New Roman"/>
          <w:bCs/>
        </w:rPr>
        <w:t xml:space="preserve"> Rest (</w:t>
      </w:r>
      <w:r w:rsidR="007D02CB">
        <w:rPr>
          <w:rFonts w:eastAsia="Calibri" w:cs="Times New Roman"/>
          <w:bCs/>
        </w:rPr>
        <w:t>June)</w:t>
      </w:r>
      <w:r w:rsidR="000218C6" w:rsidRPr="00BC2376">
        <w:rPr>
          <w:rFonts w:eastAsia="Calibri" w:cs="Times New Roman"/>
          <w:bCs/>
        </w:rPr>
        <w:t xml:space="preserve">, </w:t>
      </w:r>
      <w:r w:rsidR="007D02CB">
        <w:rPr>
          <w:rFonts w:eastAsia="Calibri" w:cs="Times New Roman"/>
          <w:bCs/>
        </w:rPr>
        <w:t>M</w:t>
      </w:r>
      <w:r w:rsidR="000218C6" w:rsidRPr="00BC2376">
        <w:rPr>
          <w:rFonts w:eastAsia="Calibri" w:cs="Times New Roman"/>
          <w:bCs/>
        </w:rPr>
        <w:t xml:space="preserve">iddle </w:t>
      </w:r>
      <w:r w:rsidR="007D02CB">
        <w:rPr>
          <w:rFonts w:eastAsia="Calibri" w:cs="Times New Roman"/>
          <w:bCs/>
        </w:rPr>
        <w:t>R</w:t>
      </w:r>
      <w:r w:rsidR="000218C6" w:rsidRPr="00BC2376">
        <w:rPr>
          <w:rFonts w:eastAsia="Calibri" w:cs="Times New Roman"/>
          <w:bCs/>
        </w:rPr>
        <w:t>est</w:t>
      </w:r>
      <w:r w:rsidR="007D02CB">
        <w:rPr>
          <w:rFonts w:eastAsia="Calibri" w:cs="Times New Roman"/>
          <w:bCs/>
        </w:rPr>
        <w:t xml:space="preserve"> (July),</w:t>
      </w:r>
      <w:r w:rsidR="000218C6" w:rsidRPr="00BC2376">
        <w:rPr>
          <w:rFonts w:eastAsia="Calibri" w:cs="Times New Roman"/>
          <w:bCs/>
        </w:rPr>
        <w:t xml:space="preserve"> </w:t>
      </w:r>
      <w:r w:rsidR="007D02CB">
        <w:rPr>
          <w:rFonts w:eastAsia="Calibri" w:cs="Times New Roman"/>
          <w:bCs/>
        </w:rPr>
        <w:t>L</w:t>
      </w:r>
      <w:r w:rsidR="000218C6" w:rsidRPr="00BC2376">
        <w:rPr>
          <w:rFonts w:eastAsia="Calibri" w:cs="Times New Roman"/>
          <w:bCs/>
        </w:rPr>
        <w:t xml:space="preserve">ate </w:t>
      </w:r>
      <w:r w:rsidR="007D02CB">
        <w:rPr>
          <w:rFonts w:eastAsia="Calibri" w:cs="Times New Roman"/>
          <w:bCs/>
        </w:rPr>
        <w:t>R</w:t>
      </w:r>
      <w:r w:rsidR="000218C6" w:rsidRPr="00BC2376">
        <w:rPr>
          <w:rFonts w:eastAsia="Calibri" w:cs="Times New Roman"/>
          <w:bCs/>
        </w:rPr>
        <w:t>est</w:t>
      </w:r>
      <w:r w:rsidR="007D02CB">
        <w:rPr>
          <w:rFonts w:eastAsia="Calibri" w:cs="Times New Roman"/>
          <w:bCs/>
        </w:rPr>
        <w:t xml:space="preserve"> (July/</w:t>
      </w:r>
      <w:r w:rsidR="000218C6">
        <w:rPr>
          <w:rFonts w:eastAsia="Calibri" w:cs="Times New Roman"/>
          <w:bCs/>
        </w:rPr>
        <w:t>August</w:t>
      </w:r>
      <w:r w:rsidR="007D02CB">
        <w:rPr>
          <w:rFonts w:eastAsia="Calibri" w:cs="Times New Roman"/>
          <w:bCs/>
        </w:rPr>
        <w:t>), P</w:t>
      </w:r>
      <w:r w:rsidR="000218C6" w:rsidRPr="00BC2376">
        <w:rPr>
          <w:rFonts w:eastAsia="Calibri" w:cs="Times New Roman"/>
          <w:bCs/>
        </w:rPr>
        <w:t>ost-grazing</w:t>
      </w:r>
      <w:r w:rsidR="007D02CB">
        <w:rPr>
          <w:rFonts w:eastAsia="Calibri" w:cs="Times New Roman"/>
          <w:bCs/>
        </w:rPr>
        <w:t xml:space="preserve"> (August/ September</w:t>
      </w:r>
      <w:r w:rsidR="000D7CB3">
        <w:rPr>
          <w:rFonts w:eastAsia="Calibri" w:cs="Times New Roman"/>
          <w:bCs/>
        </w:rPr>
        <w:t>)</w:t>
      </w:r>
    </w:p>
    <w:p w14:paraId="30C249C9" w14:textId="50B08772" w:rsidR="00F84C04" w:rsidRDefault="00A4234D" w:rsidP="005736A9">
      <w:pPr>
        <w:spacing w:line="240" w:lineRule="auto"/>
        <w:rPr>
          <w:rFonts w:eastAsia="Calibri" w:cs="Times New Roman"/>
          <w:bCs/>
        </w:rPr>
      </w:pPr>
      <w:r w:rsidRPr="00A4234D">
        <w:rPr>
          <w:rFonts w:eastAsia="Calibri"/>
          <w:noProof/>
        </w:rPr>
        <w:lastRenderedPageBreak/>
        <w:drawing>
          <wp:inline distT="0" distB="0" distL="0" distR="0" wp14:anchorId="45AB0F72" wp14:editId="4846C45C">
            <wp:extent cx="5486400" cy="4608195"/>
            <wp:effectExtent l="19050" t="19050" r="19050" b="2095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6400" cy="4608195"/>
                    </a:xfrm>
                    <a:prstGeom prst="rect">
                      <a:avLst/>
                    </a:prstGeom>
                    <a:noFill/>
                    <a:ln>
                      <a:solidFill>
                        <a:schemeClr val="tx1"/>
                      </a:solidFill>
                    </a:ln>
                  </pic:spPr>
                </pic:pic>
              </a:graphicData>
            </a:graphic>
          </wp:inline>
        </w:drawing>
      </w:r>
    </w:p>
    <w:p w14:paraId="2D0CB01B" w14:textId="02CA7AD3" w:rsidR="000C3632" w:rsidRDefault="00A4234D" w:rsidP="000C3632">
      <w:pPr>
        <w:pStyle w:val="Figures"/>
      </w:pPr>
      <w:bookmarkStart w:id="218" w:name="_Toc72300466"/>
      <w:r>
        <w:t xml:space="preserve">Figure 2.1  </w:t>
      </w:r>
      <w:r w:rsidR="000C3632">
        <w:t>Field layout of f</w:t>
      </w:r>
      <w:r w:rsidR="000C3632" w:rsidRPr="000C3632">
        <w:t xml:space="preserve">ive grazing treatments based on the timing of within-season rest (no rest, early rest, middle rest, late rest, and no grazing control) arranged in a completely randomized design with four replicates (n = 20 plots) within each of the </w:t>
      </w:r>
      <w:r w:rsidR="000C3632">
        <w:t>t</w:t>
      </w:r>
      <w:r w:rsidR="000C3632" w:rsidRPr="000C3632">
        <w:t>wo, 1.2-ha pastures (</w:t>
      </w:r>
      <w:r w:rsidR="000C3632">
        <w:t>switchgrass</w:t>
      </w:r>
      <w:r w:rsidR="000C3632" w:rsidRPr="000C3632">
        <w:t xml:space="preserve"> and </w:t>
      </w:r>
      <w:r w:rsidR="000C3632">
        <w:t>big bluestem/indiangrass</w:t>
      </w:r>
      <w:r w:rsidR="000C3632" w:rsidRPr="000C3632">
        <w:t xml:space="preserve"> mixture) interseeded with an 11-species biodiversity mixture of native forbs</w:t>
      </w:r>
      <w:r w:rsidRPr="00BC2376">
        <w:t xml:space="preserve"> at</w:t>
      </w:r>
      <w:r>
        <w:t xml:space="preserve"> the</w:t>
      </w:r>
      <w:r w:rsidRPr="00BC2376">
        <w:t xml:space="preserve"> </w:t>
      </w:r>
      <w:bookmarkStart w:id="219" w:name="_Hlk71736229"/>
      <w:r>
        <w:t>University of Tennessee – N</w:t>
      </w:r>
      <w:r w:rsidRPr="00BC2376">
        <w:t xml:space="preserve">ortheast Tennessee AgResearch and Education Center, </w:t>
      </w:r>
      <w:r>
        <w:t>Greeneville</w:t>
      </w:r>
      <w:r w:rsidRPr="00BC2376">
        <w:t>, TN</w:t>
      </w:r>
      <w:bookmarkEnd w:id="219"/>
      <w:r>
        <w:t>, 2017-2020.</w:t>
      </w:r>
      <w:bookmarkEnd w:id="218"/>
    </w:p>
    <w:p w14:paraId="315F9E4A" w14:textId="77777777" w:rsidR="000C3632" w:rsidRDefault="000C3632" w:rsidP="005736A9">
      <w:pPr>
        <w:spacing w:line="240" w:lineRule="auto"/>
        <w:rPr>
          <w:rFonts w:eastAsia="Calibri" w:cs="Times New Roman"/>
          <w:bCs/>
        </w:rPr>
      </w:pPr>
    </w:p>
    <w:p w14:paraId="183C84EA" w14:textId="7CA3C23D" w:rsidR="000C3632" w:rsidRDefault="000C3632" w:rsidP="005736A9">
      <w:pPr>
        <w:spacing w:line="240" w:lineRule="auto"/>
        <w:rPr>
          <w:rFonts w:eastAsia="Calibri" w:cs="Times New Roman"/>
          <w:bCs/>
        </w:rPr>
        <w:sectPr w:rsidR="000C3632" w:rsidSect="00C92DB5">
          <w:pgSz w:w="12240" w:h="15840" w:code="1"/>
          <w:pgMar w:top="1440" w:right="1800" w:bottom="1872" w:left="1800" w:header="720" w:footer="1440" w:gutter="0"/>
          <w:cols w:space="720"/>
          <w:noEndnote/>
          <w:docGrid w:linePitch="360"/>
        </w:sectPr>
      </w:pPr>
    </w:p>
    <w:p w14:paraId="557FBEDF" w14:textId="77C5FDAD" w:rsidR="009F40C7" w:rsidRDefault="000044A5" w:rsidP="00D67D7B">
      <w:pPr>
        <w:spacing w:after="100" w:afterAutospacing="1" w:line="240" w:lineRule="auto"/>
        <w:rPr>
          <w:rFonts w:cs="Times New Roman"/>
        </w:rPr>
      </w:pPr>
      <w:r>
        <w:rPr>
          <w:noProof/>
        </w:rPr>
        <w:lastRenderedPageBreak/>
        <w:drawing>
          <wp:inline distT="0" distB="0" distL="0" distR="0" wp14:anchorId="194CD547" wp14:editId="0AB1B1E9">
            <wp:extent cx="5486400" cy="3065780"/>
            <wp:effectExtent l="0" t="0" r="0" b="1270"/>
            <wp:docPr id="194" name="Chart 194">
              <a:extLst xmlns:a="http://schemas.openxmlformats.org/drawingml/2006/main">
                <a:ext uri="{FF2B5EF4-FFF2-40B4-BE49-F238E27FC236}">
                  <a16:creationId xmlns:a16="http://schemas.microsoft.com/office/drawing/2014/main" id="{83BB9A51-9D54-4943-AC3F-327DEEBC68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r w:rsidR="009F40C7" w:rsidRPr="002B08F4">
        <w:rPr>
          <w:rFonts w:cs="Times New Roman"/>
          <w:noProof/>
        </w:rPr>
        <mc:AlternateContent>
          <mc:Choice Requires="wps">
            <w:drawing>
              <wp:anchor distT="45720" distB="45720" distL="114300" distR="114300" simplePos="0" relativeHeight="251672576" behindDoc="0" locked="0" layoutInCell="1" allowOverlap="1" wp14:anchorId="0DBFE6B0" wp14:editId="16019D98">
                <wp:simplePos x="0" y="0"/>
                <wp:positionH relativeFrom="margin">
                  <wp:align>left</wp:align>
                </wp:positionH>
                <wp:positionV relativeFrom="paragraph">
                  <wp:posOffset>5697220</wp:posOffset>
                </wp:positionV>
                <wp:extent cx="457200" cy="45720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7200"/>
                        </a:xfrm>
                        <a:prstGeom prst="rect">
                          <a:avLst/>
                        </a:prstGeom>
                        <a:noFill/>
                        <a:ln w="9525">
                          <a:noFill/>
                          <a:miter lim="800000"/>
                          <a:headEnd/>
                          <a:tailEnd/>
                        </a:ln>
                      </wps:spPr>
                      <wps:txbx>
                        <w:txbxContent>
                          <w:p w14:paraId="6A9A6A40" w14:textId="77777777" w:rsidR="002503ED" w:rsidRPr="002B08F4" w:rsidRDefault="002503ED" w:rsidP="009F40C7">
                            <w:pPr>
                              <w:rPr>
                                <w:sz w:val="40"/>
                                <w:szCs w:val="40"/>
                              </w:rPr>
                            </w:pPr>
                            <w:r>
                              <w:rPr>
                                <w:sz w:val="40"/>
                                <w:szCs w:val="40"/>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BFE6B0" id="_x0000_s1030" type="#_x0000_t202" style="position:absolute;margin-left:0;margin-top:448.6pt;width:36pt;height:36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" filled="f" stroked="f">
                <v:textbox>
                  <w:txbxContent>
                    <w:p w14:paraId="6A9A6A40" w14:textId="77777777" w:rsidR="002503ED" w:rsidRPr="002B08F4" w:rsidRDefault="002503ED" w:rsidP="009F40C7">
                      <w:pPr>
                        <w:rPr>
                          <w:sz w:val="40"/>
                          <w:szCs w:val="40"/>
                        </w:rPr>
                      </w:pPr>
                      <w:r>
                        <w:rPr>
                          <w:sz w:val="40"/>
                          <w:szCs w:val="40"/>
                        </w:rPr>
                        <w:t>b</w:t>
                      </w:r>
                    </w:p>
                  </w:txbxContent>
                </v:textbox>
                <w10:wrap anchorx="margin"/>
              </v:shape>
            </w:pict>
          </mc:Fallback>
        </mc:AlternateContent>
      </w:r>
      <w:r w:rsidR="009F40C7" w:rsidRPr="002B08F4">
        <w:rPr>
          <w:rFonts w:cs="Times New Roman"/>
          <w:noProof/>
        </w:rPr>
        <mc:AlternateContent>
          <mc:Choice Requires="wps">
            <w:drawing>
              <wp:anchor distT="45720" distB="45720" distL="114300" distR="114300" simplePos="0" relativeHeight="251671552" behindDoc="0" locked="0" layoutInCell="1" allowOverlap="1" wp14:anchorId="570797C6" wp14:editId="595672AD">
                <wp:simplePos x="0" y="0"/>
                <wp:positionH relativeFrom="margin">
                  <wp:posOffset>0</wp:posOffset>
                </wp:positionH>
                <wp:positionV relativeFrom="paragraph">
                  <wp:posOffset>2611755</wp:posOffset>
                </wp:positionV>
                <wp:extent cx="457200" cy="4572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7200"/>
                        </a:xfrm>
                        <a:prstGeom prst="rect">
                          <a:avLst/>
                        </a:prstGeom>
                        <a:noFill/>
                        <a:ln w="9525">
                          <a:noFill/>
                          <a:miter lim="800000"/>
                          <a:headEnd/>
                          <a:tailEnd/>
                        </a:ln>
                      </wps:spPr>
                      <wps:txbx>
                        <w:txbxContent>
                          <w:p w14:paraId="40EB043F" w14:textId="77777777" w:rsidR="002503ED" w:rsidRPr="002B08F4" w:rsidRDefault="002503ED" w:rsidP="009F40C7">
                            <w:pPr>
                              <w:rPr>
                                <w:sz w:val="40"/>
                                <w:szCs w:val="40"/>
                              </w:rPr>
                            </w:pPr>
                            <w:r w:rsidRPr="002B08F4">
                              <w:rPr>
                                <w:sz w:val="40"/>
                                <w:szCs w:val="40"/>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0797C6" id="_x0000_s1031" type="#_x0000_t202" style="position:absolute;margin-left:0;margin-top:205.65pt;width:36pt;height:36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" filled="f" stroked="f">
                <v:textbox>
                  <w:txbxContent>
                    <w:p w14:paraId="40EB043F" w14:textId="77777777" w:rsidR="002503ED" w:rsidRPr="002B08F4" w:rsidRDefault="002503ED" w:rsidP="009F40C7">
                      <w:pPr>
                        <w:rPr>
                          <w:sz w:val="40"/>
                          <w:szCs w:val="40"/>
                        </w:rPr>
                      </w:pPr>
                      <w:r w:rsidRPr="002B08F4">
                        <w:rPr>
                          <w:sz w:val="40"/>
                          <w:szCs w:val="40"/>
                        </w:rPr>
                        <w:t>a</w:t>
                      </w:r>
                    </w:p>
                  </w:txbxContent>
                </v:textbox>
                <w10:wrap anchorx="margin"/>
              </v:shape>
            </w:pict>
          </mc:Fallback>
        </mc:AlternateContent>
      </w:r>
      <w:r>
        <w:rPr>
          <w:noProof/>
        </w:rPr>
        <w:drawing>
          <wp:inline distT="0" distB="0" distL="0" distR="0" wp14:anchorId="2F205281" wp14:editId="5E02E5B9">
            <wp:extent cx="5486400" cy="3070225"/>
            <wp:effectExtent l="0" t="0" r="0" b="15875"/>
            <wp:docPr id="195" name="Chart 195">
              <a:extLst xmlns:a="http://schemas.openxmlformats.org/drawingml/2006/main">
                <a:ext uri="{FF2B5EF4-FFF2-40B4-BE49-F238E27FC236}">
                  <a16:creationId xmlns:a16="http://schemas.microsoft.com/office/drawing/2014/main" id="{A212E630-5D37-4E1E-9CBE-E590E25DD0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20CA58DD" w14:textId="4EB71F5D" w:rsidR="009F40C7" w:rsidRPr="00BC2376" w:rsidRDefault="009F40C7" w:rsidP="003900BD">
      <w:pPr>
        <w:pStyle w:val="Figures"/>
      </w:pPr>
      <w:bookmarkStart w:id="220" w:name="_Toc72300467"/>
      <w:bookmarkStart w:id="221" w:name="_Hlk52283829"/>
      <w:r w:rsidRPr="00BC2376">
        <mc:AlternateContent>
          <mc:Choice Requires="wps">
            <w:drawing>
              <wp:anchor distT="45720" distB="45720" distL="114300" distR="114300" simplePos="0" relativeHeight="251673600" behindDoc="0" locked="0" layoutInCell="1" allowOverlap="1" wp14:anchorId="63C2AE05" wp14:editId="3E9AF079">
                <wp:simplePos x="0" y="0"/>
                <wp:positionH relativeFrom="column">
                  <wp:posOffset>6985</wp:posOffset>
                </wp:positionH>
                <wp:positionV relativeFrom="paragraph">
                  <wp:posOffset>4231005</wp:posOffset>
                </wp:positionV>
                <wp:extent cx="723265" cy="34988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349885"/>
                        </a:xfrm>
                        <a:prstGeom prst="rect">
                          <a:avLst/>
                        </a:prstGeom>
                        <a:noFill/>
                        <a:ln w="9525">
                          <a:noFill/>
                          <a:miter lim="800000"/>
                          <a:headEnd/>
                          <a:tailEnd/>
                        </a:ln>
                      </wps:spPr>
                      <wps:txbx>
                        <w:txbxContent>
                          <w:p w14:paraId="130ECD6A" w14:textId="77777777" w:rsidR="002503ED" w:rsidRPr="00970CE7" w:rsidRDefault="002503ED" w:rsidP="009F40C7">
                            <w:pPr>
                              <w:rPr>
                                <w:sz w:val="36"/>
                                <w:szCs w:val="36"/>
                              </w:rPr>
                            </w:pPr>
                            <w:r>
                              <w:rPr>
                                <w:sz w:val="36"/>
                                <w:szCs w:val="36"/>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C2AE05" id="_x0000_s1032" type="#_x0000_t202" style="position:absolute;margin-left:.55pt;margin-top:333.15pt;width:56.95pt;height:27.5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" filled="f" stroked="f">
                <v:textbox>
                  <w:txbxContent>
                    <w:p w14:paraId="130ECD6A" w14:textId="77777777" w:rsidR="002503ED" w:rsidRPr="00970CE7" w:rsidRDefault="002503ED" w:rsidP="009F40C7">
                      <w:pPr>
                        <w:rPr>
                          <w:sz w:val="36"/>
                          <w:szCs w:val="36"/>
                        </w:rPr>
                      </w:pPr>
                      <w:r>
                        <w:rPr>
                          <w:sz w:val="36"/>
                          <w:szCs w:val="36"/>
                        </w:rPr>
                        <w:t>b</w:t>
                      </w:r>
                    </w:p>
                  </w:txbxContent>
                </v:textbox>
              </v:shape>
            </w:pict>
          </mc:Fallback>
        </mc:AlternateContent>
      </w:r>
      <w:r w:rsidRPr="00BC2376">
        <w:t xml:space="preserve">Figure. </w:t>
      </w:r>
      <w:r w:rsidR="000711A9" w:rsidRPr="00BC2376">
        <w:t>2</w:t>
      </w:r>
      <w:r w:rsidRPr="00BC2376">
        <w:t>.</w:t>
      </w:r>
      <w:r w:rsidR="00112D85">
        <w:t>2</w:t>
      </w:r>
      <w:r w:rsidRPr="00BC2376">
        <w:t xml:space="preserve">. </w:t>
      </w:r>
      <w:r w:rsidR="008E2E67" w:rsidRPr="00BC2376">
        <w:t xml:space="preserve"> </w:t>
      </w:r>
      <w:r w:rsidRPr="00BC2376">
        <w:t xml:space="preserve">(a) Mean monthly air temperature (°C) and 30-year mean and (b) total monthly precipitation (mm) and 30-year mean for </w:t>
      </w:r>
      <w:r w:rsidR="00A4234D" w:rsidRPr="00A4234D">
        <w:t>University of Tennessee – Northeast Tennessee AgResearch and Education Center, Greeneville, TN</w:t>
      </w:r>
      <w:r w:rsidRPr="00BC2376">
        <w:t>, 2017-20</w:t>
      </w:r>
      <w:r w:rsidR="000044A5" w:rsidRPr="00BC2376">
        <w:t>20</w:t>
      </w:r>
      <w:r w:rsidRPr="00BC2376">
        <w:t>. †Some months’ data are missing in overall 30-year mean from 199</w:t>
      </w:r>
      <w:r w:rsidR="000044A5" w:rsidRPr="00BC2376">
        <w:t>1</w:t>
      </w:r>
      <w:r w:rsidRPr="00BC2376">
        <w:t>-20</w:t>
      </w:r>
      <w:r w:rsidR="000044A5" w:rsidRPr="00BC2376">
        <w:t>20</w:t>
      </w:r>
      <w:r w:rsidRPr="00BC2376">
        <w:t>.</w:t>
      </w:r>
      <w:bookmarkEnd w:id="220"/>
    </w:p>
    <w:bookmarkEnd w:id="221"/>
    <w:p w14:paraId="78114323" w14:textId="77777777" w:rsidR="009F40C7" w:rsidRDefault="009F40C7" w:rsidP="00EF5CFF">
      <w:pPr>
        <w:autoSpaceDE w:val="0"/>
        <w:autoSpaceDN w:val="0"/>
        <w:adjustRightInd w:val="0"/>
        <w:ind w:firstLine="720"/>
      </w:pPr>
    </w:p>
    <w:p w14:paraId="27CF6E9D" w14:textId="0D685F00" w:rsidR="009F40C7" w:rsidRPr="00EF5CFF" w:rsidRDefault="009F40C7" w:rsidP="00EF5CFF">
      <w:pPr>
        <w:autoSpaceDE w:val="0"/>
        <w:autoSpaceDN w:val="0"/>
        <w:adjustRightInd w:val="0"/>
        <w:ind w:firstLine="720"/>
        <w:sectPr w:rsidR="009F40C7" w:rsidRPr="00EF5CFF" w:rsidSect="00C92DB5">
          <w:pgSz w:w="12240" w:h="15840" w:code="1"/>
          <w:pgMar w:top="1440" w:right="1800" w:bottom="1872" w:left="1800" w:header="720" w:footer="1440" w:gutter="0"/>
          <w:cols w:space="720"/>
          <w:noEndnote/>
          <w:docGrid w:linePitch="360"/>
        </w:sectPr>
      </w:pPr>
    </w:p>
    <w:p w14:paraId="0CCAD57A" w14:textId="3514237B" w:rsidR="00764248" w:rsidRDefault="00B067BB" w:rsidP="004A496B">
      <w:pPr>
        <w:pStyle w:val="Paragraphs"/>
        <w:spacing w:after="100" w:afterAutospacing="1" w:line="240" w:lineRule="auto"/>
        <w:ind w:firstLine="0"/>
      </w:pPr>
      <w:r>
        <w:rPr>
          <w:noProof/>
        </w:rPr>
        <w:lastRenderedPageBreak/>
        <mc:AlternateContent>
          <mc:Choice Requires="wps">
            <w:drawing>
              <wp:anchor distT="45720" distB="45720" distL="114300" distR="114300" simplePos="0" relativeHeight="251685888" behindDoc="0" locked="0" layoutInCell="1" allowOverlap="1" wp14:anchorId="6E9F5C30" wp14:editId="0A29A7F1">
                <wp:simplePos x="0" y="0"/>
                <wp:positionH relativeFrom="margin">
                  <wp:posOffset>2745105</wp:posOffset>
                </wp:positionH>
                <wp:positionV relativeFrom="paragraph">
                  <wp:posOffset>1938020</wp:posOffset>
                </wp:positionV>
                <wp:extent cx="467995" cy="285115"/>
                <wp:effectExtent l="0" t="0" r="0" b="635"/>
                <wp:wrapNone/>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85115"/>
                        </a:xfrm>
                        <a:prstGeom prst="rect">
                          <a:avLst/>
                        </a:prstGeom>
                        <a:noFill/>
                        <a:ln w="9525">
                          <a:noFill/>
                          <a:miter lim="800000"/>
                          <a:headEnd/>
                          <a:tailEnd/>
                        </a:ln>
                      </wps:spPr>
                      <wps:txbx>
                        <w:txbxContent>
                          <w:p w14:paraId="19430041" w14:textId="5CAB3B0A" w:rsidR="002503ED" w:rsidRDefault="002503ED" w:rsidP="00B95623">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9F5C30" id="_x0000_s1033" type="#_x0000_t202" style="position:absolute;margin-left:216.15pt;margin-top:152.6pt;width:36.85pt;height:22.4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" filled="f" stroked="f">
                <v:textbox>
                  <w:txbxContent>
                    <w:p w14:paraId="19430041" w14:textId="5CAB3B0A" w:rsidR="002503ED" w:rsidRDefault="002503ED" w:rsidP="00B95623">
                      <w:r>
                        <w:t>B</w:t>
                      </w:r>
                    </w:p>
                  </w:txbxContent>
                </v:textbox>
                <w10:wrap anchorx="margin"/>
              </v:shape>
            </w:pict>
          </mc:Fallback>
        </mc:AlternateContent>
      </w:r>
      <w:r>
        <w:rPr>
          <w:noProof/>
        </w:rPr>
        <mc:AlternateContent>
          <mc:Choice Requires="wps">
            <w:drawing>
              <wp:anchor distT="45720" distB="45720" distL="114300" distR="114300" simplePos="0" relativeHeight="251677696" behindDoc="0" locked="0" layoutInCell="1" allowOverlap="1" wp14:anchorId="31515607" wp14:editId="2103551F">
                <wp:simplePos x="0" y="0"/>
                <wp:positionH relativeFrom="margin">
                  <wp:posOffset>910590</wp:posOffset>
                </wp:positionH>
                <wp:positionV relativeFrom="paragraph">
                  <wp:posOffset>1934210</wp:posOffset>
                </wp:positionV>
                <wp:extent cx="638175" cy="285115"/>
                <wp:effectExtent l="0" t="0" r="0" b="635"/>
                <wp:wrapNone/>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 cy="285115"/>
                        </a:xfrm>
                        <a:prstGeom prst="rect">
                          <a:avLst/>
                        </a:prstGeom>
                        <a:noFill/>
                        <a:ln w="9525">
                          <a:noFill/>
                          <a:miter lim="800000"/>
                          <a:headEnd/>
                          <a:tailEnd/>
                        </a:ln>
                      </wps:spPr>
                      <wps:txbx>
                        <w:txbxContent>
                          <w:p w14:paraId="34944BAC" w14:textId="2D46A7A9" w:rsidR="002503ED" w:rsidRDefault="002503ED" w:rsidP="00B95623">
                            <w:r>
                              <w:t>CD*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515607" id="_x0000_s1034" type="#_x0000_t202" style="position:absolute;margin-left:71.7pt;margin-top:152.3pt;width:50.25pt;height:22.4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" filled="f" stroked="f">
                <v:textbox>
                  <w:txbxContent>
                    <w:p w14:paraId="34944BAC" w14:textId="2D46A7A9" w:rsidR="002503ED" w:rsidRDefault="002503ED" w:rsidP="00B95623">
                      <w:r>
                        <w:t>CD*</w:t>
                      </w:r>
                    </w:p>
                  </w:txbxContent>
                </v:textbox>
                <w10:wrap anchorx="margin"/>
              </v:shape>
            </w:pict>
          </mc:Fallback>
        </mc:AlternateContent>
      </w:r>
      <w:r>
        <w:rPr>
          <w:noProof/>
        </w:rPr>
        <mc:AlternateContent>
          <mc:Choice Requires="wps">
            <w:drawing>
              <wp:anchor distT="45720" distB="45720" distL="114300" distR="114300" simplePos="0" relativeHeight="251675648" behindDoc="0" locked="0" layoutInCell="1" allowOverlap="1" wp14:anchorId="2351CE9E" wp14:editId="613A9F6F">
                <wp:simplePos x="0" y="0"/>
                <wp:positionH relativeFrom="margin">
                  <wp:posOffset>3907155</wp:posOffset>
                </wp:positionH>
                <wp:positionV relativeFrom="paragraph">
                  <wp:posOffset>1935480</wp:posOffset>
                </wp:positionV>
                <wp:extent cx="467995" cy="285115"/>
                <wp:effectExtent l="0" t="0" r="0" b="635"/>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85115"/>
                        </a:xfrm>
                        <a:prstGeom prst="rect">
                          <a:avLst/>
                        </a:prstGeom>
                        <a:noFill/>
                        <a:ln w="9525">
                          <a:noFill/>
                          <a:miter lim="800000"/>
                          <a:headEnd/>
                          <a:tailEnd/>
                        </a:ln>
                      </wps:spPr>
                      <wps:txbx>
                        <w:txbxContent>
                          <w:p w14:paraId="2A3CE61B" w14:textId="139E4B09" w:rsidR="002503ED" w:rsidRDefault="002503ED">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51CE9E" id="_x0000_s1035" type="#_x0000_t202" style="position:absolute;margin-left:307.65pt;margin-top:152.4pt;width:36.85pt;height:22.4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" filled="f" stroked="f">
                <v:textbox>
                  <w:txbxContent>
                    <w:p w14:paraId="2A3CE61B" w14:textId="139E4B09" w:rsidR="002503ED" w:rsidRDefault="002503ED">
                      <w:r>
                        <w:t>A</w:t>
                      </w:r>
                    </w:p>
                  </w:txbxContent>
                </v:textbox>
                <w10:wrap anchorx="margin"/>
              </v:shape>
            </w:pict>
          </mc:Fallback>
        </mc:AlternateContent>
      </w:r>
      <w:r>
        <w:rPr>
          <w:noProof/>
        </w:rPr>
        <mc:AlternateContent>
          <mc:Choice Requires="wps">
            <w:drawing>
              <wp:anchor distT="45720" distB="45720" distL="114300" distR="114300" simplePos="0" relativeHeight="251683840" behindDoc="0" locked="0" layoutInCell="1" allowOverlap="1" wp14:anchorId="5ECBA4CF" wp14:editId="57D6A9BD">
                <wp:simplePos x="0" y="0"/>
                <wp:positionH relativeFrom="margin">
                  <wp:posOffset>3324225</wp:posOffset>
                </wp:positionH>
                <wp:positionV relativeFrom="paragraph">
                  <wp:posOffset>1936750</wp:posOffset>
                </wp:positionV>
                <wp:extent cx="467995" cy="285115"/>
                <wp:effectExtent l="0" t="0" r="0" b="635"/>
                <wp:wrapNone/>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85115"/>
                        </a:xfrm>
                        <a:prstGeom prst="rect">
                          <a:avLst/>
                        </a:prstGeom>
                        <a:noFill/>
                        <a:ln w="9525">
                          <a:noFill/>
                          <a:miter lim="800000"/>
                          <a:headEnd/>
                          <a:tailEnd/>
                        </a:ln>
                      </wps:spPr>
                      <wps:txbx>
                        <w:txbxContent>
                          <w:p w14:paraId="585D4BB7" w14:textId="46EF8910" w:rsidR="002503ED" w:rsidRDefault="002503ED" w:rsidP="00B95623">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CBA4CF" id="_x0000_s1036" type="#_x0000_t202" style="position:absolute;margin-left:261.75pt;margin-top:152.5pt;width:36.85pt;height:22.4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" filled="f" stroked="f">
                <v:textbox>
                  <w:txbxContent>
                    <w:p w14:paraId="585D4BB7" w14:textId="46EF8910" w:rsidR="002503ED" w:rsidRDefault="002503ED" w:rsidP="00B95623">
                      <w:r>
                        <w:t>B</w:t>
                      </w:r>
                    </w:p>
                  </w:txbxContent>
                </v:textbox>
                <w10:wrap anchorx="margin"/>
              </v:shape>
            </w:pict>
          </mc:Fallback>
        </mc:AlternateContent>
      </w:r>
      <w:r>
        <w:rPr>
          <w:noProof/>
        </w:rPr>
        <mc:AlternateContent>
          <mc:Choice Requires="wps">
            <w:drawing>
              <wp:anchor distT="45720" distB="45720" distL="114300" distR="114300" simplePos="0" relativeHeight="251681792" behindDoc="0" locked="0" layoutInCell="1" allowOverlap="1" wp14:anchorId="176EB09C" wp14:editId="36182881">
                <wp:simplePos x="0" y="0"/>
                <wp:positionH relativeFrom="margin">
                  <wp:posOffset>2162810</wp:posOffset>
                </wp:positionH>
                <wp:positionV relativeFrom="paragraph">
                  <wp:posOffset>1936750</wp:posOffset>
                </wp:positionV>
                <wp:extent cx="467995" cy="285115"/>
                <wp:effectExtent l="0" t="0" r="0" b="635"/>
                <wp:wrapNone/>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85115"/>
                        </a:xfrm>
                        <a:prstGeom prst="rect">
                          <a:avLst/>
                        </a:prstGeom>
                        <a:noFill/>
                        <a:ln w="9525">
                          <a:noFill/>
                          <a:miter lim="800000"/>
                          <a:headEnd/>
                          <a:tailEnd/>
                        </a:ln>
                      </wps:spPr>
                      <wps:txbx>
                        <w:txbxContent>
                          <w:p w14:paraId="53B3F374" w14:textId="742D2D3E" w:rsidR="002503ED" w:rsidRDefault="002503ED" w:rsidP="00B95623">
                            <w: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6EB09C" id="_x0000_s1037" type="#_x0000_t202" style="position:absolute;margin-left:170.3pt;margin-top:152.5pt;width:36.85pt;height:22.4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" filled="f" stroked="f">
                <v:textbox>
                  <w:txbxContent>
                    <w:p w14:paraId="53B3F374" w14:textId="742D2D3E" w:rsidR="002503ED" w:rsidRDefault="002503ED" w:rsidP="00B95623">
                      <w:r>
                        <w:t>C</w:t>
                      </w:r>
                    </w:p>
                  </w:txbxContent>
                </v:textbox>
                <w10:wrap anchorx="margin"/>
              </v:shape>
            </w:pict>
          </mc:Fallback>
        </mc:AlternateContent>
      </w:r>
      <w:r>
        <w:rPr>
          <w:noProof/>
        </w:rPr>
        <mc:AlternateContent>
          <mc:Choice Requires="wps">
            <w:drawing>
              <wp:anchor distT="45720" distB="45720" distL="114300" distR="114300" simplePos="0" relativeHeight="251679744" behindDoc="0" locked="0" layoutInCell="1" allowOverlap="1" wp14:anchorId="14E6920E" wp14:editId="60A1EFDC">
                <wp:simplePos x="0" y="0"/>
                <wp:positionH relativeFrom="margin">
                  <wp:posOffset>1571625</wp:posOffset>
                </wp:positionH>
                <wp:positionV relativeFrom="paragraph">
                  <wp:posOffset>1936115</wp:posOffset>
                </wp:positionV>
                <wp:extent cx="467995" cy="285115"/>
                <wp:effectExtent l="0" t="0" r="0" b="635"/>
                <wp:wrapNone/>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85115"/>
                        </a:xfrm>
                        <a:prstGeom prst="rect">
                          <a:avLst/>
                        </a:prstGeom>
                        <a:noFill/>
                        <a:ln w="9525">
                          <a:noFill/>
                          <a:miter lim="800000"/>
                          <a:headEnd/>
                          <a:tailEnd/>
                        </a:ln>
                      </wps:spPr>
                      <wps:txbx>
                        <w:txbxContent>
                          <w:p w14:paraId="182A0C31" w14:textId="56AFE3B3" w:rsidR="002503ED" w:rsidRDefault="002503ED" w:rsidP="00B95623">
                            <w: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E6920E" id="_x0000_s1038" type="#_x0000_t202" style="position:absolute;margin-left:123.75pt;margin-top:152.45pt;width:36.85pt;height:22.4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" filled="f" stroked="f">
                <v:textbox>
                  <w:txbxContent>
                    <w:p w14:paraId="182A0C31" w14:textId="56AFE3B3" w:rsidR="002503ED" w:rsidRDefault="002503ED" w:rsidP="00B95623">
                      <w:r>
                        <w:t>D</w:t>
                      </w:r>
                    </w:p>
                  </w:txbxContent>
                </v:textbox>
                <w10:wrap anchorx="margin"/>
              </v:shape>
            </w:pict>
          </mc:Fallback>
        </mc:AlternateContent>
      </w:r>
      <w:r w:rsidR="00764248">
        <w:rPr>
          <w:noProof/>
        </w:rPr>
        <w:drawing>
          <wp:inline distT="0" distB="0" distL="0" distR="0" wp14:anchorId="5852220B" wp14:editId="123D0E71">
            <wp:extent cx="4480560" cy="3037955"/>
            <wp:effectExtent l="0" t="0" r="15240" b="10160"/>
            <wp:docPr id="196" name="Chart 196">
              <a:extLst xmlns:a="http://schemas.openxmlformats.org/drawingml/2006/main">
                <a:ext uri="{FF2B5EF4-FFF2-40B4-BE49-F238E27FC236}">
                  <a16:creationId xmlns:a16="http://schemas.microsoft.com/office/drawing/2014/main" id="{A4BB5523-FA03-4E68-B6A9-0AE9C3C875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2302F6F5" w14:textId="741C3AC0" w:rsidR="00764248" w:rsidRPr="00BC2376" w:rsidRDefault="00764248" w:rsidP="004A496B">
      <w:pPr>
        <w:pStyle w:val="Figures"/>
        <w:spacing w:before="0" w:after="100" w:afterAutospacing="1"/>
      </w:pPr>
      <w:bookmarkStart w:id="222" w:name="_Toc72300468"/>
      <w:bookmarkStart w:id="223" w:name="_Hlk63459856"/>
      <w:bookmarkStart w:id="224" w:name="_Hlk64414335"/>
      <w:r w:rsidRPr="00BC2376">
        <w:t>Figure 2.</w:t>
      </w:r>
      <w:r w:rsidR="00112D85">
        <w:t>3</w:t>
      </w:r>
      <w:r w:rsidRPr="00BC2376">
        <w:t xml:space="preserve">.  </w:t>
      </w:r>
      <w:r w:rsidR="00606828" w:rsidRPr="00BC2376">
        <w:t>Mean t</w:t>
      </w:r>
      <w:r w:rsidR="008F5EDD" w:rsidRPr="00BC2376">
        <w:t>iller</w:t>
      </w:r>
      <w:r w:rsidR="00606828" w:rsidRPr="00BC2376">
        <w:t xml:space="preserve"> density (tillers m</w:t>
      </w:r>
      <w:r w:rsidR="00606828" w:rsidRPr="00BC2376">
        <w:rPr>
          <w:vertAlign w:val="superscript"/>
        </w:rPr>
        <w:t>-2</w:t>
      </w:r>
      <w:r w:rsidR="00606828" w:rsidRPr="00BC2376">
        <w:t>) for switchgrass by period within year (201</w:t>
      </w:r>
      <w:r w:rsidR="00A4234D">
        <w:t>8</w:t>
      </w:r>
      <w:r w:rsidR="00606828" w:rsidRPr="00BC2376">
        <w:t xml:space="preserve">-2020) at </w:t>
      </w:r>
      <w:r w:rsidR="00A4234D">
        <w:t xml:space="preserve">the </w:t>
      </w:r>
      <w:r w:rsidR="00A4234D" w:rsidRPr="00A4234D">
        <w:t>University of Tennessee – Northeast Tennessee AgResearch and Education Center, Greeneville, TN</w:t>
      </w:r>
      <w:r w:rsidR="00606828" w:rsidRPr="00BC2376">
        <w:t>.  *</w:t>
      </w:r>
      <w:r w:rsidR="00BD30D8" w:rsidRPr="00BC2376">
        <w:t>Different l</w:t>
      </w:r>
      <w:r w:rsidR="00606828" w:rsidRPr="00BC2376">
        <w:t>etters indicate significant difference at α = 0.05</w:t>
      </w:r>
      <w:r w:rsidR="00BD30D8" w:rsidRPr="00BC2376">
        <w:t xml:space="preserve"> for Year x Period interaction (Fisher’s least significant difference)</w:t>
      </w:r>
      <w:r w:rsidR="00606828" w:rsidRPr="00BC2376">
        <w:t>.</w:t>
      </w:r>
      <w:bookmarkEnd w:id="222"/>
    </w:p>
    <w:bookmarkEnd w:id="223"/>
    <w:bookmarkEnd w:id="224"/>
    <w:p w14:paraId="26253F09" w14:textId="77777777" w:rsidR="00BD30D8" w:rsidRDefault="00BD30D8" w:rsidP="008F5EDD">
      <w:pPr>
        <w:pStyle w:val="Paragraphs"/>
        <w:ind w:firstLine="0"/>
        <w:rPr>
          <w:rFonts w:cs="Times New Roman"/>
        </w:rPr>
        <w:sectPr w:rsidR="00BD30D8" w:rsidSect="002A59E2">
          <w:pgSz w:w="12240" w:h="15840" w:code="1"/>
          <w:pgMar w:top="1440" w:right="1800" w:bottom="1872" w:left="1800" w:header="720" w:footer="1440" w:gutter="0"/>
          <w:cols w:space="720"/>
          <w:noEndnote/>
          <w:docGrid w:linePitch="360"/>
        </w:sectPr>
      </w:pPr>
    </w:p>
    <w:p w14:paraId="0B21EBF0" w14:textId="78480C97" w:rsidR="00365269" w:rsidRDefault="00B067BB" w:rsidP="00D67D7B">
      <w:pPr>
        <w:pStyle w:val="Paragraphs"/>
        <w:spacing w:after="100" w:afterAutospacing="1" w:line="240" w:lineRule="auto"/>
        <w:ind w:firstLine="0"/>
      </w:pPr>
      <w:r w:rsidRPr="00D50F9C">
        <w:rPr>
          <w:rFonts w:cs="Times New Roman"/>
          <w:noProof/>
        </w:rPr>
        <w:lastRenderedPageBreak/>
        <mc:AlternateContent>
          <mc:Choice Requires="wps">
            <w:drawing>
              <wp:anchor distT="45720" distB="45720" distL="114300" distR="114300" simplePos="0" relativeHeight="251717632" behindDoc="0" locked="0" layoutInCell="1" allowOverlap="1" wp14:anchorId="4041A87F" wp14:editId="50F3B092">
                <wp:simplePos x="0" y="0"/>
                <wp:positionH relativeFrom="margin">
                  <wp:posOffset>947420</wp:posOffset>
                </wp:positionH>
                <wp:positionV relativeFrom="paragraph">
                  <wp:posOffset>1938655</wp:posOffset>
                </wp:positionV>
                <wp:extent cx="467995" cy="285115"/>
                <wp:effectExtent l="0" t="0" r="0" b="635"/>
                <wp:wrapNone/>
                <wp:docPr id="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85115"/>
                        </a:xfrm>
                        <a:prstGeom prst="rect">
                          <a:avLst/>
                        </a:prstGeom>
                        <a:noFill/>
                        <a:ln w="9525">
                          <a:noFill/>
                          <a:miter lim="800000"/>
                          <a:headEnd/>
                          <a:tailEnd/>
                        </a:ln>
                      </wps:spPr>
                      <wps:txbx>
                        <w:txbxContent>
                          <w:p w14:paraId="22DFDC77" w14:textId="3E4B2B27" w:rsidR="002503ED" w:rsidRDefault="002503ED" w:rsidP="00D50F9C">
                            <w: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41A87F" id="_x0000_s1039" type="#_x0000_t202" style="position:absolute;margin-left:74.6pt;margin-top:152.65pt;width:36.85pt;height:22.45pt;z-index:251717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" filled="f" stroked="f">
                <v:textbox>
                  <w:txbxContent>
                    <w:p w14:paraId="22DFDC77" w14:textId="3E4B2B27" w:rsidR="002503ED" w:rsidRDefault="002503ED" w:rsidP="00D50F9C">
                      <w:r>
                        <w:t>C*</w:t>
                      </w:r>
                    </w:p>
                  </w:txbxContent>
                </v:textbox>
                <w10:wrap anchorx="margin"/>
              </v:shape>
            </w:pict>
          </mc:Fallback>
        </mc:AlternateContent>
      </w:r>
      <w:r w:rsidRPr="00D50F9C">
        <w:rPr>
          <w:rFonts w:cs="Times New Roman"/>
          <w:noProof/>
        </w:rPr>
        <mc:AlternateContent>
          <mc:Choice Requires="wps">
            <w:drawing>
              <wp:anchor distT="45720" distB="45720" distL="114300" distR="114300" simplePos="0" relativeHeight="251718656" behindDoc="0" locked="0" layoutInCell="1" allowOverlap="1" wp14:anchorId="740A2147" wp14:editId="77F2AE9C">
                <wp:simplePos x="0" y="0"/>
                <wp:positionH relativeFrom="margin">
                  <wp:posOffset>1569720</wp:posOffset>
                </wp:positionH>
                <wp:positionV relativeFrom="paragraph">
                  <wp:posOffset>1936750</wp:posOffset>
                </wp:positionV>
                <wp:extent cx="467995" cy="285115"/>
                <wp:effectExtent l="0" t="0" r="0" b="635"/>
                <wp:wrapNone/>
                <wp:docPr id="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85115"/>
                        </a:xfrm>
                        <a:prstGeom prst="rect">
                          <a:avLst/>
                        </a:prstGeom>
                        <a:noFill/>
                        <a:ln w="9525">
                          <a:noFill/>
                          <a:miter lim="800000"/>
                          <a:headEnd/>
                          <a:tailEnd/>
                        </a:ln>
                      </wps:spPr>
                      <wps:txbx>
                        <w:txbxContent>
                          <w:p w14:paraId="4C6D8995" w14:textId="38C4FA57" w:rsidR="002503ED" w:rsidRDefault="002503ED" w:rsidP="00D50F9C">
                            <w: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A2147" id="_x0000_s1040" type="#_x0000_t202" style="position:absolute;margin-left:123.6pt;margin-top:152.5pt;width:36.85pt;height:22.45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" filled="f" stroked="f">
                <v:textbox>
                  <w:txbxContent>
                    <w:p w14:paraId="4C6D8995" w14:textId="38C4FA57" w:rsidR="002503ED" w:rsidRDefault="002503ED" w:rsidP="00D50F9C">
                      <w:r>
                        <w:t>C</w:t>
                      </w:r>
                    </w:p>
                  </w:txbxContent>
                </v:textbox>
                <w10:wrap anchorx="margin"/>
              </v:shape>
            </w:pict>
          </mc:Fallback>
        </mc:AlternateContent>
      </w:r>
      <w:r w:rsidRPr="00D50F9C">
        <w:rPr>
          <w:rFonts w:cs="Times New Roman"/>
          <w:noProof/>
        </w:rPr>
        <mc:AlternateContent>
          <mc:Choice Requires="wps">
            <w:drawing>
              <wp:anchor distT="45720" distB="45720" distL="114300" distR="114300" simplePos="0" relativeHeight="251719680" behindDoc="0" locked="0" layoutInCell="1" allowOverlap="1" wp14:anchorId="26FC2E76" wp14:editId="0870A72A">
                <wp:simplePos x="0" y="0"/>
                <wp:positionH relativeFrom="margin">
                  <wp:posOffset>2153920</wp:posOffset>
                </wp:positionH>
                <wp:positionV relativeFrom="paragraph">
                  <wp:posOffset>1937224</wp:posOffset>
                </wp:positionV>
                <wp:extent cx="467995" cy="285115"/>
                <wp:effectExtent l="0" t="0" r="0" b="635"/>
                <wp:wrapNone/>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85115"/>
                        </a:xfrm>
                        <a:prstGeom prst="rect">
                          <a:avLst/>
                        </a:prstGeom>
                        <a:noFill/>
                        <a:ln w="9525">
                          <a:noFill/>
                          <a:miter lim="800000"/>
                          <a:headEnd/>
                          <a:tailEnd/>
                        </a:ln>
                      </wps:spPr>
                      <wps:txbx>
                        <w:txbxContent>
                          <w:p w14:paraId="4A172B56" w14:textId="77777777" w:rsidR="002503ED" w:rsidRDefault="002503ED" w:rsidP="00D50F9C">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FC2E76" id="_x0000_s1041" type="#_x0000_t202" style="position:absolute;margin-left:169.6pt;margin-top:152.55pt;width:36.85pt;height:22.45pt;z-index:251719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" filled="f" stroked="f">
                <v:textbox>
                  <w:txbxContent>
                    <w:p w14:paraId="4A172B56" w14:textId="77777777" w:rsidR="002503ED" w:rsidRDefault="002503ED" w:rsidP="00D50F9C">
                      <w:r>
                        <w:t>A</w:t>
                      </w:r>
                    </w:p>
                  </w:txbxContent>
                </v:textbox>
                <w10:wrap anchorx="margin"/>
              </v:shape>
            </w:pict>
          </mc:Fallback>
        </mc:AlternateContent>
      </w:r>
      <w:r w:rsidRPr="00D50F9C">
        <w:rPr>
          <w:rFonts w:cs="Times New Roman"/>
          <w:noProof/>
        </w:rPr>
        <mc:AlternateContent>
          <mc:Choice Requires="wps">
            <w:drawing>
              <wp:anchor distT="45720" distB="45720" distL="114300" distR="114300" simplePos="0" relativeHeight="251721728" behindDoc="0" locked="0" layoutInCell="1" allowOverlap="1" wp14:anchorId="4BF62BAE" wp14:editId="2890ADB3">
                <wp:simplePos x="0" y="0"/>
                <wp:positionH relativeFrom="margin">
                  <wp:posOffset>2689860</wp:posOffset>
                </wp:positionH>
                <wp:positionV relativeFrom="paragraph">
                  <wp:posOffset>1937385</wp:posOffset>
                </wp:positionV>
                <wp:extent cx="467995" cy="285115"/>
                <wp:effectExtent l="0" t="0" r="0" b="635"/>
                <wp:wrapNone/>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85115"/>
                        </a:xfrm>
                        <a:prstGeom prst="rect">
                          <a:avLst/>
                        </a:prstGeom>
                        <a:noFill/>
                        <a:ln w="9525">
                          <a:noFill/>
                          <a:miter lim="800000"/>
                          <a:headEnd/>
                          <a:tailEnd/>
                        </a:ln>
                      </wps:spPr>
                      <wps:txbx>
                        <w:txbxContent>
                          <w:p w14:paraId="7F730F61" w14:textId="77C4B3B8" w:rsidR="002503ED" w:rsidRDefault="002503ED" w:rsidP="00D50F9C">
                            <w:r>
                              <w:t>BC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F62BAE" id="_x0000_s1042" type="#_x0000_t202" style="position:absolute;margin-left:211.8pt;margin-top:152.55pt;width:36.85pt;height:22.45pt;z-index:2517217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" filled="f" stroked="f">
                <v:textbox>
                  <w:txbxContent>
                    <w:p w14:paraId="7F730F61" w14:textId="77C4B3B8" w:rsidR="002503ED" w:rsidRDefault="002503ED" w:rsidP="00D50F9C">
                      <w:r>
                        <w:t>BC</w:t>
                      </w:r>
                    </w:p>
                  </w:txbxContent>
                </v:textbox>
                <w10:wrap anchorx="margin"/>
              </v:shape>
            </w:pict>
          </mc:Fallback>
        </mc:AlternateContent>
      </w:r>
      <w:r w:rsidRPr="00D50F9C">
        <w:rPr>
          <w:rFonts w:cs="Times New Roman"/>
          <w:noProof/>
        </w:rPr>
        <mc:AlternateContent>
          <mc:Choice Requires="wps">
            <w:drawing>
              <wp:anchor distT="45720" distB="45720" distL="114300" distR="114300" simplePos="0" relativeHeight="251720704" behindDoc="0" locked="0" layoutInCell="1" allowOverlap="1" wp14:anchorId="178B2CC4" wp14:editId="12E34733">
                <wp:simplePos x="0" y="0"/>
                <wp:positionH relativeFrom="margin">
                  <wp:posOffset>3315970</wp:posOffset>
                </wp:positionH>
                <wp:positionV relativeFrom="paragraph">
                  <wp:posOffset>1936115</wp:posOffset>
                </wp:positionV>
                <wp:extent cx="467995" cy="285115"/>
                <wp:effectExtent l="0" t="0" r="0" b="635"/>
                <wp:wrapNone/>
                <wp:docPr id="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85115"/>
                        </a:xfrm>
                        <a:prstGeom prst="rect">
                          <a:avLst/>
                        </a:prstGeom>
                        <a:noFill/>
                        <a:ln w="9525">
                          <a:noFill/>
                          <a:miter lim="800000"/>
                          <a:headEnd/>
                          <a:tailEnd/>
                        </a:ln>
                      </wps:spPr>
                      <wps:txbx>
                        <w:txbxContent>
                          <w:p w14:paraId="2327CF21" w14:textId="4AF6A9F9" w:rsidR="002503ED" w:rsidRDefault="002503ED" w:rsidP="00D50F9C">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8B2CC4" id="_x0000_s1043" type="#_x0000_t202" style="position:absolute;margin-left:261.1pt;margin-top:152.45pt;width:36.85pt;height:22.45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" filled="f" stroked="f">
                <v:textbox>
                  <w:txbxContent>
                    <w:p w14:paraId="2327CF21" w14:textId="4AF6A9F9" w:rsidR="002503ED" w:rsidRDefault="002503ED" w:rsidP="00D50F9C">
                      <w:r>
                        <w:t>A</w:t>
                      </w:r>
                    </w:p>
                  </w:txbxContent>
                </v:textbox>
                <w10:wrap anchorx="margin"/>
              </v:shape>
            </w:pict>
          </mc:Fallback>
        </mc:AlternateContent>
      </w:r>
      <w:r w:rsidRPr="00D50F9C">
        <w:rPr>
          <w:rFonts w:cs="Times New Roman"/>
          <w:noProof/>
        </w:rPr>
        <mc:AlternateContent>
          <mc:Choice Requires="wps">
            <w:drawing>
              <wp:anchor distT="45720" distB="45720" distL="114300" distR="114300" simplePos="0" relativeHeight="251716608" behindDoc="0" locked="0" layoutInCell="1" allowOverlap="1" wp14:anchorId="7AF5BD12" wp14:editId="7F18054C">
                <wp:simplePos x="0" y="0"/>
                <wp:positionH relativeFrom="margin">
                  <wp:posOffset>3903345</wp:posOffset>
                </wp:positionH>
                <wp:positionV relativeFrom="paragraph">
                  <wp:posOffset>1936750</wp:posOffset>
                </wp:positionV>
                <wp:extent cx="467995" cy="285115"/>
                <wp:effectExtent l="0" t="0" r="0" b="635"/>
                <wp:wrapNone/>
                <wp:docPr id="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85115"/>
                        </a:xfrm>
                        <a:prstGeom prst="rect">
                          <a:avLst/>
                        </a:prstGeom>
                        <a:noFill/>
                        <a:ln w="9525">
                          <a:noFill/>
                          <a:miter lim="800000"/>
                          <a:headEnd/>
                          <a:tailEnd/>
                        </a:ln>
                      </wps:spPr>
                      <wps:txbx>
                        <w:txbxContent>
                          <w:p w14:paraId="170DE00F" w14:textId="7A005F2B" w:rsidR="002503ED" w:rsidRDefault="002503ED" w:rsidP="00D50F9C">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F5BD12" id="_x0000_s1044" type="#_x0000_t202" style="position:absolute;margin-left:307.35pt;margin-top:152.5pt;width:36.85pt;height:22.4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" filled="f" stroked="f">
                <v:textbox>
                  <w:txbxContent>
                    <w:p w14:paraId="170DE00F" w14:textId="7A005F2B" w:rsidR="002503ED" w:rsidRDefault="002503ED" w:rsidP="00D50F9C">
                      <w:r>
                        <w:t>B</w:t>
                      </w:r>
                    </w:p>
                  </w:txbxContent>
                </v:textbox>
                <w10:wrap anchorx="margin"/>
              </v:shape>
            </w:pict>
          </mc:Fallback>
        </mc:AlternateContent>
      </w:r>
      <w:r w:rsidR="00365269">
        <w:rPr>
          <w:noProof/>
        </w:rPr>
        <w:drawing>
          <wp:inline distT="0" distB="0" distL="0" distR="0" wp14:anchorId="3BDE7263" wp14:editId="4EBB7939">
            <wp:extent cx="4480560" cy="3035808"/>
            <wp:effectExtent l="0" t="0" r="15240" b="12700"/>
            <wp:docPr id="230" name="Chart 230">
              <a:extLst xmlns:a="http://schemas.openxmlformats.org/drawingml/2006/main">
                <a:ext uri="{FF2B5EF4-FFF2-40B4-BE49-F238E27FC236}">
                  <a16:creationId xmlns:a16="http://schemas.microsoft.com/office/drawing/2014/main" id="{731F4E37-29F5-4681-A716-BA22B17B22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17FF204E" w14:textId="1503FBF4" w:rsidR="00471146" w:rsidRDefault="00D50F9C" w:rsidP="004A496B">
      <w:pPr>
        <w:pStyle w:val="Figures"/>
        <w:sectPr w:rsidR="00471146" w:rsidSect="00BB06E9">
          <w:pgSz w:w="12240" w:h="15840" w:code="1"/>
          <w:pgMar w:top="1440" w:right="1800" w:bottom="1872" w:left="1800" w:header="720" w:footer="1440" w:gutter="0"/>
          <w:cols w:space="720"/>
          <w:noEndnote/>
          <w:docGrid w:linePitch="360"/>
        </w:sectPr>
      </w:pPr>
      <w:bookmarkStart w:id="225" w:name="_Toc72300469"/>
      <w:r w:rsidRPr="004A496B">
        <w:t>Figure 2.</w:t>
      </w:r>
      <w:r w:rsidR="00112D85">
        <w:t>4</w:t>
      </w:r>
      <w:r w:rsidRPr="004A496B">
        <w:t xml:space="preserve">.  </w:t>
      </w:r>
      <w:r w:rsidR="008017D7" w:rsidRPr="004A496B">
        <w:t>Mean tiller density (tillers m</w:t>
      </w:r>
      <w:r w:rsidR="008017D7" w:rsidRPr="004A496B">
        <w:rPr>
          <w:vertAlign w:val="superscript"/>
        </w:rPr>
        <w:t>-2</w:t>
      </w:r>
      <w:r w:rsidR="008017D7" w:rsidRPr="004A496B">
        <w:t>) for big bluestem/indiangrass by period within year (201</w:t>
      </w:r>
      <w:r w:rsidR="00A4234D">
        <w:t>8</w:t>
      </w:r>
      <w:r w:rsidR="008017D7" w:rsidRPr="004A496B">
        <w:t xml:space="preserve">-2020) at </w:t>
      </w:r>
      <w:r w:rsidR="00A4234D">
        <w:t xml:space="preserve">the </w:t>
      </w:r>
      <w:r w:rsidR="00A4234D" w:rsidRPr="00A4234D">
        <w:t>University of Tennessee – Northeast Tennessee AgResearch and Education Center, Greeneville, TN</w:t>
      </w:r>
      <w:r w:rsidR="008017D7" w:rsidRPr="004A496B">
        <w:t>.  *Different letters indicate significant difference at α = 0.05 for Year x Period interaction (Fisher’s least significant difference).</w:t>
      </w:r>
      <w:bookmarkEnd w:id="225"/>
    </w:p>
    <w:p w14:paraId="177A0DF0" w14:textId="1DEE1636" w:rsidR="00471146" w:rsidRDefault="00820441" w:rsidP="00FA0ADB">
      <w:pPr>
        <w:spacing w:after="100" w:afterAutospacing="1" w:line="240" w:lineRule="auto"/>
      </w:pPr>
      <w:r>
        <w:rPr>
          <w:noProof/>
        </w:rPr>
        <w:lastRenderedPageBreak/>
        <mc:AlternateContent>
          <mc:Choice Requires="wps">
            <w:drawing>
              <wp:anchor distT="45720" distB="45720" distL="114300" distR="114300" simplePos="0" relativeHeight="251885568" behindDoc="0" locked="0" layoutInCell="1" allowOverlap="1" wp14:anchorId="51D6CD23" wp14:editId="299A09B1">
                <wp:simplePos x="0" y="0"/>
                <wp:positionH relativeFrom="column">
                  <wp:posOffset>4345940</wp:posOffset>
                </wp:positionH>
                <wp:positionV relativeFrom="paragraph">
                  <wp:posOffset>2340914</wp:posOffset>
                </wp:positionV>
                <wp:extent cx="373711" cy="318052"/>
                <wp:effectExtent l="0" t="0" r="0" b="635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11" cy="318052"/>
                        </a:xfrm>
                        <a:prstGeom prst="rect">
                          <a:avLst/>
                        </a:prstGeom>
                        <a:noFill/>
                        <a:ln w="9525">
                          <a:noFill/>
                          <a:miter lim="800000"/>
                          <a:headEnd/>
                          <a:tailEnd/>
                        </a:ln>
                      </wps:spPr>
                      <wps:txbx>
                        <w:txbxContent>
                          <w:p w14:paraId="1EFE5420" w14:textId="77777777" w:rsidR="00820441" w:rsidRDefault="00820441" w:rsidP="00820441">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D6CD23" id="_x0000_s1045" type="#_x0000_t202" style="position:absolute;margin-left:342.2pt;margin-top:184.3pt;width:29.45pt;height:25.05pt;z-index:251885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" filled="f" stroked="f">
                <v:textbox>
                  <w:txbxContent>
                    <w:p w14:paraId="1EFE5420" w14:textId="77777777" w:rsidR="00820441" w:rsidRDefault="00820441" w:rsidP="00820441">
                      <w:r>
                        <w:t>B</w:t>
                      </w:r>
                    </w:p>
                  </w:txbxContent>
                </v:textbox>
              </v:shape>
            </w:pict>
          </mc:Fallback>
        </mc:AlternateContent>
      </w:r>
      <w:r>
        <w:rPr>
          <w:noProof/>
        </w:rPr>
        <mc:AlternateContent>
          <mc:Choice Requires="wps">
            <w:drawing>
              <wp:anchor distT="45720" distB="45720" distL="114300" distR="114300" simplePos="0" relativeHeight="251883520" behindDoc="0" locked="0" layoutInCell="1" allowOverlap="1" wp14:anchorId="0582B418" wp14:editId="1B3CA0F5">
                <wp:simplePos x="0" y="0"/>
                <wp:positionH relativeFrom="column">
                  <wp:posOffset>3866846</wp:posOffset>
                </wp:positionH>
                <wp:positionV relativeFrom="paragraph">
                  <wp:posOffset>2339975</wp:posOffset>
                </wp:positionV>
                <wp:extent cx="373711" cy="318052"/>
                <wp:effectExtent l="0" t="0" r="0" b="635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11" cy="318052"/>
                        </a:xfrm>
                        <a:prstGeom prst="rect">
                          <a:avLst/>
                        </a:prstGeom>
                        <a:noFill/>
                        <a:ln w="9525">
                          <a:noFill/>
                          <a:miter lim="800000"/>
                          <a:headEnd/>
                          <a:tailEnd/>
                        </a:ln>
                      </wps:spPr>
                      <wps:txbx>
                        <w:txbxContent>
                          <w:p w14:paraId="52627265" w14:textId="77777777" w:rsidR="00820441" w:rsidRDefault="00820441" w:rsidP="00820441">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82B418" id="_x0000_s1046" type="#_x0000_t202" style="position:absolute;margin-left:304.5pt;margin-top:184.25pt;width:29.45pt;height:25.05pt;z-index:251883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" filled="f" stroked="f">
                <v:textbox>
                  <w:txbxContent>
                    <w:p w14:paraId="52627265" w14:textId="77777777" w:rsidR="00820441" w:rsidRDefault="00820441" w:rsidP="00820441">
                      <w:r>
                        <w:t>B</w:t>
                      </w:r>
                    </w:p>
                  </w:txbxContent>
                </v:textbox>
              </v:shape>
            </w:pict>
          </mc:Fallback>
        </mc:AlternateContent>
      </w:r>
      <w:r>
        <w:rPr>
          <w:noProof/>
        </w:rPr>
        <mc:AlternateContent>
          <mc:Choice Requires="wps">
            <w:drawing>
              <wp:anchor distT="45720" distB="45720" distL="114300" distR="114300" simplePos="0" relativeHeight="251881472" behindDoc="0" locked="0" layoutInCell="1" allowOverlap="1" wp14:anchorId="2F4C2BB2" wp14:editId="577CAD25">
                <wp:simplePos x="0" y="0"/>
                <wp:positionH relativeFrom="column">
                  <wp:posOffset>3700476</wp:posOffset>
                </wp:positionH>
                <wp:positionV relativeFrom="paragraph">
                  <wp:posOffset>2018665</wp:posOffset>
                </wp:positionV>
                <wp:extent cx="373711" cy="318052"/>
                <wp:effectExtent l="0" t="0" r="0" b="635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11" cy="318052"/>
                        </a:xfrm>
                        <a:prstGeom prst="rect">
                          <a:avLst/>
                        </a:prstGeom>
                        <a:noFill/>
                        <a:ln w="9525">
                          <a:noFill/>
                          <a:miter lim="800000"/>
                          <a:headEnd/>
                          <a:tailEnd/>
                        </a:ln>
                      </wps:spPr>
                      <wps:txbx>
                        <w:txbxContent>
                          <w:p w14:paraId="729E3FDF" w14:textId="77777777" w:rsidR="00820441" w:rsidRDefault="00820441" w:rsidP="00820441">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4C2BB2" id="_x0000_s1047" type="#_x0000_t202" style="position:absolute;margin-left:291.4pt;margin-top:158.95pt;width:29.45pt;height:25.05pt;z-index:251881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" filled="f" stroked="f">
                <v:textbox>
                  <w:txbxContent>
                    <w:p w14:paraId="729E3FDF" w14:textId="77777777" w:rsidR="00820441" w:rsidRDefault="00820441" w:rsidP="00820441">
                      <w:r>
                        <w:t>B</w:t>
                      </w:r>
                    </w:p>
                  </w:txbxContent>
                </v:textbox>
              </v:shape>
            </w:pict>
          </mc:Fallback>
        </mc:AlternateContent>
      </w:r>
      <w:r>
        <w:rPr>
          <w:noProof/>
        </w:rPr>
        <mc:AlternateContent>
          <mc:Choice Requires="wps">
            <w:drawing>
              <wp:anchor distT="45720" distB="45720" distL="114300" distR="114300" simplePos="0" relativeHeight="251879424" behindDoc="0" locked="0" layoutInCell="1" allowOverlap="1" wp14:anchorId="64FB1D17" wp14:editId="281C94AB">
                <wp:simplePos x="0" y="0"/>
                <wp:positionH relativeFrom="column">
                  <wp:posOffset>2698115</wp:posOffset>
                </wp:positionH>
                <wp:positionV relativeFrom="paragraph">
                  <wp:posOffset>2248866</wp:posOffset>
                </wp:positionV>
                <wp:extent cx="373711" cy="318052"/>
                <wp:effectExtent l="0" t="0" r="0" b="635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11" cy="318052"/>
                        </a:xfrm>
                        <a:prstGeom prst="rect">
                          <a:avLst/>
                        </a:prstGeom>
                        <a:noFill/>
                        <a:ln w="9525">
                          <a:noFill/>
                          <a:miter lim="800000"/>
                          <a:headEnd/>
                          <a:tailEnd/>
                        </a:ln>
                      </wps:spPr>
                      <wps:txbx>
                        <w:txbxContent>
                          <w:p w14:paraId="24A5C061" w14:textId="77777777" w:rsidR="00820441" w:rsidRDefault="00820441" w:rsidP="00820441">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FB1D17" id="_x0000_s1048" type="#_x0000_t202" style="position:absolute;margin-left:212.45pt;margin-top:177.1pt;width:29.45pt;height:25.05pt;z-index:251879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" filled="f" stroked="f">
                <v:textbox>
                  <w:txbxContent>
                    <w:p w14:paraId="24A5C061" w14:textId="77777777" w:rsidR="00820441" w:rsidRDefault="00820441" w:rsidP="00820441">
                      <w:r>
                        <w:t>B</w:t>
                      </w:r>
                    </w:p>
                  </w:txbxContent>
                </v:textbox>
              </v:shape>
            </w:pict>
          </mc:Fallback>
        </mc:AlternateContent>
      </w:r>
      <w:r>
        <w:rPr>
          <w:noProof/>
        </w:rPr>
        <mc:AlternateContent>
          <mc:Choice Requires="wps">
            <w:drawing>
              <wp:anchor distT="45720" distB="45720" distL="114300" distR="114300" simplePos="0" relativeHeight="251877376" behindDoc="0" locked="0" layoutInCell="1" allowOverlap="1" wp14:anchorId="08A521B5" wp14:editId="5DB38CE8">
                <wp:simplePos x="0" y="0"/>
                <wp:positionH relativeFrom="column">
                  <wp:posOffset>1863090</wp:posOffset>
                </wp:positionH>
                <wp:positionV relativeFrom="paragraph">
                  <wp:posOffset>1630984</wp:posOffset>
                </wp:positionV>
                <wp:extent cx="373711" cy="318052"/>
                <wp:effectExtent l="0" t="0" r="0" b="635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11" cy="318052"/>
                        </a:xfrm>
                        <a:prstGeom prst="rect">
                          <a:avLst/>
                        </a:prstGeom>
                        <a:noFill/>
                        <a:ln w="9525">
                          <a:noFill/>
                          <a:miter lim="800000"/>
                          <a:headEnd/>
                          <a:tailEnd/>
                        </a:ln>
                      </wps:spPr>
                      <wps:txbx>
                        <w:txbxContent>
                          <w:p w14:paraId="188AC8A8" w14:textId="42CE658F" w:rsidR="00820441" w:rsidRDefault="00820441" w:rsidP="00820441">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A521B5" id="_x0000_s1049" type="#_x0000_t202" style="position:absolute;margin-left:146.7pt;margin-top:128.4pt;width:29.45pt;height:25.05pt;z-index:251877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" filled="f" stroked="f">
                <v:textbox>
                  <w:txbxContent>
                    <w:p w14:paraId="188AC8A8" w14:textId="42CE658F" w:rsidR="00820441" w:rsidRDefault="00820441" w:rsidP="00820441">
                      <w:r>
                        <w:t>A</w:t>
                      </w:r>
                    </w:p>
                  </w:txbxContent>
                </v:textbox>
              </v:shape>
            </w:pict>
          </mc:Fallback>
        </mc:AlternateContent>
      </w:r>
      <w:r>
        <w:rPr>
          <w:noProof/>
        </w:rPr>
        <mc:AlternateContent>
          <mc:Choice Requires="wps">
            <w:drawing>
              <wp:anchor distT="45720" distB="45720" distL="114300" distR="114300" simplePos="0" relativeHeight="251875328" behindDoc="0" locked="0" layoutInCell="1" allowOverlap="1" wp14:anchorId="5036F02F" wp14:editId="704DEFF6">
                <wp:simplePos x="0" y="0"/>
                <wp:positionH relativeFrom="column">
                  <wp:posOffset>1703705</wp:posOffset>
                </wp:positionH>
                <wp:positionV relativeFrom="paragraph">
                  <wp:posOffset>2366949</wp:posOffset>
                </wp:positionV>
                <wp:extent cx="373711" cy="318052"/>
                <wp:effectExtent l="0" t="0" r="0" b="635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11" cy="318052"/>
                        </a:xfrm>
                        <a:prstGeom prst="rect">
                          <a:avLst/>
                        </a:prstGeom>
                        <a:noFill/>
                        <a:ln w="9525">
                          <a:noFill/>
                          <a:miter lim="800000"/>
                          <a:headEnd/>
                          <a:tailEnd/>
                        </a:ln>
                      </wps:spPr>
                      <wps:txbx>
                        <w:txbxContent>
                          <w:p w14:paraId="76AFF7F8" w14:textId="77777777" w:rsidR="00820441" w:rsidRDefault="00820441" w:rsidP="00820441">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36F02F" id="_x0000_s1050" type="#_x0000_t202" style="position:absolute;margin-left:134.15pt;margin-top:186.35pt;width:29.45pt;height:25.05pt;z-index:251875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" filled="f" stroked="f">
                <v:textbox>
                  <w:txbxContent>
                    <w:p w14:paraId="76AFF7F8" w14:textId="77777777" w:rsidR="00820441" w:rsidRDefault="00820441" w:rsidP="00820441">
                      <w:r>
                        <w:t>B</w:t>
                      </w:r>
                    </w:p>
                  </w:txbxContent>
                </v:textbox>
              </v:shape>
            </w:pict>
          </mc:Fallback>
        </mc:AlternateContent>
      </w:r>
      <w:r>
        <w:rPr>
          <w:noProof/>
        </w:rPr>
        <mc:AlternateContent>
          <mc:Choice Requires="wps">
            <w:drawing>
              <wp:anchor distT="45720" distB="45720" distL="114300" distR="114300" simplePos="0" relativeHeight="251873280" behindDoc="0" locked="0" layoutInCell="1" allowOverlap="1" wp14:anchorId="18D616E1" wp14:editId="36F94409">
                <wp:simplePos x="0" y="0"/>
                <wp:positionH relativeFrom="column">
                  <wp:posOffset>1052830</wp:posOffset>
                </wp:positionH>
                <wp:positionV relativeFrom="paragraph">
                  <wp:posOffset>2384094</wp:posOffset>
                </wp:positionV>
                <wp:extent cx="373711" cy="318052"/>
                <wp:effectExtent l="0" t="0" r="0" b="6350"/>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11" cy="318052"/>
                        </a:xfrm>
                        <a:prstGeom prst="rect">
                          <a:avLst/>
                        </a:prstGeom>
                        <a:noFill/>
                        <a:ln w="9525">
                          <a:noFill/>
                          <a:miter lim="800000"/>
                          <a:headEnd/>
                          <a:tailEnd/>
                        </a:ln>
                      </wps:spPr>
                      <wps:txbx>
                        <w:txbxContent>
                          <w:p w14:paraId="5F637B49" w14:textId="77777777" w:rsidR="00820441" w:rsidRDefault="00820441" w:rsidP="00820441">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D616E1" id="_x0000_s1051" type="#_x0000_t202" style="position:absolute;margin-left:82.9pt;margin-top:187.7pt;width:29.45pt;height:25.05pt;z-index:251873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" filled="f" stroked="f">
                <v:textbox>
                  <w:txbxContent>
                    <w:p w14:paraId="5F637B49" w14:textId="77777777" w:rsidR="00820441" w:rsidRDefault="00820441" w:rsidP="00820441">
                      <w:r>
                        <w:t>B</w:t>
                      </w:r>
                    </w:p>
                  </w:txbxContent>
                </v:textbox>
              </v:shape>
            </w:pict>
          </mc:Fallback>
        </mc:AlternateContent>
      </w:r>
      <w:r>
        <w:rPr>
          <w:noProof/>
        </w:rPr>
        <mc:AlternateContent>
          <mc:Choice Requires="wps">
            <w:drawing>
              <wp:anchor distT="45720" distB="45720" distL="114300" distR="114300" simplePos="0" relativeHeight="251869184" behindDoc="0" locked="0" layoutInCell="1" allowOverlap="1" wp14:anchorId="3DD3AC32" wp14:editId="462C7F92">
                <wp:simplePos x="0" y="0"/>
                <wp:positionH relativeFrom="column">
                  <wp:posOffset>1051864</wp:posOffset>
                </wp:positionH>
                <wp:positionV relativeFrom="paragraph">
                  <wp:posOffset>1964690</wp:posOffset>
                </wp:positionV>
                <wp:extent cx="373711" cy="318052"/>
                <wp:effectExtent l="0" t="0" r="0" b="635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11" cy="318052"/>
                        </a:xfrm>
                        <a:prstGeom prst="rect">
                          <a:avLst/>
                        </a:prstGeom>
                        <a:noFill/>
                        <a:ln w="9525">
                          <a:noFill/>
                          <a:miter lim="800000"/>
                          <a:headEnd/>
                          <a:tailEnd/>
                        </a:ln>
                      </wps:spPr>
                      <wps:txbx>
                        <w:txbxContent>
                          <w:p w14:paraId="64BAA033" w14:textId="77777777" w:rsidR="00820441" w:rsidRDefault="00820441" w:rsidP="00820441">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D3AC32" id="_x0000_s1052" type="#_x0000_t202" style="position:absolute;margin-left:82.8pt;margin-top:154.7pt;width:29.45pt;height:25.05pt;z-index:251869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" filled="f" stroked="f">
                <v:textbox>
                  <w:txbxContent>
                    <w:p w14:paraId="64BAA033" w14:textId="77777777" w:rsidR="00820441" w:rsidRDefault="00820441" w:rsidP="00820441">
                      <w:r>
                        <w:t>B</w:t>
                      </w:r>
                    </w:p>
                  </w:txbxContent>
                </v:textbox>
              </v:shape>
            </w:pict>
          </mc:Fallback>
        </mc:AlternateContent>
      </w:r>
      <w:r>
        <w:rPr>
          <w:noProof/>
        </w:rPr>
        <mc:AlternateContent>
          <mc:Choice Requires="wps">
            <w:drawing>
              <wp:anchor distT="45720" distB="45720" distL="114300" distR="114300" simplePos="0" relativeHeight="251871232" behindDoc="0" locked="0" layoutInCell="1" allowOverlap="1" wp14:anchorId="01ACD003" wp14:editId="6C553DD0">
                <wp:simplePos x="0" y="0"/>
                <wp:positionH relativeFrom="column">
                  <wp:posOffset>1242805</wp:posOffset>
                </wp:positionH>
                <wp:positionV relativeFrom="paragraph">
                  <wp:posOffset>2036363</wp:posOffset>
                </wp:positionV>
                <wp:extent cx="373711" cy="318052"/>
                <wp:effectExtent l="0" t="0" r="0" b="635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11" cy="318052"/>
                        </a:xfrm>
                        <a:prstGeom prst="rect">
                          <a:avLst/>
                        </a:prstGeom>
                        <a:noFill/>
                        <a:ln w="9525">
                          <a:noFill/>
                          <a:miter lim="800000"/>
                          <a:headEnd/>
                          <a:tailEnd/>
                        </a:ln>
                      </wps:spPr>
                      <wps:txbx>
                        <w:txbxContent>
                          <w:p w14:paraId="34638204" w14:textId="2A0B7420" w:rsidR="00820441" w:rsidRDefault="00820441" w:rsidP="00820441">
                            <w:r>
                              <w:t>B</w:t>
                            </w:r>
                            <w:r w:rsidRPr="00820441">
                              <w:rPr>
                                <w:noProof/>
                              </w:rPr>
                              <w:drawing>
                                <wp:inline distT="0" distB="0" distL="0" distR="0" wp14:anchorId="12AD92EE" wp14:editId="035AEEDB">
                                  <wp:extent cx="181610" cy="15811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1610" cy="15811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ACD003" id="_x0000_s1053" type="#_x0000_t202" style="position:absolute;margin-left:97.85pt;margin-top:160.35pt;width:29.45pt;height:25.05pt;z-index:251871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" filled="f" stroked="f">
                <v:textbox>
                  <w:txbxContent>
                    <w:p w14:paraId="34638204" w14:textId="2A0B7420" w:rsidR="00820441" w:rsidRDefault="00820441" w:rsidP="00820441">
                      <w:r>
                        <w:t>B</w:t>
                      </w:r>
                      <w:r w:rsidRPr="00820441">
                        <w:rPr>
                          <w:noProof/>
                        </w:rPr>
                        <w:drawing>
                          <wp:inline distT="0" distB="0" distL="0" distR="0" wp14:anchorId="12AD92EE" wp14:editId="035AEEDB">
                            <wp:extent cx="181610" cy="15811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1610" cy="158115"/>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45720" distB="45720" distL="114300" distR="114300" simplePos="0" relativeHeight="251867136" behindDoc="0" locked="0" layoutInCell="1" allowOverlap="1" wp14:anchorId="65523C6D" wp14:editId="1EF1A0F0">
                <wp:simplePos x="0" y="0"/>
                <wp:positionH relativeFrom="column">
                  <wp:posOffset>869756</wp:posOffset>
                </wp:positionH>
                <wp:positionV relativeFrom="paragraph">
                  <wp:posOffset>1964718</wp:posOffset>
                </wp:positionV>
                <wp:extent cx="373711" cy="318052"/>
                <wp:effectExtent l="0" t="0" r="0" b="635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11" cy="318052"/>
                        </a:xfrm>
                        <a:prstGeom prst="rect">
                          <a:avLst/>
                        </a:prstGeom>
                        <a:noFill/>
                        <a:ln w="9525">
                          <a:noFill/>
                          <a:miter lim="800000"/>
                          <a:headEnd/>
                          <a:tailEnd/>
                        </a:ln>
                      </wps:spPr>
                      <wps:txbx>
                        <w:txbxContent>
                          <w:p w14:paraId="58E45DBE" w14:textId="3F9659B9" w:rsidR="00820441" w:rsidRDefault="00820441" w:rsidP="00820441">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523C6D" id="_x0000_s1054" type="#_x0000_t202" style="position:absolute;margin-left:68.5pt;margin-top:154.7pt;width:29.45pt;height:25.05pt;z-index:251867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" filled="f" stroked="f">
                <v:textbox>
                  <w:txbxContent>
                    <w:p w14:paraId="58E45DBE" w14:textId="3F9659B9" w:rsidR="00820441" w:rsidRDefault="00820441" w:rsidP="00820441">
                      <w:r>
                        <w:t>B</w:t>
                      </w:r>
                    </w:p>
                  </w:txbxContent>
                </v:textbox>
              </v:shape>
            </w:pict>
          </mc:Fallback>
        </mc:AlternateContent>
      </w:r>
      <w:r w:rsidR="00471146">
        <w:rPr>
          <w:noProof/>
        </w:rPr>
        <mc:AlternateContent>
          <mc:Choice Requires="wps">
            <w:drawing>
              <wp:anchor distT="45720" distB="45720" distL="114300" distR="114300" simplePos="0" relativeHeight="251865088" behindDoc="0" locked="0" layoutInCell="1" allowOverlap="1" wp14:anchorId="2DD16582" wp14:editId="1933CE53">
                <wp:simplePos x="0" y="0"/>
                <wp:positionH relativeFrom="column">
                  <wp:posOffset>2617111</wp:posOffset>
                </wp:positionH>
                <wp:positionV relativeFrom="paragraph">
                  <wp:posOffset>1859418</wp:posOffset>
                </wp:positionV>
                <wp:extent cx="445273" cy="318052"/>
                <wp:effectExtent l="0" t="0" r="0" b="6350"/>
                <wp:wrapNone/>
                <wp:docPr id="2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273" cy="318052"/>
                        </a:xfrm>
                        <a:prstGeom prst="rect">
                          <a:avLst/>
                        </a:prstGeom>
                        <a:noFill/>
                        <a:ln w="9525">
                          <a:noFill/>
                          <a:miter lim="800000"/>
                          <a:headEnd/>
                          <a:tailEnd/>
                        </a:ln>
                      </wps:spPr>
                      <wps:txbx>
                        <w:txbxContent>
                          <w:p w14:paraId="281DCB28" w14:textId="3FF7B215" w:rsidR="00471146" w:rsidRDefault="00471146" w:rsidP="00471146">
                            <w:r>
                              <w:t>AB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D16582" id="_x0000_s1055" type="#_x0000_t202" style="position:absolute;margin-left:206.05pt;margin-top:146.4pt;width:35.05pt;height:25.05pt;z-index:251865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" filled="f" stroked="f">
                <v:textbox>
                  <w:txbxContent>
                    <w:p w14:paraId="281DCB28" w14:textId="3FF7B215" w:rsidR="00471146" w:rsidRDefault="00471146" w:rsidP="00471146">
                      <w:r>
                        <w:t>AB</w:t>
                      </w:r>
                    </w:p>
                  </w:txbxContent>
                </v:textbox>
              </v:shape>
            </w:pict>
          </mc:Fallback>
        </mc:AlternateContent>
      </w:r>
      <w:r w:rsidR="00471146">
        <w:rPr>
          <w:noProof/>
        </w:rPr>
        <mc:AlternateContent>
          <mc:Choice Requires="wps">
            <w:drawing>
              <wp:anchor distT="45720" distB="45720" distL="114300" distR="114300" simplePos="0" relativeHeight="251863040" behindDoc="0" locked="0" layoutInCell="1" allowOverlap="1" wp14:anchorId="5B2CA23E" wp14:editId="2C4DDCEF">
                <wp:simplePos x="0" y="0"/>
                <wp:positionH relativeFrom="column">
                  <wp:posOffset>4359606</wp:posOffset>
                </wp:positionH>
                <wp:positionV relativeFrom="paragraph">
                  <wp:posOffset>445135</wp:posOffset>
                </wp:positionV>
                <wp:extent cx="373711" cy="318052"/>
                <wp:effectExtent l="0" t="0" r="0" b="6350"/>
                <wp:wrapNone/>
                <wp:docPr id="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11" cy="318052"/>
                        </a:xfrm>
                        <a:prstGeom prst="rect">
                          <a:avLst/>
                        </a:prstGeom>
                        <a:noFill/>
                        <a:ln w="9525">
                          <a:noFill/>
                          <a:miter lim="800000"/>
                          <a:headEnd/>
                          <a:tailEnd/>
                        </a:ln>
                      </wps:spPr>
                      <wps:txbx>
                        <w:txbxContent>
                          <w:p w14:paraId="6F996E71" w14:textId="77777777" w:rsidR="00471146" w:rsidRDefault="00471146" w:rsidP="00471146">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2CA23E" id="_x0000_s1056" type="#_x0000_t202" style="position:absolute;margin-left:343.3pt;margin-top:35.05pt;width:29.45pt;height:25.05pt;z-index:251863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" filled="f" stroked="f">
                <v:textbox>
                  <w:txbxContent>
                    <w:p w14:paraId="6F996E71" w14:textId="77777777" w:rsidR="00471146" w:rsidRDefault="00471146" w:rsidP="00471146">
                      <w:r>
                        <w:t>A</w:t>
                      </w:r>
                    </w:p>
                  </w:txbxContent>
                </v:textbox>
              </v:shape>
            </w:pict>
          </mc:Fallback>
        </mc:AlternateContent>
      </w:r>
      <w:r w:rsidR="00471146">
        <w:rPr>
          <w:noProof/>
        </w:rPr>
        <mc:AlternateContent>
          <mc:Choice Requires="wps">
            <w:drawing>
              <wp:anchor distT="45720" distB="45720" distL="114300" distR="114300" simplePos="0" relativeHeight="251860992" behindDoc="0" locked="0" layoutInCell="1" allowOverlap="1" wp14:anchorId="0107DBE3" wp14:editId="0D1C3987">
                <wp:simplePos x="0" y="0"/>
                <wp:positionH relativeFrom="column">
                  <wp:posOffset>3691586</wp:posOffset>
                </wp:positionH>
                <wp:positionV relativeFrom="paragraph">
                  <wp:posOffset>992505</wp:posOffset>
                </wp:positionV>
                <wp:extent cx="373711" cy="318052"/>
                <wp:effectExtent l="0" t="0" r="0" b="6350"/>
                <wp:wrapNone/>
                <wp:docPr id="2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11" cy="318052"/>
                        </a:xfrm>
                        <a:prstGeom prst="rect">
                          <a:avLst/>
                        </a:prstGeom>
                        <a:noFill/>
                        <a:ln w="9525">
                          <a:noFill/>
                          <a:miter lim="800000"/>
                          <a:headEnd/>
                          <a:tailEnd/>
                        </a:ln>
                      </wps:spPr>
                      <wps:txbx>
                        <w:txbxContent>
                          <w:p w14:paraId="7DBBB5A9" w14:textId="77777777" w:rsidR="00471146" w:rsidRDefault="00471146" w:rsidP="00471146">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07DBE3" id="_x0000_s1057" type="#_x0000_t202" style="position:absolute;margin-left:290.7pt;margin-top:78.15pt;width:29.45pt;height:25.05pt;z-index:251860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" filled="f" stroked="f">
                <v:textbox>
                  <w:txbxContent>
                    <w:p w14:paraId="7DBBB5A9" w14:textId="77777777" w:rsidR="00471146" w:rsidRDefault="00471146" w:rsidP="00471146">
                      <w:r>
                        <w:t>A</w:t>
                      </w:r>
                    </w:p>
                  </w:txbxContent>
                </v:textbox>
              </v:shape>
            </w:pict>
          </mc:Fallback>
        </mc:AlternateContent>
      </w:r>
      <w:r w:rsidR="00471146">
        <w:rPr>
          <w:noProof/>
        </w:rPr>
        <mc:AlternateContent>
          <mc:Choice Requires="wps">
            <w:drawing>
              <wp:anchor distT="45720" distB="45720" distL="114300" distR="114300" simplePos="0" relativeHeight="251858944" behindDoc="0" locked="0" layoutInCell="1" allowOverlap="1" wp14:anchorId="21EDB90A" wp14:editId="41E78BA4">
                <wp:simplePos x="0" y="0"/>
                <wp:positionH relativeFrom="column">
                  <wp:posOffset>2689225</wp:posOffset>
                </wp:positionH>
                <wp:positionV relativeFrom="paragraph">
                  <wp:posOffset>1463344</wp:posOffset>
                </wp:positionV>
                <wp:extent cx="373711" cy="318052"/>
                <wp:effectExtent l="0" t="0" r="0" b="6350"/>
                <wp:wrapNone/>
                <wp:docPr id="2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11" cy="318052"/>
                        </a:xfrm>
                        <a:prstGeom prst="rect">
                          <a:avLst/>
                        </a:prstGeom>
                        <a:noFill/>
                        <a:ln w="9525">
                          <a:noFill/>
                          <a:miter lim="800000"/>
                          <a:headEnd/>
                          <a:tailEnd/>
                        </a:ln>
                      </wps:spPr>
                      <wps:txbx>
                        <w:txbxContent>
                          <w:p w14:paraId="377CAA96" w14:textId="77777777" w:rsidR="00471146" w:rsidRDefault="00471146" w:rsidP="00471146">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EDB90A" id="_x0000_s1058" type="#_x0000_t202" style="position:absolute;margin-left:211.75pt;margin-top:115.2pt;width:29.45pt;height:25.05pt;z-index:251858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" filled="f" stroked="f">
                <v:textbox>
                  <w:txbxContent>
                    <w:p w14:paraId="377CAA96" w14:textId="77777777" w:rsidR="00471146" w:rsidRDefault="00471146" w:rsidP="00471146">
                      <w:r>
                        <w:t>A</w:t>
                      </w:r>
                    </w:p>
                  </w:txbxContent>
                </v:textbox>
              </v:shape>
            </w:pict>
          </mc:Fallback>
        </mc:AlternateContent>
      </w:r>
      <w:r w:rsidR="00471146">
        <w:rPr>
          <w:noProof/>
        </w:rPr>
        <mc:AlternateContent>
          <mc:Choice Requires="wps">
            <w:drawing>
              <wp:anchor distT="45720" distB="45720" distL="114300" distR="114300" simplePos="0" relativeHeight="251854848" behindDoc="0" locked="0" layoutInCell="1" allowOverlap="1" wp14:anchorId="329DB29E" wp14:editId="50267A61">
                <wp:simplePos x="0" y="0"/>
                <wp:positionH relativeFrom="column">
                  <wp:posOffset>1712761</wp:posOffset>
                </wp:positionH>
                <wp:positionV relativeFrom="paragraph">
                  <wp:posOffset>1360999</wp:posOffset>
                </wp:positionV>
                <wp:extent cx="373711" cy="318052"/>
                <wp:effectExtent l="0" t="0" r="0" b="6350"/>
                <wp:wrapNone/>
                <wp:docPr id="2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11" cy="318052"/>
                        </a:xfrm>
                        <a:prstGeom prst="rect">
                          <a:avLst/>
                        </a:prstGeom>
                        <a:noFill/>
                        <a:ln w="9525">
                          <a:noFill/>
                          <a:miter lim="800000"/>
                          <a:headEnd/>
                          <a:tailEnd/>
                        </a:ln>
                      </wps:spPr>
                      <wps:txbx>
                        <w:txbxContent>
                          <w:p w14:paraId="2DFECD8E" w14:textId="77777777" w:rsidR="00471146" w:rsidRDefault="00471146" w:rsidP="00471146">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9DB29E" id="_x0000_s1059" type="#_x0000_t202" style="position:absolute;margin-left:134.85pt;margin-top:107.15pt;width:29.45pt;height:25.05pt;z-index:251854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" filled="f" stroked="f">
                <v:textbox>
                  <w:txbxContent>
                    <w:p w14:paraId="2DFECD8E" w14:textId="77777777" w:rsidR="00471146" w:rsidRDefault="00471146" w:rsidP="00471146">
                      <w:r>
                        <w:t>A</w:t>
                      </w:r>
                    </w:p>
                  </w:txbxContent>
                </v:textbox>
              </v:shape>
            </w:pict>
          </mc:Fallback>
        </mc:AlternateContent>
      </w:r>
      <w:r w:rsidR="00471146">
        <w:rPr>
          <w:noProof/>
        </w:rPr>
        <mc:AlternateContent>
          <mc:Choice Requires="wps">
            <w:drawing>
              <wp:anchor distT="45720" distB="45720" distL="114300" distR="114300" simplePos="0" relativeHeight="251856896" behindDoc="0" locked="0" layoutInCell="1" allowOverlap="1" wp14:anchorId="6D9D0477" wp14:editId="2AB325AC">
                <wp:simplePos x="0" y="0"/>
                <wp:positionH relativeFrom="column">
                  <wp:posOffset>1013101</wp:posOffset>
                </wp:positionH>
                <wp:positionV relativeFrom="paragraph">
                  <wp:posOffset>1249100</wp:posOffset>
                </wp:positionV>
                <wp:extent cx="373711" cy="318052"/>
                <wp:effectExtent l="0" t="0" r="0" b="6350"/>
                <wp:wrapNone/>
                <wp:docPr id="2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711" cy="318052"/>
                        </a:xfrm>
                        <a:prstGeom prst="rect">
                          <a:avLst/>
                        </a:prstGeom>
                        <a:noFill/>
                        <a:ln w="9525">
                          <a:noFill/>
                          <a:miter lim="800000"/>
                          <a:headEnd/>
                          <a:tailEnd/>
                        </a:ln>
                      </wps:spPr>
                      <wps:txbx>
                        <w:txbxContent>
                          <w:p w14:paraId="78E21130" w14:textId="77777777" w:rsidR="00471146" w:rsidRDefault="00471146" w:rsidP="00471146">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9D0477" id="_x0000_s1060" type="#_x0000_t202" style="position:absolute;margin-left:79.75pt;margin-top:98.35pt;width:29.45pt;height:25.05pt;z-index:251856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" filled="f" stroked="f">
                <v:textbox>
                  <w:txbxContent>
                    <w:p w14:paraId="78E21130" w14:textId="77777777" w:rsidR="00471146" w:rsidRDefault="00471146" w:rsidP="00471146">
                      <w:r>
                        <w:t>A</w:t>
                      </w:r>
                    </w:p>
                  </w:txbxContent>
                </v:textbox>
              </v:shape>
            </w:pict>
          </mc:Fallback>
        </mc:AlternateContent>
      </w:r>
      <w:r w:rsidR="00471146">
        <w:rPr>
          <w:noProof/>
        </w:rPr>
        <w:drawing>
          <wp:inline distT="0" distB="0" distL="0" distR="0" wp14:anchorId="152A0171" wp14:editId="18D49C3D">
            <wp:extent cx="5029200" cy="3657600"/>
            <wp:effectExtent l="0" t="0" r="0" b="0"/>
            <wp:docPr id="277" name="Chart 277">
              <a:extLst xmlns:a="http://schemas.openxmlformats.org/drawingml/2006/main">
                <a:ext uri="{FF2B5EF4-FFF2-40B4-BE49-F238E27FC236}">
                  <a16:creationId xmlns:a16="http://schemas.microsoft.com/office/drawing/2014/main" id="{05AC854D-7834-465E-9C79-82B28FF76B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29F6D635" w14:textId="4EB08A29" w:rsidR="00471146" w:rsidRDefault="00471146" w:rsidP="00471146">
      <w:pPr>
        <w:pStyle w:val="Figures"/>
      </w:pPr>
      <w:bookmarkStart w:id="226" w:name="_Toc72300470"/>
      <w:r w:rsidRPr="00BC2376">
        <w:t>Figure 2.</w:t>
      </w:r>
      <w:r>
        <w:t>5</w:t>
      </w:r>
      <w:r w:rsidRPr="00BC2376">
        <w:t xml:space="preserve">.  </w:t>
      </w:r>
      <w:r>
        <w:t xml:space="preserve">Mean </w:t>
      </w:r>
      <w:r w:rsidR="00116812">
        <w:t>big bluetem/indiangrass dry matter yield</w:t>
      </w:r>
      <w:r>
        <w:t xml:space="preserve"> (</w:t>
      </w:r>
      <w:r w:rsidR="00116812">
        <w:t>M</w:t>
      </w:r>
      <w:r>
        <w:t xml:space="preserve">g </w:t>
      </w:r>
      <w:r w:rsidR="00116812">
        <w:t>ha</w:t>
      </w:r>
      <w:r w:rsidRPr="00681E7F">
        <w:rPr>
          <w:vertAlign w:val="superscript"/>
        </w:rPr>
        <w:t>-1</w:t>
      </w:r>
      <w:r>
        <w:t xml:space="preserve">) of big bluestem/indiangrass and native forb pasture </w:t>
      </w:r>
      <w:r w:rsidRPr="00BC2376">
        <w:t xml:space="preserve">for native </w:t>
      </w:r>
      <w:r>
        <w:t xml:space="preserve">grass </w:t>
      </w:r>
      <w:r w:rsidRPr="00BC2376">
        <w:t>pasture grazing experiment, 201</w:t>
      </w:r>
      <w:r>
        <w:t>9</w:t>
      </w:r>
      <w:r w:rsidRPr="00BC2376">
        <w:t>, University of Tennessee – Northeast Tennessee AgResearch and Education Center, Greeneville, TN.</w:t>
      </w:r>
      <w:r>
        <w:t xml:space="preserve">  Grazing treatments were early rest (EARL), middle rest (MIDD), late rest (LATE), no rest (NORE), and no graze (NOGR).  </w:t>
      </w:r>
      <w:r w:rsidRPr="00BC2376">
        <w:t>*</w:t>
      </w:r>
      <w:r>
        <w:t>S</w:t>
      </w:r>
      <w:r w:rsidRPr="00BC2376">
        <w:t xml:space="preserve">ignificant difference </w:t>
      </w:r>
      <w:r>
        <w:t>among grazing treatments,</w:t>
      </w:r>
      <w:r w:rsidRPr="00BC2376">
        <w:t xml:space="preserve"> α = 0.05</w:t>
      </w:r>
      <w:bookmarkEnd w:id="226"/>
    </w:p>
    <w:p w14:paraId="355BC243" w14:textId="77777777" w:rsidR="00F328C8" w:rsidRDefault="00F328C8" w:rsidP="004A496B">
      <w:pPr>
        <w:pStyle w:val="Figures"/>
        <w:sectPr w:rsidR="00F328C8" w:rsidSect="00BB06E9">
          <w:pgSz w:w="12240" w:h="15840" w:code="1"/>
          <w:pgMar w:top="1440" w:right="1800" w:bottom="1872" w:left="1800" w:header="720" w:footer="1440" w:gutter="0"/>
          <w:cols w:space="720"/>
          <w:noEndnote/>
          <w:docGrid w:linePitch="360"/>
        </w:sectPr>
      </w:pPr>
    </w:p>
    <w:p w14:paraId="5DA40108" w14:textId="4F088C09" w:rsidR="00471146" w:rsidRPr="004A496B" w:rsidRDefault="00116812" w:rsidP="00FA0ADB">
      <w:pPr>
        <w:spacing w:after="100" w:afterAutospacing="1" w:line="240" w:lineRule="auto"/>
      </w:pPr>
      <w:r>
        <w:rPr>
          <w:noProof/>
        </w:rPr>
        <w:lastRenderedPageBreak/>
        <mc:AlternateContent>
          <mc:Choice Requires="wps">
            <w:drawing>
              <wp:anchor distT="45720" distB="45720" distL="114300" distR="114300" simplePos="0" relativeHeight="251891712" behindDoc="0" locked="0" layoutInCell="1" allowOverlap="1" wp14:anchorId="1FD92B67" wp14:editId="5EB5057F">
                <wp:simplePos x="0" y="0"/>
                <wp:positionH relativeFrom="column">
                  <wp:posOffset>2626360</wp:posOffset>
                </wp:positionH>
                <wp:positionV relativeFrom="paragraph">
                  <wp:posOffset>1216356</wp:posOffset>
                </wp:positionV>
                <wp:extent cx="452755" cy="325755"/>
                <wp:effectExtent l="0" t="0" r="0" b="0"/>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755" cy="325755"/>
                        </a:xfrm>
                        <a:prstGeom prst="rect">
                          <a:avLst/>
                        </a:prstGeom>
                        <a:noFill/>
                        <a:ln w="9525">
                          <a:noFill/>
                          <a:miter lim="800000"/>
                          <a:headEnd/>
                          <a:tailEnd/>
                        </a:ln>
                      </wps:spPr>
                      <wps:txbx>
                        <w:txbxContent>
                          <w:p w14:paraId="05C25B6B" w14:textId="77777777" w:rsidR="00116812" w:rsidRDefault="00116812" w:rsidP="00116812">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D92B67" id="_x0000_s1061" type="#_x0000_t202" style="position:absolute;margin-left:206.8pt;margin-top:95.8pt;width:35.65pt;height:25.65pt;z-index:251891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" filled="f" stroked="f">
                <v:textbox>
                  <w:txbxContent>
                    <w:p w14:paraId="05C25B6B" w14:textId="77777777" w:rsidR="00116812" w:rsidRDefault="00116812" w:rsidP="00116812">
                      <w:r>
                        <w:t>A</w:t>
                      </w:r>
                    </w:p>
                  </w:txbxContent>
                </v:textbox>
              </v:shape>
            </w:pict>
          </mc:Fallback>
        </mc:AlternateContent>
      </w:r>
      <w:r>
        <w:rPr>
          <w:noProof/>
        </w:rPr>
        <mc:AlternateContent>
          <mc:Choice Requires="wps">
            <w:drawing>
              <wp:anchor distT="45720" distB="45720" distL="114300" distR="114300" simplePos="0" relativeHeight="251899904" behindDoc="0" locked="0" layoutInCell="1" allowOverlap="1" wp14:anchorId="3E937D06" wp14:editId="69204C93">
                <wp:simplePos x="0" y="0"/>
                <wp:positionH relativeFrom="column">
                  <wp:posOffset>2617166</wp:posOffset>
                </wp:positionH>
                <wp:positionV relativeFrom="paragraph">
                  <wp:posOffset>1667510</wp:posOffset>
                </wp:positionV>
                <wp:extent cx="452755" cy="325755"/>
                <wp:effectExtent l="0" t="0" r="0" b="0"/>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755" cy="325755"/>
                        </a:xfrm>
                        <a:prstGeom prst="rect">
                          <a:avLst/>
                        </a:prstGeom>
                        <a:noFill/>
                        <a:ln w="9525">
                          <a:noFill/>
                          <a:miter lim="800000"/>
                          <a:headEnd/>
                          <a:tailEnd/>
                        </a:ln>
                      </wps:spPr>
                      <wps:txbx>
                        <w:txbxContent>
                          <w:p w14:paraId="56B78A69" w14:textId="77777777" w:rsidR="00116812" w:rsidRDefault="00116812" w:rsidP="00116812">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937D06" id="_x0000_s1062" type="#_x0000_t202" style="position:absolute;margin-left:206.1pt;margin-top:131.3pt;width:35.65pt;height:25.65pt;z-index:251899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" filled="f" stroked="f">
                <v:textbox>
                  <w:txbxContent>
                    <w:p w14:paraId="56B78A69" w14:textId="77777777" w:rsidR="00116812" w:rsidRDefault="00116812" w:rsidP="00116812">
                      <w:r>
                        <w:t>B</w:t>
                      </w:r>
                    </w:p>
                  </w:txbxContent>
                </v:textbox>
              </v:shape>
            </w:pict>
          </mc:Fallback>
        </mc:AlternateContent>
      </w:r>
      <w:r>
        <w:rPr>
          <w:noProof/>
        </w:rPr>
        <mc:AlternateContent>
          <mc:Choice Requires="wps">
            <w:drawing>
              <wp:anchor distT="45720" distB="45720" distL="114300" distR="114300" simplePos="0" relativeHeight="251901952" behindDoc="0" locked="0" layoutInCell="1" allowOverlap="1" wp14:anchorId="467FD52C" wp14:editId="760B590A">
                <wp:simplePos x="0" y="0"/>
                <wp:positionH relativeFrom="column">
                  <wp:posOffset>2618105</wp:posOffset>
                </wp:positionH>
                <wp:positionV relativeFrom="paragraph">
                  <wp:posOffset>2114881</wp:posOffset>
                </wp:positionV>
                <wp:extent cx="453224" cy="326003"/>
                <wp:effectExtent l="0" t="0" r="0" b="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224" cy="326003"/>
                        </a:xfrm>
                        <a:prstGeom prst="rect">
                          <a:avLst/>
                        </a:prstGeom>
                        <a:noFill/>
                        <a:ln w="9525">
                          <a:noFill/>
                          <a:miter lim="800000"/>
                          <a:headEnd/>
                          <a:tailEnd/>
                        </a:ln>
                      </wps:spPr>
                      <wps:txbx>
                        <w:txbxContent>
                          <w:p w14:paraId="38939B12" w14:textId="77777777" w:rsidR="00116812" w:rsidRDefault="00116812" w:rsidP="00116812">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7FD52C" id="_x0000_s1063" type="#_x0000_t202" style="position:absolute;margin-left:206.15pt;margin-top:166.55pt;width:35.7pt;height:25.65pt;z-index:251901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" filled="f" stroked="f">
                <v:textbox>
                  <w:txbxContent>
                    <w:p w14:paraId="38939B12" w14:textId="77777777" w:rsidR="00116812" w:rsidRDefault="00116812" w:rsidP="00116812">
                      <w:r>
                        <w:t>B</w:t>
                      </w:r>
                    </w:p>
                  </w:txbxContent>
                </v:textbox>
              </v:shape>
            </w:pict>
          </mc:Fallback>
        </mc:AlternateContent>
      </w:r>
      <w:r>
        <w:rPr>
          <w:noProof/>
        </w:rPr>
        <mc:AlternateContent>
          <mc:Choice Requires="wps">
            <w:drawing>
              <wp:anchor distT="45720" distB="45720" distL="114300" distR="114300" simplePos="0" relativeHeight="251893760" behindDoc="0" locked="0" layoutInCell="1" allowOverlap="1" wp14:anchorId="65F4C75A" wp14:editId="65066FFD">
                <wp:simplePos x="0" y="0"/>
                <wp:positionH relativeFrom="column">
                  <wp:posOffset>3636010</wp:posOffset>
                </wp:positionH>
                <wp:positionV relativeFrom="paragraph">
                  <wp:posOffset>1892935</wp:posOffset>
                </wp:positionV>
                <wp:extent cx="452755" cy="325755"/>
                <wp:effectExtent l="0" t="0" r="0" b="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755" cy="325755"/>
                        </a:xfrm>
                        <a:prstGeom prst="rect">
                          <a:avLst/>
                        </a:prstGeom>
                        <a:noFill/>
                        <a:ln w="9525">
                          <a:noFill/>
                          <a:miter lim="800000"/>
                          <a:headEnd/>
                          <a:tailEnd/>
                        </a:ln>
                      </wps:spPr>
                      <wps:txbx>
                        <w:txbxContent>
                          <w:p w14:paraId="75A2C3B3" w14:textId="42AF0DD5" w:rsidR="00116812" w:rsidRDefault="00116812" w:rsidP="00116812">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F4C75A" id="_x0000_s1064" type="#_x0000_t202" style="position:absolute;margin-left:286.3pt;margin-top:149.05pt;width:35.65pt;height:25.65pt;z-index:251893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" filled="f" stroked="f">
                <v:textbox>
                  <w:txbxContent>
                    <w:p w14:paraId="75A2C3B3" w14:textId="42AF0DD5" w:rsidR="00116812" w:rsidRDefault="00116812" w:rsidP="00116812">
                      <w:r>
                        <w:t>B</w:t>
                      </w:r>
                    </w:p>
                  </w:txbxContent>
                </v:textbox>
              </v:shape>
            </w:pict>
          </mc:Fallback>
        </mc:AlternateContent>
      </w:r>
      <w:r>
        <w:rPr>
          <w:noProof/>
        </w:rPr>
        <mc:AlternateContent>
          <mc:Choice Requires="wps">
            <w:drawing>
              <wp:anchor distT="45720" distB="45720" distL="114300" distR="114300" simplePos="0" relativeHeight="251897856" behindDoc="0" locked="0" layoutInCell="1" allowOverlap="1" wp14:anchorId="301BFB32" wp14:editId="7D026670">
                <wp:simplePos x="0" y="0"/>
                <wp:positionH relativeFrom="column">
                  <wp:posOffset>3825240</wp:posOffset>
                </wp:positionH>
                <wp:positionV relativeFrom="paragraph">
                  <wp:posOffset>2178354</wp:posOffset>
                </wp:positionV>
                <wp:extent cx="453224" cy="326003"/>
                <wp:effectExtent l="0" t="0" r="0" b="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224" cy="326003"/>
                        </a:xfrm>
                        <a:prstGeom prst="rect">
                          <a:avLst/>
                        </a:prstGeom>
                        <a:noFill/>
                        <a:ln w="9525">
                          <a:noFill/>
                          <a:miter lim="800000"/>
                          <a:headEnd/>
                          <a:tailEnd/>
                        </a:ln>
                      </wps:spPr>
                      <wps:txbx>
                        <w:txbxContent>
                          <w:p w14:paraId="71BDC061" w14:textId="77777777" w:rsidR="00116812" w:rsidRDefault="00116812" w:rsidP="00116812">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1BFB32" id="_x0000_s1065" type="#_x0000_t202" style="position:absolute;margin-left:301.2pt;margin-top:171.5pt;width:35.7pt;height:25.65pt;z-index:251897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" filled="f" stroked="f">
                <v:textbox>
                  <w:txbxContent>
                    <w:p w14:paraId="71BDC061" w14:textId="77777777" w:rsidR="00116812" w:rsidRDefault="00116812" w:rsidP="00116812">
                      <w:r>
                        <w:t>B</w:t>
                      </w:r>
                    </w:p>
                  </w:txbxContent>
                </v:textbox>
              </v:shape>
            </w:pict>
          </mc:Fallback>
        </mc:AlternateContent>
      </w:r>
      <w:r>
        <w:rPr>
          <w:noProof/>
        </w:rPr>
        <mc:AlternateContent>
          <mc:Choice Requires="wps">
            <w:drawing>
              <wp:anchor distT="45720" distB="45720" distL="114300" distR="114300" simplePos="0" relativeHeight="251895808" behindDoc="0" locked="0" layoutInCell="1" allowOverlap="1" wp14:anchorId="68D60477" wp14:editId="2B3D1FA5">
                <wp:simplePos x="0" y="0"/>
                <wp:positionH relativeFrom="column">
                  <wp:posOffset>4352400</wp:posOffset>
                </wp:positionH>
                <wp:positionV relativeFrom="paragraph">
                  <wp:posOffset>2116124</wp:posOffset>
                </wp:positionV>
                <wp:extent cx="453224" cy="326003"/>
                <wp:effectExtent l="0" t="0" r="0" b="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224" cy="326003"/>
                        </a:xfrm>
                        <a:prstGeom prst="rect">
                          <a:avLst/>
                        </a:prstGeom>
                        <a:noFill/>
                        <a:ln w="9525">
                          <a:noFill/>
                          <a:miter lim="800000"/>
                          <a:headEnd/>
                          <a:tailEnd/>
                        </a:ln>
                      </wps:spPr>
                      <wps:txbx>
                        <w:txbxContent>
                          <w:p w14:paraId="6D37FA57" w14:textId="77777777" w:rsidR="00116812" w:rsidRDefault="00116812" w:rsidP="00116812">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D60477" id="_x0000_s1066" type="#_x0000_t202" style="position:absolute;margin-left:342.7pt;margin-top:166.6pt;width:35.7pt;height:25.65pt;z-index:251895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" filled="f" stroked="f">
                <v:textbox>
                  <w:txbxContent>
                    <w:p w14:paraId="6D37FA57" w14:textId="77777777" w:rsidR="00116812" w:rsidRDefault="00116812" w:rsidP="00116812">
                      <w:r>
                        <w:t>B</w:t>
                      </w:r>
                    </w:p>
                  </w:txbxContent>
                </v:textbox>
              </v:shape>
            </w:pict>
          </mc:Fallback>
        </mc:AlternateContent>
      </w:r>
      <w:r>
        <w:rPr>
          <w:noProof/>
        </w:rPr>
        <mc:AlternateContent>
          <mc:Choice Requires="wps">
            <w:drawing>
              <wp:anchor distT="45720" distB="45720" distL="114300" distR="114300" simplePos="0" relativeHeight="251887616" behindDoc="0" locked="0" layoutInCell="1" allowOverlap="1" wp14:anchorId="185A36E7" wp14:editId="0AA0AA1D">
                <wp:simplePos x="0" y="0"/>
                <wp:positionH relativeFrom="column">
                  <wp:posOffset>4351268</wp:posOffset>
                </wp:positionH>
                <wp:positionV relativeFrom="paragraph">
                  <wp:posOffset>174680</wp:posOffset>
                </wp:positionV>
                <wp:extent cx="453224" cy="326003"/>
                <wp:effectExtent l="0" t="0" r="0" b="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224" cy="326003"/>
                        </a:xfrm>
                        <a:prstGeom prst="rect">
                          <a:avLst/>
                        </a:prstGeom>
                        <a:noFill/>
                        <a:ln w="9525">
                          <a:noFill/>
                          <a:miter lim="800000"/>
                          <a:headEnd/>
                          <a:tailEnd/>
                        </a:ln>
                      </wps:spPr>
                      <wps:txbx>
                        <w:txbxContent>
                          <w:p w14:paraId="6B13DFE4" w14:textId="41801DCA" w:rsidR="00116812" w:rsidRDefault="00116812">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5A36E7" id="_x0000_s1067" type="#_x0000_t202" style="position:absolute;margin-left:342.6pt;margin-top:13.75pt;width:35.7pt;height:25.65pt;z-index:251887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" filled="f" stroked="f">
                <v:textbox>
                  <w:txbxContent>
                    <w:p w14:paraId="6B13DFE4" w14:textId="41801DCA" w:rsidR="00116812" w:rsidRDefault="00116812">
                      <w:r>
                        <w:t>A</w:t>
                      </w:r>
                    </w:p>
                  </w:txbxContent>
                </v:textbox>
              </v:shape>
            </w:pict>
          </mc:Fallback>
        </mc:AlternateContent>
      </w:r>
      <w:r>
        <w:rPr>
          <w:noProof/>
        </w:rPr>
        <mc:AlternateContent>
          <mc:Choice Requires="wps">
            <w:drawing>
              <wp:anchor distT="45720" distB="45720" distL="114300" distR="114300" simplePos="0" relativeHeight="251889664" behindDoc="0" locked="0" layoutInCell="1" allowOverlap="1" wp14:anchorId="1907D079" wp14:editId="15F1273D">
                <wp:simplePos x="0" y="0"/>
                <wp:positionH relativeFrom="column">
                  <wp:posOffset>3668782</wp:posOffset>
                </wp:positionH>
                <wp:positionV relativeFrom="paragraph">
                  <wp:posOffset>812358</wp:posOffset>
                </wp:positionV>
                <wp:extent cx="453224" cy="326003"/>
                <wp:effectExtent l="0" t="0" r="0" b="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224" cy="326003"/>
                        </a:xfrm>
                        <a:prstGeom prst="rect">
                          <a:avLst/>
                        </a:prstGeom>
                        <a:noFill/>
                        <a:ln w="9525">
                          <a:noFill/>
                          <a:miter lim="800000"/>
                          <a:headEnd/>
                          <a:tailEnd/>
                        </a:ln>
                      </wps:spPr>
                      <wps:txbx>
                        <w:txbxContent>
                          <w:p w14:paraId="39DD0C8E" w14:textId="77777777" w:rsidR="00116812" w:rsidRDefault="00116812" w:rsidP="00116812">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07D079" id="_x0000_s1068" type="#_x0000_t202" style="position:absolute;margin-left:288.9pt;margin-top:63.95pt;width:35.7pt;height:25.65pt;z-index:251889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" filled="f" stroked="f">
                <v:textbox>
                  <w:txbxContent>
                    <w:p w14:paraId="39DD0C8E" w14:textId="77777777" w:rsidR="00116812" w:rsidRDefault="00116812" w:rsidP="00116812">
                      <w:r>
                        <w:t>A</w:t>
                      </w:r>
                    </w:p>
                  </w:txbxContent>
                </v:textbox>
              </v:shape>
            </w:pict>
          </mc:Fallback>
        </mc:AlternateContent>
      </w:r>
      <w:r w:rsidR="00F328C8">
        <w:rPr>
          <w:noProof/>
        </w:rPr>
        <w:drawing>
          <wp:inline distT="0" distB="0" distL="0" distR="0" wp14:anchorId="7A4650E3" wp14:editId="516521A4">
            <wp:extent cx="5029200" cy="3657600"/>
            <wp:effectExtent l="0" t="0" r="0" b="0"/>
            <wp:docPr id="43" name="Chart 43">
              <a:extLst xmlns:a="http://schemas.openxmlformats.org/drawingml/2006/main">
                <a:ext uri="{FF2B5EF4-FFF2-40B4-BE49-F238E27FC236}">
                  <a16:creationId xmlns:a16="http://schemas.microsoft.com/office/drawing/2014/main" id="{40F57BAA-39E2-4681-9426-672DED28E5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6EDBF33E" w14:textId="56094B90" w:rsidR="00116812" w:rsidRDefault="00116812" w:rsidP="00116812">
      <w:pPr>
        <w:pStyle w:val="Figures"/>
      </w:pPr>
      <w:bookmarkStart w:id="227" w:name="_Toc72300471"/>
      <w:r w:rsidRPr="00BC2376">
        <w:t>Figure 2.</w:t>
      </w:r>
      <w:r>
        <w:t>6</w:t>
      </w:r>
      <w:r w:rsidRPr="00BC2376">
        <w:t xml:space="preserve">.  </w:t>
      </w:r>
      <w:r>
        <w:t>Mean total forage dry matter yield (Mg ha</w:t>
      </w:r>
      <w:r w:rsidRPr="00681E7F">
        <w:rPr>
          <w:vertAlign w:val="superscript"/>
        </w:rPr>
        <w:t>-1</w:t>
      </w:r>
      <w:r>
        <w:t xml:space="preserve">) of big bluestem/indiangrass and native forb pasture </w:t>
      </w:r>
      <w:r w:rsidRPr="00BC2376">
        <w:t xml:space="preserve">for native </w:t>
      </w:r>
      <w:r>
        <w:t xml:space="preserve">grass </w:t>
      </w:r>
      <w:r w:rsidRPr="00BC2376">
        <w:t>pasture grazing experiment, 201</w:t>
      </w:r>
      <w:r>
        <w:t>9</w:t>
      </w:r>
      <w:r w:rsidRPr="00BC2376">
        <w:t>, University of Tennessee – Northeast Tennessee AgResearch and Education Center, Greeneville, TN.</w:t>
      </w:r>
      <w:r>
        <w:t xml:space="preserve">  Grazing treatments were early rest (EARL), middle rest (MIDD), late rest (LATE), no rest (NORE), and no graze (NOGR).  </w:t>
      </w:r>
      <w:r w:rsidRPr="00BC2376">
        <w:t>*</w:t>
      </w:r>
      <w:r>
        <w:t>S</w:t>
      </w:r>
      <w:r w:rsidRPr="00BC2376">
        <w:t xml:space="preserve">ignificant difference </w:t>
      </w:r>
      <w:r>
        <w:t>among grazing treatments,</w:t>
      </w:r>
      <w:r w:rsidRPr="00BC2376">
        <w:t xml:space="preserve"> α = 0.05</w:t>
      </w:r>
      <w:bookmarkEnd w:id="227"/>
    </w:p>
    <w:p w14:paraId="44637349" w14:textId="77777777" w:rsidR="008017D7" w:rsidRDefault="008017D7" w:rsidP="001342F5">
      <w:pPr>
        <w:pStyle w:val="Paragraphs"/>
        <w:ind w:firstLine="0"/>
        <w:sectPr w:rsidR="008017D7" w:rsidSect="00BB06E9">
          <w:pgSz w:w="12240" w:h="15840" w:code="1"/>
          <w:pgMar w:top="1440" w:right="1800" w:bottom="1872" w:left="1800" w:header="720" w:footer="1440" w:gutter="0"/>
          <w:cols w:space="720"/>
          <w:noEndnote/>
          <w:docGrid w:linePitch="360"/>
        </w:sectPr>
      </w:pPr>
    </w:p>
    <w:p w14:paraId="1DB7C702" w14:textId="22CB3957" w:rsidR="008017D7" w:rsidRDefault="008A72AC" w:rsidP="00471146">
      <w:pPr>
        <w:pStyle w:val="Caption"/>
        <w:spacing w:before="0" w:after="100" w:afterAutospacing="1"/>
        <w:rPr>
          <w:rFonts w:ascii="Times New Roman" w:hAnsi="Times New Roman" w:cs="Times New Roman"/>
        </w:rPr>
      </w:pPr>
      <w:bookmarkStart w:id="228" w:name="_Hlk65361116"/>
      <w:r w:rsidRPr="00ED62F0">
        <w:rPr>
          <w:rFonts w:ascii="Times New Roman" w:hAnsi="Times New Roman" w:cs="Times New Roman"/>
          <w:noProof/>
        </w:rPr>
        <w:lastRenderedPageBreak/>
        <mc:AlternateContent>
          <mc:Choice Requires="wps">
            <w:drawing>
              <wp:anchor distT="45720" distB="45720" distL="114300" distR="114300" simplePos="0" relativeHeight="251769856" behindDoc="0" locked="0" layoutInCell="1" allowOverlap="1" wp14:anchorId="1A64C7F1" wp14:editId="49119D7D">
                <wp:simplePos x="0" y="0"/>
                <wp:positionH relativeFrom="column">
                  <wp:posOffset>1931670</wp:posOffset>
                </wp:positionH>
                <wp:positionV relativeFrom="paragraph">
                  <wp:posOffset>2228215</wp:posOffset>
                </wp:positionV>
                <wp:extent cx="365760" cy="294005"/>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94005"/>
                        </a:xfrm>
                        <a:prstGeom prst="rect">
                          <a:avLst/>
                        </a:prstGeom>
                        <a:noFill/>
                        <a:ln w="9525">
                          <a:noFill/>
                          <a:miter lim="800000"/>
                          <a:headEnd/>
                          <a:tailEnd/>
                        </a:ln>
                      </wps:spPr>
                      <wps:txbx>
                        <w:txbxContent>
                          <w:p w14:paraId="0F86B6D2" w14:textId="77777777" w:rsidR="002503ED" w:rsidRDefault="002503ED" w:rsidP="00ED62F0">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64C7F1" id="_x0000_s1069" type="#_x0000_t202" style="position:absolute;margin-left:152.1pt;margin-top:175.45pt;width:28.8pt;height:23.15pt;z-index:251769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" filled="f" stroked="f">
                <v:textbox>
                  <w:txbxContent>
                    <w:p w14:paraId="0F86B6D2" w14:textId="77777777" w:rsidR="002503ED" w:rsidRDefault="002503ED" w:rsidP="00ED62F0">
                      <w:r>
                        <w:t>B</w:t>
                      </w:r>
                    </w:p>
                  </w:txbxContent>
                </v:textbox>
              </v:shape>
            </w:pict>
          </mc:Fallback>
        </mc:AlternateContent>
      </w:r>
      <w:r w:rsidRPr="00ED62F0">
        <w:rPr>
          <w:rFonts w:ascii="Times New Roman" w:hAnsi="Times New Roman" w:cs="Times New Roman"/>
          <w:noProof/>
        </w:rPr>
        <mc:AlternateContent>
          <mc:Choice Requires="wps">
            <w:drawing>
              <wp:anchor distT="45720" distB="45720" distL="114300" distR="114300" simplePos="0" relativeHeight="251768832" behindDoc="0" locked="0" layoutInCell="1" allowOverlap="1" wp14:anchorId="521290A4" wp14:editId="775893C1">
                <wp:simplePos x="0" y="0"/>
                <wp:positionH relativeFrom="column">
                  <wp:posOffset>1978025</wp:posOffset>
                </wp:positionH>
                <wp:positionV relativeFrom="paragraph">
                  <wp:posOffset>1617980</wp:posOffset>
                </wp:positionV>
                <wp:extent cx="365760" cy="294005"/>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94005"/>
                        </a:xfrm>
                        <a:prstGeom prst="rect">
                          <a:avLst/>
                        </a:prstGeom>
                        <a:noFill/>
                        <a:ln w="9525">
                          <a:noFill/>
                          <a:miter lim="800000"/>
                          <a:headEnd/>
                          <a:tailEnd/>
                        </a:ln>
                      </wps:spPr>
                      <wps:txbx>
                        <w:txbxContent>
                          <w:p w14:paraId="05210C27" w14:textId="77777777" w:rsidR="002503ED" w:rsidRDefault="002503ED" w:rsidP="00ED62F0">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1290A4" id="_x0000_s1070" type="#_x0000_t202" style="position:absolute;margin-left:155.75pt;margin-top:127.4pt;width:28.8pt;height:23.15pt;z-index:251768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" filled="f" stroked="f">
                <v:textbox>
                  <w:txbxContent>
                    <w:p w14:paraId="05210C27" w14:textId="77777777" w:rsidR="002503ED" w:rsidRDefault="002503ED" w:rsidP="00ED62F0">
                      <w:r>
                        <w:t>A</w:t>
                      </w:r>
                    </w:p>
                  </w:txbxContent>
                </v:textbox>
              </v:shape>
            </w:pict>
          </mc:Fallback>
        </mc:AlternateContent>
      </w:r>
      <w:r w:rsidR="00ED62F0" w:rsidRPr="00ED62F0">
        <w:rPr>
          <w:rFonts w:ascii="Times New Roman" w:hAnsi="Times New Roman" w:cs="Times New Roman"/>
          <w:noProof/>
        </w:rPr>
        <mc:AlternateContent>
          <mc:Choice Requires="wps">
            <w:drawing>
              <wp:anchor distT="45720" distB="45720" distL="114300" distR="114300" simplePos="0" relativeHeight="251770880" behindDoc="0" locked="0" layoutInCell="1" allowOverlap="1" wp14:anchorId="5789DFCB" wp14:editId="69639632">
                <wp:simplePos x="0" y="0"/>
                <wp:positionH relativeFrom="column">
                  <wp:posOffset>1470660</wp:posOffset>
                </wp:positionH>
                <wp:positionV relativeFrom="paragraph">
                  <wp:posOffset>1970405</wp:posOffset>
                </wp:positionV>
                <wp:extent cx="461010" cy="294005"/>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 cy="294005"/>
                        </a:xfrm>
                        <a:prstGeom prst="rect">
                          <a:avLst/>
                        </a:prstGeom>
                        <a:noFill/>
                        <a:ln w="9525">
                          <a:noFill/>
                          <a:miter lim="800000"/>
                          <a:headEnd/>
                          <a:tailEnd/>
                        </a:ln>
                      </wps:spPr>
                      <wps:txbx>
                        <w:txbxContent>
                          <w:p w14:paraId="7636A755" w14:textId="77777777" w:rsidR="002503ED" w:rsidRDefault="002503ED" w:rsidP="00ED62F0">
                            <w:r>
                              <w:t>AB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89DFCB" id="_x0000_s1071" type="#_x0000_t202" style="position:absolute;margin-left:115.8pt;margin-top:155.15pt;width:36.3pt;height:23.15pt;z-index:251770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" filled="f" stroked="f">
                <v:textbox>
                  <w:txbxContent>
                    <w:p w14:paraId="7636A755" w14:textId="77777777" w:rsidR="002503ED" w:rsidRDefault="002503ED" w:rsidP="00ED62F0">
                      <w:r>
                        <w:t>AB</w:t>
                      </w:r>
                    </w:p>
                  </w:txbxContent>
                </v:textbox>
              </v:shape>
            </w:pict>
          </mc:Fallback>
        </mc:AlternateContent>
      </w:r>
      <w:r w:rsidR="00BC2376">
        <w:rPr>
          <w:noProof/>
        </w:rPr>
        <w:drawing>
          <wp:inline distT="0" distB="0" distL="0" distR="0" wp14:anchorId="73B12DC5" wp14:editId="5D1763AB">
            <wp:extent cx="5029200" cy="3657600"/>
            <wp:effectExtent l="0" t="0" r="0" b="0"/>
            <wp:docPr id="1" name="Chart 1">
              <a:extLst xmlns:a="http://schemas.openxmlformats.org/drawingml/2006/main">
                <a:ext uri="{FF2B5EF4-FFF2-40B4-BE49-F238E27FC236}">
                  <a16:creationId xmlns:a16="http://schemas.microsoft.com/office/drawing/2014/main" id="{9651CF57-A6F8-4398-A92F-21EE36E778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4301D81E" w14:textId="47D1A6E7" w:rsidR="00BC2376" w:rsidRDefault="00BC2376" w:rsidP="003900BD">
      <w:pPr>
        <w:pStyle w:val="Figures"/>
      </w:pPr>
      <w:bookmarkStart w:id="229" w:name="_Toc72300472"/>
      <w:bookmarkStart w:id="230" w:name="_Hlk72297690"/>
      <w:r w:rsidRPr="00BC2376">
        <w:t>Figure 2.</w:t>
      </w:r>
      <w:r w:rsidR="00116812">
        <w:t>7</w:t>
      </w:r>
      <w:r w:rsidRPr="00BC2376">
        <w:t xml:space="preserve">.  </w:t>
      </w:r>
      <w:r w:rsidR="00DC0348">
        <w:t>Mean c</w:t>
      </w:r>
      <w:r w:rsidR="00681E7F">
        <w:t>rude protein (g kg</w:t>
      </w:r>
      <w:r w:rsidR="00681E7F" w:rsidRPr="00681E7F">
        <w:rPr>
          <w:vertAlign w:val="superscript"/>
        </w:rPr>
        <w:t>-1</w:t>
      </w:r>
      <w:r w:rsidR="00681E7F">
        <w:t xml:space="preserve">) </w:t>
      </w:r>
      <w:bookmarkStart w:id="231" w:name="_Hlk65364933"/>
      <w:r w:rsidR="00DC0348">
        <w:t xml:space="preserve">of big bluestem/indiangrass </w:t>
      </w:r>
      <w:r w:rsidR="002E019B">
        <w:t>and native forb pasture</w:t>
      </w:r>
      <w:r w:rsidR="00DC0348">
        <w:t xml:space="preserve"> </w:t>
      </w:r>
      <w:r w:rsidR="002E019B" w:rsidRPr="00BC2376">
        <w:t xml:space="preserve">for native </w:t>
      </w:r>
      <w:r w:rsidR="00706798">
        <w:t xml:space="preserve">grass </w:t>
      </w:r>
      <w:r w:rsidR="002E019B" w:rsidRPr="00BC2376">
        <w:t>pasture grazing experiment, 201</w:t>
      </w:r>
      <w:r w:rsidR="002E019B">
        <w:t>9</w:t>
      </w:r>
      <w:r w:rsidR="002E019B" w:rsidRPr="00BC2376">
        <w:t>, University of Tennessee – Northeast Tennessee AgResearch and Education Center, Greeneville, TN.</w:t>
      </w:r>
      <w:r w:rsidR="002E019B">
        <w:t xml:space="preserve">  </w:t>
      </w:r>
      <w:r w:rsidR="00BC7E04">
        <w:t>Grazing</w:t>
      </w:r>
      <w:r w:rsidR="002E019B">
        <w:t xml:space="preserve"> treatments were early rest (EARL), middle rest (MIDD), late rest (LATE), no rest (NORE), and no graze (NOGR).  </w:t>
      </w:r>
      <w:r w:rsidRPr="00BC2376">
        <w:t>*</w:t>
      </w:r>
      <w:r w:rsidR="002E019B">
        <w:t>S</w:t>
      </w:r>
      <w:r w:rsidRPr="00BC2376">
        <w:t xml:space="preserve">ignificant difference </w:t>
      </w:r>
      <w:r w:rsidR="002E019B">
        <w:t xml:space="preserve">among </w:t>
      </w:r>
      <w:r w:rsidR="00BC7E04">
        <w:t>grazing</w:t>
      </w:r>
      <w:r w:rsidR="002E019B">
        <w:t xml:space="preserve"> treatments</w:t>
      </w:r>
      <w:r w:rsidR="00E24D58">
        <w:t>,</w:t>
      </w:r>
      <w:r w:rsidRPr="00BC2376">
        <w:t xml:space="preserve"> α = 0.05</w:t>
      </w:r>
      <w:bookmarkEnd w:id="229"/>
    </w:p>
    <w:bookmarkEnd w:id="228"/>
    <w:bookmarkEnd w:id="230"/>
    <w:bookmarkEnd w:id="231"/>
    <w:p w14:paraId="1B5DF1FA" w14:textId="77777777" w:rsidR="00E24D58" w:rsidRPr="00E24D58" w:rsidRDefault="00E24D58" w:rsidP="00E24D58"/>
    <w:p w14:paraId="5A192888" w14:textId="77777777" w:rsidR="00681E7F" w:rsidRDefault="00681E7F" w:rsidP="00BC2376">
      <w:pPr>
        <w:sectPr w:rsidR="00681E7F" w:rsidSect="002A59E2">
          <w:pgSz w:w="12240" w:h="15840" w:code="1"/>
          <w:pgMar w:top="1440" w:right="1800" w:bottom="1872" w:left="1800" w:header="720" w:footer="1440" w:gutter="0"/>
          <w:cols w:space="720"/>
          <w:noEndnote/>
          <w:docGrid w:linePitch="360"/>
        </w:sectPr>
      </w:pPr>
    </w:p>
    <w:p w14:paraId="7887F0CF" w14:textId="09154948" w:rsidR="00681E7F" w:rsidRDefault="008A72AC" w:rsidP="004A496B">
      <w:pPr>
        <w:pStyle w:val="Caption"/>
        <w:spacing w:before="0" w:after="100" w:afterAutospacing="1"/>
        <w:rPr>
          <w:rFonts w:ascii="Times New Roman" w:hAnsi="Times New Roman" w:cs="Times New Roman"/>
        </w:rPr>
      </w:pPr>
      <w:bookmarkStart w:id="232" w:name="_Hlk65361428"/>
      <w:r w:rsidRPr="00ED62F0">
        <w:rPr>
          <w:rFonts w:ascii="Times New Roman" w:hAnsi="Times New Roman" w:cs="Times New Roman"/>
          <w:noProof/>
        </w:rPr>
        <w:lastRenderedPageBreak/>
        <mc:AlternateContent>
          <mc:Choice Requires="wps">
            <w:drawing>
              <wp:anchor distT="45720" distB="45720" distL="114300" distR="114300" simplePos="0" relativeHeight="251773952" behindDoc="0" locked="0" layoutInCell="1" allowOverlap="1" wp14:anchorId="3A728653" wp14:editId="1A4AD42E">
                <wp:simplePos x="0" y="0"/>
                <wp:positionH relativeFrom="column">
                  <wp:posOffset>1917065</wp:posOffset>
                </wp:positionH>
                <wp:positionV relativeFrom="paragraph">
                  <wp:posOffset>1244600</wp:posOffset>
                </wp:positionV>
                <wp:extent cx="365760" cy="294005"/>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94005"/>
                        </a:xfrm>
                        <a:prstGeom prst="rect">
                          <a:avLst/>
                        </a:prstGeom>
                        <a:noFill/>
                        <a:ln w="9525">
                          <a:noFill/>
                          <a:miter lim="800000"/>
                          <a:headEnd/>
                          <a:tailEnd/>
                        </a:ln>
                      </wps:spPr>
                      <wps:txbx>
                        <w:txbxContent>
                          <w:p w14:paraId="54668D26" w14:textId="77777777" w:rsidR="002503ED" w:rsidRDefault="002503ED" w:rsidP="00ED62F0">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728653" id="_x0000_s1072" type="#_x0000_t202" style="position:absolute;margin-left:150.95pt;margin-top:98pt;width:28.8pt;height:23.15pt;z-index:251773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" filled="f" stroked="f">
                <v:textbox>
                  <w:txbxContent>
                    <w:p w14:paraId="54668D26" w14:textId="77777777" w:rsidR="002503ED" w:rsidRDefault="002503ED" w:rsidP="00ED62F0">
                      <w:r>
                        <w:t>B</w:t>
                      </w:r>
                    </w:p>
                  </w:txbxContent>
                </v:textbox>
              </v:shape>
            </w:pict>
          </mc:Fallback>
        </mc:AlternateContent>
      </w:r>
      <w:r w:rsidRPr="00ED62F0">
        <w:rPr>
          <w:rFonts w:ascii="Times New Roman" w:hAnsi="Times New Roman" w:cs="Times New Roman"/>
          <w:noProof/>
        </w:rPr>
        <mc:AlternateContent>
          <mc:Choice Requires="wps">
            <w:drawing>
              <wp:anchor distT="45720" distB="45720" distL="114300" distR="114300" simplePos="0" relativeHeight="251774976" behindDoc="0" locked="0" layoutInCell="1" allowOverlap="1" wp14:anchorId="1B3D690C" wp14:editId="6640E241">
                <wp:simplePos x="0" y="0"/>
                <wp:positionH relativeFrom="column">
                  <wp:posOffset>1918970</wp:posOffset>
                </wp:positionH>
                <wp:positionV relativeFrom="paragraph">
                  <wp:posOffset>594360</wp:posOffset>
                </wp:positionV>
                <wp:extent cx="365760" cy="294005"/>
                <wp:effectExtent l="0" t="0" r="0" b="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94005"/>
                        </a:xfrm>
                        <a:prstGeom prst="rect">
                          <a:avLst/>
                        </a:prstGeom>
                        <a:noFill/>
                        <a:ln w="9525">
                          <a:noFill/>
                          <a:miter lim="800000"/>
                          <a:headEnd/>
                          <a:tailEnd/>
                        </a:ln>
                      </wps:spPr>
                      <wps:txbx>
                        <w:txbxContent>
                          <w:p w14:paraId="61A2C2C6" w14:textId="77777777" w:rsidR="002503ED" w:rsidRDefault="002503ED" w:rsidP="00ED62F0">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3D690C" id="_x0000_s1073" type="#_x0000_t202" style="position:absolute;margin-left:151.1pt;margin-top:46.8pt;width:28.8pt;height:23.15pt;z-index:251774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" filled="f" stroked="f">
                <v:textbox>
                  <w:txbxContent>
                    <w:p w14:paraId="61A2C2C6" w14:textId="77777777" w:rsidR="002503ED" w:rsidRDefault="002503ED" w:rsidP="00ED62F0">
                      <w:r>
                        <w:t>A</w:t>
                      </w:r>
                    </w:p>
                  </w:txbxContent>
                </v:textbox>
              </v:shape>
            </w:pict>
          </mc:Fallback>
        </mc:AlternateContent>
      </w:r>
      <w:r w:rsidR="00ED62F0" w:rsidRPr="00ED62F0">
        <w:rPr>
          <w:rFonts w:ascii="Times New Roman" w:hAnsi="Times New Roman" w:cs="Times New Roman"/>
          <w:noProof/>
        </w:rPr>
        <mc:AlternateContent>
          <mc:Choice Requires="wps">
            <w:drawing>
              <wp:anchor distT="45720" distB="45720" distL="114300" distR="114300" simplePos="0" relativeHeight="251772928" behindDoc="0" locked="0" layoutInCell="1" allowOverlap="1" wp14:anchorId="6CA64194" wp14:editId="10A90B67">
                <wp:simplePos x="0" y="0"/>
                <wp:positionH relativeFrom="column">
                  <wp:posOffset>1494790</wp:posOffset>
                </wp:positionH>
                <wp:positionV relativeFrom="paragraph">
                  <wp:posOffset>797560</wp:posOffset>
                </wp:positionV>
                <wp:extent cx="365760" cy="294005"/>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94005"/>
                        </a:xfrm>
                        <a:prstGeom prst="rect">
                          <a:avLst/>
                        </a:prstGeom>
                        <a:noFill/>
                        <a:ln w="9525">
                          <a:noFill/>
                          <a:miter lim="800000"/>
                          <a:headEnd/>
                          <a:tailEnd/>
                        </a:ln>
                      </wps:spPr>
                      <wps:txbx>
                        <w:txbxContent>
                          <w:p w14:paraId="5F5D89AB" w14:textId="77777777" w:rsidR="002503ED" w:rsidRDefault="002503ED" w:rsidP="00ED62F0">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A64194" id="_x0000_s1074" type="#_x0000_t202" style="position:absolute;margin-left:117.7pt;margin-top:62.8pt;width:28.8pt;height:23.15pt;z-index:251772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" filled="f" stroked="f">
                <v:textbox>
                  <w:txbxContent>
                    <w:p w14:paraId="5F5D89AB" w14:textId="77777777" w:rsidR="002503ED" w:rsidRDefault="002503ED" w:rsidP="00ED62F0">
                      <w:r>
                        <w:t>A</w:t>
                      </w:r>
                    </w:p>
                  </w:txbxContent>
                </v:textbox>
              </v:shape>
            </w:pict>
          </mc:Fallback>
        </mc:AlternateContent>
      </w:r>
      <w:r w:rsidR="00E24D58">
        <w:rPr>
          <w:noProof/>
        </w:rPr>
        <w:drawing>
          <wp:inline distT="0" distB="0" distL="0" distR="0" wp14:anchorId="1E070FD0" wp14:editId="4D3B54A6">
            <wp:extent cx="5029200" cy="3657600"/>
            <wp:effectExtent l="0" t="0" r="0" b="0"/>
            <wp:docPr id="20" name="Chart 20">
              <a:extLst xmlns:a="http://schemas.openxmlformats.org/drawingml/2006/main">
                <a:ext uri="{FF2B5EF4-FFF2-40B4-BE49-F238E27FC236}">
                  <a16:creationId xmlns:a16="http://schemas.microsoft.com/office/drawing/2014/main" id="{F5D7B7AE-91CC-49BD-9F6E-7E67FE5AD2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14876299" w14:textId="64095D65" w:rsidR="00681E7F" w:rsidRDefault="00681E7F" w:rsidP="003900BD">
      <w:pPr>
        <w:pStyle w:val="Figures"/>
      </w:pPr>
      <w:bookmarkStart w:id="233" w:name="_Toc72300473"/>
      <w:r w:rsidRPr="00BC2376">
        <w:t>Figure 2.</w:t>
      </w:r>
      <w:r w:rsidR="00116812">
        <w:t>8</w:t>
      </w:r>
      <w:r w:rsidRPr="00BC2376">
        <w:t xml:space="preserve">.  </w:t>
      </w:r>
      <w:r w:rsidR="00E24D58">
        <w:t>Mean a</w:t>
      </w:r>
      <w:r>
        <w:t>mylase neutral detergent fiber (g kg</w:t>
      </w:r>
      <w:r w:rsidRPr="00681E7F">
        <w:rPr>
          <w:vertAlign w:val="superscript"/>
        </w:rPr>
        <w:t>-1</w:t>
      </w:r>
      <w:r>
        <w:t xml:space="preserve">) </w:t>
      </w:r>
      <w:r w:rsidR="00E24D58">
        <w:t xml:space="preserve">of big bluestem/indiangrass and native forb pasture </w:t>
      </w:r>
      <w:r w:rsidR="00E24D58" w:rsidRPr="00BC2376">
        <w:t xml:space="preserve">for native </w:t>
      </w:r>
      <w:r w:rsidR="00706798">
        <w:t xml:space="preserve">grass </w:t>
      </w:r>
      <w:r w:rsidR="00E24D58" w:rsidRPr="00BC2376">
        <w:t>pasture grazing experiment, 201</w:t>
      </w:r>
      <w:r w:rsidR="00E24D58">
        <w:t>9</w:t>
      </w:r>
      <w:r w:rsidR="00E24D58" w:rsidRPr="00BC2376">
        <w:t>, University of Tennessee – Northeast Tennessee AgResearch and Education Center, Greeneville, TN.</w:t>
      </w:r>
      <w:r w:rsidR="00E24D58">
        <w:t xml:space="preserve">  </w:t>
      </w:r>
      <w:r w:rsidR="00BC7E04">
        <w:t>Grazing</w:t>
      </w:r>
      <w:r w:rsidR="00E24D58">
        <w:t xml:space="preserve"> treatments were early rest (EARL), middle rest (MIDD), late rest (LATE), no rest (NORE), and no graze (NOGR).  </w:t>
      </w:r>
      <w:r w:rsidR="00E24D58" w:rsidRPr="00BC2376">
        <w:t>*</w:t>
      </w:r>
      <w:r w:rsidR="00E24D58">
        <w:t>S</w:t>
      </w:r>
      <w:r w:rsidR="00E24D58" w:rsidRPr="00BC2376">
        <w:t xml:space="preserve">ignificant difference </w:t>
      </w:r>
      <w:r w:rsidR="00E24D58">
        <w:t xml:space="preserve">among </w:t>
      </w:r>
      <w:r w:rsidR="00BC7E04">
        <w:t>grazing</w:t>
      </w:r>
      <w:r w:rsidR="00E24D58">
        <w:t xml:space="preserve"> treatments,</w:t>
      </w:r>
      <w:r w:rsidR="00E24D58" w:rsidRPr="00BC2376">
        <w:t xml:space="preserve"> α = 0.05</w:t>
      </w:r>
      <w:bookmarkEnd w:id="233"/>
    </w:p>
    <w:p w14:paraId="7CA47A09" w14:textId="77777777" w:rsidR="007122C5" w:rsidRPr="007122C5" w:rsidRDefault="007122C5" w:rsidP="007122C5"/>
    <w:p w14:paraId="25113C19" w14:textId="77777777" w:rsidR="007122C5" w:rsidRDefault="007122C5" w:rsidP="00E24D58">
      <w:pPr>
        <w:sectPr w:rsidR="007122C5" w:rsidSect="002A59E2">
          <w:pgSz w:w="12240" w:h="15840" w:code="1"/>
          <w:pgMar w:top="1440" w:right="1800" w:bottom="1872" w:left="1800" w:header="720" w:footer="1440" w:gutter="0"/>
          <w:cols w:space="720"/>
          <w:noEndnote/>
          <w:docGrid w:linePitch="360"/>
        </w:sectPr>
      </w:pPr>
    </w:p>
    <w:p w14:paraId="32177506" w14:textId="65F3517F" w:rsidR="007122C5" w:rsidRDefault="008A72AC" w:rsidP="004A496B">
      <w:pPr>
        <w:pStyle w:val="Caption"/>
        <w:spacing w:before="0" w:after="100" w:afterAutospacing="1"/>
        <w:rPr>
          <w:rFonts w:ascii="Times New Roman" w:hAnsi="Times New Roman" w:cs="Times New Roman"/>
          <w:b w:val="0"/>
          <w:bCs w:val="0"/>
        </w:rPr>
      </w:pPr>
      <w:r w:rsidRPr="00ED62F0">
        <w:rPr>
          <w:rFonts w:ascii="Times New Roman" w:hAnsi="Times New Roman" w:cs="Times New Roman"/>
          <w:b w:val="0"/>
          <w:bCs w:val="0"/>
          <w:noProof/>
        </w:rPr>
        <w:lastRenderedPageBreak/>
        <mc:AlternateContent>
          <mc:Choice Requires="wps">
            <w:drawing>
              <wp:anchor distT="45720" distB="45720" distL="114300" distR="114300" simplePos="0" relativeHeight="251778048" behindDoc="0" locked="0" layoutInCell="1" allowOverlap="1" wp14:anchorId="7000306C" wp14:editId="6C65A552">
                <wp:simplePos x="0" y="0"/>
                <wp:positionH relativeFrom="column">
                  <wp:posOffset>4323715</wp:posOffset>
                </wp:positionH>
                <wp:positionV relativeFrom="paragraph">
                  <wp:posOffset>1172845</wp:posOffset>
                </wp:positionV>
                <wp:extent cx="365760" cy="294005"/>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94005"/>
                        </a:xfrm>
                        <a:prstGeom prst="rect">
                          <a:avLst/>
                        </a:prstGeom>
                        <a:noFill/>
                        <a:ln w="9525">
                          <a:noFill/>
                          <a:miter lim="800000"/>
                          <a:headEnd/>
                          <a:tailEnd/>
                        </a:ln>
                      </wps:spPr>
                      <wps:txbx>
                        <w:txbxContent>
                          <w:p w14:paraId="7AE91FAD" w14:textId="77777777" w:rsidR="002503ED" w:rsidRDefault="002503ED" w:rsidP="00ED62F0">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00306C" id="_x0000_s1075" type="#_x0000_t202" style="position:absolute;margin-left:340.45pt;margin-top:92.35pt;width:28.8pt;height:23.15pt;z-index:251778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" filled="f" stroked="f">
                <v:textbox>
                  <w:txbxContent>
                    <w:p w14:paraId="7AE91FAD" w14:textId="77777777" w:rsidR="002503ED" w:rsidRDefault="002503ED" w:rsidP="00ED62F0">
                      <w:r>
                        <w:t>B</w:t>
                      </w:r>
                    </w:p>
                  </w:txbxContent>
                </v:textbox>
              </v:shape>
            </w:pict>
          </mc:Fallback>
        </mc:AlternateContent>
      </w:r>
      <w:r w:rsidRPr="00ED62F0">
        <w:rPr>
          <w:rFonts w:ascii="Times New Roman" w:hAnsi="Times New Roman" w:cs="Times New Roman"/>
          <w:b w:val="0"/>
          <w:bCs w:val="0"/>
          <w:noProof/>
        </w:rPr>
        <mc:AlternateContent>
          <mc:Choice Requires="wps">
            <w:drawing>
              <wp:anchor distT="45720" distB="45720" distL="114300" distR="114300" simplePos="0" relativeHeight="251777024" behindDoc="0" locked="0" layoutInCell="1" allowOverlap="1" wp14:anchorId="08380C0F" wp14:editId="428A6EAC">
                <wp:simplePos x="0" y="0"/>
                <wp:positionH relativeFrom="column">
                  <wp:posOffset>4314825</wp:posOffset>
                </wp:positionH>
                <wp:positionV relativeFrom="paragraph">
                  <wp:posOffset>203835</wp:posOffset>
                </wp:positionV>
                <wp:extent cx="365760" cy="294005"/>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94005"/>
                        </a:xfrm>
                        <a:prstGeom prst="rect">
                          <a:avLst/>
                        </a:prstGeom>
                        <a:noFill/>
                        <a:ln w="9525">
                          <a:noFill/>
                          <a:miter lim="800000"/>
                          <a:headEnd/>
                          <a:tailEnd/>
                        </a:ln>
                      </wps:spPr>
                      <wps:txbx>
                        <w:txbxContent>
                          <w:p w14:paraId="5F1772A1" w14:textId="77777777" w:rsidR="002503ED" w:rsidRDefault="002503ED" w:rsidP="00ED62F0">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380C0F" id="_x0000_s1076" type="#_x0000_t202" style="position:absolute;margin-left:339.75pt;margin-top:16.05pt;width:28.8pt;height:23.15pt;z-index:251777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" filled="f" stroked="f">
                <v:textbox>
                  <w:txbxContent>
                    <w:p w14:paraId="5F1772A1" w14:textId="77777777" w:rsidR="002503ED" w:rsidRDefault="002503ED" w:rsidP="00ED62F0">
                      <w:r>
                        <w:t>A</w:t>
                      </w:r>
                    </w:p>
                  </w:txbxContent>
                </v:textbox>
              </v:shape>
            </w:pict>
          </mc:Fallback>
        </mc:AlternateContent>
      </w:r>
      <w:r w:rsidR="007122C5">
        <w:rPr>
          <w:noProof/>
        </w:rPr>
        <w:drawing>
          <wp:inline distT="0" distB="0" distL="0" distR="0" wp14:anchorId="576F4BE6" wp14:editId="5147004C">
            <wp:extent cx="5029200" cy="3657600"/>
            <wp:effectExtent l="0" t="0" r="0" b="0"/>
            <wp:docPr id="19" name="Chart 19">
              <a:extLst xmlns:a="http://schemas.openxmlformats.org/drawingml/2006/main">
                <a:ext uri="{FF2B5EF4-FFF2-40B4-BE49-F238E27FC236}">
                  <a16:creationId xmlns:a16="http://schemas.microsoft.com/office/drawing/2014/main" id="{D741CC2B-46CC-4614-B058-25EFDBFE49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2282CAA5" w14:textId="79B72A76" w:rsidR="007122C5" w:rsidRDefault="007122C5" w:rsidP="003900BD">
      <w:pPr>
        <w:pStyle w:val="Figures"/>
      </w:pPr>
      <w:bookmarkStart w:id="234" w:name="_Toc72300474"/>
      <w:r w:rsidRPr="00BC2376">
        <w:t>Figure 2.</w:t>
      </w:r>
      <w:r w:rsidR="00116812">
        <w:t>9</w:t>
      </w:r>
      <w:r w:rsidRPr="00BC2376">
        <w:t xml:space="preserve">.  </w:t>
      </w:r>
      <w:r>
        <w:t>Mean acid detergent fiber (g kg</w:t>
      </w:r>
      <w:r w:rsidRPr="00681E7F">
        <w:rPr>
          <w:vertAlign w:val="superscript"/>
        </w:rPr>
        <w:t>-1</w:t>
      </w:r>
      <w:r>
        <w:t xml:space="preserve">) of big bluestem/indiangrass and native forb pasture </w:t>
      </w:r>
      <w:r w:rsidRPr="00BC2376">
        <w:t xml:space="preserve">for native </w:t>
      </w:r>
      <w:r w:rsidR="00706798">
        <w:t xml:space="preserve">grass </w:t>
      </w:r>
      <w:r w:rsidRPr="00BC2376">
        <w:t>pasture grazing experiment, 201</w:t>
      </w:r>
      <w:r>
        <w:t>9</w:t>
      </w:r>
      <w:r w:rsidRPr="00BC2376">
        <w:t>, University of Tennessee – Northeast Tennessee AgResearch and Education Center, Greeneville, TN.</w:t>
      </w:r>
      <w:r>
        <w:t xml:space="preserve">  </w:t>
      </w:r>
      <w:r w:rsidR="00BC7E04">
        <w:t>Grazing</w:t>
      </w:r>
      <w:r>
        <w:t xml:space="preserve"> treatments were early rest (EARL), middle rest (MIDD), late rest (LATE), no rest (NORE), and no graze (NOGR).  </w:t>
      </w:r>
      <w:r w:rsidRPr="00BC2376">
        <w:t>*</w:t>
      </w:r>
      <w:r>
        <w:t>S</w:t>
      </w:r>
      <w:r w:rsidRPr="00BC2376">
        <w:t xml:space="preserve">ignificant difference </w:t>
      </w:r>
      <w:r>
        <w:t xml:space="preserve">among </w:t>
      </w:r>
      <w:r w:rsidR="00BC7E04">
        <w:t>grazing</w:t>
      </w:r>
      <w:r>
        <w:t xml:space="preserve"> treatments,</w:t>
      </w:r>
      <w:r w:rsidRPr="00BC2376">
        <w:t xml:space="preserve"> α = 0.05</w:t>
      </w:r>
      <w:bookmarkEnd w:id="234"/>
    </w:p>
    <w:bookmarkEnd w:id="232"/>
    <w:p w14:paraId="183A50B5" w14:textId="77777777" w:rsidR="00681E7F" w:rsidRDefault="00681E7F" w:rsidP="00BC2376"/>
    <w:p w14:paraId="3F43BFCA" w14:textId="664C4D31" w:rsidR="007122C5" w:rsidRDefault="007122C5" w:rsidP="00BC2376">
      <w:pPr>
        <w:sectPr w:rsidR="007122C5" w:rsidSect="002A59E2">
          <w:pgSz w:w="12240" w:h="15840" w:code="1"/>
          <w:pgMar w:top="1440" w:right="1800" w:bottom="1872" w:left="1800" w:header="720" w:footer="1440" w:gutter="0"/>
          <w:cols w:space="720"/>
          <w:noEndnote/>
          <w:docGrid w:linePitch="360"/>
        </w:sectPr>
      </w:pPr>
    </w:p>
    <w:p w14:paraId="3D37E979" w14:textId="6BCE4930" w:rsidR="00423E1D" w:rsidRDefault="008A72AC" w:rsidP="004A496B">
      <w:pPr>
        <w:pStyle w:val="Caption"/>
        <w:spacing w:before="0" w:after="100" w:afterAutospacing="1"/>
        <w:rPr>
          <w:rFonts w:ascii="Times New Roman" w:hAnsi="Times New Roman" w:cs="Times New Roman"/>
        </w:rPr>
      </w:pPr>
      <w:r w:rsidRPr="00ED62F0">
        <w:rPr>
          <w:rFonts w:ascii="Times New Roman" w:hAnsi="Times New Roman" w:cs="Times New Roman"/>
          <w:noProof/>
        </w:rPr>
        <w:lastRenderedPageBreak/>
        <mc:AlternateContent>
          <mc:Choice Requires="wps">
            <w:drawing>
              <wp:anchor distT="45720" distB="45720" distL="114300" distR="114300" simplePos="0" relativeHeight="251783168" behindDoc="0" locked="0" layoutInCell="1" allowOverlap="1" wp14:anchorId="05C07051" wp14:editId="0272F034">
                <wp:simplePos x="0" y="0"/>
                <wp:positionH relativeFrom="column">
                  <wp:posOffset>4323715</wp:posOffset>
                </wp:positionH>
                <wp:positionV relativeFrom="paragraph">
                  <wp:posOffset>153670</wp:posOffset>
                </wp:positionV>
                <wp:extent cx="365760" cy="294005"/>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94005"/>
                        </a:xfrm>
                        <a:prstGeom prst="rect">
                          <a:avLst/>
                        </a:prstGeom>
                        <a:noFill/>
                        <a:ln w="9525">
                          <a:noFill/>
                          <a:miter lim="800000"/>
                          <a:headEnd/>
                          <a:tailEnd/>
                        </a:ln>
                      </wps:spPr>
                      <wps:txbx>
                        <w:txbxContent>
                          <w:p w14:paraId="64D35F7A" w14:textId="77777777" w:rsidR="002503ED" w:rsidRDefault="002503ED" w:rsidP="00ED62F0">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C07051" id="_x0000_s1077" type="#_x0000_t202" style="position:absolute;margin-left:340.45pt;margin-top:12.1pt;width:28.8pt;height:23.15pt;z-index:251783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" filled="f" stroked="f">
                <v:textbox>
                  <w:txbxContent>
                    <w:p w14:paraId="64D35F7A" w14:textId="77777777" w:rsidR="002503ED" w:rsidRDefault="002503ED" w:rsidP="00ED62F0">
                      <w:r>
                        <w:t>A</w:t>
                      </w:r>
                    </w:p>
                  </w:txbxContent>
                </v:textbox>
              </v:shape>
            </w:pict>
          </mc:Fallback>
        </mc:AlternateContent>
      </w:r>
      <w:r w:rsidRPr="00ED62F0">
        <w:rPr>
          <w:rFonts w:ascii="Times New Roman" w:hAnsi="Times New Roman" w:cs="Times New Roman"/>
          <w:noProof/>
        </w:rPr>
        <mc:AlternateContent>
          <mc:Choice Requires="wps">
            <w:drawing>
              <wp:anchor distT="45720" distB="45720" distL="114300" distR="114300" simplePos="0" relativeHeight="251784192" behindDoc="0" locked="0" layoutInCell="1" allowOverlap="1" wp14:anchorId="4998DF66" wp14:editId="63DA9D03">
                <wp:simplePos x="0" y="0"/>
                <wp:positionH relativeFrom="column">
                  <wp:posOffset>4324985</wp:posOffset>
                </wp:positionH>
                <wp:positionV relativeFrom="paragraph">
                  <wp:posOffset>1264285</wp:posOffset>
                </wp:positionV>
                <wp:extent cx="365760" cy="294005"/>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94005"/>
                        </a:xfrm>
                        <a:prstGeom prst="rect">
                          <a:avLst/>
                        </a:prstGeom>
                        <a:noFill/>
                        <a:ln w="9525">
                          <a:noFill/>
                          <a:miter lim="800000"/>
                          <a:headEnd/>
                          <a:tailEnd/>
                        </a:ln>
                      </wps:spPr>
                      <wps:txbx>
                        <w:txbxContent>
                          <w:p w14:paraId="2F4CE7A0" w14:textId="77777777" w:rsidR="002503ED" w:rsidRDefault="002503ED" w:rsidP="00ED62F0">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98DF66" id="_x0000_s1078" type="#_x0000_t202" style="position:absolute;margin-left:340.55pt;margin-top:99.55pt;width:28.8pt;height:23.15pt;z-index:251784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" filled="f" stroked="f">
                <v:textbox>
                  <w:txbxContent>
                    <w:p w14:paraId="2F4CE7A0" w14:textId="77777777" w:rsidR="002503ED" w:rsidRDefault="002503ED" w:rsidP="00ED62F0">
                      <w:r>
                        <w:t>B</w:t>
                      </w:r>
                    </w:p>
                  </w:txbxContent>
                </v:textbox>
              </v:shape>
            </w:pict>
          </mc:Fallback>
        </mc:AlternateContent>
      </w:r>
      <w:r w:rsidR="00E24D58">
        <w:rPr>
          <w:noProof/>
        </w:rPr>
        <w:drawing>
          <wp:inline distT="0" distB="0" distL="0" distR="0" wp14:anchorId="15BBD13F" wp14:editId="043480D1">
            <wp:extent cx="5029200" cy="3657600"/>
            <wp:effectExtent l="0" t="0" r="0" b="0"/>
            <wp:docPr id="22" name="Chart 22">
              <a:extLst xmlns:a="http://schemas.openxmlformats.org/drawingml/2006/main">
                <a:ext uri="{FF2B5EF4-FFF2-40B4-BE49-F238E27FC236}">
                  <a16:creationId xmlns:a16="http://schemas.microsoft.com/office/drawing/2014/main" id="{B61D4EF7-3CA3-4190-88AA-401B7013A3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783906BA" w14:textId="68F3AEF4" w:rsidR="00BC2376" w:rsidRDefault="00423E1D" w:rsidP="003900BD">
      <w:pPr>
        <w:pStyle w:val="Figures"/>
      </w:pPr>
      <w:bookmarkStart w:id="235" w:name="_Toc72300475"/>
      <w:r w:rsidRPr="00BC2376">
        <w:t>Figure 2.</w:t>
      </w:r>
      <w:r w:rsidR="00116812">
        <w:t>10</w:t>
      </w:r>
      <w:r w:rsidRPr="00BC2376">
        <w:t xml:space="preserve">.  </w:t>
      </w:r>
      <w:r w:rsidR="00E24D58">
        <w:t xml:space="preserve">Mean </w:t>
      </w:r>
      <w:r w:rsidR="00E24D58" w:rsidRPr="000D28BC">
        <w:rPr>
          <w:i/>
          <w:iCs/>
        </w:rPr>
        <w:t>i</w:t>
      </w:r>
      <w:r w:rsidR="00100B61" w:rsidRPr="000D28BC">
        <w:rPr>
          <w:i/>
          <w:iCs/>
        </w:rPr>
        <w:t>n</w:t>
      </w:r>
      <w:r w:rsidR="00100B61" w:rsidRPr="00100B61">
        <w:rPr>
          <w:i/>
          <w:iCs/>
        </w:rPr>
        <w:t xml:space="preserve"> vitro</w:t>
      </w:r>
      <w:r w:rsidR="00100B61">
        <w:t xml:space="preserve"> true dry matter digestibility 48</w:t>
      </w:r>
      <w:r w:rsidR="00E24D58">
        <w:t xml:space="preserve"> </w:t>
      </w:r>
      <w:r w:rsidR="00100B61">
        <w:t>hours</w:t>
      </w:r>
      <w:r>
        <w:t xml:space="preserve"> (g kg</w:t>
      </w:r>
      <w:r w:rsidRPr="00681E7F">
        <w:rPr>
          <w:vertAlign w:val="superscript"/>
        </w:rPr>
        <w:t>-1</w:t>
      </w:r>
      <w:r>
        <w:t xml:space="preserve">) </w:t>
      </w:r>
      <w:r w:rsidR="00E24D58">
        <w:t xml:space="preserve">of big bluestem/indiangrass and native forb pasture </w:t>
      </w:r>
      <w:r w:rsidR="00E24D58" w:rsidRPr="00BC2376">
        <w:t xml:space="preserve">for native </w:t>
      </w:r>
      <w:r w:rsidR="00706798">
        <w:t xml:space="preserve">grass </w:t>
      </w:r>
      <w:r w:rsidR="00E24D58" w:rsidRPr="00BC2376">
        <w:t>pasture grazing experiment, 201</w:t>
      </w:r>
      <w:r w:rsidR="00E24D58">
        <w:t>9</w:t>
      </w:r>
      <w:r w:rsidR="00E24D58" w:rsidRPr="00BC2376">
        <w:t>, University of Tennessee – Northeast Tennessee AgResearch and Education Center, Greeneville, TN.</w:t>
      </w:r>
      <w:r w:rsidR="00E24D58">
        <w:t xml:space="preserve">  </w:t>
      </w:r>
      <w:r w:rsidR="00BC7E04">
        <w:t>Grazing</w:t>
      </w:r>
      <w:r w:rsidR="00E24D58">
        <w:t xml:space="preserve"> treatments were early rest (EARL), middle rest (MIDD), late rest (LATE), no rest (NORE), and no graze (NOGR).  </w:t>
      </w:r>
      <w:r w:rsidR="00E24D58" w:rsidRPr="00BC2376">
        <w:t>*</w:t>
      </w:r>
      <w:r w:rsidR="00E24D58">
        <w:t>S</w:t>
      </w:r>
      <w:r w:rsidR="00E24D58" w:rsidRPr="00BC2376">
        <w:t xml:space="preserve">ignificant difference </w:t>
      </w:r>
      <w:r w:rsidR="00E24D58">
        <w:t xml:space="preserve">among </w:t>
      </w:r>
      <w:r w:rsidR="00BC7E04">
        <w:t>grazing</w:t>
      </w:r>
      <w:r w:rsidR="00E24D58">
        <w:t xml:space="preserve"> treatments,</w:t>
      </w:r>
      <w:r w:rsidR="00E24D58" w:rsidRPr="00BC2376">
        <w:t xml:space="preserve"> α = 0.05</w:t>
      </w:r>
      <w:bookmarkEnd w:id="235"/>
    </w:p>
    <w:p w14:paraId="03BE4655" w14:textId="77777777" w:rsidR="00BC2376" w:rsidRDefault="00BC2376" w:rsidP="00BC2376"/>
    <w:p w14:paraId="3E9F6BB2" w14:textId="3EC4174A" w:rsidR="00BC2376" w:rsidRPr="00BC2376" w:rsidRDefault="00BC2376" w:rsidP="00BC2376">
      <w:pPr>
        <w:sectPr w:rsidR="00BC2376" w:rsidRPr="00BC2376" w:rsidSect="002A59E2">
          <w:pgSz w:w="12240" w:h="15840" w:code="1"/>
          <w:pgMar w:top="1440" w:right="1800" w:bottom="1872" w:left="1800" w:header="720" w:footer="1440" w:gutter="0"/>
          <w:cols w:space="720"/>
          <w:noEndnote/>
          <w:docGrid w:linePitch="360"/>
        </w:sectPr>
      </w:pPr>
    </w:p>
    <w:p w14:paraId="73C3857B" w14:textId="3A442FC0" w:rsidR="00C405E9" w:rsidRDefault="002C35E3" w:rsidP="00D67D7B">
      <w:pPr>
        <w:spacing w:after="100" w:afterAutospacing="1" w:line="240" w:lineRule="auto"/>
      </w:pPr>
      <w:r>
        <w:rPr>
          <w:noProof/>
        </w:rPr>
        <w:lastRenderedPageBreak/>
        <w:drawing>
          <wp:inline distT="0" distB="0" distL="0" distR="0" wp14:anchorId="64E8A720" wp14:editId="72682584">
            <wp:extent cx="5486400" cy="3662680"/>
            <wp:effectExtent l="0" t="0" r="0" b="13970"/>
            <wp:docPr id="4" name="Chart 4">
              <a:extLst xmlns:a="http://schemas.openxmlformats.org/drawingml/2006/main">
                <a:ext uri="{FF2B5EF4-FFF2-40B4-BE49-F238E27FC236}">
                  <a16:creationId xmlns:a16="http://schemas.microsoft.com/office/drawing/2014/main" id="{8D17EF67-3CE0-4EFA-AAA1-4EAB20A832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F1D3332" w14:textId="110ED0E4" w:rsidR="00A612D9" w:rsidRPr="00100B61" w:rsidRDefault="00A612D9" w:rsidP="00D67D7B">
      <w:pPr>
        <w:pStyle w:val="Figures"/>
        <w:spacing w:before="0"/>
      </w:pPr>
      <w:bookmarkStart w:id="236" w:name="_Toc72300476"/>
      <w:r w:rsidRPr="00100B61">
        <w:t>Figure 2</w:t>
      </w:r>
      <w:r w:rsidR="00C80ECB" w:rsidRPr="00100B61">
        <w:t>.</w:t>
      </w:r>
      <w:r w:rsidR="00116812">
        <w:t>11</w:t>
      </w:r>
      <w:r w:rsidR="00C80ECB" w:rsidRPr="00100B61">
        <w:t xml:space="preserve">. </w:t>
      </w:r>
      <w:r w:rsidRPr="00100B61">
        <w:t xml:space="preserve"> Flowering percentage of 10 native </w:t>
      </w:r>
      <w:r w:rsidR="000718A1">
        <w:t xml:space="preserve">warm-season </w:t>
      </w:r>
      <w:r w:rsidRPr="00100B61">
        <w:t xml:space="preserve">forb species </w:t>
      </w:r>
      <w:r w:rsidR="002F691E" w:rsidRPr="00100B61">
        <w:t xml:space="preserve">pooled across years (2019-2020) at the same sampling periods </w:t>
      </w:r>
      <w:r w:rsidR="00260189" w:rsidRPr="00100B61">
        <w:t xml:space="preserve">in a switchgrass pasture </w:t>
      </w:r>
      <w:r w:rsidR="00B3456C" w:rsidRPr="00BC2376">
        <w:t xml:space="preserve">for native </w:t>
      </w:r>
      <w:r w:rsidR="00B3456C">
        <w:t xml:space="preserve">grass </w:t>
      </w:r>
      <w:r w:rsidR="00B3456C" w:rsidRPr="00BC2376">
        <w:t>pasture grazing experiment</w:t>
      </w:r>
      <w:r w:rsidR="00B3456C" w:rsidRPr="00100B61">
        <w:t xml:space="preserve"> </w:t>
      </w:r>
      <w:r w:rsidRPr="00100B61">
        <w:t xml:space="preserve">at </w:t>
      </w:r>
      <w:r w:rsidR="00A4234D">
        <w:t xml:space="preserve">the </w:t>
      </w:r>
      <w:r w:rsidR="00A4234D" w:rsidRPr="00A4234D">
        <w:t>University of Tennessee – Northeast Tennessee AgResearch and Education Center, Greeneville, TN</w:t>
      </w:r>
      <w:r w:rsidRPr="00100B61">
        <w:t>.  †</w:t>
      </w:r>
      <w:r w:rsidR="002F691E" w:rsidRPr="00100B61">
        <w:t xml:space="preserve">Flowering percentage compared </w:t>
      </w:r>
      <w:r w:rsidR="00260189" w:rsidRPr="00100B61">
        <w:t xml:space="preserve">across </w:t>
      </w:r>
      <w:r w:rsidR="00BC7E04">
        <w:t>grazing</w:t>
      </w:r>
      <w:r w:rsidR="00260189" w:rsidRPr="00100B61">
        <w:t xml:space="preserve"> treatments </w:t>
      </w:r>
      <w:r w:rsidR="002F691E" w:rsidRPr="00100B61">
        <w:t xml:space="preserve">within </w:t>
      </w:r>
      <w:r w:rsidR="00260189" w:rsidRPr="00100B61">
        <w:t xml:space="preserve">sampling periods.  All sampling periods compared no graze and no rest to the respective sampled </w:t>
      </w:r>
      <w:r w:rsidR="00BC7E04">
        <w:t>grazing</w:t>
      </w:r>
      <w:r w:rsidR="00260189" w:rsidRPr="00100B61">
        <w:t xml:space="preserve"> treatment. May = </w:t>
      </w:r>
      <w:bookmarkStart w:id="237" w:name="_Hlk64411841"/>
      <w:r w:rsidR="00260189" w:rsidRPr="00100B61">
        <w:t>early rest, middle rest, and late rest</w:t>
      </w:r>
      <w:bookmarkEnd w:id="237"/>
      <w:r w:rsidR="00260189" w:rsidRPr="00100B61">
        <w:t xml:space="preserve">; June = early rest; July = middle rest; July/Aug = late rest; </w:t>
      </w:r>
      <w:r w:rsidR="002C35E3">
        <w:t>Aug/</w:t>
      </w:r>
      <w:r w:rsidR="00260189" w:rsidRPr="00100B61">
        <w:t>Sept = early rest, middle rest, and late rest</w:t>
      </w:r>
      <w:r w:rsidRPr="00100B61">
        <w:t>.</w:t>
      </w:r>
      <w:bookmarkEnd w:id="236"/>
    </w:p>
    <w:p w14:paraId="54D08401" w14:textId="692749FF" w:rsidR="00C405E9" w:rsidRDefault="00C405E9" w:rsidP="00C36B33"/>
    <w:p w14:paraId="234EAE94" w14:textId="7804FF6E" w:rsidR="00C405E9" w:rsidRDefault="002C35E3" w:rsidP="00D84C23">
      <w:pPr>
        <w:spacing w:after="100" w:afterAutospacing="1" w:line="240" w:lineRule="auto"/>
      </w:pPr>
      <w:r>
        <w:rPr>
          <w:noProof/>
        </w:rPr>
        <w:lastRenderedPageBreak/>
        <w:drawing>
          <wp:inline distT="0" distB="0" distL="0" distR="0" wp14:anchorId="72C81A11" wp14:editId="21A6834D">
            <wp:extent cx="5486400" cy="3640455"/>
            <wp:effectExtent l="0" t="0" r="0" b="17145"/>
            <wp:docPr id="5" name="Chart 5">
              <a:extLst xmlns:a="http://schemas.openxmlformats.org/drawingml/2006/main">
                <a:ext uri="{FF2B5EF4-FFF2-40B4-BE49-F238E27FC236}">
                  <a16:creationId xmlns:a16="http://schemas.microsoft.com/office/drawing/2014/main" id="{91F5E414-A4BE-4DAD-8E73-84B25837AC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52B8DA99" w14:textId="31525CBB" w:rsidR="001B31A5" w:rsidRPr="00100B61" w:rsidRDefault="001B31A5" w:rsidP="00D67D7B">
      <w:pPr>
        <w:pStyle w:val="Figures"/>
        <w:spacing w:before="0"/>
      </w:pPr>
      <w:bookmarkStart w:id="238" w:name="_Toc72300477"/>
      <w:r w:rsidRPr="00100B61">
        <w:t>Figure 2</w:t>
      </w:r>
      <w:r w:rsidR="00C80ECB" w:rsidRPr="00100B61">
        <w:t>.</w:t>
      </w:r>
      <w:r w:rsidR="00112D85">
        <w:t>1</w:t>
      </w:r>
      <w:r w:rsidR="00116812">
        <w:t>2</w:t>
      </w:r>
      <w:r w:rsidR="00C80ECB" w:rsidRPr="00100B61">
        <w:t xml:space="preserve">. </w:t>
      </w:r>
      <w:r w:rsidRPr="00100B61">
        <w:t xml:space="preserve"> Flowering percentage of 10 native </w:t>
      </w:r>
      <w:r w:rsidR="000718A1">
        <w:t xml:space="preserve">warm-season </w:t>
      </w:r>
      <w:r w:rsidRPr="00100B61">
        <w:t xml:space="preserve">forb species pooled across years (2019-2020) at the same sampling periods in a </w:t>
      </w:r>
      <w:r w:rsidR="003350C2" w:rsidRPr="00100B61">
        <w:t xml:space="preserve">big bluestem/indiangrass </w:t>
      </w:r>
      <w:r w:rsidRPr="00100B61">
        <w:t xml:space="preserve">pasture </w:t>
      </w:r>
      <w:r w:rsidR="00B3456C" w:rsidRPr="00BC2376">
        <w:t xml:space="preserve">for native </w:t>
      </w:r>
      <w:r w:rsidR="00B3456C">
        <w:t xml:space="preserve">grass </w:t>
      </w:r>
      <w:r w:rsidR="00B3456C" w:rsidRPr="00BC2376">
        <w:t>pasture grazing experiment</w:t>
      </w:r>
      <w:r w:rsidR="00B3456C" w:rsidRPr="00100B61">
        <w:t xml:space="preserve"> </w:t>
      </w:r>
      <w:r w:rsidRPr="00100B61">
        <w:t xml:space="preserve">at </w:t>
      </w:r>
      <w:r w:rsidR="00A4234D">
        <w:t>the University of Tennessee – N</w:t>
      </w:r>
      <w:r w:rsidR="00A4234D" w:rsidRPr="00BC2376">
        <w:t xml:space="preserve">ortheast Tennessee AgResearch and Education Center, </w:t>
      </w:r>
      <w:r w:rsidR="00A4234D">
        <w:t>Greeneville</w:t>
      </w:r>
      <w:r w:rsidR="00A4234D" w:rsidRPr="00BC2376">
        <w:t>, TN</w:t>
      </w:r>
      <w:r w:rsidRPr="00100B61">
        <w:t xml:space="preserve">.  †Flowering percentage compared across </w:t>
      </w:r>
      <w:r w:rsidR="00BC7E04">
        <w:t>grazing</w:t>
      </w:r>
      <w:r w:rsidRPr="00100B61">
        <w:t xml:space="preserve"> treatments within sampling periods.  All sampling periods compared no graze and no rest to the respective sampled </w:t>
      </w:r>
      <w:r w:rsidR="00BC7E04">
        <w:t>grazing</w:t>
      </w:r>
      <w:r w:rsidRPr="00100B61">
        <w:t xml:space="preserve"> treatment. May = early rest, middle rest, and late rest; June = early rest; July = middle rest; July/Aug = late rest; </w:t>
      </w:r>
      <w:r w:rsidR="002C35E3">
        <w:t>Aug/</w:t>
      </w:r>
      <w:r w:rsidRPr="00100B61">
        <w:t>Sept = early rest, middle rest, and late rest.</w:t>
      </w:r>
      <w:bookmarkEnd w:id="238"/>
    </w:p>
    <w:p w14:paraId="36E2FE85" w14:textId="77777777" w:rsidR="00BD428B" w:rsidRDefault="00BD428B" w:rsidP="00C36B33"/>
    <w:p w14:paraId="092176C8" w14:textId="63D67F6A" w:rsidR="00BD428B" w:rsidRDefault="00BD428B" w:rsidP="00C36B33">
      <w:pPr>
        <w:sectPr w:rsidR="00BD428B" w:rsidSect="002A59E2">
          <w:pgSz w:w="12240" w:h="15840" w:code="1"/>
          <w:pgMar w:top="1440" w:right="1800" w:bottom="1872" w:left="1800" w:header="720" w:footer="1440" w:gutter="0"/>
          <w:cols w:space="720"/>
          <w:noEndnote/>
          <w:docGrid w:linePitch="360"/>
        </w:sectPr>
      </w:pPr>
    </w:p>
    <w:p w14:paraId="786F1EF7" w14:textId="34180C33" w:rsidR="00236E6D" w:rsidRPr="004F6C28" w:rsidRDefault="00DD3196" w:rsidP="00334400">
      <w:pPr>
        <w:pStyle w:val="Heading1"/>
        <w:rPr>
          <w:rFonts w:cs="Times New Roman"/>
        </w:rPr>
      </w:pPr>
      <w:bookmarkStart w:id="239" w:name="_Toc72026064"/>
      <w:bookmarkStart w:id="240" w:name="_Toc72305425"/>
      <w:r>
        <w:rPr>
          <w:rFonts w:cs="Times New Roman"/>
        </w:rPr>
        <w:lastRenderedPageBreak/>
        <w:t>CONCLUSION</w:t>
      </w:r>
      <w:bookmarkEnd w:id="239"/>
      <w:r w:rsidR="00943A28">
        <w:rPr>
          <w:rFonts w:cs="Times New Roman"/>
        </w:rPr>
        <w:t>S</w:t>
      </w:r>
      <w:bookmarkEnd w:id="240"/>
    </w:p>
    <w:p w14:paraId="561ADAF9" w14:textId="77777777" w:rsidR="00F35B8A" w:rsidRDefault="00841E05" w:rsidP="00BB152B">
      <w:pPr>
        <w:ind w:firstLine="720"/>
        <w:sectPr w:rsidR="00F35B8A" w:rsidSect="00C92DB5">
          <w:pgSz w:w="12240" w:h="15840" w:code="1"/>
          <w:pgMar w:top="1440" w:right="1800" w:bottom="1872" w:left="1800" w:header="720" w:footer="1440" w:gutter="0"/>
          <w:cols w:space="720"/>
          <w:noEndnote/>
          <w:docGrid w:linePitch="360"/>
        </w:sectPr>
      </w:pPr>
      <w:r>
        <w:t xml:space="preserve">Switchgrass and BBIG plant persistence </w:t>
      </w:r>
      <w:r w:rsidR="00DF55EF">
        <w:t>were</w:t>
      </w:r>
      <w:r>
        <w:t xml:space="preserve"> not negatively impacted by</w:t>
      </w:r>
      <w:r w:rsidR="008B07F3">
        <w:t xml:space="preserve"> interseeding CSA or warm-season forbs into SG and BBIG pastures</w:t>
      </w:r>
      <w:r>
        <w:t xml:space="preserve">.  Each experiment </w:t>
      </w:r>
      <w:r w:rsidR="00DF55EF">
        <w:t>indicated</w:t>
      </w:r>
      <w:r>
        <w:t xml:space="preserve"> that plant </w:t>
      </w:r>
      <w:r w:rsidR="00E40C28">
        <w:t xml:space="preserve">density decline </w:t>
      </w:r>
      <w:r>
        <w:t xml:space="preserve">is more closely related to specific management practices </w:t>
      </w:r>
      <w:r w:rsidR="00E40C28">
        <w:t xml:space="preserve">and environmental conditions </w:t>
      </w:r>
      <w:r>
        <w:t xml:space="preserve">within a given year.  For example, harvesting SG and BBIG hay multiple times within a season </w:t>
      </w:r>
      <w:r w:rsidR="00DF55EF">
        <w:t>or</w:t>
      </w:r>
      <w:r>
        <w:t xml:space="preserve"> overstocking pastures </w:t>
      </w:r>
      <w:r w:rsidR="00DF55EF">
        <w:t xml:space="preserve">when grazing </w:t>
      </w:r>
      <w:r>
        <w:t xml:space="preserve">could reduce plant density.  </w:t>
      </w:r>
      <w:r w:rsidR="00E40C28">
        <w:t>Incorporating CSA with NWSG is a viable option for producers to increase grazing days.  Combining forbs and legumes with SG and BBIG ha</w:t>
      </w:r>
      <w:r w:rsidR="00754BBB">
        <w:t>s</w:t>
      </w:r>
      <w:r w:rsidR="00E40C28">
        <w:t xml:space="preserve"> the ability to increase the overall forage quality and biodiversity of a pasture.  When utilizing native legumes, DITI should be </w:t>
      </w:r>
      <w:r w:rsidR="00BB152B">
        <w:t>prioritized over</w:t>
      </w:r>
      <w:r w:rsidR="00E40C28">
        <w:t xml:space="preserve"> ILBF </w:t>
      </w:r>
      <w:r w:rsidR="00BB152B">
        <w:t>and</w:t>
      </w:r>
      <w:r w:rsidR="00E40C28">
        <w:t xml:space="preserve"> PPEA according to our results.  Planting BESU in a mixture would allow for multiple blooms for at least the first two years while the perennial forbs establish.  </w:t>
      </w:r>
      <w:r w:rsidR="00BB152B">
        <w:t>Based on plant abundance, persistence, observed flowering periods, and bloom abundance, planting BESU, DITI, LANC, MAXI, OXEY, and PCON in a mixture could allow for plant biodiversity while providing ample blooms during the NWSG grazing season.  Since within-rest treatments did not affect forb plant density, rotational grazing does not seem to be a required grazing practice for stand persistence.</w:t>
      </w:r>
    </w:p>
    <w:p w14:paraId="6AA11FC8" w14:textId="08D0E0F4" w:rsidR="00F35B8A" w:rsidRPr="003D575F" w:rsidRDefault="003D575F" w:rsidP="003D575F">
      <w:pPr>
        <w:pStyle w:val="Heading1"/>
      </w:pPr>
      <w:bookmarkStart w:id="241" w:name="_Toc72305426"/>
      <w:r>
        <w:rPr>
          <w:rFonts w:cs="Times New Roman"/>
        </w:rPr>
        <w:lastRenderedPageBreak/>
        <w:t>APPENDIX</w:t>
      </w:r>
      <w:r w:rsidRPr="004F6C28">
        <w:rPr>
          <w:rFonts w:cs="Times New Roman"/>
        </w:rPr>
        <w:t xml:space="preserve"> </w:t>
      </w:r>
      <w:r>
        <w:rPr>
          <w:rFonts w:cs="Times New Roman"/>
        </w:rPr>
        <w:t>I</w:t>
      </w:r>
      <w:r w:rsidRPr="004F6C28">
        <w:rPr>
          <w:rFonts w:cs="Times New Roman"/>
        </w:rPr>
        <w:t>II</w:t>
      </w:r>
      <w:r w:rsidRPr="004F6C28">
        <w:rPr>
          <w:rFonts w:cs="Times New Roman"/>
        </w:rPr>
        <w:br/>
      </w:r>
      <w:r w:rsidR="00C65104" w:rsidRPr="003D575F">
        <w:t>USING A BROWNTOP MILLET COMPANION CROP TO AID NATIVE GRASS ESTABLISHMENT</w:t>
      </w:r>
      <w:bookmarkEnd w:id="241"/>
    </w:p>
    <w:p w14:paraId="759FBCA7" w14:textId="77777777" w:rsidR="00F35B8A" w:rsidRDefault="00F35B8A" w:rsidP="00F35B8A">
      <w:pPr>
        <w:pStyle w:val="AgronomyJournalSectionTitles"/>
        <w:sectPr w:rsidR="00F35B8A" w:rsidSect="00C92DB5">
          <w:pgSz w:w="12240" w:h="15840" w:code="1"/>
          <w:pgMar w:top="1440" w:right="1800" w:bottom="1872" w:left="1800" w:header="720" w:footer="1440" w:gutter="0"/>
          <w:cols w:space="720"/>
          <w:noEndnote/>
          <w:docGrid w:linePitch="360"/>
        </w:sectPr>
      </w:pPr>
    </w:p>
    <w:p w14:paraId="6265283B" w14:textId="2FAF9525" w:rsidR="00F35B8A" w:rsidRDefault="00F35B8A" w:rsidP="00A539F2">
      <w:pPr>
        <w:spacing w:after="100" w:afterAutospacing="1"/>
      </w:pPr>
      <w:r>
        <w:lastRenderedPageBreak/>
        <w:t xml:space="preserve">This </w:t>
      </w:r>
      <w:r w:rsidR="00E91B86">
        <w:t xml:space="preserve">appendix </w:t>
      </w:r>
      <w:r>
        <w:t>chapter is original work by Jonathan D. Richwine with contributions from co-authors Patrick D. Keyser, Dennis W. Hancock, and Amanda J. Ashworth.  It has not yet been published but has been accepted for publication in “</w:t>
      </w:r>
      <w:r w:rsidRPr="00C65104">
        <w:rPr>
          <w:i/>
          <w:iCs/>
        </w:rPr>
        <w:t>Agronomy Journal</w:t>
      </w:r>
      <w:r>
        <w:t>”.</w:t>
      </w:r>
    </w:p>
    <w:p w14:paraId="462E14F4" w14:textId="576E4EB6" w:rsidR="00C65104" w:rsidRDefault="00C65104" w:rsidP="00C65104">
      <w:pPr>
        <w:pStyle w:val="AgronomyJournalSectionTitles"/>
      </w:pPr>
      <w:bookmarkStart w:id="242" w:name="_Toc72305427"/>
      <w:r>
        <w:t>ABSTRACT</w:t>
      </w:r>
      <w:bookmarkEnd w:id="242"/>
    </w:p>
    <w:p w14:paraId="610AD9E0" w14:textId="1A83E54E" w:rsidR="00E77AB6" w:rsidRDefault="00E77AB6" w:rsidP="00A539F2">
      <w:pPr>
        <w:pStyle w:val="Paragraphs"/>
        <w:spacing w:after="100" w:afterAutospacing="1"/>
        <w:ind w:firstLine="0"/>
      </w:pPr>
      <w:r>
        <w:t>The lack of forage production during the seedling year is a barrier to</w:t>
      </w:r>
      <w:r w:rsidRPr="002B6D59">
        <w:t xml:space="preserve"> wide-scale </w:t>
      </w:r>
      <w:r>
        <w:t>adoption of</w:t>
      </w:r>
      <w:r w:rsidRPr="00F01B50">
        <w:t xml:space="preserve"> </w:t>
      </w:r>
      <w:r w:rsidRPr="002B6D59">
        <w:t>native warm-season grass</w:t>
      </w:r>
      <w:r>
        <w:t>es</w:t>
      </w:r>
      <w:r w:rsidRPr="002B6D59">
        <w:t xml:space="preserve"> (NWSG). </w:t>
      </w:r>
      <w:r w:rsidRPr="00677DC5">
        <w:t xml:space="preserve"> T</w:t>
      </w:r>
      <w:r w:rsidRPr="005578B5">
        <w:t>o address this, two</w:t>
      </w:r>
      <w:r w:rsidRPr="00995696">
        <w:t xml:space="preserve"> </w:t>
      </w:r>
      <w:r>
        <w:t xml:space="preserve">NWSG </w:t>
      </w:r>
      <w:r w:rsidRPr="00995696">
        <w:t>es</w:t>
      </w:r>
      <w:r w:rsidRPr="001D5498">
        <w:t>tablishment</w:t>
      </w:r>
      <w:r w:rsidRPr="00BA5362">
        <w:t xml:space="preserve"> experiments</w:t>
      </w:r>
      <w:r w:rsidRPr="00E55843">
        <w:t xml:space="preserve"> </w:t>
      </w:r>
      <w:r w:rsidRPr="00473117">
        <w:t xml:space="preserve">were conducted </w:t>
      </w:r>
      <w:r w:rsidRPr="007A09D0">
        <w:t>in Knoxville, TN,</w:t>
      </w:r>
      <w:r w:rsidRPr="008134AA">
        <w:t xml:space="preserve"> 2016-2018, to </w:t>
      </w:r>
      <w:r>
        <w:t xml:space="preserve">determine the efficacy of </w:t>
      </w:r>
      <w:r w:rsidRPr="008134AA">
        <w:t xml:space="preserve">big bluestem </w:t>
      </w:r>
      <w:r>
        <w:t>[</w:t>
      </w:r>
      <w:r w:rsidRPr="00CA2D86">
        <w:t>BB</w:t>
      </w:r>
      <w:r w:rsidRPr="0019407C">
        <w:t xml:space="preserve">; </w:t>
      </w:r>
      <w:r w:rsidRPr="0019407C">
        <w:rPr>
          <w:i/>
        </w:rPr>
        <w:t>Andropogon gerardii</w:t>
      </w:r>
      <w:r w:rsidRPr="007C08BE">
        <w:t xml:space="preserve"> Vitman</w:t>
      </w:r>
      <w:r>
        <w:t>]</w:t>
      </w:r>
      <w:r w:rsidRPr="00E14B8F">
        <w:t xml:space="preserve"> </w:t>
      </w:r>
      <w:r w:rsidRPr="00A24EE9">
        <w:t xml:space="preserve">and switchgrass </w:t>
      </w:r>
      <w:r>
        <w:t>[</w:t>
      </w:r>
      <w:r w:rsidRPr="00304846">
        <w:t>SG</w:t>
      </w:r>
      <w:r w:rsidRPr="00110622">
        <w:t xml:space="preserve">; </w:t>
      </w:r>
      <w:r w:rsidRPr="00C82976">
        <w:rPr>
          <w:i/>
        </w:rPr>
        <w:t>Panicum virgatum</w:t>
      </w:r>
      <w:r w:rsidRPr="00C82976">
        <w:t xml:space="preserve"> L.</w:t>
      </w:r>
      <w:r>
        <w:t>]</w:t>
      </w:r>
      <w:r w:rsidRPr="00C82976">
        <w:t xml:space="preserve"> establishme</w:t>
      </w:r>
      <w:r w:rsidRPr="00BD0DAF">
        <w:t xml:space="preserve">nt with browntop millet </w:t>
      </w:r>
      <w:r w:rsidRPr="00B348F0">
        <w:t>[</w:t>
      </w:r>
      <w:r w:rsidRPr="00076819">
        <w:t xml:space="preserve">BTM; </w:t>
      </w:r>
      <w:r w:rsidRPr="00076819">
        <w:rPr>
          <w:i/>
        </w:rPr>
        <w:t>Urochloa ramosa</w:t>
      </w:r>
      <w:r w:rsidRPr="00076819">
        <w:t xml:space="preserve"> (L.) Nguyen</w:t>
      </w:r>
      <w:r w:rsidRPr="002061D6">
        <w:t xml:space="preserve">] </w:t>
      </w:r>
      <w:r w:rsidRPr="0060629C">
        <w:t xml:space="preserve">as a companion crop.  Each experiment was a randomized complete block arranged as a 2x3 factorial.  </w:t>
      </w:r>
      <w:bookmarkStart w:id="243" w:name="_Hlk60780835"/>
      <w:r>
        <w:t xml:space="preserve">Two defoliation strategies </w:t>
      </w:r>
      <w:bookmarkEnd w:id="243"/>
      <w:r>
        <w:t>[</w:t>
      </w:r>
      <w:r w:rsidRPr="00847729">
        <w:t>(</w:t>
      </w:r>
      <w:r w:rsidRPr="000D6E9A">
        <w:t xml:space="preserve">1) harvests based on BTM maturity (boot to heading stage) for hay </w:t>
      </w:r>
      <w:r>
        <w:t xml:space="preserve">(HAY) </w:t>
      </w:r>
      <w:r w:rsidRPr="0060629C">
        <w:t>or (</w:t>
      </w:r>
      <w:r w:rsidRPr="000D6E9A">
        <w:t xml:space="preserve">2) clipping </w:t>
      </w:r>
      <w:r w:rsidRPr="00D51570">
        <w:t>to control BTM competition</w:t>
      </w:r>
      <w:r>
        <w:t xml:space="preserve"> by maintaining &gt;50% sunlight reaching </w:t>
      </w:r>
      <w:r w:rsidRPr="004C50A3">
        <w:t>BB and SG seedlings</w:t>
      </w:r>
      <w:r>
        <w:t xml:space="preserve"> (CLIP)]</w:t>
      </w:r>
      <w:bookmarkStart w:id="244" w:name="_Hlk60780963"/>
      <w:r>
        <w:t xml:space="preserve"> were coupled with </w:t>
      </w:r>
      <w:bookmarkEnd w:id="244"/>
      <w:r w:rsidRPr="00847729">
        <w:t>three BTM seeding rates [</w:t>
      </w:r>
      <w:r w:rsidRPr="00265F11">
        <w:t>0 (control), 11.2 (half</w:t>
      </w:r>
      <w:r w:rsidRPr="009B1054">
        <w:t>-recommended rate), and 22.4 (full</w:t>
      </w:r>
      <w:r w:rsidRPr="00973876">
        <w:t>-recommended rate) kg pure live seed</w:t>
      </w:r>
      <w:r w:rsidRPr="00D8762B">
        <w:t xml:space="preserve"> (PLS) ha</w:t>
      </w:r>
      <w:r w:rsidRPr="00D8762B">
        <w:rPr>
          <w:vertAlign w:val="superscript"/>
        </w:rPr>
        <w:t>-1</w:t>
      </w:r>
      <w:r w:rsidRPr="00D8762B">
        <w:t>].  Only BTM seeding rate</w:t>
      </w:r>
      <w:r w:rsidRPr="000D6E9A">
        <w:t xml:space="preserve"> affected BB and SG plant density at dormancy.  In all cases, the control had greater BB and SG plant density than the full-</w:t>
      </w:r>
      <w:r w:rsidRPr="00136BC7">
        <w:t>rec</w:t>
      </w:r>
      <w:r w:rsidRPr="002B6D59">
        <w:t>ommended rate</w:t>
      </w:r>
      <w:r w:rsidRPr="00677DC5">
        <w:t>, indicat</w:t>
      </w:r>
      <w:r w:rsidRPr="005578B5">
        <w:t xml:space="preserve">ing </w:t>
      </w:r>
      <w:r>
        <w:t xml:space="preserve">that </w:t>
      </w:r>
      <w:r w:rsidRPr="005578B5">
        <w:t>BTM</w:t>
      </w:r>
      <w:r w:rsidRPr="001D5498">
        <w:t xml:space="preserve"> impede</w:t>
      </w:r>
      <w:r>
        <w:t>d</w:t>
      </w:r>
      <w:r w:rsidRPr="0060629C">
        <w:t xml:space="preserve"> BB </w:t>
      </w:r>
      <w:r w:rsidRPr="00D51570">
        <w:t xml:space="preserve">and SG establishment. </w:t>
      </w:r>
      <w:r w:rsidRPr="004C50A3">
        <w:t xml:space="preserve"> All BTM seeding rates resulted in acceptable stands (≥5.4 plants m</w:t>
      </w:r>
      <w:r w:rsidRPr="00847729">
        <w:rPr>
          <w:vertAlign w:val="superscript"/>
        </w:rPr>
        <w:t>-2</w:t>
      </w:r>
      <w:r w:rsidRPr="00A32CF9">
        <w:t xml:space="preserve">) </w:t>
      </w:r>
      <w:r w:rsidRPr="00265F11">
        <w:t xml:space="preserve">of BB </w:t>
      </w:r>
      <w:r>
        <w:t xml:space="preserve">(both years) </w:t>
      </w:r>
      <w:r w:rsidRPr="00265F11">
        <w:t xml:space="preserve">and SG </w:t>
      </w:r>
      <w:r>
        <w:t>(</w:t>
      </w:r>
      <w:r w:rsidRPr="00265F11">
        <w:t>2017</w:t>
      </w:r>
      <w:r>
        <w:t xml:space="preserve"> only).</w:t>
      </w:r>
      <w:bookmarkStart w:id="245" w:name="_Hlk60692724"/>
      <w:r w:rsidRPr="00265F11">
        <w:t xml:space="preserve"> </w:t>
      </w:r>
      <w:r>
        <w:t xml:space="preserve"> O</w:t>
      </w:r>
      <w:r w:rsidRPr="00265F11">
        <w:t>nly</w:t>
      </w:r>
      <w:r w:rsidRPr="009B1054">
        <w:t xml:space="preserve"> the control allowed for acceptable stands of SG </w:t>
      </w:r>
      <w:r w:rsidRPr="00973876">
        <w:t>in 2016</w:t>
      </w:r>
      <w:bookmarkEnd w:id="245"/>
      <w:r>
        <w:t xml:space="preserve"> </w:t>
      </w:r>
      <w:r w:rsidRPr="009B1054">
        <w:t>(8.5 plants m</w:t>
      </w:r>
      <w:r w:rsidRPr="00973876">
        <w:rPr>
          <w:vertAlign w:val="superscript"/>
        </w:rPr>
        <w:t>-2</w:t>
      </w:r>
      <w:r w:rsidRPr="00973876">
        <w:t>).</w:t>
      </w:r>
      <w:r w:rsidRPr="002D6FE4">
        <w:t xml:space="preserve">  Managing BTM for </w:t>
      </w:r>
      <w:r>
        <w:t xml:space="preserve">HAY </w:t>
      </w:r>
      <w:r w:rsidRPr="00D8762B">
        <w:t xml:space="preserve">produced a mean cumulative </w:t>
      </w:r>
      <w:r w:rsidRPr="00DA1D29">
        <w:t>dry matter (</w:t>
      </w:r>
      <w:r w:rsidRPr="002E2D64">
        <w:t>DM) yield of 3.15 and 2.68</w:t>
      </w:r>
      <w:r w:rsidRPr="00132FE2">
        <w:t xml:space="preserve"> Mg ha</w:t>
      </w:r>
      <w:r w:rsidRPr="001418B2">
        <w:rPr>
          <w:vertAlign w:val="superscript"/>
        </w:rPr>
        <w:t>-1</w:t>
      </w:r>
      <w:r w:rsidRPr="001418B2">
        <w:t xml:space="preserve"> </w:t>
      </w:r>
      <w:r w:rsidRPr="00DF1EB5">
        <w:t>in 2016 and 2017, respectively</w:t>
      </w:r>
      <w:r w:rsidRPr="00E43EEB">
        <w:t xml:space="preserve">.  </w:t>
      </w:r>
      <w:r>
        <w:t xml:space="preserve">These findings show that BTM </w:t>
      </w:r>
      <w:r>
        <w:lastRenderedPageBreak/>
        <w:t xml:space="preserve">can be a companion crop that helps offset production losses during BB and SG establishment. </w:t>
      </w:r>
    </w:p>
    <w:p w14:paraId="5100B46E" w14:textId="0C5604B6" w:rsidR="00E77AB6" w:rsidRDefault="00E77AB6" w:rsidP="00E77AB6">
      <w:pPr>
        <w:pStyle w:val="AgronomyJournalSectionTitles"/>
      </w:pPr>
      <w:bookmarkStart w:id="246" w:name="_Toc72305428"/>
      <w:r>
        <w:t>INTRODUCTION</w:t>
      </w:r>
      <w:bookmarkEnd w:id="246"/>
    </w:p>
    <w:p w14:paraId="45A2F082" w14:textId="77777777" w:rsidR="00E77AB6" w:rsidRPr="000D6E9A" w:rsidRDefault="00E77AB6" w:rsidP="00E77AB6">
      <w:pPr>
        <w:ind w:firstLine="720"/>
      </w:pPr>
      <w:r w:rsidRPr="000D6E9A">
        <w:t>In recent years, considerable attention has been focused on NWSG such as BB and SG because of their potential contributions to forage</w:t>
      </w:r>
      <w:r>
        <w:t xml:space="preserve"> for livestock</w:t>
      </w:r>
      <w:r w:rsidRPr="000D6E9A">
        <w:t xml:space="preserve"> (Tracy, Maughan, Post, </w:t>
      </w:r>
      <w:r>
        <w:t xml:space="preserve">&amp; </w:t>
      </w:r>
      <w:r w:rsidRPr="000D6E9A">
        <w:t>Faulkner</w:t>
      </w:r>
      <w:r w:rsidRPr="00B3214C">
        <w:t>, 2010;</w:t>
      </w:r>
      <w:r w:rsidRPr="000D6E9A">
        <w:t xml:space="preserve"> Burns </w:t>
      </w:r>
      <w:r>
        <w:t>&amp;</w:t>
      </w:r>
      <w:r w:rsidRPr="000D6E9A">
        <w:t xml:space="preserve"> Fisher, 2013; Backus et al., 2017), biomass for bioenergy (McLaughlin &amp; Kszos, 2005; Sanderson, Schmer, Owens, Keyser, &amp; Elber</w:t>
      </w:r>
      <w:r w:rsidRPr="000D6E9A">
        <w:softHyphen/>
        <w:t>sen, 2012), and integrated forage-biomass production systems (Guretzky, Biermacher, Cook, Kering, &amp; Mosali, 2011; Mosali,</w:t>
      </w:r>
      <w:r w:rsidRPr="000D6E9A">
        <w:rPr>
          <w:color w:val="111111"/>
        </w:rPr>
        <w:t xml:space="preserve"> Biermacher, Cook, &amp; Blanton, Jr.</w:t>
      </w:r>
      <w:r w:rsidRPr="000D6E9A">
        <w:t>, 2013; Lowe et al., 2015; McIntosh et al., 2015).  These grasses are</w:t>
      </w:r>
      <w:r>
        <w:t xml:space="preserve"> desirable</w:t>
      </w:r>
      <w:r w:rsidRPr="000D6E9A">
        <w:t xml:space="preserve"> because of their drought tolerance (Sanderson &amp; Reed, 2000; Buttrey et al., 2011), low input requirements (Vogel, Brejda, Walters, &amp; Buxton, 2002; Boyer, Tyler, Roberts, English, &amp; Larson, 2012; Kering, Butler, Biermacher, Mosali, &amp; Guretzky, 2012), potential for achieving conservation goals (Gilley, Eghball, Kramer, &amp; Moorman, 2000; Harper et al., 2015; West et al., 2016)</w:t>
      </w:r>
      <w:r>
        <w:t>, and high resilience against</w:t>
      </w:r>
      <w:r w:rsidRPr="000D6E9A">
        <w:t xml:space="preserve"> climate </w:t>
      </w:r>
      <w:r>
        <w:t xml:space="preserve">variability </w:t>
      </w:r>
      <w:r w:rsidRPr="000D6E9A">
        <w:t>(McLaughlin &amp; Walsh, 1998; Owensby</w:t>
      </w:r>
      <w:r w:rsidRPr="000D6E9A">
        <w:rPr>
          <w:color w:val="111111"/>
        </w:rPr>
        <w:t>, Ham, Knapp, &amp; Auen</w:t>
      </w:r>
      <w:r w:rsidRPr="000D6E9A">
        <w:t>, 1999).</w:t>
      </w:r>
      <w:r>
        <w:t xml:space="preserve">  D</w:t>
      </w:r>
      <w:r w:rsidRPr="000D6E9A">
        <w:t xml:space="preserve">espite </w:t>
      </w:r>
      <w:r>
        <w:t xml:space="preserve">these </w:t>
      </w:r>
      <w:r w:rsidRPr="000D6E9A">
        <w:t xml:space="preserve">many advantages, NWSG have not been widely re-adopted into production systems of the humid southeastern US.  </w:t>
      </w:r>
    </w:p>
    <w:p w14:paraId="16F18E6F" w14:textId="77777777" w:rsidR="00E77AB6" w:rsidRPr="000D6E9A" w:rsidRDefault="00E77AB6" w:rsidP="00E77AB6">
      <w:pPr>
        <w:ind w:firstLine="720"/>
      </w:pPr>
      <w:r w:rsidRPr="000D6E9A">
        <w:t>One obstacle to integration of NWSG into forage and/or biomass production systems is stand establishment (Schmer et al., 2006; West &amp; Kincer, 2011; Miesel</w:t>
      </w:r>
      <w:r w:rsidRPr="000D6E9A">
        <w:rPr>
          <w:color w:val="111111"/>
        </w:rPr>
        <w:t>, Renz, Doll, &amp; Jackson</w:t>
      </w:r>
      <w:r w:rsidRPr="000D6E9A">
        <w:t>, 2012)</w:t>
      </w:r>
      <w:r>
        <w:t>, which likely is</w:t>
      </w:r>
      <w:r w:rsidRPr="000D6E9A">
        <w:t xml:space="preserve"> the greatest barrier for producer adopti</w:t>
      </w:r>
      <w:r>
        <w:t>o</w:t>
      </w:r>
      <w:r w:rsidRPr="000D6E9A">
        <w:t>n</w:t>
      </w:r>
      <w:r>
        <w:t xml:space="preserve"> of</w:t>
      </w:r>
      <w:r w:rsidRPr="000D6E9A">
        <w:t xml:space="preserve"> NWSG (Aiken &amp; Springer, 1995; Parrish &amp; Fike, 2005; Keyser</w:t>
      </w:r>
      <w:r w:rsidRPr="000D6E9A">
        <w:rPr>
          <w:bCs/>
          <w:color w:val="111111"/>
        </w:rPr>
        <w:t>, Schexnayder, Wilcox, Bates, &amp; Boyer</w:t>
      </w:r>
      <w:r w:rsidRPr="000D6E9A">
        <w:t>, 20</w:t>
      </w:r>
      <w:r>
        <w:t>21</w:t>
      </w:r>
      <w:r w:rsidRPr="000D6E9A">
        <w:t xml:space="preserve">).  Past researchers have identified competition control </w:t>
      </w:r>
      <w:r>
        <w:t xml:space="preserve">as a major </w:t>
      </w:r>
      <w:r>
        <w:lastRenderedPageBreak/>
        <w:t xml:space="preserve">contributor to failed establishment </w:t>
      </w:r>
      <w:r w:rsidRPr="000D6E9A">
        <w:t>(McKenna</w:t>
      </w:r>
      <w:r w:rsidRPr="000D6E9A">
        <w:rPr>
          <w:color w:val="111111"/>
        </w:rPr>
        <w:t>, Wolf, &amp; Lentner</w:t>
      </w:r>
      <w:r w:rsidRPr="000D6E9A">
        <w:t>, 1991; Curran, Ryan, Myers, &amp; Adler, 2011</w:t>
      </w:r>
      <w:r>
        <w:t xml:space="preserve">; </w:t>
      </w:r>
      <w:r w:rsidRPr="000D6E9A">
        <w:t xml:space="preserve">Hedtcke, Sanford, Hadley, &amp; Thelen, 2014).  Past researchers have explored </w:t>
      </w:r>
      <w:r>
        <w:t>planting NWSG following a</w:t>
      </w:r>
      <w:r w:rsidRPr="000D6E9A">
        <w:t xml:space="preserve"> cool-season annual cereal cover crop to aid in NWSG establishment</w:t>
      </w:r>
      <w:r>
        <w:t xml:space="preserve"> (</w:t>
      </w:r>
      <w:r w:rsidRPr="000D6E9A">
        <w:t>Hedtcke</w:t>
      </w:r>
      <w:r>
        <w:t xml:space="preserve"> et al.</w:t>
      </w:r>
      <w:r w:rsidRPr="000D6E9A">
        <w:t>,</w:t>
      </w:r>
      <w:r>
        <w:t xml:space="preserve"> 2014; </w:t>
      </w:r>
      <w:r w:rsidRPr="000D6E9A">
        <w:t>Keyser, Ashworth, Allen, and Bates</w:t>
      </w:r>
      <w:r>
        <w:t xml:space="preserve">, </w:t>
      </w:r>
      <w:r w:rsidRPr="000D6E9A">
        <w:t>2016a</w:t>
      </w:r>
      <w:r>
        <w:t>)</w:t>
      </w:r>
      <w:r w:rsidRPr="000D6E9A">
        <w:t xml:space="preserve">.  </w:t>
      </w:r>
      <w:r>
        <w:t xml:space="preserve">In many situations, cover crops can double as companion crops and can offset establishment losses during the establishment of perennial plants and may reduce weed competition </w:t>
      </w:r>
      <w:r w:rsidRPr="000D6E9A">
        <w:t>(Singh, Batish, &amp; Kohli, 2003; Milchunas,</w:t>
      </w:r>
      <w:r w:rsidRPr="000D6E9A">
        <w:rPr>
          <w:color w:val="111111"/>
        </w:rPr>
        <w:t xml:space="preserve"> Vandever, Ball, &amp; Hyberg</w:t>
      </w:r>
      <w:r w:rsidRPr="000D6E9A">
        <w:t xml:space="preserve">, 2011).  </w:t>
      </w:r>
      <w:r>
        <w:t xml:space="preserve">At higher latitudes, cool-season annuals may serve as companion crops.  For example, </w:t>
      </w:r>
      <w:r w:rsidRPr="00A32CF9">
        <w:t>Jungers, Wyse, and Sheaffer (201</w:t>
      </w:r>
      <w:r>
        <w:t>5</w:t>
      </w:r>
      <w:r w:rsidRPr="00A32CF9">
        <w:t>) seeded a NWSG polyculture with barley [</w:t>
      </w:r>
      <w:r w:rsidRPr="00A32CF9">
        <w:rPr>
          <w:i/>
        </w:rPr>
        <w:t>Hordeum vulgare</w:t>
      </w:r>
      <w:r w:rsidRPr="00A32CF9">
        <w:t xml:space="preserve"> L.]</w:t>
      </w:r>
      <w:r w:rsidRPr="007B29F7">
        <w:t xml:space="preserve"> and oat [</w:t>
      </w:r>
      <w:r w:rsidRPr="007B29F7">
        <w:rPr>
          <w:i/>
        </w:rPr>
        <w:t>Avena sativa</w:t>
      </w:r>
      <w:r w:rsidRPr="007B29F7">
        <w:t xml:space="preserve"> L.] in Minnesota and found average plant density greater than 50 plants m</w:t>
      </w:r>
      <w:r w:rsidRPr="007B29F7">
        <w:rPr>
          <w:vertAlign w:val="superscript"/>
        </w:rPr>
        <w:t>-2</w:t>
      </w:r>
      <w:r w:rsidRPr="007B29F7">
        <w:t xml:space="preserve"> after harvesting the companion crop for forage in July or August.  </w:t>
      </w:r>
      <w:r>
        <w:t>Similarly, Miesel et al. (2012), also working in the Upper Midwest of the U.S., evaluated an oat companion crop and reported that treatments using herbicides were more effective at reducing weed pressure and increasing yield of native grasses</w:t>
      </w:r>
      <w:r w:rsidRPr="00021F51">
        <w:t xml:space="preserve"> </w:t>
      </w:r>
      <w:r>
        <w:t xml:space="preserve">than treatments with the cool-season companion crop.  </w:t>
      </w:r>
    </w:p>
    <w:p w14:paraId="4BF1FEAE" w14:textId="77777777" w:rsidR="00E77AB6" w:rsidRDefault="00E77AB6" w:rsidP="00E77AB6">
      <w:pPr>
        <w:ind w:firstLine="720"/>
      </w:pPr>
      <w:r w:rsidRPr="000D6E9A">
        <w:t xml:space="preserve">While prior experiments have focused on planting NWSG following or into cool-season annuals, research using warm-season companion crops </w:t>
      </w:r>
      <w:r>
        <w:t>ha</w:t>
      </w:r>
      <w:r w:rsidRPr="000D6E9A">
        <w:t xml:space="preserve">s </w:t>
      </w:r>
      <w:r>
        <w:t xml:space="preserve">been </w:t>
      </w:r>
      <w:r w:rsidRPr="000D6E9A">
        <w:t>l</w:t>
      </w:r>
      <w:r>
        <w:t>imited to date</w:t>
      </w:r>
      <w:r w:rsidRPr="000D6E9A">
        <w:t xml:space="preserve">.  </w:t>
      </w:r>
      <w:r>
        <w:t>Warm-season annual plants can provide forage during the year of establishment.</w:t>
      </w:r>
      <w:r w:rsidRPr="000D6E9A">
        <w:t xml:space="preserve">  Hintz, Harmoney, Moore, George, and Brummer (1998)</w:t>
      </w:r>
      <w:r>
        <w:t>,</w:t>
      </w:r>
      <w:r w:rsidRPr="000D6E9A">
        <w:t xml:space="preserve"> working in Iowa</w:t>
      </w:r>
      <w:r>
        <w:t>,</w:t>
      </w:r>
      <w:r w:rsidRPr="000D6E9A">
        <w:t xml:space="preserve"> successfully established both BB and SG with a corn [</w:t>
      </w:r>
      <w:r w:rsidRPr="000D6E9A">
        <w:rPr>
          <w:i/>
        </w:rPr>
        <w:t>Zea</w:t>
      </w:r>
      <w:r w:rsidRPr="000D6E9A">
        <w:t xml:space="preserve"> </w:t>
      </w:r>
      <w:r w:rsidRPr="000D6E9A">
        <w:rPr>
          <w:i/>
        </w:rPr>
        <w:t xml:space="preserve">mays </w:t>
      </w:r>
      <w:r w:rsidRPr="000D6E9A">
        <w:t>L.] companion crop achieving stand densities typically in excess of 20 plants m</w:t>
      </w:r>
      <w:r>
        <w:rPr>
          <w:vertAlign w:val="superscript"/>
        </w:rPr>
        <w:t>-2</w:t>
      </w:r>
      <w:r w:rsidRPr="000D6E9A">
        <w:t>, well above thresholds required for production stands.  Establishment in their study was successful irrespective of corn density or harvest date</w:t>
      </w:r>
      <w:r>
        <w:t xml:space="preserve">, but in all cases included atrazine </w:t>
      </w:r>
      <w:r w:rsidRPr="00F34F86">
        <w:t>[6-chloro-N-ethyI-</w:t>
      </w:r>
      <w:r w:rsidRPr="00F34F86">
        <w:rPr>
          <w:i/>
        </w:rPr>
        <w:t>N’</w:t>
      </w:r>
      <w:r w:rsidRPr="00F34F86">
        <w:t>-(l-</w:t>
      </w:r>
      <w:r w:rsidRPr="00F34F86">
        <w:lastRenderedPageBreak/>
        <w:t>methylethyl)-l,3,5-triazine-2,4-diamine]</w:t>
      </w:r>
      <w:r>
        <w:t>, a product no longer labeled for native grass establishment.</w:t>
      </w:r>
      <w:r w:rsidRPr="00A32CF9">
        <w:t xml:space="preserve">  Similarly, Anderson et al. (2016)</w:t>
      </w:r>
      <w:r>
        <w:t>,</w:t>
      </w:r>
      <w:r w:rsidRPr="00A32CF9">
        <w:t xml:space="preserve"> working in Illinois</w:t>
      </w:r>
      <w:r>
        <w:t>,</w:t>
      </w:r>
      <w:r w:rsidRPr="00A32CF9">
        <w:t xml:space="preserve"> reported SG stand densities that exceeded 20 plants m</w:t>
      </w:r>
      <w:r w:rsidRPr="00A32CF9">
        <w:rPr>
          <w:vertAlign w:val="superscript"/>
        </w:rPr>
        <w:t>-2</w:t>
      </w:r>
      <w:r w:rsidRPr="00A32CF9">
        <w:t xml:space="preserve"> when planted with a corn companion crop.  </w:t>
      </w:r>
      <w:r>
        <w:t>Cossar and Baldwin (2002) found fall-recorded SG plant density to be inversely related to sorghum-</w:t>
      </w:r>
      <w:r w:rsidRPr="00547EB4">
        <w:t xml:space="preserve"> [</w:t>
      </w:r>
      <w:r w:rsidRPr="009007EF">
        <w:rPr>
          <w:i/>
          <w:iCs/>
        </w:rPr>
        <w:t>Sorghum bicolor</w:t>
      </w:r>
      <w:r w:rsidRPr="00547EB4">
        <w:t xml:space="preserve"> (L.) Moench] sudangrass [</w:t>
      </w:r>
      <w:r w:rsidRPr="009007EF">
        <w:rPr>
          <w:i/>
          <w:iCs/>
        </w:rPr>
        <w:t>Sorghum bicolor</w:t>
      </w:r>
      <w:r w:rsidRPr="00547EB4">
        <w:t xml:space="preserve"> (L.) Moench ssp. </w:t>
      </w:r>
      <w:r w:rsidRPr="009007EF">
        <w:rPr>
          <w:i/>
          <w:iCs/>
        </w:rPr>
        <w:t>drummondii</w:t>
      </w:r>
      <w:r w:rsidRPr="00547EB4">
        <w:t xml:space="preserve"> (Nees ex Steud.) de Wet &amp; Harlan]</w:t>
      </w:r>
      <w:r>
        <w:t xml:space="preserve"> companion crop seeding rates in Mississippi.  While they noted greater SG biomass yield when planted alone, Horton, Baldwin, and Cossar (2004) later reported no difference in SG biomass yield with respect to sorghum-sudangrass seeding rates when replicating the study at a different site.  </w:t>
      </w:r>
    </w:p>
    <w:p w14:paraId="5AFF5F0E" w14:textId="57DE6F25" w:rsidR="00E77AB6" w:rsidRDefault="00E77AB6" w:rsidP="00A539F2">
      <w:pPr>
        <w:pStyle w:val="Paragraphs"/>
        <w:spacing w:after="100" w:afterAutospacing="1"/>
      </w:pPr>
      <w:r w:rsidRPr="007B29F7">
        <w:t xml:space="preserve">Therefore, </w:t>
      </w:r>
      <w:r>
        <w:t xml:space="preserve">because of the paucity of published data, </w:t>
      </w:r>
      <w:r w:rsidRPr="007B29F7">
        <w:t xml:space="preserve">two </w:t>
      </w:r>
      <w:r>
        <w:t xml:space="preserve">NWSG </w:t>
      </w:r>
      <w:r w:rsidRPr="007B29F7">
        <w:t xml:space="preserve">experiments were implemented to investigate the potential of a warm-season annual companion crop, BTM, to aid in </w:t>
      </w:r>
      <w:r>
        <w:t xml:space="preserve">BB and SG </w:t>
      </w:r>
      <w:r w:rsidRPr="007B29F7">
        <w:t>establishment and provide harvestable forage in the establishment year.  We hypothesized that by using BTM as the companion crop</w:t>
      </w:r>
      <w:r w:rsidRPr="00E74E00">
        <w:t>,</w:t>
      </w:r>
      <w:r w:rsidRPr="000D6E9A">
        <w:t xml:space="preserve"> its more diminutive stature relative to other commonly used summer annual forage crops and </w:t>
      </w:r>
      <w:r w:rsidRPr="0060629C">
        <w:t xml:space="preserve">less robust regrowth following initial harvest </w:t>
      </w:r>
      <w:r w:rsidRPr="00D51570">
        <w:t>would provide less competition to developing NWSG seedlings</w:t>
      </w:r>
      <w:r w:rsidRPr="004C50A3">
        <w:t>.  Specifically, objectives were to evaluate BB (experiment 1) and SG (experiment 2)</w:t>
      </w:r>
      <w:r w:rsidRPr="00A32CF9">
        <w:t xml:space="preserve"> plant density and post-dormancy biomass yield (following the second year) based on (i) two BTM </w:t>
      </w:r>
      <w:r>
        <w:t>defoliation strategies</w:t>
      </w:r>
      <w:r w:rsidRPr="00A32CF9">
        <w:t xml:space="preserve"> and (ii) three BTM seeding rates.</w:t>
      </w:r>
    </w:p>
    <w:p w14:paraId="0B5AC5EC" w14:textId="44F6F005" w:rsidR="00E77AB6" w:rsidRDefault="00E77AB6" w:rsidP="00A539F2">
      <w:pPr>
        <w:pStyle w:val="AgronomyJournalSectionTitles"/>
      </w:pPr>
      <w:bookmarkStart w:id="247" w:name="_Toc72305429"/>
      <w:r>
        <w:t>MATERIALS AND METHODS</w:t>
      </w:r>
      <w:bookmarkEnd w:id="247"/>
    </w:p>
    <w:p w14:paraId="5062DA5D" w14:textId="2D342B8C" w:rsidR="00E77AB6" w:rsidRDefault="00E77AB6" w:rsidP="00A539F2">
      <w:pPr>
        <w:pStyle w:val="Heading2"/>
      </w:pPr>
      <w:bookmarkStart w:id="248" w:name="_Toc72305430"/>
      <w:r>
        <w:t>Site Description</w:t>
      </w:r>
      <w:bookmarkEnd w:id="248"/>
    </w:p>
    <w:p w14:paraId="1038D261" w14:textId="57160BE8" w:rsidR="00E77AB6" w:rsidRDefault="00E77AB6" w:rsidP="00A539F2">
      <w:pPr>
        <w:spacing w:after="100" w:afterAutospacing="1"/>
        <w:ind w:firstLine="720"/>
        <w:rPr>
          <w:color w:val="000000"/>
          <w:shd w:val="clear" w:color="auto" w:fill="FFFFFF"/>
        </w:rPr>
      </w:pPr>
      <w:r w:rsidRPr="002B6D59">
        <w:t xml:space="preserve">Two NWSG (BB and SG) studies were conducted concurrently at the </w:t>
      </w:r>
      <w:r>
        <w:t xml:space="preserve">UTIA </w:t>
      </w:r>
      <w:r w:rsidRPr="002B6D59">
        <w:t>East Tennessee AgResearch and Education Cent</w:t>
      </w:r>
      <w:r w:rsidRPr="00677DC5">
        <w:t>er</w:t>
      </w:r>
      <w:r>
        <w:t>-</w:t>
      </w:r>
      <w:r w:rsidRPr="00677DC5">
        <w:t xml:space="preserve">Plant Science Unit (35°54'06.74"N, </w:t>
      </w:r>
      <w:r w:rsidRPr="00677DC5">
        <w:lastRenderedPageBreak/>
        <w:t xml:space="preserve">83°57'27.11"W) </w:t>
      </w:r>
      <w:r w:rsidRPr="005578B5">
        <w:t>in Knoxville,</w:t>
      </w:r>
      <w:r w:rsidRPr="00BA5362">
        <w:t xml:space="preserve"> TN, from 2016-2017 </w:t>
      </w:r>
      <w:r>
        <w:t xml:space="preserve">(Site 1) </w:t>
      </w:r>
      <w:r w:rsidRPr="00BA5362">
        <w:t>and rep</w:t>
      </w:r>
      <w:r w:rsidRPr="00EA23D7">
        <w:t>eated</w:t>
      </w:r>
      <w:r>
        <w:t xml:space="preserve"> at a second site on the same property</w:t>
      </w:r>
      <w:r w:rsidRPr="00EA23D7">
        <w:t xml:space="preserve"> d</w:t>
      </w:r>
      <w:r w:rsidRPr="00E55843">
        <w:t>uring</w:t>
      </w:r>
      <w:r w:rsidRPr="00473117">
        <w:t xml:space="preserve"> 2017-2018</w:t>
      </w:r>
      <w:r>
        <w:t xml:space="preserve"> (Site 2)</w:t>
      </w:r>
      <w:r w:rsidRPr="00473117">
        <w:t xml:space="preserve">.  The soil type for </w:t>
      </w:r>
      <w:r>
        <w:t>Site 1</w:t>
      </w:r>
      <w:r w:rsidRPr="00112BF5">
        <w:t xml:space="preserve"> was an Etowa</w:t>
      </w:r>
      <w:r w:rsidRPr="00E21726">
        <w:t>h silt loam (</w:t>
      </w:r>
      <w:r w:rsidRPr="00E21726">
        <w:rPr>
          <w:color w:val="000000"/>
          <w:shd w:val="clear" w:color="auto" w:fill="FFFFFF"/>
        </w:rPr>
        <w:t>fine-</w:t>
      </w:r>
      <w:r w:rsidRPr="00F34F86">
        <w:rPr>
          <w:color w:val="000000"/>
          <w:shd w:val="clear" w:color="auto" w:fill="FFFFFF"/>
        </w:rPr>
        <w:t>loamy, siliceous, semiactive, thermic Typic Paleudults)</w:t>
      </w:r>
      <w:r w:rsidRPr="007A09D0">
        <w:rPr>
          <w:color w:val="000000"/>
          <w:shd w:val="clear" w:color="auto" w:fill="FFFFFF"/>
        </w:rPr>
        <w:t xml:space="preserve">.  This site previously </w:t>
      </w:r>
      <w:r w:rsidRPr="008134AA">
        <w:rPr>
          <w:color w:val="000000"/>
          <w:shd w:val="clear" w:color="auto" w:fill="FFFFFF"/>
        </w:rPr>
        <w:t>grew turfgrasses, predominantly bermudagrass [</w:t>
      </w:r>
      <w:r w:rsidRPr="008134AA">
        <w:rPr>
          <w:i/>
          <w:color w:val="000000"/>
          <w:shd w:val="clear" w:color="auto" w:fill="FFFFFF"/>
        </w:rPr>
        <w:t xml:space="preserve">Cynodon </w:t>
      </w:r>
      <w:r w:rsidRPr="00CA2D86">
        <w:rPr>
          <w:i/>
          <w:color w:val="000000"/>
          <w:shd w:val="clear" w:color="auto" w:fill="FFFFFF"/>
        </w:rPr>
        <w:t>dactylon</w:t>
      </w:r>
      <w:r w:rsidRPr="00CA2D86">
        <w:rPr>
          <w:color w:val="000000"/>
          <w:shd w:val="clear" w:color="auto" w:fill="FFFFFF"/>
        </w:rPr>
        <w:t xml:space="preserve"> (L.) Pers.].  The soil ty</w:t>
      </w:r>
      <w:r w:rsidRPr="0019407C">
        <w:rPr>
          <w:color w:val="000000"/>
          <w:shd w:val="clear" w:color="auto" w:fill="FFFFFF"/>
        </w:rPr>
        <w:t xml:space="preserve">pe for </w:t>
      </w:r>
      <w:r>
        <w:rPr>
          <w:color w:val="000000"/>
          <w:shd w:val="clear" w:color="auto" w:fill="FFFFFF"/>
        </w:rPr>
        <w:t>Site 2</w:t>
      </w:r>
      <w:r w:rsidRPr="00A05A93">
        <w:rPr>
          <w:color w:val="000000"/>
          <w:shd w:val="clear" w:color="auto" w:fill="FFFFFF"/>
        </w:rPr>
        <w:t xml:space="preserve"> </w:t>
      </w:r>
      <w:r w:rsidRPr="00E14B8F">
        <w:rPr>
          <w:color w:val="000000"/>
          <w:shd w:val="clear" w:color="auto" w:fill="FFFFFF"/>
        </w:rPr>
        <w:t>was</w:t>
      </w:r>
      <w:r w:rsidRPr="00E14B8F">
        <w:t xml:space="preserve"> dominated by Nonaburg channery sil</w:t>
      </w:r>
      <w:r w:rsidRPr="00A24EE9">
        <w:t>t loam (</w:t>
      </w:r>
      <w:r w:rsidRPr="00304846">
        <w:rPr>
          <w:color w:val="000000"/>
          <w:shd w:val="clear" w:color="auto" w:fill="FFFFFF"/>
        </w:rPr>
        <w:t xml:space="preserve">Clayey, mixed, active, thermic, shallow Inceptic Hapludalfs) with </w:t>
      </w:r>
      <w:r w:rsidRPr="00304846">
        <w:t xml:space="preserve">Heiskell </w:t>
      </w:r>
      <w:r w:rsidRPr="00C82976">
        <w:t>silt loam (</w:t>
      </w:r>
      <w:r w:rsidRPr="00C82976">
        <w:rPr>
          <w:color w:val="000000"/>
          <w:shd w:val="clear" w:color="auto" w:fill="FFFFFF"/>
        </w:rPr>
        <w:t>Fine-loamy, mixed, semiactive, thermic Aquic Hapludalfs)</w:t>
      </w:r>
      <w:r w:rsidRPr="00BD0DAF">
        <w:rPr>
          <w:color w:val="000000"/>
          <w:shd w:val="clear" w:color="auto" w:fill="FFFFFF"/>
        </w:rPr>
        <w:t xml:space="preserve"> also being prevalent.  </w:t>
      </w:r>
      <w:r w:rsidRPr="00B348F0">
        <w:rPr>
          <w:color w:val="000000"/>
          <w:shd w:val="clear" w:color="auto" w:fill="FFFFFF"/>
        </w:rPr>
        <w:t xml:space="preserve">This site </w:t>
      </w:r>
      <w:r w:rsidRPr="00076819">
        <w:rPr>
          <w:color w:val="000000"/>
          <w:shd w:val="clear" w:color="auto" w:fill="FFFFFF"/>
        </w:rPr>
        <w:t>had previously been planted in soybeans [</w:t>
      </w:r>
      <w:r w:rsidRPr="00A77FED">
        <w:rPr>
          <w:i/>
          <w:color w:val="000000"/>
          <w:shd w:val="clear" w:color="auto" w:fill="FFFFFF"/>
        </w:rPr>
        <w:t>Glycine max</w:t>
      </w:r>
      <w:r w:rsidRPr="00A77FED">
        <w:rPr>
          <w:color w:val="000000"/>
          <w:shd w:val="clear" w:color="auto" w:fill="FFFFFF"/>
        </w:rPr>
        <w:t xml:space="preserve"> (L.) Merr.].</w:t>
      </w:r>
    </w:p>
    <w:p w14:paraId="03D3A00C" w14:textId="6E609F80" w:rsidR="00E77AB6" w:rsidRDefault="00E77AB6" w:rsidP="00EA47E2">
      <w:pPr>
        <w:pStyle w:val="Heading2"/>
        <w:rPr>
          <w:shd w:val="clear" w:color="auto" w:fill="FFFFFF"/>
        </w:rPr>
      </w:pPr>
      <w:bookmarkStart w:id="249" w:name="_Toc72305431"/>
      <w:r>
        <w:rPr>
          <w:shd w:val="clear" w:color="auto" w:fill="FFFFFF"/>
        </w:rPr>
        <w:t>Experimental Design</w:t>
      </w:r>
      <w:bookmarkEnd w:id="249"/>
    </w:p>
    <w:p w14:paraId="404218C7" w14:textId="1674EDB3" w:rsidR="00E77AB6" w:rsidRPr="00DF1EB5" w:rsidRDefault="00E77AB6" w:rsidP="00E77AB6">
      <w:pPr>
        <w:ind w:firstLine="720"/>
      </w:pPr>
      <w:r w:rsidRPr="00D51570">
        <w:t>Each experiment was a randomized complete block in</w:t>
      </w:r>
      <w:r w:rsidRPr="004C50A3">
        <w:t xml:space="preserve"> a 2x3 factorial arrangement of treatment</w:t>
      </w:r>
      <w:r w:rsidRPr="00265F11">
        <w:t xml:space="preserve">s with four </w:t>
      </w:r>
      <w:r w:rsidRPr="00524174">
        <w:t xml:space="preserve">replicates.  Treatment combinations </w:t>
      </w:r>
      <w:r>
        <w:t xml:space="preserve">of two defoliation strategies and three BTM seeding rates were </w:t>
      </w:r>
      <w:r w:rsidRPr="00524174">
        <w:t>assigned to 1.5 x 7.6 m plots</w:t>
      </w:r>
      <w:r>
        <w:t xml:space="preserve">.  Defoliation strategies were </w:t>
      </w:r>
      <w:bookmarkStart w:id="250" w:name="_Hlk50123168"/>
      <w:r>
        <w:t>(</w:t>
      </w:r>
      <w:r w:rsidRPr="000D6E9A">
        <w:t xml:space="preserve">1) harvests based on BTM maturity (boot to heading stage) for hay </w:t>
      </w:r>
      <w:r>
        <w:t xml:space="preserve">(HAY) </w:t>
      </w:r>
      <w:r w:rsidRPr="0060629C">
        <w:t>or (</w:t>
      </w:r>
      <w:r w:rsidRPr="000D6E9A">
        <w:t xml:space="preserve">2) clipping </w:t>
      </w:r>
      <w:r w:rsidRPr="0060629C">
        <w:t xml:space="preserve">to </w:t>
      </w:r>
      <w:bookmarkStart w:id="251" w:name="_Hlk42507215"/>
      <w:r>
        <w:t>reduce</w:t>
      </w:r>
      <w:r w:rsidRPr="0060629C">
        <w:t xml:space="preserve"> </w:t>
      </w:r>
      <w:r w:rsidRPr="00D51570">
        <w:t xml:space="preserve">BTM competition </w:t>
      </w:r>
      <w:bookmarkStart w:id="252" w:name="_Hlk63089528"/>
      <w:r>
        <w:t>by maintaining &gt;50% sunlight reaching BB and SG seedlings</w:t>
      </w:r>
      <w:bookmarkEnd w:id="251"/>
      <w:bookmarkEnd w:id="252"/>
      <w:r>
        <w:t xml:space="preserve"> (CLIP).  Both strategies were conducted when visual estimates met defoliation parameters.  </w:t>
      </w:r>
      <w:r w:rsidRPr="00265F11">
        <w:t>B</w:t>
      </w:r>
      <w:r>
        <w:t>rowntop millet</w:t>
      </w:r>
      <w:r w:rsidRPr="00265F11">
        <w:t xml:space="preserve"> seeding rates</w:t>
      </w:r>
      <w:r>
        <w:t xml:space="preserve"> were </w:t>
      </w:r>
      <w:r w:rsidRPr="00524174">
        <w:t>0 (control), 11.2 (half-</w:t>
      </w:r>
      <w:r w:rsidRPr="009B1054">
        <w:t xml:space="preserve">recommended rate), and </w:t>
      </w:r>
      <w:bookmarkEnd w:id="250"/>
      <w:r w:rsidRPr="009B1054">
        <w:t>22.4 (full-</w:t>
      </w:r>
      <w:r w:rsidRPr="00973876">
        <w:t>recommended rate) kg PLS ha</w:t>
      </w:r>
      <w:r w:rsidRPr="00973876">
        <w:rPr>
          <w:vertAlign w:val="superscript"/>
        </w:rPr>
        <w:t>-1</w:t>
      </w:r>
      <w:r w:rsidRPr="002D6FE4">
        <w:t>.  Browntop millet</w:t>
      </w:r>
      <w:r>
        <w:t xml:space="preserve"> defoliations</w:t>
      </w:r>
      <w:r w:rsidRPr="0060629C">
        <w:t xml:space="preserve"> were conducted using a Carter forage harvester (Carter Manufacturing Company, Inc., Brookston, IN) at a </w:t>
      </w:r>
      <w:r w:rsidRPr="00D51570">
        <w:t xml:space="preserve">30.5-cm cutting height </w:t>
      </w:r>
      <w:r w:rsidRPr="004C50A3">
        <w:t xml:space="preserve">to reduce the </w:t>
      </w:r>
      <w:r>
        <w:t>probability</w:t>
      </w:r>
      <w:r w:rsidRPr="0060629C">
        <w:t xml:space="preserve"> of </w:t>
      </w:r>
      <w:r w:rsidRPr="00D51570">
        <w:t>cutting developing</w:t>
      </w:r>
      <w:r w:rsidRPr="004C50A3">
        <w:t xml:space="preserve"> BB or SG seedlings </w:t>
      </w:r>
      <w:r w:rsidRPr="00B13604">
        <w:t>during the initial year of each experiment</w:t>
      </w:r>
      <w:r w:rsidRPr="00847729">
        <w:t xml:space="preserve">.  Defoliation events </w:t>
      </w:r>
      <w:r w:rsidRPr="00A32CF9">
        <w:t xml:space="preserve">are listed in Table </w:t>
      </w:r>
      <w:r w:rsidR="0075096B">
        <w:t>3A.</w:t>
      </w:r>
      <w:r w:rsidRPr="00A32CF9">
        <w:t>1.</w:t>
      </w:r>
      <w:r>
        <w:t xml:space="preserve">  </w:t>
      </w:r>
      <w:r w:rsidRPr="00265F11">
        <w:t xml:space="preserve">For BB only, </w:t>
      </w:r>
      <w:r w:rsidRPr="00524174">
        <w:t>imazapic ((±)-2-[4,5-dihydro-4-methyl-4-(1-methylethyl)-5-oxo-1</w:t>
      </w:r>
      <w:r w:rsidRPr="009B1054">
        <w:rPr>
          <w:i/>
          <w:iCs/>
        </w:rPr>
        <w:t>H</w:t>
      </w:r>
      <w:r w:rsidRPr="009B1054">
        <w:t xml:space="preserve">imidazol-2-yl]-5-methyl-3-pyridinecarboxylic acid) was also </w:t>
      </w:r>
      <w:r w:rsidRPr="009B1054">
        <w:lastRenderedPageBreak/>
        <w:t>evaluated at a rate of 146 mL ha</w:t>
      </w:r>
      <w:r w:rsidRPr="00973876">
        <w:rPr>
          <w:vertAlign w:val="superscript"/>
        </w:rPr>
        <w:t>-1</w:t>
      </w:r>
      <w:r w:rsidRPr="00973876">
        <w:t xml:space="preserve"> a.i., a commonly used approach to competition control during esta</w:t>
      </w:r>
      <w:r w:rsidRPr="00D8762B">
        <w:t xml:space="preserve">blishment for this species.  </w:t>
      </w:r>
      <w:bookmarkStart w:id="253" w:name="_Hlk47979188"/>
      <w:r w:rsidRPr="00D8762B">
        <w:t>Imazapic was not included in any models or statistical analysis, but solely used for numerical comparison.</w:t>
      </w:r>
      <w:r w:rsidRPr="00DA1D29">
        <w:t xml:space="preserve">  </w:t>
      </w:r>
      <w:bookmarkEnd w:id="253"/>
      <w:r w:rsidRPr="00DA1D29">
        <w:t xml:space="preserve">Establishment </w:t>
      </w:r>
      <w:r w:rsidRPr="002E2D64" w:rsidDel="00A443B1">
        <w:t xml:space="preserve">locations </w:t>
      </w:r>
      <w:r w:rsidRPr="002E2D64">
        <w:t xml:space="preserve">differed </w:t>
      </w:r>
      <w:r>
        <w:t>(Site 1 vs. Site 2)</w:t>
      </w:r>
      <w:r w:rsidRPr="002E2D64" w:rsidDel="00A443B1">
        <w:t xml:space="preserve"> to avoid confounding results caused by germination and emergence of dormant seed from the preceding year.  </w:t>
      </w:r>
    </w:p>
    <w:p w14:paraId="42BD6EB2" w14:textId="77777777" w:rsidR="00E77AB6" w:rsidRPr="000D6E9A" w:rsidRDefault="00E77AB6" w:rsidP="00A539F2">
      <w:pPr>
        <w:spacing w:after="100" w:afterAutospacing="1"/>
        <w:ind w:firstLine="720"/>
      </w:pPr>
      <w:r w:rsidRPr="00E43EEB">
        <w:t xml:space="preserve">Both BB and SG were no-till drilled </w:t>
      </w:r>
      <w:r w:rsidRPr="002157FA">
        <w:t>on 20 April 2016</w:t>
      </w:r>
      <w:r w:rsidRPr="00CB264F">
        <w:t xml:space="preserve"> and 11 May 2017</w:t>
      </w:r>
      <w:r>
        <w:t xml:space="preserve"> </w:t>
      </w:r>
      <w:r w:rsidRPr="00E43EEB">
        <w:t>using an Almaco</w:t>
      </w:r>
      <w:r w:rsidRPr="00E43EEB">
        <w:rPr>
          <w:vertAlign w:val="superscript"/>
        </w:rPr>
        <w:t>®</w:t>
      </w:r>
      <w:r w:rsidRPr="00E43EEB">
        <w:t xml:space="preserve"> (Nevada, IA) 8-row no-till plot drill following an application of glyphosate (N-[phosphonomethyl] glycine, isopropyl-amine salt) at a rate of 2.2 kg ha</w:t>
      </w:r>
      <w:r w:rsidRPr="000C596B">
        <w:rPr>
          <w:vertAlign w:val="superscript"/>
        </w:rPr>
        <w:t>-1</w:t>
      </w:r>
      <w:r w:rsidRPr="002157FA">
        <w:t xml:space="preserve"> a.i.</w:t>
      </w:r>
      <w:r w:rsidRPr="00CB264F">
        <w:t xml:space="preserve">  Browntop millet was drilled perpendicular to </w:t>
      </w:r>
      <w:r w:rsidRPr="000D6E9A">
        <w:t>BB and SG to minimize disturbance to BB or SG seed or emerging seedlings on 9 May 2016 and 1 June 2017.  Due to an equipment malfunction in 2016, SG was replanted on 8 June 2016.  The site was conventionally prepared and BTM reseeded on 21 June 2016.  Big bluestem and SG (c.v. ‘OZ 70’ and ‘Alamo’, respectively; Bamert Seed Co., Muleshoe, TX) were drilled at 6.7 and 10.1 kg PLS ha</w:t>
      </w:r>
      <w:r w:rsidRPr="000D6E9A">
        <w:rPr>
          <w:vertAlign w:val="superscript"/>
        </w:rPr>
        <w:t>-1</w:t>
      </w:r>
      <w:r w:rsidRPr="000D6E9A">
        <w:t>, respectively, at a 0.6-cm seeding depth.  All plots in both experiments received 67.3 kg N ha</w:t>
      </w:r>
      <w:r w:rsidRPr="000D6E9A">
        <w:rPr>
          <w:vertAlign w:val="superscript"/>
        </w:rPr>
        <w:t>-1</w:t>
      </w:r>
      <w:r w:rsidRPr="000D6E9A">
        <w:t xml:space="preserve"> in the form of urea [CO(NH</w:t>
      </w:r>
      <w:r w:rsidRPr="000D6E9A">
        <w:rPr>
          <w:vertAlign w:val="subscript"/>
        </w:rPr>
        <w:t>2</w:t>
      </w:r>
      <w:r w:rsidRPr="000D6E9A">
        <w:t>)</w:t>
      </w:r>
      <w:r w:rsidRPr="000D6E9A">
        <w:rPr>
          <w:vertAlign w:val="subscript"/>
        </w:rPr>
        <w:t>2</w:t>
      </w:r>
      <w:r w:rsidRPr="000D6E9A">
        <w:t>] during the second growing-season</w:t>
      </w:r>
      <w:r>
        <w:t xml:space="preserve"> only.  Applying N fertilizer during the establishment year is not recommended for NWSG establishment to avoid accentuating weed competition (</w:t>
      </w:r>
      <w:r w:rsidRPr="00A25FF2">
        <w:t>Keyser, Harper, Bates, Waller, &amp; Holcomb, 2011</w:t>
      </w:r>
      <w:r>
        <w:t xml:space="preserve">).  </w:t>
      </w:r>
      <w:r w:rsidRPr="000D6E9A">
        <w:t>Nitrogen was the only macronutrient applied during all experiments.</w:t>
      </w:r>
    </w:p>
    <w:p w14:paraId="0BD3D455" w14:textId="4C7C9D29" w:rsidR="00E77AB6" w:rsidRDefault="00EA47E2" w:rsidP="00EA47E2">
      <w:pPr>
        <w:pStyle w:val="Heading2"/>
      </w:pPr>
      <w:bookmarkStart w:id="254" w:name="_Toc72305432"/>
      <w:r>
        <w:t>Data Collection</w:t>
      </w:r>
      <w:bookmarkEnd w:id="254"/>
    </w:p>
    <w:p w14:paraId="272726FB" w14:textId="77777777" w:rsidR="00EA47E2" w:rsidRPr="000D6E9A" w:rsidRDefault="00EA47E2" w:rsidP="00A539F2">
      <w:pPr>
        <w:pStyle w:val="Pa0"/>
        <w:spacing w:after="100" w:afterAutospacing="1" w:line="480" w:lineRule="auto"/>
        <w:ind w:firstLine="720"/>
        <w:rPr>
          <w:rFonts w:ascii="Times New Roman" w:hAnsi="Times New Roman"/>
        </w:rPr>
      </w:pPr>
      <w:r w:rsidRPr="000D6E9A">
        <w:rPr>
          <w:rFonts w:ascii="Times New Roman" w:hAnsi="Times New Roman"/>
        </w:rPr>
        <w:t xml:space="preserve">Mean monthly air temperature and precipitation for each year were collected at a weather station located on ETREC (550-650 m from experiment locations) and compared to the 30-year means for that location (NOAA, 2020).  Seedling counts for BB, SG, </w:t>
      </w:r>
      <w:r w:rsidRPr="000D6E9A">
        <w:rPr>
          <w:rFonts w:ascii="Times New Roman" w:hAnsi="Times New Roman"/>
        </w:rPr>
        <w:lastRenderedPageBreak/>
        <w:t>BTM, and weed</w:t>
      </w:r>
      <w:r w:rsidRPr="00136BC7">
        <w:rPr>
          <w:rFonts w:ascii="Times New Roman" w:hAnsi="Times New Roman"/>
        </w:rPr>
        <w:t>s</w:t>
      </w:r>
      <w:r w:rsidRPr="002B6D59">
        <w:rPr>
          <w:rFonts w:ascii="Times New Roman" w:hAnsi="Times New Roman"/>
        </w:rPr>
        <w:t xml:space="preserve"> (both broadleaf and grass species) were conducted</w:t>
      </w:r>
      <w:r w:rsidRPr="00677DC5">
        <w:rPr>
          <w:rFonts w:ascii="Times New Roman" w:hAnsi="Times New Roman"/>
        </w:rPr>
        <w:t xml:space="preserve"> using a 0.45 x</w:t>
      </w:r>
      <w:r w:rsidRPr="005578B5">
        <w:rPr>
          <w:rFonts w:ascii="Times New Roman" w:hAnsi="Times New Roman"/>
        </w:rPr>
        <w:t xml:space="preserve"> 0.45 m </w:t>
      </w:r>
      <w:r w:rsidRPr="00BA5362">
        <w:rPr>
          <w:rFonts w:ascii="Times New Roman" w:hAnsi="Times New Roman"/>
        </w:rPr>
        <w:t>quad</w:t>
      </w:r>
      <w:r w:rsidRPr="00EA23D7">
        <w:rPr>
          <w:rFonts w:ascii="Times New Roman" w:hAnsi="Times New Roman"/>
        </w:rPr>
        <w:t>r</w:t>
      </w:r>
      <w:r w:rsidRPr="00E55843">
        <w:rPr>
          <w:rFonts w:ascii="Times New Roman" w:hAnsi="Times New Roman"/>
        </w:rPr>
        <w:t>at</w:t>
      </w:r>
      <w:r w:rsidRPr="00473117">
        <w:rPr>
          <w:rFonts w:ascii="Times New Roman" w:hAnsi="Times New Roman"/>
        </w:rPr>
        <w:t xml:space="preserve"> </w:t>
      </w:r>
      <w:r w:rsidRPr="0060629C">
        <w:rPr>
          <w:rFonts w:ascii="Times New Roman" w:hAnsi="Times New Roman"/>
        </w:rPr>
        <w:t>at five random areas per experimental unit.</w:t>
      </w:r>
      <w:r>
        <w:rPr>
          <w:rFonts w:ascii="Times New Roman" w:hAnsi="Times New Roman"/>
        </w:rPr>
        <w:t xml:space="preserve"> </w:t>
      </w:r>
      <w:r w:rsidRPr="0060629C">
        <w:rPr>
          <w:rFonts w:ascii="Times New Roman" w:hAnsi="Times New Roman"/>
        </w:rPr>
        <w:t xml:space="preserve"> Then</w:t>
      </w:r>
      <w:r w:rsidRPr="00D51570">
        <w:rPr>
          <w:rFonts w:ascii="Times New Roman" w:hAnsi="Times New Roman"/>
        </w:rPr>
        <w:t xml:space="preserve">, plant density </w:t>
      </w:r>
      <w:r w:rsidRPr="004C50A3">
        <w:rPr>
          <w:rFonts w:ascii="Times New Roman" w:hAnsi="Times New Roman"/>
        </w:rPr>
        <w:t xml:space="preserve">for each evaluated species was calculated.  Plant density data </w:t>
      </w:r>
      <w:r w:rsidRPr="00265F11">
        <w:rPr>
          <w:rFonts w:ascii="Times New Roman" w:hAnsi="Times New Roman"/>
        </w:rPr>
        <w:t xml:space="preserve">were collected at </w:t>
      </w:r>
      <w:r w:rsidRPr="00524174">
        <w:rPr>
          <w:rFonts w:ascii="Times New Roman" w:hAnsi="Times New Roman"/>
        </w:rPr>
        <w:t xml:space="preserve">30 and 60 days after planting (DAP) </w:t>
      </w:r>
      <w:r w:rsidRPr="009B1054">
        <w:rPr>
          <w:rFonts w:ascii="Times New Roman" w:hAnsi="Times New Roman"/>
        </w:rPr>
        <w:t xml:space="preserve">BB or SG and only for BB and SG </w:t>
      </w:r>
      <w:r w:rsidRPr="00973876">
        <w:rPr>
          <w:rFonts w:ascii="Times New Roman" w:hAnsi="Times New Roman"/>
        </w:rPr>
        <w:t xml:space="preserve">in mid-December of the first year – dormant period. </w:t>
      </w:r>
      <w:r w:rsidRPr="000D6E9A">
        <w:rPr>
          <w:rFonts w:ascii="Times New Roman" w:hAnsi="Times New Roman"/>
        </w:rPr>
        <w:t xml:space="preserve"> Following the second growing season of each experiment, plots were harvested during dormancy (late November – early December) to obtain aboveground biomass yield (Mg ha</w:t>
      </w:r>
      <w:r w:rsidRPr="000D6E9A">
        <w:rPr>
          <w:rFonts w:ascii="Times New Roman" w:hAnsi="Times New Roman"/>
          <w:vertAlign w:val="superscript"/>
        </w:rPr>
        <w:t>-1</w:t>
      </w:r>
      <w:r w:rsidRPr="000D6E9A">
        <w:rPr>
          <w:rFonts w:ascii="Times New Roman" w:hAnsi="Times New Roman"/>
        </w:rPr>
        <w:t xml:space="preserve">) using a Carter forage harvester with a 91.4-cm cutting width at a 20.3-cm cutting height (Ashworth et.al, 2015).  </w:t>
      </w:r>
      <w:r w:rsidRPr="00B00159">
        <w:rPr>
          <w:rFonts w:ascii="Times New Roman" w:hAnsi="Times New Roman"/>
        </w:rPr>
        <w:t xml:space="preserve">In spring of the second year, we evaluated each experiment for the need for operational weed control.  As stands had minimal competition at this point, no herbicides were deemed necessary, and none were applied. </w:t>
      </w:r>
      <w:r>
        <w:rPr>
          <w:rFonts w:ascii="Times New Roman" w:hAnsi="Times New Roman"/>
        </w:rPr>
        <w:t xml:space="preserve"> </w:t>
      </w:r>
      <w:r w:rsidRPr="00B00159">
        <w:rPr>
          <w:rFonts w:ascii="Times New Roman" w:hAnsi="Times New Roman"/>
        </w:rPr>
        <w:t>Thus, by the end of the second growing season, harvested biomass was clean and representative of normal production stands and no separations of crop and weed components w</w:t>
      </w:r>
      <w:r>
        <w:rPr>
          <w:rFonts w:ascii="Times New Roman" w:hAnsi="Times New Roman"/>
        </w:rPr>
        <w:t>ere</w:t>
      </w:r>
      <w:r w:rsidRPr="00B00159">
        <w:rPr>
          <w:rFonts w:ascii="Times New Roman" w:hAnsi="Times New Roman"/>
        </w:rPr>
        <w:t xml:space="preserve"> needed</w:t>
      </w:r>
      <w:r>
        <w:rPr>
          <w:rFonts w:ascii="Times New Roman" w:hAnsi="Times New Roman"/>
        </w:rPr>
        <w:t xml:space="preserve">.  </w:t>
      </w:r>
      <w:r w:rsidRPr="00EA47E2">
        <w:rPr>
          <w:rStyle w:val="ParagraphsChar"/>
          <w:rFonts w:ascii="Times New Roman" w:hAnsi="Times New Roman" w:cs="Times New Roman"/>
        </w:rPr>
        <w:t>Subsamples of BB and SG were collected from each plot at harvest, weighed, dried at 49°C in a forced-air oven (Wisconsin Oven Corporation, East Troy, WI) for at least 72 hours, and re-weighed to determine percent moisture (averaged 11% for BB and 21-25% for SG) for use in calculating dry matter (DM) yield (Ashworth et. al, 2015).  Biomass yield is reported accordingly.</w:t>
      </w:r>
    </w:p>
    <w:p w14:paraId="63A615D1" w14:textId="0F9A7351" w:rsidR="00EA47E2" w:rsidRDefault="00EA47E2" w:rsidP="00EA47E2">
      <w:pPr>
        <w:pStyle w:val="Heading2"/>
      </w:pPr>
      <w:bookmarkStart w:id="255" w:name="_Toc72305433"/>
      <w:r>
        <w:t>Statistical Analysis</w:t>
      </w:r>
      <w:bookmarkEnd w:id="255"/>
    </w:p>
    <w:p w14:paraId="326252F0" w14:textId="77777777" w:rsidR="00EA47E2" w:rsidRDefault="00EA47E2" w:rsidP="00A539F2">
      <w:pPr>
        <w:spacing w:after="100" w:afterAutospacing="1"/>
        <w:ind w:firstLine="720"/>
      </w:pPr>
      <w:r>
        <w:t>Establishment-year p</w:t>
      </w:r>
      <w:r w:rsidRPr="000D6E9A">
        <w:t>lant density (BB, SG, weed, and BTM + weed m</w:t>
      </w:r>
      <w:r w:rsidRPr="000D6E9A">
        <w:rPr>
          <w:vertAlign w:val="superscript"/>
        </w:rPr>
        <w:t>-2</w:t>
      </w:r>
      <w:r w:rsidRPr="000D6E9A">
        <w:t xml:space="preserve"> for 30 and 60 DAP and BB and SG seedlings during dormancy) and second</w:t>
      </w:r>
      <w:r>
        <w:t>-</w:t>
      </w:r>
      <w:r w:rsidRPr="00304846">
        <w:t>year biomass</w:t>
      </w:r>
      <w:r w:rsidRPr="0060629C">
        <w:t xml:space="preserve"> DM yield data were analyze</w:t>
      </w:r>
      <w:r w:rsidRPr="00D51570">
        <w:t>d under an ANOVA model in SAS v.9.4 (SAS Institute, 2013)</w:t>
      </w:r>
      <w:r w:rsidRPr="004C50A3">
        <w:t xml:space="preserve"> using PROC MIXED to determine </w:t>
      </w:r>
      <w:r w:rsidRPr="00265F11">
        <w:t>differences (α = 0.05)</w:t>
      </w:r>
      <w:r w:rsidRPr="00524174">
        <w:t xml:space="preserve"> among main effects and interactions.  </w:t>
      </w:r>
      <w:r w:rsidRPr="00524174">
        <w:lastRenderedPageBreak/>
        <w:t xml:space="preserve">Fixed effects were </w:t>
      </w:r>
      <w:r>
        <w:t>defoliation strategy</w:t>
      </w:r>
      <w:r w:rsidRPr="009B1054">
        <w:t xml:space="preserve"> and </w:t>
      </w:r>
      <w:r>
        <w:t>BTM seeding rate</w:t>
      </w:r>
      <w:r w:rsidRPr="009B1054">
        <w:t xml:space="preserve">, and block was a random effect for each NWSG experiment.  </w:t>
      </w:r>
      <w:r>
        <w:t xml:space="preserve">Defoliation </w:t>
      </w:r>
      <w:r w:rsidRPr="00A6285B">
        <w:t>strateg</w:t>
      </w:r>
      <w:r>
        <w:t xml:space="preserve">y was not incorporated </w:t>
      </w:r>
      <w:r w:rsidRPr="008A2181">
        <w:t xml:space="preserve">into 30 and 60 DAP </w:t>
      </w:r>
      <w:r>
        <w:t xml:space="preserve">establishment-year </w:t>
      </w:r>
      <w:r w:rsidRPr="008A2181">
        <w:t xml:space="preserve">plant density statistical analysis since neither </w:t>
      </w:r>
      <w:r>
        <w:t>HAY nor CLIP</w:t>
      </w:r>
      <w:r w:rsidRPr="008A2181">
        <w:t xml:space="preserve"> had </w:t>
      </w:r>
      <w:r>
        <w:t>occurred</w:t>
      </w:r>
      <w:r w:rsidRPr="008A2181">
        <w:t xml:space="preserve"> prior to conducting the</w:t>
      </w:r>
      <w:r>
        <w:t>se</w:t>
      </w:r>
      <w:r w:rsidRPr="008A2181">
        <w:t xml:space="preserve"> counts. </w:t>
      </w:r>
      <w:r>
        <w:t xml:space="preserve"> </w:t>
      </w:r>
      <w:r w:rsidRPr="00973876">
        <w:t>Based on results from p</w:t>
      </w:r>
      <w:r w:rsidRPr="00D8762B">
        <w:t>ast studies (Keyser et al., 2016a; Keyser, Ashworth, Allen,</w:t>
      </w:r>
      <w:r>
        <w:t xml:space="preserve"> &amp;</w:t>
      </w:r>
      <w:r w:rsidRPr="00D8762B">
        <w:t xml:space="preserve"> Bates, 2016b</w:t>
      </w:r>
      <w:r w:rsidRPr="00657613">
        <w:t>), and the potent</w:t>
      </w:r>
      <w:r w:rsidRPr="00DA1D29">
        <w:t>ial influence from annual</w:t>
      </w:r>
      <w:r w:rsidRPr="002E2D64">
        <w:t xml:space="preserve"> air temperature and timing differences, experimental years were analyzed separately for each </w:t>
      </w:r>
      <w:r w:rsidRPr="00DF1EB5">
        <w:t>study.  All models were tested for normality of residuals using Shapiro-Wilk test (</w:t>
      </w:r>
      <w:r w:rsidRPr="00E43EEB">
        <w:rPr>
          <w:i/>
          <w:iCs/>
        </w:rPr>
        <w:t>W</w:t>
      </w:r>
      <w:r w:rsidRPr="00E43EEB">
        <w:t xml:space="preserve"> ≥ 0.90).  Fisher’s least significant difference was used for mean separation</w:t>
      </w:r>
      <w:r>
        <w:t>s</w:t>
      </w:r>
      <w:r w:rsidRPr="00E43EEB">
        <w:t xml:space="preserve">.  Post-hoc </w:t>
      </w:r>
      <w:r w:rsidRPr="000C596B">
        <w:t xml:space="preserve">regressions were conducted using PROC REG to determine the relationship between </w:t>
      </w:r>
      <w:r w:rsidRPr="002157FA">
        <w:t xml:space="preserve">BTM </w:t>
      </w:r>
      <w:r w:rsidRPr="00CB264F">
        <w:t xml:space="preserve">+ weed plant </w:t>
      </w:r>
      <w:r w:rsidRPr="000D6E9A">
        <w:t xml:space="preserve">density and BB or SG plant density (at 30 and 60 DAP combined across </w:t>
      </w:r>
      <w:r>
        <w:t>sites</w:t>
      </w:r>
      <w:r w:rsidRPr="000D6E9A">
        <w:t xml:space="preserve">), as well as for BB and SG plant density at dormancy and year two biomass DM yield for each </w:t>
      </w:r>
      <w:r>
        <w:t>site</w:t>
      </w:r>
      <w:r w:rsidRPr="000D6E9A">
        <w:t>.  These tests allowed us to explore potential relationships in competition that could affect establishment success, as well as minimum stand density thresholds for seedling</w:t>
      </w:r>
      <w:r>
        <w:t>-</w:t>
      </w:r>
      <w:r w:rsidRPr="000D6E9A">
        <w:t xml:space="preserve">year stands.  </w:t>
      </w:r>
    </w:p>
    <w:p w14:paraId="694EAC48" w14:textId="025A7962" w:rsidR="00EA47E2" w:rsidRDefault="00EA47E2" w:rsidP="00EA47E2">
      <w:pPr>
        <w:pStyle w:val="AgronomyJournalSectionTitles"/>
      </w:pPr>
      <w:bookmarkStart w:id="256" w:name="_Toc72305434"/>
      <w:r>
        <w:t>RESULTS</w:t>
      </w:r>
      <w:bookmarkEnd w:id="256"/>
    </w:p>
    <w:p w14:paraId="63EF6603" w14:textId="3271B1DF" w:rsidR="00EA47E2" w:rsidRDefault="00EA47E2" w:rsidP="00EA47E2">
      <w:pPr>
        <w:pStyle w:val="Heading2"/>
      </w:pPr>
      <w:bookmarkStart w:id="257" w:name="_Toc72305435"/>
      <w:r>
        <w:t>Environmental Conditions</w:t>
      </w:r>
      <w:bookmarkEnd w:id="257"/>
    </w:p>
    <w:p w14:paraId="46275C99" w14:textId="177491E2" w:rsidR="00EA47E2" w:rsidRDefault="00EA47E2" w:rsidP="00A539F2">
      <w:pPr>
        <w:spacing w:after="100" w:afterAutospacing="1"/>
        <w:ind w:firstLine="720"/>
        <w:rPr>
          <w:color w:val="000000"/>
          <w:shd w:val="clear" w:color="auto" w:fill="FFFFFF"/>
        </w:rPr>
      </w:pPr>
      <w:r w:rsidRPr="00677DC5">
        <w:rPr>
          <w:color w:val="000000"/>
          <w:shd w:val="clear" w:color="auto" w:fill="FFFFFF"/>
        </w:rPr>
        <w:t>During the three years of the study, growing-season (</w:t>
      </w:r>
      <w:r>
        <w:rPr>
          <w:color w:val="000000"/>
          <w:shd w:val="clear" w:color="auto" w:fill="FFFFFF"/>
        </w:rPr>
        <w:t>April</w:t>
      </w:r>
      <w:r w:rsidRPr="00677DC5">
        <w:rPr>
          <w:color w:val="000000"/>
          <w:shd w:val="clear" w:color="auto" w:fill="FFFFFF"/>
        </w:rPr>
        <w:t xml:space="preserve"> through September) </w:t>
      </w:r>
      <w:r>
        <w:rPr>
          <w:color w:val="000000"/>
          <w:shd w:val="clear" w:color="auto" w:fill="FFFFFF"/>
        </w:rPr>
        <w:t xml:space="preserve">mean monthly </w:t>
      </w:r>
      <w:r w:rsidRPr="00677DC5">
        <w:rPr>
          <w:color w:val="000000"/>
          <w:shd w:val="clear" w:color="auto" w:fill="FFFFFF"/>
        </w:rPr>
        <w:t>air temperatures remained near or above 30-year means (Fig</w:t>
      </w:r>
      <w:r w:rsidR="0075096B">
        <w:rPr>
          <w:color w:val="000000"/>
          <w:shd w:val="clear" w:color="auto" w:fill="FFFFFF"/>
        </w:rPr>
        <w:t>ure</w:t>
      </w:r>
      <w:r w:rsidRPr="005578B5">
        <w:rPr>
          <w:color w:val="000000"/>
          <w:shd w:val="clear" w:color="auto" w:fill="FFFFFF"/>
        </w:rPr>
        <w:t xml:space="preserve"> </w:t>
      </w:r>
      <w:r w:rsidR="0075096B">
        <w:rPr>
          <w:color w:val="000000"/>
          <w:shd w:val="clear" w:color="auto" w:fill="FFFFFF"/>
        </w:rPr>
        <w:t>3A.</w:t>
      </w:r>
      <w:r w:rsidRPr="005578B5">
        <w:rPr>
          <w:color w:val="000000"/>
          <w:shd w:val="clear" w:color="auto" w:fill="FFFFFF"/>
        </w:rPr>
        <w:t xml:space="preserve">1a).  Monthly precipitation during May and June of all three years </w:t>
      </w:r>
      <w:r>
        <w:rPr>
          <w:color w:val="000000"/>
          <w:shd w:val="clear" w:color="auto" w:fill="FFFFFF"/>
        </w:rPr>
        <w:t xml:space="preserve">was similar to </w:t>
      </w:r>
      <w:r w:rsidRPr="005578B5">
        <w:rPr>
          <w:color w:val="000000"/>
          <w:shd w:val="clear" w:color="auto" w:fill="FFFFFF"/>
        </w:rPr>
        <w:t>30-year means (Fig</w:t>
      </w:r>
      <w:r w:rsidR="0075096B">
        <w:rPr>
          <w:color w:val="000000"/>
          <w:shd w:val="clear" w:color="auto" w:fill="FFFFFF"/>
        </w:rPr>
        <w:t>ure</w:t>
      </w:r>
      <w:r w:rsidRPr="005578B5">
        <w:rPr>
          <w:color w:val="000000"/>
          <w:shd w:val="clear" w:color="auto" w:fill="FFFFFF"/>
        </w:rPr>
        <w:t xml:space="preserve"> </w:t>
      </w:r>
      <w:r w:rsidR="0075096B">
        <w:rPr>
          <w:color w:val="000000"/>
          <w:shd w:val="clear" w:color="auto" w:fill="FFFFFF"/>
        </w:rPr>
        <w:t>3A.</w:t>
      </w:r>
      <w:r w:rsidRPr="005578B5">
        <w:rPr>
          <w:color w:val="000000"/>
          <w:shd w:val="clear" w:color="auto" w:fill="FFFFFF"/>
        </w:rPr>
        <w:t xml:space="preserve">1b).  </w:t>
      </w:r>
      <w:r>
        <w:rPr>
          <w:color w:val="000000"/>
          <w:shd w:val="clear" w:color="auto" w:fill="FFFFFF"/>
        </w:rPr>
        <w:t xml:space="preserve">However, </w:t>
      </w:r>
      <w:r w:rsidRPr="005578B5">
        <w:rPr>
          <w:color w:val="000000"/>
          <w:shd w:val="clear" w:color="auto" w:fill="FFFFFF"/>
        </w:rPr>
        <w:t>July through September were abnormally dry in 2016</w:t>
      </w:r>
      <w:r>
        <w:rPr>
          <w:color w:val="000000"/>
          <w:shd w:val="clear" w:color="auto" w:fill="FFFFFF"/>
        </w:rPr>
        <w:t xml:space="preserve"> while April and </w:t>
      </w:r>
      <w:r w:rsidRPr="00995696">
        <w:rPr>
          <w:color w:val="000000"/>
          <w:shd w:val="clear" w:color="auto" w:fill="FFFFFF"/>
        </w:rPr>
        <w:t xml:space="preserve">August </w:t>
      </w:r>
      <w:r>
        <w:rPr>
          <w:color w:val="000000"/>
          <w:shd w:val="clear" w:color="auto" w:fill="FFFFFF"/>
        </w:rPr>
        <w:t>in 2017 were</w:t>
      </w:r>
      <w:r w:rsidRPr="00995696">
        <w:rPr>
          <w:color w:val="000000"/>
          <w:shd w:val="clear" w:color="auto" w:fill="FFFFFF"/>
        </w:rPr>
        <w:t xml:space="preserve"> atypically wet (</w:t>
      </w:r>
      <w:r>
        <w:rPr>
          <w:color w:val="000000"/>
          <w:shd w:val="clear" w:color="auto" w:fill="FFFFFF"/>
        </w:rPr>
        <w:t>75% and 7</w:t>
      </w:r>
      <w:r w:rsidRPr="00995696">
        <w:rPr>
          <w:color w:val="000000"/>
          <w:shd w:val="clear" w:color="auto" w:fill="FFFFFF"/>
        </w:rPr>
        <w:t>4% greater than 30-year mean</w:t>
      </w:r>
      <w:r>
        <w:rPr>
          <w:color w:val="000000"/>
          <w:shd w:val="clear" w:color="auto" w:fill="FFFFFF"/>
        </w:rPr>
        <w:t>, respectively</w:t>
      </w:r>
      <w:r w:rsidRPr="00995696">
        <w:rPr>
          <w:color w:val="000000"/>
          <w:shd w:val="clear" w:color="auto" w:fill="FFFFFF"/>
        </w:rPr>
        <w:t>)</w:t>
      </w:r>
      <w:r>
        <w:rPr>
          <w:color w:val="000000"/>
          <w:shd w:val="clear" w:color="auto" w:fill="FFFFFF"/>
        </w:rPr>
        <w:t>.  August was then</w:t>
      </w:r>
      <w:r w:rsidRPr="00995696">
        <w:rPr>
          <w:color w:val="000000"/>
          <w:shd w:val="clear" w:color="auto" w:fill="FFFFFF"/>
        </w:rPr>
        <w:t xml:space="preserve"> followed by a drier than normal September.  In </w:t>
      </w:r>
      <w:r w:rsidRPr="00995696">
        <w:rPr>
          <w:color w:val="000000"/>
          <w:shd w:val="clear" w:color="auto" w:fill="FFFFFF"/>
        </w:rPr>
        <w:lastRenderedPageBreak/>
        <w:t>2018, July through September received greater than or equal to 30-year mean amounts of rainfall (NOAA, 20</w:t>
      </w:r>
      <w:r w:rsidRPr="00BA5362">
        <w:rPr>
          <w:color w:val="000000"/>
          <w:shd w:val="clear" w:color="auto" w:fill="FFFFFF"/>
        </w:rPr>
        <w:t>20).</w:t>
      </w:r>
    </w:p>
    <w:p w14:paraId="3BD81ACC" w14:textId="6DE13864" w:rsidR="00EA47E2" w:rsidRPr="00EA47E2" w:rsidRDefault="00EA47E2" w:rsidP="00EA47E2">
      <w:pPr>
        <w:pStyle w:val="Heading2"/>
        <w:rPr>
          <w:shd w:val="clear" w:color="auto" w:fill="FFFFFF"/>
        </w:rPr>
      </w:pPr>
      <w:bookmarkStart w:id="258" w:name="_Toc72305436"/>
      <w:r w:rsidRPr="00EA47E2">
        <w:rPr>
          <w:shd w:val="clear" w:color="auto" w:fill="FFFFFF"/>
        </w:rPr>
        <w:t>Big Bluestem</w:t>
      </w:r>
      <w:bookmarkEnd w:id="258"/>
    </w:p>
    <w:p w14:paraId="743D3FD9" w14:textId="2684B44E" w:rsidR="00EA47E2" w:rsidRDefault="00EA47E2" w:rsidP="00EA47E2">
      <w:pPr>
        <w:pStyle w:val="Heading3"/>
      </w:pPr>
      <w:bookmarkStart w:id="259" w:name="_Toc72305437"/>
      <w:r w:rsidRPr="00EA47E2">
        <w:t>Establishment-year Plant Density</w:t>
      </w:r>
      <w:bookmarkEnd w:id="259"/>
    </w:p>
    <w:p w14:paraId="5CA09D84" w14:textId="758FFBF2" w:rsidR="00EA47E2" w:rsidRDefault="00EA47E2" w:rsidP="00A539F2">
      <w:pPr>
        <w:spacing w:after="100" w:afterAutospacing="1"/>
        <w:ind w:firstLine="720"/>
      </w:pPr>
      <w:r w:rsidRPr="00995696">
        <w:t xml:space="preserve">Plant density </w:t>
      </w:r>
      <w:r w:rsidRPr="001D5498">
        <w:t xml:space="preserve">during </w:t>
      </w:r>
      <w:r w:rsidRPr="00BA5362">
        <w:t>dormancy</w:t>
      </w:r>
      <w:r w:rsidRPr="0060629C">
        <w:t xml:space="preserve"> of BB did not differ for either</w:t>
      </w:r>
      <w:r w:rsidRPr="00D51570">
        <w:t xml:space="preserve"> </w:t>
      </w:r>
      <w:r>
        <w:t>defoliation strategy</w:t>
      </w:r>
      <w:r w:rsidRPr="0060629C">
        <w:t xml:space="preserve"> </w:t>
      </w:r>
      <w:r>
        <w:t>at</w:t>
      </w:r>
      <w:r w:rsidRPr="0060629C">
        <w:t xml:space="preserve"> </w:t>
      </w:r>
      <w:r w:rsidRPr="005578B5">
        <w:t xml:space="preserve">either </w:t>
      </w:r>
      <w:r>
        <w:t>site</w:t>
      </w:r>
      <w:r w:rsidRPr="001D5498">
        <w:t xml:space="preserve"> </w:t>
      </w:r>
      <w:r w:rsidRPr="0060629C">
        <w:t xml:space="preserve">(Table </w:t>
      </w:r>
      <w:r w:rsidR="0075096B">
        <w:t>3A.</w:t>
      </w:r>
      <w:r w:rsidRPr="0060629C">
        <w:t xml:space="preserve">2). </w:t>
      </w:r>
      <w:r>
        <w:t xml:space="preserve"> However, BB</w:t>
      </w:r>
      <w:r w:rsidRPr="000D6E9A">
        <w:t xml:space="preserve"> </w:t>
      </w:r>
      <w:r>
        <w:t xml:space="preserve">establishment-year </w:t>
      </w:r>
      <w:r w:rsidRPr="000D6E9A">
        <w:t>plant</w:t>
      </w:r>
      <w:r w:rsidRPr="0060629C">
        <w:t xml:space="preserve"> density </w:t>
      </w:r>
      <w:r>
        <w:t xml:space="preserve">differed by BTM seeding rate </w:t>
      </w:r>
      <w:r w:rsidRPr="00265F11">
        <w:t xml:space="preserve">at </w:t>
      </w:r>
      <w:r w:rsidRPr="00524174">
        <w:t xml:space="preserve">60 DAP </w:t>
      </w:r>
      <w:r w:rsidRPr="0060629C">
        <w:t>and dormancy</w:t>
      </w:r>
      <w:r>
        <w:t>, but</w:t>
      </w:r>
      <w:r w:rsidRPr="0060629C">
        <w:t xml:space="preserve"> </w:t>
      </w:r>
      <w:bookmarkStart w:id="260" w:name="_Hlk48034562"/>
      <w:r>
        <w:t xml:space="preserve">at Site 1 only </w:t>
      </w:r>
      <w:r w:rsidRPr="0060629C">
        <w:t>(</w:t>
      </w:r>
      <w:r w:rsidRPr="00D51570">
        <w:t xml:space="preserve">Table </w:t>
      </w:r>
      <w:r w:rsidR="0075096B">
        <w:t>3A.</w:t>
      </w:r>
      <w:r w:rsidRPr="00D51570">
        <w:t>2</w:t>
      </w:r>
      <w:r w:rsidRPr="004C50A3">
        <w:t>)</w:t>
      </w:r>
      <w:r>
        <w:t xml:space="preserve">, with </w:t>
      </w:r>
      <w:bookmarkEnd w:id="260"/>
      <w:r w:rsidRPr="00F34F86">
        <w:t>control</w:t>
      </w:r>
      <w:r>
        <w:t xml:space="preserve"> plots</w:t>
      </w:r>
      <w:r w:rsidRPr="00F34F86">
        <w:t xml:space="preserve"> </w:t>
      </w:r>
      <w:r w:rsidRPr="006553FE">
        <w:t>ha</w:t>
      </w:r>
      <w:r>
        <w:t>ving</w:t>
      </w:r>
      <w:r w:rsidRPr="006553FE">
        <w:t xml:space="preserve"> the greatest </w:t>
      </w:r>
      <w:r>
        <w:t xml:space="preserve">BB </w:t>
      </w:r>
      <w:r w:rsidRPr="006553FE">
        <w:t xml:space="preserve">plant density </w:t>
      </w:r>
      <w:r>
        <w:t xml:space="preserve">in both cases </w:t>
      </w:r>
      <w:r w:rsidRPr="006553FE">
        <w:t>(Fig</w:t>
      </w:r>
      <w:r w:rsidR="0075096B">
        <w:t>ure</w:t>
      </w:r>
      <w:r w:rsidRPr="006553FE">
        <w:t xml:space="preserve"> </w:t>
      </w:r>
      <w:r w:rsidR="0075096B">
        <w:t>3A.</w:t>
      </w:r>
      <w:r w:rsidRPr="006553FE">
        <w:t>2</w:t>
      </w:r>
      <w:r>
        <w:t xml:space="preserve"> and 3</w:t>
      </w:r>
      <w:r w:rsidR="0075096B">
        <w:t>A.3</w:t>
      </w:r>
      <w:r w:rsidRPr="006553FE">
        <w:t>)</w:t>
      </w:r>
      <w:r>
        <w:t>.  At Site 1,</w:t>
      </w:r>
      <w:r w:rsidRPr="00F34F86">
        <w:t xml:space="preserve"> </w:t>
      </w:r>
      <w:bookmarkStart w:id="261" w:name="_Hlk48764167"/>
      <w:r>
        <w:t xml:space="preserve">establishment-year </w:t>
      </w:r>
      <w:r w:rsidRPr="00F34F86">
        <w:t xml:space="preserve">weed </w:t>
      </w:r>
      <w:r w:rsidRPr="000D6E9A">
        <w:t xml:space="preserve">plant density </w:t>
      </w:r>
      <w:bookmarkEnd w:id="261"/>
      <w:r w:rsidRPr="000D6E9A">
        <w:t xml:space="preserve">did not differ at 30 DAP </w:t>
      </w:r>
      <w:r>
        <w:t xml:space="preserve">but </w:t>
      </w:r>
      <w:r w:rsidRPr="002B6D59">
        <w:t xml:space="preserve">was reduced where BTM </w:t>
      </w:r>
      <w:r>
        <w:t xml:space="preserve">was </w:t>
      </w:r>
      <w:r w:rsidRPr="002B6D59">
        <w:t>planted</w:t>
      </w:r>
      <w:r>
        <w:t xml:space="preserve"> by 60 DAP (Table </w:t>
      </w:r>
      <w:r w:rsidR="0075096B">
        <w:t>3A.</w:t>
      </w:r>
      <w:r>
        <w:t>2).</w:t>
      </w:r>
      <w:r w:rsidRPr="002B6D59">
        <w:t xml:space="preserve"> </w:t>
      </w:r>
      <w:r>
        <w:t xml:space="preserve"> Browntop millet </w:t>
      </w:r>
      <w:r w:rsidRPr="0060629C">
        <w:t>seedin</w:t>
      </w:r>
      <w:r w:rsidRPr="00D51570">
        <w:t>g rate</w:t>
      </w:r>
      <w:r w:rsidRPr="004C50A3">
        <w:t xml:space="preserve"> affected </w:t>
      </w:r>
      <w:r w:rsidRPr="00B13604">
        <w:t xml:space="preserve">BTM + weed </w:t>
      </w:r>
      <w:r>
        <w:t>establishment-year plant densities</w:t>
      </w:r>
      <w:r w:rsidRPr="00F34F86">
        <w:t xml:space="preserve"> for both </w:t>
      </w:r>
      <w:r>
        <w:t>sites</w:t>
      </w:r>
      <w:r w:rsidRPr="00F34F86">
        <w:t xml:space="preserve">.  </w:t>
      </w:r>
      <w:r>
        <w:t>At Site 1, t</w:t>
      </w:r>
      <w:r w:rsidRPr="000D6E9A">
        <w:t xml:space="preserve">he full-recommended rate had the greatest BTM + weed </w:t>
      </w:r>
      <w:r w:rsidRPr="00136BC7">
        <w:t>p</w:t>
      </w:r>
      <w:r w:rsidRPr="002B6D59">
        <w:t>lan</w:t>
      </w:r>
      <w:r w:rsidRPr="00677DC5">
        <w:t xml:space="preserve">t </w:t>
      </w:r>
      <w:r w:rsidRPr="005578B5">
        <w:t>density at 30 DAP (342.5 seedlings m</w:t>
      </w:r>
      <w:r w:rsidRPr="005578B5">
        <w:rPr>
          <w:vertAlign w:val="superscript"/>
        </w:rPr>
        <w:t>-2</w:t>
      </w:r>
      <w:r w:rsidRPr="005578B5">
        <w:t>) and 60 DAP (235.0 seedlings m</w:t>
      </w:r>
      <w:r w:rsidRPr="005578B5">
        <w:rPr>
          <w:vertAlign w:val="superscript"/>
        </w:rPr>
        <w:t>-2</w:t>
      </w:r>
      <w:r w:rsidRPr="005578B5">
        <w:t>; Fig</w:t>
      </w:r>
      <w:r w:rsidR="0075096B">
        <w:t>ure</w:t>
      </w:r>
      <w:r w:rsidRPr="005578B5">
        <w:t xml:space="preserve"> </w:t>
      </w:r>
      <w:r w:rsidR="0075096B">
        <w:t>3A.</w:t>
      </w:r>
      <w:r w:rsidRPr="005578B5">
        <w:t>2)</w:t>
      </w:r>
      <w:r>
        <w:t>.</w:t>
      </w:r>
      <w:r w:rsidRPr="005578B5">
        <w:t xml:space="preserve"> </w:t>
      </w:r>
      <w:r>
        <w:t xml:space="preserve"> For Site 2,</w:t>
      </w:r>
      <w:r w:rsidRPr="009B1054">
        <w:t xml:space="preserve"> </w:t>
      </w:r>
      <w:r w:rsidRPr="00973876">
        <w:t>a compensatory effect</w:t>
      </w:r>
      <w:r w:rsidRPr="002D6FE4">
        <w:t xml:space="preserve"> on </w:t>
      </w:r>
      <w:r>
        <w:t xml:space="preserve">establishment-year </w:t>
      </w:r>
      <w:r w:rsidRPr="002D6FE4">
        <w:t>weed plant density from BTM was not observed</w:t>
      </w:r>
      <w:r>
        <w:t>.</w:t>
      </w:r>
      <w:r w:rsidRPr="00995696">
        <w:t xml:space="preserve">  </w:t>
      </w:r>
      <w:r>
        <w:t>Given that establishment-year w</w:t>
      </w:r>
      <w:r w:rsidRPr="00995696">
        <w:t>ee</w:t>
      </w:r>
      <w:r w:rsidRPr="001D5498">
        <w:t xml:space="preserve">d </w:t>
      </w:r>
      <w:r w:rsidRPr="000D6E9A">
        <w:t xml:space="preserve">plant density </w:t>
      </w:r>
      <w:r w:rsidRPr="0060629C">
        <w:t xml:space="preserve">never differed </w:t>
      </w:r>
      <w:r>
        <w:t xml:space="preserve">at Site 2, it was apparent that </w:t>
      </w:r>
      <w:r w:rsidRPr="00B13604">
        <w:t>BTM simply added to the overall level of competition</w:t>
      </w:r>
      <w:r>
        <w:t xml:space="preserve"> without influencing </w:t>
      </w:r>
      <w:r w:rsidRPr="00265F11">
        <w:t>BB plant</w:t>
      </w:r>
      <w:r w:rsidRPr="00524174">
        <w:t xml:space="preserve"> density.  </w:t>
      </w:r>
      <w:bookmarkStart w:id="262" w:name="_Hlk48764914"/>
      <w:r>
        <w:t>Overall, there was a</w:t>
      </w:r>
      <w:r w:rsidRPr="008134AA">
        <w:t xml:space="preserve"> weak linear relationship between BB and BTM + weed </w:t>
      </w:r>
      <w:r>
        <w:t xml:space="preserve">establishment-year </w:t>
      </w:r>
      <w:r w:rsidRPr="008134AA">
        <w:t>plant density at 30 (</w:t>
      </w:r>
      <w:r w:rsidRPr="008134AA">
        <w:rPr>
          <w:i/>
        </w:rPr>
        <w:t>P</w:t>
      </w:r>
      <w:r w:rsidRPr="008134AA">
        <w:t xml:space="preserve"> = 0.013; </w:t>
      </w:r>
      <w:r w:rsidRPr="008134AA">
        <w:rPr>
          <w:i/>
        </w:rPr>
        <w:t>r</w:t>
      </w:r>
      <w:r w:rsidRPr="008134AA">
        <w:rPr>
          <w:i/>
          <w:vertAlign w:val="superscript"/>
        </w:rPr>
        <w:t>2</w:t>
      </w:r>
      <w:r w:rsidRPr="008134AA">
        <w:t xml:space="preserve"> = 0.13; </w:t>
      </w:r>
      <w:r w:rsidRPr="008134AA">
        <w:rPr>
          <w:i/>
        </w:rPr>
        <w:t>m</w:t>
      </w:r>
      <w:r w:rsidRPr="008134AA">
        <w:t xml:space="preserve"> = -0.03 seedling seedling</w:t>
      </w:r>
      <w:r w:rsidRPr="008134AA">
        <w:rPr>
          <w:vertAlign w:val="superscript"/>
        </w:rPr>
        <w:t>-</w:t>
      </w:r>
      <w:r>
        <w:rPr>
          <w:vertAlign w:val="superscript"/>
        </w:rPr>
        <w:t>1</w:t>
      </w:r>
      <w:r w:rsidRPr="008134AA">
        <w:t>) and 60 (</w:t>
      </w:r>
      <w:r w:rsidRPr="008134AA">
        <w:rPr>
          <w:i/>
        </w:rPr>
        <w:t>P</w:t>
      </w:r>
      <w:r w:rsidRPr="008134AA">
        <w:t xml:space="preserve"> = 0.029; </w:t>
      </w:r>
      <w:r w:rsidRPr="008134AA">
        <w:rPr>
          <w:i/>
        </w:rPr>
        <w:t>r</w:t>
      </w:r>
      <w:r w:rsidRPr="008134AA">
        <w:rPr>
          <w:i/>
          <w:vertAlign w:val="superscript"/>
        </w:rPr>
        <w:t>2</w:t>
      </w:r>
      <w:r w:rsidRPr="008134AA">
        <w:t xml:space="preserve"> = 0.10; </w:t>
      </w:r>
      <w:r w:rsidRPr="008134AA">
        <w:rPr>
          <w:i/>
        </w:rPr>
        <w:t>m</w:t>
      </w:r>
      <w:r w:rsidRPr="008134AA">
        <w:t xml:space="preserve"> = -0.02 seedling seedling</w:t>
      </w:r>
      <w:r w:rsidRPr="008134AA">
        <w:rPr>
          <w:vertAlign w:val="superscript"/>
        </w:rPr>
        <w:t>-</w:t>
      </w:r>
      <w:r>
        <w:rPr>
          <w:vertAlign w:val="superscript"/>
        </w:rPr>
        <w:t>1</w:t>
      </w:r>
      <w:r w:rsidRPr="008134AA">
        <w:t>) DAP</w:t>
      </w:r>
      <w:r>
        <w:t>.</w:t>
      </w:r>
      <w:r w:rsidRPr="008134AA">
        <w:t xml:space="preserve"> </w:t>
      </w:r>
      <w:r>
        <w:t xml:space="preserve"> W</w:t>
      </w:r>
      <w:r w:rsidRPr="0060629C">
        <w:t>hen using</w:t>
      </w:r>
      <w:r w:rsidRPr="00D51570">
        <w:t xml:space="preserve"> imazapic</w:t>
      </w:r>
      <w:r>
        <w:t xml:space="preserve">, </w:t>
      </w:r>
      <w:r w:rsidRPr="00B348F0">
        <w:t>B</w:t>
      </w:r>
      <w:r w:rsidRPr="00076819">
        <w:t>B</w:t>
      </w:r>
      <w:r w:rsidRPr="0060629C">
        <w:t xml:space="preserve"> plant density</w:t>
      </w:r>
      <w:r>
        <w:t xml:space="preserve"> at Site 1 and 2</w:t>
      </w:r>
      <w:r w:rsidRPr="0060629C">
        <w:t xml:space="preserve"> </w:t>
      </w:r>
      <w:r>
        <w:t>(</w:t>
      </w:r>
      <w:r w:rsidRPr="00BD0DAF">
        <w:t xml:space="preserve">10.8 </w:t>
      </w:r>
      <w:r>
        <w:t>and</w:t>
      </w:r>
      <w:r w:rsidRPr="00BD0DAF">
        <w:t xml:space="preserve"> 34.0 seedlings m</w:t>
      </w:r>
      <w:r w:rsidRPr="00BD0DAF">
        <w:rPr>
          <w:vertAlign w:val="superscript"/>
        </w:rPr>
        <w:t>-2</w:t>
      </w:r>
      <w:r>
        <w:t>, respectively)</w:t>
      </w:r>
      <w:r w:rsidRPr="00BD0DAF">
        <w:t xml:space="preserve"> was</w:t>
      </w:r>
      <w:r>
        <w:t xml:space="preserve"> numerically </w:t>
      </w:r>
      <w:r w:rsidRPr="000D6E9A">
        <w:t>greater than all BTM seedin</w:t>
      </w:r>
      <w:r w:rsidRPr="00136BC7">
        <w:t>g</w:t>
      </w:r>
      <w:r w:rsidRPr="002B6D59">
        <w:t xml:space="preserve"> ra</w:t>
      </w:r>
      <w:r w:rsidRPr="00677DC5">
        <w:t>te</w:t>
      </w:r>
      <w:r w:rsidRPr="005578B5">
        <w:t>s</w:t>
      </w:r>
      <w:r w:rsidRPr="0060629C">
        <w:t xml:space="preserve"> (Fig</w:t>
      </w:r>
      <w:r w:rsidR="0075096B">
        <w:t>ure</w:t>
      </w:r>
      <w:r w:rsidRPr="0060629C">
        <w:t xml:space="preserve"> 3</w:t>
      </w:r>
      <w:r w:rsidR="0075096B">
        <w:t>A.3</w:t>
      </w:r>
      <w:r w:rsidRPr="0060629C">
        <w:t xml:space="preserve">).  </w:t>
      </w:r>
      <w:r w:rsidRPr="003C4042">
        <w:t>B</w:t>
      </w:r>
      <w:r>
        <w:t>ig bluestem</w:t>
      </w:r>
      <w:r w:rsidRPr="003C4042">
        <w:t xml:space="preserve"> </w:t>
      </w:r>
      <w:r>
        <w:lastRenderedPageBreak/>
        <w:t xml:space="preserve">establishment-year </w:t>
      </w:r>
      <w:r w:rsidRPr="0060629C">
        <w:t xml:space="preserve">plant density across all BTM </w:t>
      </w:r>
      <w:r w:rsidRPr="00D51570">
        <w:t>seeding rates</w:t>
      </w:r>
      <w:r w:rsidRPr="004C50A3">
        <w:t xml:space="preserve"> was </w:t>
      </w:r>
      <w:r>
        <w:t xml:space="preserve">7.8 and </w:t>
      </w:r>
      <w:r w:rsidRPr="003C4042">
        <w:t>17.1 seedlings m</w:t>
      </w:r>
      <w:r w:rsidRPr="003C4042">
        <w:rPr>
          <w:vertAlign w:val="superscript"/>
        </w:rPr>
        <w:t>-2</w:t>
      </w:r>
      <w:r>
        <w:t xml:space="preserve"> for Site 1 and 2, respectively</w:t>
      </w:r>
      <w:r w:rsidRPr="003C4042">
        <w:t>.</w:t>
      </w:r>
    </w:p>
    <w:p w14:paraId="6457012B" w14:textId="77DB3EFD" w:rsidR="00EA47E2" w:rsidRDefault="00EA47E2" w:rsidP="00EA47E2">
      <w:pPr>
        <w:pStyle w:val="Heading3"/>
      </w:pPr>
      <w:bookmarkStart w:id="263" w:name="_Toc72305438"/>
      <w:r w:rsidRPr="00EA47E2">
        <w:t>Biomass Dry Matter Yield</w:t>
      </w:r>
      <w:bookmarkEnd w:id="263"/>
    </w:p>
    <w:p w14:paraId="6A60F40C" w14:textId="452530C5" w:rsidR="00EA47E2" w:rsidRDefault="00EA47E2" w:rsidP="00A539F2">
      <w:pPr>
        <w:spacing w:after="100" w:afterAutospacing="1"/>
        <w:ind w:firstLine="720"/>
      </w:pPr>
      <w:bookmarkStart w:id="264" w:name="_Hlk16811638"/>
      <w:r w:rsidRPr="000D6E9A">
        <w:t>For second</w:t>
      </w:r>
      <w:r>
        <w:t>-</w:t>
      </w:r>
      <w:r w:rsidRPr="000D6E9A">
        <w:t xml:space="preserve">year </w:t>
      </w:r>
      <w:r>
        <w:t xml:space="preserve">BB </w:t>
      </w:r>
      <w:r w:rsidRPr="0060629C">
        <w:t>biomass</w:t>
      </w:r>
      <w:r w:rsidRPr="000D6E9A">
        <w:t xml:space="preserve"> DM yield, only BTM seed</w:t>
      </w:r>
      <w:r w:rsidRPr="00136BC7">
        <w:t>in</w:t>
      </w:r>
      <w:r w:rsidRPr="002B6D59">
        <w:t xml:space="preserve">g </w:t>
      </w:r>
      <w:r w:rsidRPr="00677DC5">
        <w:t>rat</w:t>
      </w:r>
      <w:r w:rsidRPr="005578B5">
        <w:t>e</w:t>
      </w:r>
      <w:r w:rsidRPr="000D6E9A">
        <w:t xml:space="preserve"> </w:t>
      </w:r>
      <w:r>
        <w:t xml:space="preserve">at Site 1 </w:t>
      </w:r>
      <w:r w:rsidRPr="000D6E9A">
        <w:t xml:space="preserve">was significant (Table </w:t>
      </w:r>
      <w:r w:rsidR="0075096B">
        <w:t>3A.</w:t>
      </w:r>
      <w:r w:rsidRPr="000D6E9A">
        <w:t xml:space="preserve">3).  </w:t>
      </w:r>
      <w:r>
        <w:t xml:space="preserve">Plots without BTM </w:t>
      </w:r>
      <w:r w:rsidRPr="000D6E9A">
        <w:t>had the greatest yield (3.58 Mg ha</w:t>
      </w:r>
      <w:r w:rsidRPr="000D6E9A">
        <w:rPr>
          <w:vertAlign w:val="superscript"/>
        </w:rPr>
        <w:t>-1</w:t>
      </w:r>
      <w:r w:rsidRPr="000D6E9A">
        <w:t>; Fig</w:t>
      </w:r>
      <w:r w:rsidR="0075096B">
        <w:t>ure 3A.</w:t>
      </w:r>
      <w:r w:rsidRPr="000D6E9A">
        <w:t xml:space="preserve">4a) </w:t>
      </w:r>
      <w:r>
        <w:t xml:space="preserve">while </w:t>
      </w:r>
      <w:r w:rsidRPr="000D6E9A">
        <w:t>the half- and full-recom</w:t>
      </w:r>
      <w:r w:rsidRPr="00136BC7">
        <w:t>me</w:t>
      </w:r>
      <w:r w:rsidRPr="002B6D59">
        <w:t>nded</w:t>
      </w:r>
      <w:r w:rsidRPr="000D6E9A">
        <w:t xml:space="preserve"> BTM seedi</w:t>
      </w:r>
      <w:r w:rsidRPr="00136BC7">
        <w:t>ng</w:t>
      </w:r>
      <w:r w:rsidRPr="002B6D59">
        <w:t xml:space="preserve"> </w:t>
      </w:r>
      <w:r w:rsidRPr="00677DC5">
        <w:t>ra</w:t>
      </w:r>
      <w:r w:rsidRPr="005578B5">
        <w:t>te</w:t>
      </w:r>
      <w:r w:rsidRPr="00995696">
        <w:t xml:space="preserve">s </w:t>
      </w:r>
      <w:r>
        <w:t xml:space="preserve">had </w:t>
      </w:r>
      <w:r w:rsidRPr="000D6E9A">
        <w:t>similar</w:t>
      </w:r>
      <w:r>
        <w:t xml:space="preserve"> yields </w:t>
      </w:r>
      <w:r w:rsidRPr="000D6E9A">
        <w:t>(2.35 and 1.96 Mg ha</w:t>
      </w:r>
      <w:r w:rsidRPr="000D6E9A">
        <w:rPr>
          <w:vertAlign w:val="superscript"/>
        </w:rPr>
        <w:t>-1</w:t>
      </w:r>
      <w:r w:rsidRPr="000D6E9A">
        <w:t>, respectively).  All BTM se</w:t>
      </w:r>
      <w:r w:rsidRPr="00136BC7">
        <w:t>ed</w:t>
      </w:r>
      <w:r w:rsidRPr="002B6D59">
        <w:t>ing r</w:t>
      </w:r>
      <w:r w:rsidRPr="00677DC5">
        <w:t>ate</w:t>
      </w:r>
      <w:r w:rsidRPr="005578B5">
        <w:t>s</w:t>
      </w:r>
      <w:r w:rsidRPr="000D6E9A">
        <w:t xml:space="preserve"> produced similar BB yields </w:t>
      </w:r>
      <w:r>
        <w:t>at Site 2</w:t>
      </w:r>
      <w:r w:rsidRPr="000D6E9A">
        <w:t xml:space="preserve">.  Second-year biomass DM yield was positively related to BB </w:t>
      </w:r>
      <w:r>
        <w:t xml:space="preserve">establishment-year </w:t>
      </w:r>
      <w:r w:rsidRPr="000D6E9A">
        <w:t>plant</w:t>
      </w:r>
      <w:r w:rsidRPr="0060629C">
        <w:t xml:space="preserve"> density</w:t>
      </w:r>
      <w:r w:rsidRPr="000D6E9A">
        <w:t xml:space="preserve"> at dormancy </w:t>
      </w:r>
      <w:r>
        <w:t xml:space="preserve">at Site 1 </w:t>
      </w:r>
      <w:r w:rsidRPr="000D6E9A">
        <w:t>(</w:t>
      </w:r>
      <w:r w:rsidRPr="000D6E9A">
        <w:rPr>
          <w:i/>
        </w:rPr>
        <w:t>P</w:t>
      </w:r>
      <w:r w:rsidRPr="000D6E9A">
        <w:t xml:space="preserve"> = 0.009; </w:t>
      </w:r>
      <w:r w:rsidRPr="000D6E9A">
        <w:rPr>
          <w:i/>
        </w:rPr>
        <w:t>r</w:t>
      </w:r>
      <w:r w:rsidRPr="000D6E9A">
        <w:rPr>
          <w:i/>
          <w:vertAlign w:val="superscript"/>
        </w:rPr>
        <w:t>2</w:t>
      </w:r>
      <w:r w:rsidRPr="000D6E9A">
        <w:t xml:space="preserve"> = 0.28; </w:t>
      </w:r>
      <w:r w:rsidRPr="000D6E9A">
        <w:rPr>
          <w:i/>
        </w:rPr>
        <w:t>m</w:t>
      </w:r>
      <w:r w:rsidRPr="000D6E9A">
        <w:t xml:space="preserve"> = 0.104 Mg seedling</w:t>
      </w:r>
      <w:r w:rsidRPr="000D6E9A">
        <w:rPr>
          <w:vertAlign w:val="superscript"/>
        </w:rPr>
        <w:t>-</w:t>
      </w:r>
      <w:r>
        <w:rPr>
          <w:vertAlign w:val="superscript"/>
        </w:rPr>
        <w:t>1</w:t>
      </w:r>
      <w:r w:rsidRPr="000D6E9A">
        <w:t xml:space="preserve">) and </w:t>
      </w:r>
      <w:r>
        <w:t xml:space="preserve">Site 2 </w:t>
      </w:r>
      <w:r w:rsidRPr="000D6E9A">
        <w:t>(</w:t>
      </w:r>
      <w:r w:rsidRPr="000D6E9A">
        <w:rPr>
          <w:i/>
        </w:rPr>
        <w:t>P</w:t>
      </w:r>
      <w:r w:rsidRPr="000D6E9A">
        <w:t xml:space="preserve"> = 0.017; </w:t>
      </w:r>
      <w:r w:rsidRPr="000D6E9A">
        <w:rPr>
          <w:i/>
        </w:rPr>
        <w:t>r</w:t>
      </w:r>
      <w:r w:rsidRPr="000D6E9A">
        <w:rPr>
          <w:i/>
          <w:vertAlign w:val="superscript"/>
        </w:rPr>
        <w:t>2</w:t>
      </w:r>
      <w:r w:rsidRPr="000D6E9A">
        <w:t xml:space="preserve"> = 0.23; </w:t>
      </w:r>
      <w:r w:rsidRPr="000D6E9A">
        <w:rPr>
          <w:i/>
        </w:rPr>
        <w:t>m</w:t>
      </w:r>
      <w:r w:rsidRPr="000D6E9A">
        <w:t xml:space="preserve"> = 0.026</w:t>
      </w:r>
      <w:r>
        <w:t xml:space="preserve"> Mg seedling</w:t>
      </w:r>
      <w:r w:rsidRPr="000A4B79">
        <w:rPr>
          <w:vertAlign w:val="superscript"/>
        </w:rPr>
        <w:t>-</w:t>
      </w:r>
      <w:r>
        <w:rPr>
          <w:vertAlign w:val="superscript"/>
        </w:rPr>
        <w:t>1</w:t>
      </w:r>
      <w:r>
        <w:t>).</w:t>
      </w:r>
    </w:p>
    <w:p w14:paraId="19BC6F22" w14:textId="5C2E2EAD" w:rsidR="00EA47E2" w:rsidRDefault="00EA47E2" w:rsidP="00EA47E2">
      <w:pPr>
        <w:pStyle w:val="Heading2"/>
      </w:pPr>
      <w:bookmarkStart w:id="265" w:name="_Toc72305439"/>
      <w:r>
        <w:t>Switchgrass</w:t>
      </w:r>
      <w:bookmarkEnd w:id="265"/>
    </w:p>
    <w:p w14:paraId="72C18CCB" w14:textId="70CB1716" w:rsidR="00EA47E2" w:rsidRDefault="00EA47E2" w:rsidP="00EA47E2">
      <w:pPr>
        <w:pStyle w:val="Heading3"/>
      </w:pPr>
      <w:bookmarkStart w:id="266" w:name="_Toc72305440"/>
      <w:r>
        <w:t>Establishment-year Plant Density</w:t>
      </w:r>
      <w:bookmarkEnd w:id="266"/>
    </w:p>
    <w:bookmarkEnd w:id="264"/>
    <w:p w14:paraId="08A34F2D" w14:textId="139C7577" w:rsidR="00EA47E2" w:rsidRDefault="00EA47E2" w:rsidP="00A539F2">
      <w:pPr>
        <w:spacing w:after="100" w:afterAutospacing="1"/>
        <w:ind w:firstLine="720"/>
      </w:pPr>
      <w:r w:rsidRPr="000D6E9A">
        <w:t>B</w:t>
      </w:r>
      <w:r>
        <w:t xml:space="preserve">rowntop millet </w:t>
      </w:r>
      <w:r w:rsidRPr="000D6E9A">
        <w:t>se</w:t>
      </w:r>
      <w:r w:rsidRPr="00136BC7">
        <w:t>e</w:t>
      </w:r>
      <w:r w:rsidRPr="002B6D59">
        <w:t>din</w:t>
      </w:r>
      <w:r w:rsidRPr="00677DC5">
        <w:t xml:space="preserve">g </w:t>
      </w:r>
      <w:r w:rsidRPr="005578B5">
        <w:t>ra</w:t>
      </w:r>
      <w:r w:rsidRPr="00BA5362">
        <w:t>te</w:t>
      </w:r>
      <w:r w:rsidRPr="000D6E9A">
        <w:t xml:space="preserve"> influenced plant </w:t>
      </w:r>
      <w:r w:rsidRPr="00136BC7">
        <w:t>density</w:t>
      </w:r>
      <w:r w:rsidRPr="000D6E9A">
        <w:t xml:space="preserve"> of SG, weeds, and BTM + weeds </w:t>
      </w:r>
      <w:r>
        <w:t xml:space="preserve">at Site 1 </w:t>
      </w:r>
      <w:r w:rsidRPr="000D6E9A">
        <w:t xml:space="preserve">and BTM + weeds </w:t>
      </w:r>
      <w:r>
        <w:t xml:space="preserve">at Site 2 (Table </w:t>
      </w:r>
      <w:r w:rsidR="0075096B">
        <w:t>3A.</w:t>
      </w:r>
      <w:r>
        <w:t>4)</w:t>
      </w:r>
      <w:r w:rsidRPr="000D6E9A">
        <w:t xml:space="preserve">. </w:t>
      </w:r>
      <w:r>
        <w:t xml:space="preserve"> The </w:t>
      </w:r>
      <w:r w:rsidRPr="000D6E9A">
        <w:t>0 kg ha</w:t>
      </w:r>
      <w:r w:rsidRPr="000D6E9A">
        <w:rPr>
          <w:vertAlign w:val="superscript"/>
        </w:rPr>
        <w:t>-1</w:t>
      </w:r>
      <w:r w:rsidRPr="000D6E9A">
        <w:t xml:space="preserve"> BTM s</w:t>
      </w:r>
      <w:r w:rsidRPr="008617CC">
        <w:t>e</w:t>
      </w:r>
      <w:r w:rsidRPr="002B6D59">
        <w:t>e</w:t>
      </w:r>
      <w:r w:rsidRPr="00677DC5">
        <w:t>d</w:t>
      </w:r>
      <w:r w:rsidRPr="005578B5">
        <w:t>in</w:t>
      </w:r>
      <w:r w:rsidRPr="00995696">
        <w:t>g rate</w:t>
      </w:r>
      <w:r w:rsidRPr="000D6E9A">
        <w:t xml:space="preserve"> had the </w:t>
      </w:r>
      <w:r>
        <w:t xml:space="preserve">greatest establishment-year </w:t>
      </w:r>
      <w:r w:rsidRPr="000D6E9A">
        <w:t xml:space="preserve">plant </w:t>
      </w:r>
      <w:r w:rsidRPr="008617CC">
        <w:t>density</w:t>
      </w:r>
      <w:r w:rsidRPr="002B6D59">
        <w:t xml:space="preserve"> of BTM + weeds</w:t>
      </w:r>
      <w:r w:rsidRPr="000D6E9A">
        <w:t xml:space="preserve"> at </w:t>
      </w:r>
      <w:r>
        <w:t xml:space="preserve">30 DAP (272 </w:t>
      </w:r>
      <w:r w:rsidRPr="000D6E9A">
        <w:t>seedlings m</w:t>
      </w:r>
      <w:r w:rsidRPr="000D6E9A">
        <w:rPr>
          <w:vertAlign w:val="superscript"/>
        </w:rPr>
        <w:t>-2</w:t>
      </w:r>
      <w:r w:rsidRPr="001B0B30">
        <w:t>)</w:t>
      </w:r>
      <w:r>
        <w:rPr>
          <w:vertAlign w:val="superscript"/>
        </w:rPr>
        <w:t xml:space="preserve"> </w:t>
      </w:r>
      <w:r>
        <w:t xml:space="preserve">at Site 1 and </w:t>
      </w:r>
      <w:r w:rsidRPr="000D6E9A">
        <w:t xml:space="preserve">both 30 and 60 DAP (158 and 145 </w:t>
      </w:r>
      <w:bookmarkStart w:id="267" w:name="_Hlk61990463"/>
      <w:r w:rsidRPr="000D6E9A">
        <w:t>seedlings m</w:t>
      </w:r>
      <w:r w:rsidRPr="000D6E9A">
        <w:rPr>
          <w:vertAlign w:val="superscript"/>
        </w:rPr>
        <w:t>-2</w:t>
      </w:r>
      <w:bookmarkEnd w:id="267"/>
      <w:r w:rsidRPr="000D6E9A">
        <w:t>, respectively; Fig</w:t>
      </w:r>
      <w:r w:rsidR="00C64021">
        <w:t>ure</w:t>
      </w:r>
      <w:r w:rsidRPr="000D6E9A">
        <w:t xml:space="preserve"> </w:t>
      </w:r>
      <w:r w:rsidR="00C64021">
        <w:t>3A.</w:t>
      </w:r>
      <w:r w:rsidRPr="000D6E9A">
        <w:t>5)</w:t>
      </w:r>
      <w:r>
        <w:t xml:space="preserve"> at Site 2.</w:t>
      </w:r>
      <w:r w:rsidRPr="000D6E9A">
        <w:t xml:space="preserve"> </w:t>
      </w:r>
      <w:r>
        <w:t xml:space="preserve"> Browntop millet + weeds plant density</w:t>
      </w:r>
      <w:r w:rsidRPr="000D6E9A">
        <w:t xml:space="preserve"> </w:t>
      </w:r>
      <w:r>
        <w:t xml:space="preserve">for the </w:t>
      </w:r>
      <w:r w:rsidRPr="000D6E9A">
        <w:t>half- and full-recommended B</w:t>
      </w:r>
      <w:r w:rsidRPr="008617CC">
        <w:t>T</w:t>
      </w:r>
      <w:r w:rsidRPr="002B6D59">
        <w:t>M</w:t>
      </w:r>
      <w:r w:rsidRPr="00677DC5">
        <w:t xml:space="preserve"> </w:t>
      </w:r>
      <w:r w:rsidRPr="005578B5">
        <w:t>se</w:t>
      </w:r>
      <w:r w:rsidRPr="00995696">
        <w:t>eding r</w:t>
      </w:r>
      <w:r w:rsidRPr="001D5498">
        <w:t>a</w:t>
      </w:r>
      <w:r w:rsidRPr="00BA5362">
        <w:t>tes</w:t>
      </w:r>
      <w:r w:rsidRPr="000D6E9A">
        <w:t xml:space="preserve"> did not </w:t>
      </w:r>
      <w:r>
        <w:t>differ at any of these times.</w:t>
      </w:r>
      <w:r w:rsidRPr="000D6E9A">
        <w:t xml:space="preserve">  </w:t>
      </w:r>
      <w:r>
        <w:t xml:space="preserve">Furthermore, SG plant density did not differ at 30 DAP at Site 1 or 30 and 60 DAP at Site 2.  However, at 60 DAP for Site 1, BTM + weeds plant density as well as SG plant density were greater for the </w:t>
      </w:r>
      <w:r w:rsidRPr="000D6E9A">
        <w:t>0 kg ha</w:t>
      </w:r>
      <w:r w:rsidRPr="000D6E9A">
        <w:rPr>
          <w:vertAlign w:val="superscript"/>
        </w:rPr>
        <w:t>-1</w:t>
      </w:r>
      <w:r w:rsidRPr="000D6E9A">
        <w:t xml:space="preserve"> BTM s</w:t>
      </w:r>
      <w:r w:rsidRPr="008617CC">
        <w:t>e</w:t>
      </w:r>
      <w:r w:rsidRPr="002B6D59">
        <w:t>e</w:t>
      </w:r>
      <w:r w:rsidRPr="00677DC5">
        <w:t>d</w:t>
      </w:r>
      <w:r w:rsidRPr="005578B5">
        <w:t>in</w:t>
      </w:r>
      <w:r w:rsidRPr="00995696">
        <w:t>g rate</w:t>
      </w:r>
      <w:r w:rsidRPr="000D6E9A">
        <w:t xml:space="preserve"> </w:t>
      </w:r>
      <w:r>
        <w:t xml:space="preserve">than either the half or full BTM seeding rates.  </w:t>
      </w:r>
      <w:r w:rsidRPr="000D6E9A">
        <w:t xml:space="preserve">Regression analysis for SG and BTM + weed </w:t>
      </w:r>
      <w:r>
        <w:t xml:space="preserve">establishment-year </w:t>
      </w:r>
      <w:r w:rsidRPr="000D6E9A">
        <w:t xml:space="preserve">plant density at 30 DAP </w:t>
      </w:r>
      <w:r w:rsidRPr="000D6E9A">
        <w:lastRenderedPageBreak/>
        <w:t>was not significant (</w:t>
      </w:r>
      <w:r w:rsidRPr="000D6E9A">
        <w:rPr>
          <w:i/>
        </w:rPr>
        <w:t>P</w:t>
      </w:r>
      <w:r w:rsidRPr="000D6E9A">
        <w:t xml:space="preserve"> = 0.080) while there was a weak, positive relationship (</w:t>
      </w:r>
      <w:r w:rsidRPr="000D6E9A">
        <w:rPr>
          <w:i/>
        </w:rPr>
        <w:t>P</w:t>
      </w:r>
      <w:r w:rsidRPr="000D6E9A">
        <w:t xml:space="preserve"> = 0.008; </w:t>
      </w:r>
      <w:r w:rsidRPr="000D6E9A">
        <w:rPr>
          <w:i/>
        </w:rPr>
        <w:t>r</w:t>
      </w:r>
      <w:r w:rsidRPr="000D6E9A">
        <w:rPr>
          <w:i/>
          <w:vertAlign w:val="superscript"/>
        </w:rPr>
        <w:t>2</w:t>
      </w:r>
      <w:r w:rsidRPr="000D6E9A">
        <w:t xml:space="preserve"> = 0.14; </w:t>
      </w:r>
      <w:r w:rsidRPr="000D6E9A">
        <w:rPr>
          <w:i/>
        </w:rPr>
        <w:t>m</w:t>
      </w:r>
      <w:r w:rsidRPr="000D6E9A">
        <w:t xml:space="preserve"> = 0.15 seedling seedling</w:t>
      </w:r>
      <w:r w:rsidRPr="000D6E9A">
        <w:rPr>
          <w:vertAlign w:val="superscript"/>
        </w:rPr>
        <w:t>-</w:t>
      </w:r>
      <w:r>
        <w:rPr>
          <w:vertAlign w:val="superscript"/>
        </w:rPr>
        <w:t>1</w:t>
      </w:r>
      <w:r w:rsidRPr="000D6E9A">
        <w:t>)</w:t>
      </w:r>
      <w:r>
        <w:t xml:space="preserve"> at 60 DAP</w:t>
      </w:r>
      <w:r w:rsidRPr="000D6E9A">
        <w:t>.</w:t>
      </w:r>
    </w:p>
    <w:p w14:paraId="5837B63A" w14:textId="0FE2A1FA" w:rsidR="00EA47E2" w:rsidRDefault="00EA47E2" w:rsidP="00EA47E2">
      <w:pPr>
        <w:pStyle w:val="Heading3"/>
      </w:pPr>
      <w:bookmarkStart w:id="268" w:name="_Toc72305441"/>
      <w:r>
        <w:t>Biomass Dry Matter Yield</w:t>
      </w:r>
      <w:bookmarkEnd w:id="268"/>
    </w:p>
    <w:p w14:paraId="2B4843F7" w14:textId="6B55C48B" w:rsidR="00EA47E2" w:rsidRDefault="00EA47E2" w:rsidP="00A539F2">
      <w:pPr>
        <w:spacing w:after="100" w:afterAutospacing="1"/>
        <w:ind w:firstLine="720"/>
      </w:pPr>
      <w:r w:rsidRPr="000D6E9A">
        <w:t>For second</w:t>
      </w:r>
      <w:r>
        <w:t>-</w:t>
      </w:r>
      <w:r w:rsidRPr="000D6E9A">
        <w:t>year bioma</w:t>
      </w:r>
      <w:r w:rsidRPr="008617CC">
        <w:t>s</w:t>
      </w:r>
      <w:r w:rsidRPr="002B6D59">
        <w:t>s</w:t>
      </w:r>
      <w:r w:rsidRPr="000D6E9A">
        <w:t xml:space="preserve"> DM yield of SG, </w:t>
      </w:r>
      <w:r>
        <w:t xml:space="preserve">defoliation strategy was only </w:t>
      </w:r>
      <w:r w:rsidRPr="000D6E9A">
        <w:t xml:space="preserve">significant </w:t>
      </w:r>
      <w:r>
        <w:t xml:space="preserve">for Site 2 </w:t>
      </w:r>
      <w:r w:rsidRPr="000D6E9A">
        <w:t xml:space="preserve">(Table </w:t>
      </w:r>
      <w:r w:rsidR="0075096B">
        <w:t>3A.</w:t>
      </w:r>
      <w:r w:rsidRPr="000D6E9A">
        <w:t>3)</w:t>
      </w:r>
      <w:r>
        <w:t>.  Y</w:t>
      </w:r>
      <w:r w:rsidRPr="000D6E9A">
        <w:t xml:space="preserve">ield for </w:t>
      </w:r>
      <w:r>
        <w:t>HAY</w:t>
      </w:r>
      <w:r w:rsidRPr="000D6E9A">
        <w:t xml:space="preserve"> (2.69 Mg ha</w:t>
      </w:r>
      <w:r w:rsidRPr="000D6E9A">
        <w:rPr>
          <w:vertAlign w:val="superscript"/>
        </w:rPr>
        <w:t>-1</w:t>
      </w:r>
      <w:r w:rsidRPr="000D6E9A">
        <w:t xml:space="preserve">) </w:t>
      </w:r>
      <w:r>
        <w:t xml:space="preserve">was </w:t>
      </w:r>
      <w:r w:rsidRPr="000D6E9A">
        <w:t xml:space="preserve">slightly greater than </w:t>
      </w:r>
      <w:r>
        <w:t>CLIP</w:t>
      </w:r>
      <w:r w:rsidRPr="000D6E9A">
        <w:t xml:space="preserve"> (2.44 Mg ha</w:t>
      </w:r>
      <w:r w:rsidRPr="000D6E9A">
        <w:rPr>
          <w:vertAlign w:val="superscript"/>
        </w:rPr>
        <w:t>-1</w:t>
      </w:r>
      <w:r w:rsidRPr="000D6E9A">
        <w:t xml:space="preserve">).  </w:t>
      </w:r>
      <w:r>
        <w:t xml:space="preserve">However, </w:t>
      </w:r>
      <w:r w:rsidRPr="000D6E9A">
        <w:t xml:space="preserve">both SG </w:t>
      </w:r>
      <w:r>
        <w:t xml:space="preserve">defoliation strategies </w:t>
      </w:r>
      <w:r w:rsidRPr="000D6E9A">
        <w:t>only occurred once with</w:t>
      </w:r>
      <w:r>
        <w:t xml:space="preserve"> HAY</w:t>
      </w:r>
      <w:r w:rsidRPr="000D6E9A">
        <w:t xml:space="preserve"> taking place ten days after</w:t>
      </w:r>
      <w:r>
        <w:t xml:space="preserve"> CLIP (Table </w:t>
      </w:r>
      <w:r w:rsidR="0075096B">
        <w:t>3A.</w:t>
      </w:r>
      <w:r>
        <w:t>1)</w:t>
      </w:r>
      <w:r w:rsidRPr="000D6E9A">
        <w:t>.</w:t>
      </w:r>
      <w:r>
        <w:t xml:space="preserve">  On the other hand, BTM</w:t>
      </w:r>
      <w:r w:rsidRPr="000D6E9A">
        <w:t xml:space="preserve"> seeding rate affected second-year bio</w:t>
      </w:r>
      <w:r w:rsidRPr="008617CC">
        <w:t>m</w:t>
      </w:r>
      <w:r w:rsidRPr="002B6D59">
        <w:t>a</w:t>
      </w:r>
      <w:r w:rsidRPr="00677DC5">
        <w:t>s</w:t>
      </w:r>
      <w:r w:rsidRPr="005578B5">
        <w:t>s</w:t>
      </w:r>
      <w:r w:rsidRPr="00995696">
        <w:t xml:space="preserve"> DM</w:t>
      </w:r>
      <w:r w:rsidRPr="000D6E9A">
        <w:t xml:space="preserve"> yield for both </w:t>
      </w:r>
      <w:r>
        <w:t xml:space="preserve">sites </w:t>
      </w:r>
      <w:r w:rsidRPr="000D6E9A">
        <w:t xml:space="preserve">(Table </w:t>
      </w:r>
      <w:r w:rsidR="0075096B">
        <w:t>3A.</w:t>
      </w:r>
      <w:r w:rsidRPr="000D6E9A">
        <w:t xml:space="preserve">3).  </w:t>
      </w:r>
      <w:r>
        <w:t xml:space="preserve">For Site 1, plots without </w:t>
      </w:r>
      <w:r w:rsidRPr="000D6E9A">
        <w:t>BTM had the greatest yield (5.10 Mg ha</w:t>
      </w:r>
      <w:r w:rsidRPr="000D6E9A">
        <w:rPr>
          <w:vertAlign w:val="superscript"/>
        </w:rPr>
        <w:t>-1</w:t>
      </w:r>
      <w:r>
        <w:t xml:space="preserve">; </w:t>
      </w:r>
      <w:r w:rsidRPr="000D6E9A">
        <w:t>Fig</w:t>
      </w:r>
      <w:r w:rsidR="00C64021">
        <w:t>ure 3A.</w:t>
      </w:r>
      <w:r w:rsidRPr="000D6E9A">
        <w:t xml:space="preserve">4b).  Where </w:t>
      </w:r>
      <w:r>
        <w:t xml:space="preserve">establishment-year </w:t>
      </w:r>
      <w:r w:rsidRPr="0060629C">
        <w:t>plant densities</w:t>
      </w:r>
      <w:r w:rsidRPr="000D6E9A">
        <w:t xml:space="preserve"> were low </w:t>
      </w:r>
      <w:r>
        <w:t xml:space="preserve">at Site 1 </w:t>
      </w:r>
      <w:r w:rsidRPr="000D6E9A">
        <w:t>in the presence of BTM, second-year bio</w:t>
      </w:r>
      <w:r w:rsidRPr="008617CC">
        <w:t>m</w:t>
      </w:r>
      <w:r w:rsidRPr="002B6D59">
        <w:t>a</w:t>
      </w:r>
      <w:r w:rsidRPr="00677DC5">
        <w:t>s</w:t>
      </w:r>
      <w:r w:rsidRPr="005578B5">
        <w:t>s</w:t>
      </w:r>
      <w:r w:rsidRPr="00995696">
        <w:t xml:space="preserve"> DM</w:t>
      </w:r>
      <w:r w:rsidRPr="000D6E9A">
        <w:t xml:space="preserve"> yields were reduced substantially relative to the control.  </w:t>
      </w:r>
      <w:r>
        <w:t>At Site 2</w:t>
      </w:r>
      <w:r w:rsidRPr="000D6E9A">
        <w:t>, only bio</w:t>
      </w:r>
      <w:r w:rsidRPr="008617CC">
        <w:t>m</w:t>
      </w:r>
      <w:r w:rsidRPr="002B6D59">
        <w:t>a</w:t>
      </w:r>
      <w:r w:rsidRPr="00677DC5">
        <w:t>s</w:t>
      </w:r>
      <w:r w:rsidRPr="005578B5">
        <w:t>s</w:t>
      </w:r>
      <w:r w:rsidRPr="00995696">
        <w:t xml:space="preserve"> DM</w:t>
      </w:r>
      <w:r w:rsidRPr="000D6E9A">
        <w:t xml:space="preserve"> yields for the control (2.67 Mg ha</w:t>
      </w:r>
      <w:r w:rsidRPr="000D6E9A">
        <w:rPr>
          <w:vertAlign w:val="superscript"/>
        </w:rPr>
        <w:t>-1</w:t>
      </w:r>
      <w:r w:rsidRPr="000D6E9A">
        <w:t>) and full-recommended (2.40 Mg ha</w:t>
      </w:r>
      <w:r w:rsidRPr="000D6E9A">
        <w:rPr>
          <w:vertAlign w:val="superscript"/>
        </w:rPr>
        <w:t>-1</w:t>
      </w:r>
      <w:r w:rsidRPr="000D6E9A">
        <w:t>) BTM</w:t>
      </w:r>
      <w:r w:rsidRPr="008617CC">
        <w:t xml:space="preserve"> </w:t>
      </w:r>
      <w:r w:rsidRPr="002B6D59">
        <w:t>s</w:t>
      </w:r>
      <w:r w:rsidRPr="00677DC5">
        <w:t>e</w:t>
      </w:r>
      <w:r w:rsidRPr="005578B5">
        <w:t>e</w:t>
      </w:r>
      <w:r w:rsidRPr="00995696">
        <w:t xml:space="preserve">ding </w:t>
      </w:r>
      <w:r w:rsidRPr="00BA5362">
        <w:t>rat</w:t>
      </w:r>
      <w:r w:rsidRPr="00EA23D7">
        <w:t>e</w:t>
      </w:r>
      <w:r w:rsidRPr="000D6E9A">
        <w:t xml:space="preserve"> differed.  </w:t>
      </w:r>
      <w:r>
        <w:t>There was a positive relationship between b</w:t>
      </w:r>
      <w:r w:rsidRPr="00172996">
        <w:t xml:space="preserve">iomass DM yield </w:t>
      </w:r>
      <w:r>
        <w:t xml:space="preserve">and SG plant density during dormancy at Site 1 </w:t>
      </w:r>
      <w:r w:rsidRPr="00172996">
        <w:t>(</w:t>
      </w:r>
      <w:r w:rsidRPr="00847729">
        <w:rPr>
          <w:i/>
          <w:iCs/>
        </w:rPr>
        <w:t>P</w:t>
      </w:r>
      <w:r w:rsidRPr="00172996">
        <w:t xml:space="preserve"> &lt; 0.001; </w:t>
      </w:r>
      <w:r w:rsidRPr="00E51FFB">
        <w:rPr>
          <w:i/>
          <w:iCs/>
        </w:rPr>
        <w:t>r</w:t>
      </w:r>
      <w:r w:rsidRPr="00E51FFB">
        <w:rPr>
          <w:i/>
          <w:iCs/>
          <w:vertAlign w:val="superscript"/>
        </w:rPr>
        <w:t>2</w:t>
      </w:r>
      <w:r w:rsidRPr="00172996">
        <w:t xml:space="preserve"> = 0.74; </w:t>
      </w:r>
      <w:r w:rsidRPr="00E51FFB">
        <w:rPr>
          <w:i/>
          <w:iCs/>
        </w:rPr>
        <w:t>m</w:t>
      </w:r>
      <w:r w:rsidRPr="00172996">
        <w:t xml:space="preserve"> = 0.306 Mg seedling</w:t>
      </w:r>
      <w:r w:rsidRPr="00132FE2">
        <w:rPr>
          <w:vertAlign w:val="superscript"/>
        </w:rPr>
        <w:t>-</w:t>
      </w:r>
      <w:r>
        <w:rPr>
          <w:vertAlign w:val="superscript"/>
        </w:rPr>
        <w:t>1</w:t>
      </w:r>
      <w:r w:rsidRPr="00172996">
        <w:t xml:space="preserve">) but not </w:t>
      </w:r>
      <w:r>
        <w:t xml:space="preserve">Site 2 </w:t>
      </w:r>
      <w:r w:rsidRPr="00172996">
        <w:t>(</w:t>
      </w:r>
      <w:r w:rsidRPr="00847729">
        <w:rPr>
          <w:i/>
          <w:iCs/>
        </w:rPr>
        <w:t>P</w:t>
      </w:r>
      <w:r w:rsidRPr="00172996">
        <w:t xml:space="preserve"> = 0.583).  </w:t>
      </w:r>
    </w:p>
    <w:p w14:paraId="2C88B74D" w14:textId="7CA17DB6" w:rsidR="003C00F4" w:rsidRPr="000D6E9A" w:rsidRDefault="003C00F4" w:rsidP="003C00F4">
      <w:pPr>
        <w:pStyle w:val="Heading2"/>
      </w:pPr>
      <w:bookmarkStart w:id="269" w:name="_Toc72305442"/>
      <w:r>
        <w:t>Browntop Millet</w:t>
      </w:r>
      <w:bookmarkEnd w:id="269"/>
    </w:p>
    <w:p w14:paraId="6E66ECF9" w14:textId="77777777" w:rsidR="003C00F4" w:rsidRDefault="003C00F4" w:rsidP="00A539F2">
      <w:pPr>
        <w:spacing w:after="100" w:afterAutospacing="1"/>
        <w:ind w:firstLine="720"/>
      </w:pPr>
      <w:r w:rsidRPr="000D6E9A">
        <w:t xml:space="preserve">Across both experiments (BB and SG), </w:t>
      </w:r>
      <w:r>
        <w:t xml:space="preserve">HAY </w:t>
      </w:r>
      <w:r w:rsidRPr="000D6E9A">
        <w:t>produced a BTM mean cumulative DM yield of 2.92 ± 0.27 Mg ha</w:t>
      </w:r>
      <w:r w:rsidRPr="000D6E9A">
        <w:rPr>
          <w:vertAlign w:val="superscript"/>
        </w:rPr>
        <w:t>-1</w:t>
      </w:r>
      <w:r w:rsidRPr="000D6E9A">
        <w:t xml:space="preserve"> (half-recommended seeding rate) and 3.37 ± 0.29 Mg ha</w:t>
      </w:r>
      <w:r w:rsidRPr="000D6E9A">
        <w:rPr>
          <w:vertAlign w:val="superscript"/>
        </w:rPr>
        <w:t>-1</w:t>
      </w:r>
      <w:r w:rsidRPr="000D6E9A">
        <w:t xml:space="preserve"> (full-recommended seeding rate) </w:t>
      </w:r>
      <w:r>
        <w:t>at Site 1.</w:t>
      </w:r>
      <w:r w:rsidRPr="000D6E9A">
        <w:t xml:space="preserve"> </w:t>
      </w:r>
      <w:r>
        <w:t xml:space="preserve"> Yields at Site 2 were comparable and resulted in </w:t>
      </w:r>
      <w:r w:rsidRPr="000D6E9A">
        <w:t>2.72 ± 0.48 Mg ha</w:t>
      </w:r>
      <w:r w:rsidRPr="000D6E9A">
        <w:rPr>
          <w:vertAlign w:val="superscript"/>
        </w:rPr>
        <w:t>-1</w:t>
      </w:r>
      <w:r w:rsidRPr="000D6E9A">
        <w:t xml:space="preserve"> (half-recommended seeding rate) and 2.64 ± 0.43 Mg ha</w:t>
      </w:r>
      <w:r w:rsidRPr="000D6E9A">
        <w:rPr>
          <w:vertAlign w:val="superscript"/>
        </w:rPr>
        <w:t>-1</w:t>
      </w:r>
      <w:r w:rsidRPr="000D6E9A">
        <w:t xml:space="preserve"> (full-recommended seeding rate).</w:t>
      </w:r>
    </w:p>
    <w:p w14:paraId="2F1CD1F9" w14:textId="5750836E" w:rsidR="003C00F4" w:rsidRDefault="003C00F4" w:rsidP="003C00F4">
      <w:pPr>
        <w:pStyle w:val="AgronomyJournalSectionTitles"/>
      </w:pPr>
      <w:bookmarkStart w:id="270" w:name="_Toc72305443"/>
      <w:r>
        <w:lastRenderedPageBreak/>
        <w:t>Discussion</w:t>
      </w:r>
      <w:bookmarkEnd w:id="270"/>
    </w:p>
    <w:p w14:paraId="6FF0BB77" w14:textId="4FFE3C39" w:rsidR="003C00F4" w:rsidRDefault="003C00F4" w:rsidP="00A539F2">
      <w:pPr>
        <w:spacing w:after="100" w:afterAutospacing="1"/>
        <w:ind w:firstLine="720"/>
      </w:pPr>
      <w:r>
        <w:t>To date, only four published studies (Hintz et al., 1998; Cossar &amp; Baldwin, 2002; Horton et al., 2004; Anderson et al., 2016) addressed the use of a warm-season annual companion crop, with two having used corn and two sorghum-sudangrass.  Our studies showed contrasting results when evaluating BTM as a companion crop for BB and SG.  Yields of BTM were less than those (</w:t>
      </w:r>
      <w:r w:rsidRPr="000D6E9A">
        <w:t>4.3-10.4 Mg ha</w:t>
      </w:r>
      <w:r w:rsidRPr="000D6E9A">
        <w:rPr>
          <w:vertAlign w:val="superscript"/>
        </w:rPr>
        <w:t>-1</w:t>
      </w:r>
      <w:r>
        <w:t xml:space="preserve">) presented by </w:t>
      </w:r>
      <w:r w:rsidRPr="000D6E9A">
        <w:t>McLaughlin, Fairbrother, and Rowe (2004) when seed</w:t>
      </w:r>
      <w:r>
        <w:t>ing</w:t>
      </w:r>
      <w:r w:rsidRPr="000D6E9A">
        <w:t xml:space="preserve"> a </w:t>
      </w:r>
      <w:r>
        <w:t xml:space="preserve">BTM </w:t>
      </w:r>
      <w:r w:rsidRPr="000D6E9A">
        <w:t xml:space="preserve">monoculture </w:t>
      </w:r>
      <w:r>
        <w:t xml:space="preserve">using the full-recommended rate.  However, </w:t>
      </w:r>
      <w:r w:rsidRPr="000D6E9A">
        <w:t xml:space="preserve">producers could benefit from forage production during BB and SG establishment by using </w:t>
      </w:r>
      <w:r>
        <w:t xml:space="preserve">the </w:t>
      </w:r>
      <w:r w:rsidRPr="000D6E9A">
        <w:t>half</w:t>
      </w:r>
      <w:r>
        <w:t>-</w:t>
      </w:r>
      <w:r w:rsidRPr="000D6E9A">
        <w:t>recommended BTM s</w:t>
      </w:r>
      <w:r w:rsidRPr="008617CC">
        <w:t>e</w:t>
      </w:r>
      <w:r w:rsidRPr="002B6D59">
        <w:t>e</w:t>
      </w:r>
      <w:r w:rsidRPr="00677DC5">
        <w:t>d</w:t>
      </w:r>
      <w:r w:rsidRPr="005578B5">
        <w:t>i</w:t>
      </w:r>
      <w:r w:rsidRPr="00995696">
        <w:t xml:space="preserve">ng </w:t>
      </w:r>
      <w:r w:rsidRPr="00BA5362">
        <w:t>rate</w:t>
      </w:r>
      <w:r>
        <w:t xml:space="preserve"> since BTM yield loss was negligible between the full- and half-recommended rates.</w:t>
      </w:r>
      <w:r w:rsidRPr="000D6E9A">
        <w:t xml:space="preserve">  If producers do not need to compensate for lost forage production during the BB or SG establishment year, then not planting BTM </w:t>
      </w:r>
      <w:r>
        <w:t>will likely</w:t>
      </w:r>
      <w:r w:rsidRPr="000D6E9A">
        <w:t xml:space="preserve"> </w:t>
      </w:r>
      <w:r>
        <w:t xml:space="preserve">result in denser stands of BB or SG.  </w:t>
      </w:r>
    </w:p>
    <w:p w14:paraId="67594915" w14:textId="4E656681" w:rsidR="003C00F4" w:rsidRDefault="003C00F4" w:rsidP="003D575F">
      <w:pPr>
        <w:pStyle w:val="Heading2"/>
      </w:pPr>
      <w:bookmarkStart w:id="271" w:name="_Toc72305444"/>
      <w:r>
        <w:t>Establishment-year Plant Density</w:t>
      </w:r>
      <w:bookmarkEnd w:id="271"/>
    </w:p>
    <w:p w14:paraId="5C8ABC7B" w14:textId="77777777" w:rsidR="003C00F4" w:rsidRDefault="003C00F4" w:rsidP="003C00F4">
      <w:pPr>
        <w:ind w:firstLine="720"/>
      </w:pPr>
      <w:r>
        <w:t>Big bluestem establishment-year plant density at dormancy was not influenced by defoliation strategy.  At Site 1</w:t>
      </w:r>
      <w:r w:rsidRPr="00473117">
        <w:t xml:space="preserve">, BB was harvested twice for both </w:t>
      </w:r>
      <w:r>
        <w:t xml:space="preserve">defoliation strategies </w:t>
      </w:r>
      <w:r w:rsidRPr="006553FE">
        <w:t xml:space="preserve">with only six days separating the first </w:t>
      </w:r>
      <w:r>
        <w:t xml:space="preserve">harvest </w:t>
      </w:r>
      <w:r w:rsidRPr="006553FE">
        <w:t>for each.  This narrow window, which was a result of the rapid development of the BTM at this time of year</w:t>
      </w:r>
      <w:r>
        <w:t xml:space="preserve"> and</w:t>
      </w:r>
      <w:r w:rsidRPr="006553FE">
        <w:t xml:space="preserve"> an inability to implement </w:t>
      </w:r>
      <w:r>
        <w:t xml:space="preserve">CLIP </w:t>
      </w:r>
      <w:r w:rsidRPr="006553FE">
        <w:t xml:space="preserve">due to rainfall and field conditions, precluded any meaningful advantage from </w:t>
      </w:r>
      <w:r>
        <w:t>CLIP</w:t>
      </w:r>
      <w:r w:rsidRPr="006553FE">
        <w:t xml:space="preserve">.  </w:t>
      </w:r>
      <w:r>
        <w:t>At Site 2</w:t>
      </w:r>
      <w:r w:rsidRPr="006553FE" w:rsidDel="005613F3">
        <w:t xml:space="preserve">, only one </w:t>
      </w:r>
      <w:r w:rsidRPr="006553FE">
        <w:t xml:space="preserve">defoliation </w:t>
      </w:r>
      <w:r w:rsidRPr="006553FE" w:rsidDel="005613F3">
        <w:t xml:space="preserve">occurred on all </w:t>
      </w:r>
      <w:r>
        <w:t xml:space="preserve">BB and SG </w:t>
      </w:r>
      <w:r w:rsidRPr="006553FE" w:rsidDel="005613F3">
        <w:t>plots</w:t>
      </w:r>
      <w:r w:rsidRPr="006553FE">
        <w:t xml:space="preserve"> with all BB plots harvested on the same day.  </w:t>
      </w:r>
      <w:r>
        <w:t>P</w:t>
      </w:r>
      <w:r w:rsidRPr="006553FE">
        <w:t xml:space="preserve">ersistent rains delayed planting BTM </w:t>
      </w:r>
      <w:r>
        <w:t xml:space="preserve">at Site 2 in spring 2017 </w:t>
      </w:r>
      <w:r w:rsidRPr="006553FE">
        <w:t xml:space="preserve">while allowing an abundant weed population to develop.  As a result, BTM was slow to develop because of the heavy weed pressure already in place.  </w:t>
      </w:r>
      <w:r>
        <w:t>Because of t</w:t>
      </w:r>
      <w:r w:rsidRPr="006553FE">
        <w:t xml:space="preserve">he </w:t>
      </w:r>
      <w:r w:rsidRPr="006553FE">
        <w:lastRenderedPageBreak/>
        <w:t xml:space="preserve">lack of </w:t>
      </w:r>
      <w:r>
        <w:t>regrowth</w:t>
      </w:r>
      <w:r w:rsidRPr="006553FE">
        <w:t xml:space="preserve"> of the BTM following</w:t>
      </w:r>
      <w:r>
        <w:t xml:space="preserve"> the</w:t>
      </w:r>
      <w:r w:rsidRPr="006553FE">
        <w:t xml:space="preserve"> initial defoliation for both </w:t>
      </w:r>
      <w:r>
        <w:t>defoliation strategy</w:t>
      </w:r>
      <w:r w:rsidRPr="006553FE">
        <w:t xml:space="preserve"> treatments</w:t>
      </w:r>
      <w:r>
        <w:t xml:space="preserve">, no </w:t>
      </w:r>
      <w:r w:rsidRPr="006553FE">
        <w:t>additional harvests</w:t>
      </w:r>
      <w:r>
        <w:t xml:space="preserve"> were implemented at Site 2</w:t>
      </w:r>
      <w:r w:rsidRPr="006553FE">
        <w:t xml:space="preserve">.  Thus, there would not have been an expectation that </w:t>
      </w:r>
      <w:r>
        <w:t>HAY or CLIP</w:t>
      </w:r>
      <w:r w:rsidRPr="006553FE">
        <w:t xml:space="preserve"> would influence </w:t>
      </w:r>
      <w:r w:rsidRPr="000D6E9A">
        <w:t>plant density</w:t>
      </w:r>
      <w:r>
        <w:t>, especially</w:t>
      </w:r>
      <w:r w:rsidRPr="000D6E9A">
        <w:t xml:space="preserve"> </w:t>
      </w:r>
      <w:r>
        <w:t>at Site 2.</w:t>
      </w:r>
      <w:r w:rsidRPr="000D6E9A">
        <w:t xml:space="preserve">  Clearly, timing of planting BTM relative to BB planting and timing of </w:t>
      </w:r>
      <w:r>
        <w:t xml:space="preserve">HAY and CLIP </w:t>
      </w:r>
      <w:r w:rsidRPr="006553FE">
        <w:t xml:space="preserve">were sensitive and critical factors with this system.  </w:t>
      </w:r>
    </w:p>
    <w:p w14:paraId="516DB4AB" w14:textId="77777777" w:rsidR="003C00F4" w:rsidRPr="000D6E9A" w:rsidRDefault="003C00F4" w:rsidP="003C00F4">
      <w:pPr>
        <w:ind w:firstLine="720"/>
      </w:pPr>
      <w:r w:rsidRPr="000D6E9A">
        <w:t xml:space="preserve">In the case of SG </w:t>
      </w:r>
      <w:r>
        <w:t>at Site 1</w:t>
      </w:r>
      <w:r w:rsidRPr="000D6E9A">
        <w:t xml:space="preserve">, the earlier harvest date for the initial </w:t>
      </w:r>
      <w:r>
        <w:t xml:space="preserve">CLIP defoliation </w:t>
      </w:r>
      <w:r w:rsidRPr="000D6E9A">
        <w:t xml:space="preserve">preceded the </w:t>
      </w:r>
      <w:r>
        <w:t xml:space="preserve">first HAY </w:t>
      </w:r>
      <w:r w:rsidRPr="000D6E9A">
        <w:t>harvest by 21 days</w:t>
      </w:r>
      <w:r>
        <w:t>.  N</w:t>
      </w:r>
      <w:r w:rsidRPr="000D6E9A">
        <w:t>evertheless</w:t>
      </w:r>
      <w:r>
        <w:t>, SG establishment-year plant density</w:t>
      </w:r>
      <w:r w:rsidRPr="000D6E9A">
        <w:t xml:space="preserve"> </w:t>
      </w:r>
      <w:r>
        <w:t>was</w:t>
      </w:r>
      <w:r w:rsidRPr="000D6E9A">
        <w:t xml:space="preserve"> not improve</w:t>
      </w:r>
      <w:r>
        <w:t>d by this harvest interval</w:t>
      </w:r>
      <w:r w:rsidRPr="000D6E9A">
        <w:t xml:space="preserve">.  Given the later SG planting date </w:t>
      </w:r>
      <w:r>
        <w:t>at Site 1</w:t>
      </w:r>
      <w:r w:rsidRPr="000D6E9A">
        <w:t>, the timing of th</w:t>
      </w:r>
      <w:r>
        <w:t>e</w:t>
      </w:r>
      <w:r w:rsidRPr="000D6E9A">
        <w:t xml:space="preserve"> initial </w:t>
      </w:r>
      <w:r>
        <w:t>CLIP defoliation</w:t>
      </w:r>
      <w:r w:rsidRPr="000D6E9A">
        <w:t xml:space="preserve"> may have been too soon after </w:t>
      </w:r>
      <w:r>
        <w:t xml:space="preserve">BTM </w:t>
      </w:r>
      <w:r w:rsidRPr="000D6E9A">
        <w:t xml:space="preserve">planting to </w:t>
      </w:r>
      <w:r>
        <w:t>be beneficial</w:t>
      </w:r>
      <w:r w:rsidRPr="000D6E9A">
        <w:t xml:space="preserve">.  Furthermore, the rapid development of BTM between the first </w:t>
      </w:r>
      <w:r>
        <w:t xml:space="preserve">and second CLIP </w:t>
      </w:r>
      <w:r w:rsidRPr="000D6E9A">
        <w:t xml:space="preserve">could have been substantial enough that the 12 Aug </w:t>
      </w:r>
      <w:r>
        <w:t xml:space="preserve">2016 harvests </w:t>
      </w:r>
      <w:r w:rsidRPr="000D6E9A">
        <w:t xml:space="preserve">occurred </w:t>
      </w:r>
      <w:r>
        <w:t>after</w:t>
      </w:r>
      <w:r w:rsidRPr="000D6E9A">
        <w:t xml:space="preserve"> the BTM had already suppressed the SG seedlings.  This underscores the importance of timing in such </w:t>
      </w:r>
      <w:r>
        <w:t>CLIP defoliations</w:t>
      </w:r>
      <w:r w:rsidRPr="000D6E9A">
        <w:t xml:space="preserve">.  It also may suggest that there is a critical point in seedling development that occurs between 30 and 60 DAP as was apparent for BB in the context of BTM </w:t>
      </w:r>
      <w:r w:rsidRPr="00136BC7">
        <w:t>s</w:t>
      </w:r>
      <w:r w:rsidRPr="002B6D59">
        <w:t>eed</w:t>
      </w:r>
      <w:r w:rsidRPr="00677DC5">
        <w:t>ing</w:t>
      </w:r>
      <w:r w:rsidRPr="005578B5">
        <w:t xml:space="preserve"> r</w:t>
      </w:r>
      <w:r w:rsidRPr="00BA5362">
        <w:t>ate</w:t>
      </w:r>
      <w:r w:rsidRPr="000D6E9A">
        <w:t xml:space="preserve">. </w:t>
      </w:r>
    </w:p>
    <w:p w14:paraId="78B8D2DE" w14:textId="77777777" w:rsidR="003C00F4" w:rsidRDefault="003C00F4" w:rsidP="003C00F4">
      <w:pPr>
        <w:ind w:firstLine="720"/>
      </w:pPr>
      <w:r>
        <w:t xml:space="preserve">When BTM seeding rate affected BB and SG density, unplanted controls had greater BB and SG density than the BTM companion crop.  Likewise, </w:t>
      </w:r>
      <w:bookmarkStart w:id="272" w:name="_Hlk50070716"/>
      <w:r>
        <w:t>Cossar and Baldwin (2002) reported greater end-of-season SG plant density when planted alone than with a sorghum-</w:t>
      </w:r>
      <w:r w:rsidRPr="00547EB4">
        <w:t xml:space="preserve">sudangrass </w:t>
      </w:r>
      <w:r>
        <w:t>companion crop</w:t>
      </w:r>
      <w:bookmarkEnd w:id="272"/>
      <w:r>
        <w:t xml:space="preserve">.  </w:t>
      </w:r>
      <w:r w:rsidRPr="000D6E9A">
        <w:t xml:space="preserve">Anderson et al. (2016) also found that SG </w:t>
      </w:r>
      <w:r w:rsidRPr="006553FE">
        <w:t>plant density</w:t>
      </w:r>
      <w:r w:rsidRPr="000D6E9A">
        <w:t xml:space="preserve"> was greater when SG was established alone as compared with a corn companion crop in Illinois</w:t>
      </w:r>
      <w:r>
        <w:t xml:space="preserve">.  </w:t>
      </w:r>
      <w:r w:rsidRPr="00F34F86">
        <w:t xml:space="preserve">In contrast, Hintz et al. (1998) found reduced </w:t>
      </w:r>
      <w:r>
        <w:t xml:space="preserve">post-dormancy </w:t>
      </w:r>
      <w:r w:rsidRPr="00F34F86">
        <w:t xml:space="preserve">plant density in the first year of their study when BB </w:t>
      </w:r>
      <w:r>
        <w:t xml:space="preserve">was </w:t>
      </w:r>
      <w:r w:rsidRPr="00F34F86">
        <w:t xml:space="preserve">planted alone </w:t>
      </w:r>
      <w:r>
        <w:t>versus</w:t>
      </w:r>
      <w:r w:rsidRPr="00F34F86">
        <w:t xml:space="preserve"> with a </w:t>
      </w:r>
      <w:r w:rsidRPr="00F34F86">
        <w:lastRenderedPageBreak/>
        <w:t xml:space="preserve">corn + atrazine companion crop.  However, in the second year of their study, there was no difference in plant density based on these treatments.  </w:t>
      </w:r>
    </w:p>
    <w:p w14:paraId="657E8B2D" w14:textId="13AD0C04" w:rsidR="003C00F4" w:rsidRDefault="003C00F4" w:rsidP="003C00F4">
      <w:pPr>
        <w:ind w:firstLine="720"/>
      </w:pPr>
      <w:r>
        <w:t>In</w:t>
      </w:r>
      <w:r w:rsidRPr="00F34F86">
        <w:t xml:space="preserve"> </w:t>
      </w:r>
      <w:r>
        <w:t xml:space="preserve">the current study, there was also </w:t>
      </w:r>
      <w:r w:rsidRPr="00F34F86">
        <w:t xml:space="preserve">a lack of consistency </w:t>
      </w:r>
      <w:r>
        <w:t>between sites</w:t>
      </w:r>
      <w:r w:rsidRPr="00F34F86">
        <w:t xml:space="preserve"> with respect to </w:t>
      </w:r>
      <w:r>
        <w:t xml:space="preserve">SG plant </w:t>
      </w:r>
      <w:r w:rsidRPr="006553FE">
        <w:t>density.</w:t>
      </w:r>
      <w:r>
        <w:t xml:space="preserve">  At Site 1</w:t>
      </w:r>
      <w:r w:rsidRPr="000D6E9A">
        <w:t xml:space="preserve">, </w:t>
      </w:r>
      <w:r>
        <w:t xml:space="preserve">the use of </w:t>
      </w:r>
      <w:r w:rsidRPr="000D6E9A">
        <w:t>BTM appeared to increase competition at 30 DAP</w:t>
      </w:r>
      <w:r>
        <w:t xml:space="preserve"> </w:t>
      </w:r>
      <w:r w:rsidRPr="000D6E9A">
        <w:t>(Fig</w:t>
      </w:r>
      <w:r w:rsidR="00C64021">
        <w:t>ure 3A.</w:t>
      </w:r>
      <w:r w:rsidRPr="000D6E9A">
        <w:t xml:space="preserve">5).  Regardless, this competition did not influence SG </w:t>
      </w:r>
      <w:r w:rsidRPr="006553FE">
        <w:t>plant densit</w:t>
      </w:r>
      <w:r w:rsidRPr="000D6E9A">
        <w:t xml:space="preserve">y at this stage of stand development.  </w:t>
      </w:r>
      <w:r>
        <w:t>Yet by</w:t>
      </w:r>
      <w:r w:rsidRPr="000D6E9A">
        <w:t xml:space="preserve"> 60 DAP, SG </w:t>
      </w:r>
      <w:r w:rsidRPr="006553FE">
        <w:t>density</w:t>
      </w:r>
      <w:r w:rsidRPr="000D6E9A">
        <w:t xml:space="preserve"> for both </w:t>
      </w:r>
      <w:r>
        <w:t xml:space="preserve">half- and full-recommended </w:t>
      </w:r>
      <w:r w:rsidRPr="000D6E9A">
        <w:t xml:space="preserve">BTM seeding rates </w:t>
      </w:r>
      <w:r>
        <w:t>was</w:t>
      </w:r>
      <w:r w:rsidRPr="000D6E9A">
        <w:t xml:space="preserve"> reduced to 50% or less</w:t>
      </w:r>
      <w:r>
        <w:t xml:space="preserve"> of that of the </w:t>
      </w:r>
      <w:r w:rsidRPr="000D6E9A">
        <w:t xml:space="preserve">control.  The greater SG </w:t>
      </w:r>
      <w:r w:rsidRPr="006553FE">
        <w:t>density</w:t>
      </w:r>
      <w:r w:rsidRPr="000D6E9A">
        <w:t xml:space="preserve"> in the control (30 seedlings m</w:t>
      </w:r>
      <w:r w:rsidRPr="000D6E9A">
        <w:rPr>
          <w:vertAlign w:val="superscript"/>
        </w:rPr>
        <w:t>-2</w:t>
      </w:r>
      <w:r w:rsidRPr="000D6E9A">
        <w:t xml:space="preserve">) at 60 DAP suggests that BTM presented more effective competition </w:t>
      </w:r>
      <w:r>
        <w:t xml:space="preserve">than weeds </w:t>
      </w:r>
      <w:r w:rsidRPr="000D6E9A">
        <w:t xml:space="preserve">to SG seedlings.  The more effective competition </w:t>
      </w:r>
      <w:r>
        <w:t>of the BTM at Site 1 compared to Site 2 was likely the</w:t>
      </w:r>
      <w:r w:rsidRPr="000D6E9A">
        <w:t xml:space="preserve"> result of the later planting date </w:t>
      </w:r>
      <w:r>
        <w:t xml:space="preserve">of SG at Site 1 </w:t>
      </w:r>
      <w:r w:rsidRPr="000D6E9A">
        <w:t>due to the initial stand failure.  In any case, SG plant</w:t>
      </w:r>
      <w:r w:rsidRPr="00136BC7">
        <w:t xml:space="preserve"> </w:t>
      </w:r>
      <w:r w:rsidRPr="002B6D59">
        <w:t>densities</w:t>
      </w:r>
      <w:r w:rsidRPr="000D6E9A">
        <w:t xml:space="preserve"> for the half- and full-recommended (1.9 seedlings m</w:t>
      </w:r>
      <w:r w:rsidRPr="000D6E9A">
        <w:rPr>
          <w:vertAlign w:val="superscript"/>
        </w:rPr>
        <w:t>-2</w:t>
      </w:r>
      <w:r w:rsidRPr="000D6E9A">
        <w:t xml:space="preserve"> for both) BTM s</w:t>
      </w:r>
      <w:r w:rsidRPr="00136BC7">
        <w:t>e</w:t>
      </w:r>
      <w:r w:rsidRPr="002B6D59">
        <w:t>edi</w:t>
      </w:r>
      <w:r w:rsidRPr="00677DC5">
        <w:t>ng</w:t>
      </w:r>
      <w:r w:rsidRPr="005578B5">
        <w:t xml:space="preserve"> r</w:t>
      </w:r>
      <w:r w:rsidRPr="00BA5362">
        <w:t>ates</w:t>
      </w:r>
      <w:r w:rsidRPr="000D6E9A">
        <w:t xml:space="preserve"> </w:t>
      </w:r>
      <w:r>
        <w:t>at Site 1</w:t>
      </w:r>
      <w:r w:rsidRPr="000D6E9A">
        <w:t xml:space="preserve"> durin</w:t>
      </w:r>
      <w:r w:rsidRPr="00136BC7">
        <w:t>g</w:t>
      </w:r>
      <w:r w:rsidRPr="006553FE">
        <w:t xml:space="preserve"> dormancy</w:t>
      </w:r>
      <w:r w:rsidRPr="000D6E9A">
        <w:t xml:space="preserve"> were well below desirable targets for production</w:t>
      </w:r>
      <w:r>
        <w:t xml:space="preserve"> while those at Site 2 were more than adequate</w:t>
      </w:r>
      <w:r w:rsidRPr="000D6E9A">
        <w:t xml:space="preserve">.  </w:t>
      </w:r>
    </w:p>
    <w:p w14:paraId="42AE395B" w14:textId="77777777" w:rsidR="003C00F4" w:rsidRDefault="003C00F4" w:rsidP="003C00F4">
      <w:pPr>
        <w:ind w:firstLine="720"/>
      </w:pPr>
      <w:r>
        <w:t xml:space="preserve">At Site 1, </w:t>
      </w:r>
      <w:r w:rsidRPr="002B6D59">
        <w:t>BTM had the desired effect of suppress</w:t>
      </w:r>
      <w:r w:rsidRPr="00677DC5">
        <w:t>ing weed populations</w:t>
      </w:r>
      <w:r>
        <w:t xml:space="preserve"> for BB at 60 DAP</w:t>
      </w:r>
      <w:r w:rsidRPr="00677DC5">
        <w:t xml:space="preserve">.  </w:t>
      </w:r>
      <w:r w:rsidRPr="005578B5">
        <w:t>In this case</w:t>
      </w:r>
      <w:r>
        <w:t xml:space="preserve"> though</w:t>
      </w:r>
      <w:r w:rsidRPr="005578B5">
        <w:t>, BB seedlings</w:t>
      </w:r>
      <w:r>
        <w:t>,</w:t>
      </w:r>
      <w:r w:rsidRPr="005578B5">
        <w:t xml:space="preserve"> </w:t>
      </w:r>
      <w:r>
        <w:t xml:space="preserve">which had </w:t>
      </w:r>
      <w:r w:rsidRPr="005578B5">
        <w:t xml:space="preserve">not </w:t>
      </w:r>
      <w:r>
        <w:t xml:space="preserve">been </w:t>
      </w:r>
      <w:r w:rsidRPr="005578B5">
        <w:t>suppressed at 30 DAP b</w:t>
      </w:r>
      <w:r>
        <w:t>ecame so by</w:t>
      </w:r>
      <w:r w:rsidRPr="005578B5">
        <w:t xml:space="preserve"> 60 DAP.  This suggests that the negative impact of the additional competition </w:t>
      </w:r>
      <w:r>
        <w:t>(i.e., light and space)</w:t>
      </w:r>
      <w:r w:rsidRPr="005578B5">
        <w:t xml:space="preserve"> from the BTM did not become a factor until the BTM canopy had become more</w:t>
      </w:r>
      <w:r w:rsidRPr="006553FE">
        <w:t xml:space="preserve"> developed</w:t>
      </w:r>
      <w:r>
        <w:t xml:space="preserve"> at 60 DAP</w:t>
      </w:r>
      <w:r w:rsidRPr="006553FE">
        <w:t xml:space="preserve">.  </w:t>
      </w:r>
      <w:r>
        <w:t>Also, the lack of any</w:t>
      </w:r>
      <w:r w:rsidRPr="005578B5">
        <w:t xml:space="preserve"> difference in BB </w:t>
      </w:r>
      <w:r>
        <w:t>plant</w:t>
      </w:r>
      <w:r w:rsidRPr="00945D27">
        <w:t xml:space="preserve"> density between the </w:t>
      </w:r>
      <w:r>
        <w:t>full- and half-recommended BTM seeding rates at 60 DAP at Site 1 may have been because</w:t>
      </w:r>
      <w:r w:rsidRPr="006553FE">
        <w:t xml:space="preserve"> a threshold</w:t>
      </w:r>
      <w:r>
        <w:t xml:space="preserve"> was possibly</w:t>
      </w:r>
      <w:r w:rsidRPr="006553FE">
        <w:t xml:space="preserve"> reached </w:t>
      </w:r>
      <w:r>
        <w:t>using</w:t>
      </w:r>
      <w:r w:rsidRPr="006553FE">
        <w:t xml:space="preserve"> half-recommended rate</w:t>
      </w:r>
      <w:r>
        <w:t>.  Therefore, any</w:t>
      </w:r>
      <w:r w:rsidRPr="006553FE">
        <w:t xml:space="preserve"> additional competition </w:t>
      </w:r>
      <w:r>
        <w:t>from the full BTM seeding rate had no additional impact</w:t>
      </w:r>
      <w:r w:rsidRPr="006553FE">
        <w:t>.</w:t>
      </w:r>
    </w:p>
    <w:p w14:paraId="30DB2323" w14:textId="4D55C6DC" w:rsidR="003C00F4" w:rsidRPr="00847729" w:rsidRDefault="003C00F4" w:rsidP="003C00F4">
      <w:pPr>
        <w:ind w:firstLine="720"/>
      </w:pPr>
      <w:r>
        <w:lastRenderedPageBreak/>
        <w:t xml:space="preserve">At Site 2, </w:t>
      </w:r>
      <w:r w:rsidRPr="006553FE">
        <w:t xml:space="preserve">the competition </w:t>
      </w:r>
      <w:r>
        <w:t xml:space="preserve">from </w:t>
      </w:r>
      <w:r w:rsidRPr="006553FE">
        <w:t>BTM</w:t>
      </w:r>
      <w:r>
        <w:t xml:space="preserve"> on</w:t>
      </w:r>
      <w:r w:rsidRPr="006553FE">
        <w:t xml:space="preserve"> BB seedlings was negligible</w:t>
      </w:r>
      <w:r w:rsidRPr="007A09D0">
        <w:t xml:space="preserve"> </w:t>
      </w:r>
      <w:r>
        <w:t>likely because of</w:t>
      </w:r>
      <w:r w:rsidRPr="007A09D0">
        <w:t xml:space="preserve"> the late start for</w:t>
      </w:r>
      <w:r w:rsidRPr="006553FE">
        <w:t xml:space="preserve"> BTM and the </w:t>
      </w:r>
      <w:r>
        <w:t xml:space="preserve">already </w:t>
      </w:r>
      <w:r w:rsidRPr="006553FE">
        <w:t>heav</w:t>
      </w:r>
      <w:r>
        <w:t>y</w:t>
      </w:r>
      <w:r w:rsidRPr="006553FE">
        <w:t xml:space="preserve"> weed pressure.</w:t>
      </w:r>
      <w:r>
        <w:t xml:space="preserve">  That t</w:t>
      </w:r>
      <w:r w:rsidRPr="008134AA">
        <w:t xml:space="preserve">he patterns observed </w:t>
      </w:r>
      <w:r>
        <w:t xml:space="preserve">for BB density </w:t>
      </w:r>
      <w:r w:rsidRPr="008134AA">
        <w:t xml:space="preserve">at 60 DAP carried through to </w:t>
      </w:r>
      <w:r w:rsidRPr="006553FE">
        <w:t>dormancy (Fig</w:t>
      </w:r>
      <w:r w:rsidR="00C64021">
        <w:t>ure 3A.</w:t>
      </w:r>
      <w:r w:rsidRPr="006553FE">
        <w:t xml:space="preserve">3) </w:t>
      </w:r>
      <w:r>
        <w:t xml:space="preserve">at both sites </w:t>
      </w:r>
      <w:r w:rsidRPr="008134AA">
        <w:t>suggest</w:t>
      </w:r>
      <w:r>
        <w:t>s</w:t>
      </w:r>
      <w:r w:rsidRPr="008134AA">
        <w:t xml:space="preserve"> stand development may be largely determined by </w:t>
      </w:r>
      <w:r>
        <w:t>60 DAP</w:t>
      </w:r>
      <w:r w:rsidRPr="006553FE">
        <w:t>.</w:t>
      </w:r>
      <w:r>
        <w:t xml:space="preserve">  The</w:t>
      </w:r>
      <w:r w:rsidRPr="008134AA">
        <w:t xml:space="preserve"> </w:t>
      </w:r>
      <w:r>
        <w:t xml:space="preserve">lack of a stronger </w:t>
      </w:r>
      <w:r w:rsidRPr="008134AA">
        <w:t>linear relationship between BB and BTM + weed plant densit</w:t>
      </w:r>
      <w:r>
        <w:t>ies</w:t>
      </w:r>
      <w:r w:rsidRPr="008134AA">
        <w:t xml:space="preserve"> at 30 and 60 DAP </w:t>
      </w:r>
      <w:r>
        <w:t>may have been due to</w:t>
      </w:r>
      <w:r w:rsidRPr="008134AA">
        <w:t xml:space="preserve"> the variability in BTM stand development and, in turn, </w:t>
      </w:r>
      <w:r>
        <w:t xml:space="preserve">its influence on </w:t>
      </w:r>
      <w:r w:rsidRPr="006553FE">
        <w:t>BB seedling recruitment</w:t>
      </w:r>
      <w:r>
        <w:t>.  T</w:t>
      </w:r>
      <w:r w:rsidRPr="006553FE">
        <w:t xml:space="preserve">he half- and full-recommended BTM seeding rates </w:t>
      </w:r>
      <w:r>
        <w:t xml:space="preserve">at Site 1 </w:t>
      </w:r>
      <w:r w:rsidRPr="006553FE">
        <w:t xml:space="preserve">produced </w:t>
      </w:r>
      <w:r>
        <w:t xml:space="preserve">BB </w:t>
      </w:r>
      <w:r w:rsidRPr="006553FE">
        <w:t xml:space="preserve">plant densities </w:t>
      </w:r>
      <w:r>
        <w:t xml:space="preserve">at </w:t>
      </w:r>
      <w:r w:rsidRPr="006553FE">
        <w:t>dormancy below the target threshold of 10 plants m</w:t>
      </w:r>
      <w:r w:rsidRPr="006553FE">
        <w:rPr>
          <w:vertAlign w:val="superscript"/>
        </w:rPr>
        <w:t>-2</w:t>
      </w:r>
      <w:r w:rsidRPr="006553FE">
        <w:t>.</w:t>
      </w:r>
      <w:r>
        <w:t xml:space="preserve">  Using</w:t>
      </w:r>
      <w:r w:rsidRPr="006553FE">
        <w:t xml:space="preserve"> imazapic</w:t>
      </w:r>
      <w:r>
        <w:t xml:space="preserve"> allowed for </w:t>
      </w:r>
      <w:r w:rsidRPr="000D6E9A">
        <w:t xml:space="preserve">greater </w:t>
      </w:r>
      <w:r>
        <w:t xml:space="preserve">BB plant density </w:t>
      </w:r>
      <w:r w:rsidRPr="000D6E9A">
        <w:t>than all BTM seedin</w:t>
      </w:r>
      <w:r w:rsidRPr="00136BC7">
        <w:t>g</w:t>
      </w:r>
      <w:r w:rsidRPr="002B6D59">
        <w:t xml:space="preserve"> ra</w:t>
      </w:r>
      <w:r w:rsidRPr="00677DC5">
        <w:t>te</w:t>
      </w:r>
      <w:r w:rsidRPr="005578B5">
        <w:t>s</w:t>
      </w:r>
      <w:r w:rsidRPr="006553FE">
        <w:t xml:space="preserve"> </w:t>
      </w:r>
      <w:r>
        <w:t>at both sites.  This</w:t>
      </w:r>
      <w:r w:rsidRPr="006553FE">
        <w:t xml:space="preserve"> </w:t>
      </w:r>
      <w:r>
        <w:t xml:space="preserve">finding </w:t>
      </w:r>
      <w:r w:rsidRPr="006553FE">
        <w:t>further reinforc</w:t>
      </w:r>
      <w:r>
        <w:t>es</w:t>
      </w:r>
      <w:r w:rsidRPr="006553FE">
        <w:t xml:space="preserve"> the impact of competition on seedling recruitment.  </w:t>
      </w:r>
    </w:p>
    <w:p w14:paraId="61DFCFB4" w14:textId="77777777" w:rsidR="003C00F4" w:rsidRDefault="003C00F4" w:rsidP="00A539F2">
      <w:pPr>
        <w:spacing w:after="100" w:afterAutospacing="1"/>
        <w:ind w:firstLine="720"/>
      </w:pPr>
      <w:r w:rsidRPr="000D6E9A">
        <w:t xml:space="preserve">For both species examined, negative effects of competition were more apparent at 60 DAP than at 30 DAP suggesting an important stage in stand development.  Indeed, patterns apparent at 60 DAP carried through to fall dormancy for </w:t>
      </w:r>
      <w:r>
        <w:t>both sites.</w:t>
      </w:r>
      <w:r w:rsidRPr="000D6E9A">
        <w:t xml:space="preserve">  B</w:t>
      </w:r>
      <w:r>
        <w:t>rowntop millet</w:t>
      </w:r>
      <w:r w:rsidRPr="000D6E9A">
        <w:t xml:space="preserve"> </w:t>
      </w:r>
      <w:r>
        <w:t>appeared to have been</w:t>
      </w:r>
      <w:r w:rsidRPr="000D6E9A">
        <w:t xml:space="preserve"> more problematic for competition </w:t>
      </w:r>
      <w:r>
        <w:t>than the weeds.  This was borne out by</w:t>
      </w:r>
      <w:r w:rsidRPr="000D6E9A">
        <w:t xml:space="preserve"> the fact that when BTM development was limited</w:t>
      </w:r>
      <w:r>
        <w:t xml:space="preserve"> at Site 2</w:t>
      </w:r>
      <w:r w:rsidRPr="000D6E9A">
        <w:t>, SG densities were well above target plant densities</w:t>
      </w:r>
      <w:r>
        <w:t>, regardless of BTM seeding rate</w:t>
      </w:r>
      <w:r w:rsidRPr="000D6E9A">
        <w:t>.</w:t>
      </w:r>
      <w:r w:rsidRPr="00A230F7">
        <w:t xml:space="preserve"> </w:t>
      </w:r>
      <w:r>
        <w:t xml:space="preserve"> </w:t>
      </w:r>
      <w:r w:rsidRPr="000D6E9A">
        <w:t xml:space="preserve">Moreover, BTM </w:t>
      </w:r>
      <w:r>
        <w:t xml:space="preserve">at Site 2 </w:t>
      </w:r>
      <w:r w:rsidRPr="000D6E9A">
        <w:t>appeared only to provide additive competition</w:t>
      </w:r>
      <w:r>
        <w:t xml:space="preserve"> for BB</w:t>
      </w:r>
      <w:r w:rsidRPr="000D6E9A">
        <w:t>, having no effect on weed plant density</w:t>
      </w:r>
      <w:r>
        <w:t xml:space="preserve"> during the establishment year.</w:t>
      </w:r>
      <w:r w:rsidRPr="000D6E9A">
        <w:t xml:space="preserve">  </w:t>
      </w:r>
    </w:p>
    <w:p w14:paraId="46CEE60E" w14:textId="3A16275D" w:rsidR="003C00F4" w:rsidRDefault="003C00F4" w:rsidP="003D575F">
      <w:pPr>
        <w:pStyle w:val="Heading2"/>
      </w:pPr>
      <w:bookmarkStart w:id="273" w:name="_Toc72305445"/>
      <w:r>
        <w:t>Biomass Dry Matter Yield</w:t>
      </w:r>
      <w:bookmarkEnd w:id="273"/>
    </w:p>
    <w:p w14:paraId="359327C9" w14:textId="77777777" w:rsidR="003C00F4" w:rsidRDefault="003C00F4" w:rsidP="003C00F4">
      <w:pPr>
        <w:pStyle w:val="Paragraphs"/>
      </w:pPr>
      <w:r w:rsidRPr="00847729">
        <w:t xml:space="preserve">Big bluestem biomass DM yields were </w:t>
      </w:r>
      <w:r w:rsidRPr="00453B5C">
        <w:t>comparable</w:t>
      </w:r>
      <w:r w:rsidRPr="00847729">
        <w:t xml:space="preserve"> </w:t>
      </w:r>
      <w:r w:rsidRPr="00453B5C">
        <w:t>(3.83 Mg ha</w:t>
      </w:r>
      <w:r w:rsidRPr="00453B5C">
        <w:rPr>
          <w:vertAlign w:val="superscript"/>
        </w:rPr>
        <w:t>-1</w:t>
      </w:r>
      <w:r w:rsidRPr="00453B5C">
        <w:t xml:space="preserve">) </w:t>
      </w:r>
      <w:r>
        <w:t xml:space="preserve">to those </w:t>
      </w:r>
      <w:r w:rsidRPr="00847729">
        <w:t xml:space="preserve">reported by </w:t>
      </w:r>
      <w:r w:rsidRPr="00453B5C">
        <w:t>Rushing,</w:t>
      </w:r>
      <w:r w:rsidRPr="00453B5C">
        <w:rPr>
          <w:color w:val="111111"/>
        </w:rPr>
        <w:t xml:space="preserve"> Lemus, White, Lyles, and Thornton</w:t>
      </w:r>
      <w:r w:rsidRPr="00453B5C">
        <w:t xml:space="preserve"> (2019) when harvesting </w:t>
      </w:r>
      <w:r w:rsidRPr="00453B5C">
        <w:lastRenderedPageBreak/>
        <w:t>second</w:t>
      </w:r>
      <w:r>
        <w:t>-</w:t>
      </w:r>
      <w:r w:rsidRPr="00453B5C">
        <w:t>year BB stands</w:t>
      </w:r>
      <w:r w:rsidRPr="000D6E9A">
        <w:t xml:space="preserve"> in Mississippi.</w:t>
      </w:r>
      <w:r>
        <w:t xml:space="preserve">  At </w:t>
      </w:r>
      <w:r w:rsidRPr="000D6E9A">
        <w:t xml:space="preserve">both </w:t>
      </w:r>
      <w:r>
        <w:t>sites</w:t>
      </w:r>
      <w:r w:rsidRPr="000D6E9A">
        <w:t xml:space="preserve">, </w:t>
      </w:r>
      <w:r>
        <w:t xml:space="preserve">BB </w:t>
      </w:r>
      <w:r w:rsidRPr="000D6E9A">
        <w:t xml:space="preserve">yield </w:t>
      </w:r>
      <w:r>
        <w:t>exhibited</w:t>
      </w:r>
      <w:r w:rsidRPr="000D6E9A">
        <w:t xml:space="preserve"> the same pattern as plant density at dormancy </w:t>
      </w:r>
      <w:r>
        <w:t>following</w:t>
      </w:r>
      <w:r w:rsidRPr="000D6E9A">
        <w:t xml:space="preserve"> the </w:t>
      </w:r>
      <w:r>
        <w:t xml:space="preserve">establishment </w:t>
      </w:r>
      <w:r w:rsidRPr="000D6E9A">
        <w:t xml:space="preserve">year.  </w:t>
      </w:r>
      <w:r>
        <w:t xml:space="preserve">The regression relationship only explained a modest </w:t>
      </w:r>
      <w:r w:rsidRPr="000D6E9A">
        <w:t>amount of the variability in yield</w:t>
      </w:r>
      <w:r w:rsidRPr="00F8463B">
        <w:t xml:space="preserve"> </w:t>
      </w:r>
      <w:r>
        <w:t>at either site</w:t>
      </w:r>
      <w:r w:rsidRPr="000D6E9A">
        <w:t xml:space="preserve">.  Previously, Keyser et al. (2016a) observed a relationship between </w:t>
      </w:r>
      <w:r>
        <w:t>establishment-</w:t>
      </w:r>
      <w:r w:rsidRPr="000D6E9A">
        <w:t>year plan</w:t>
      </w:r>
      <w:r w:rsidRPr="00136BC7">
        <w:t>t</w:t>
      </w:r>
      <w:r w:rsidRPr="002B6D59">
        <w:t xml:space="preserve"> densi</w:t>
      </w:r>
      <w:r w:rsidRPr="00677DC5">
        <w:t>ty</w:t>
      </w:r>
      <w:r w:rsidRPr="000D6E9A">
        <w:t xml:space="preserve"> and second</w:t>
      </w:r>
      <w:r>
        <w:t>-</w:t>
      </w:r>
      <w:r w:rsidRPr="000D6E9A">
        <w:t>year yield in SG, but also found that there was</w:t>
      </w:r>
      <w:r>
        <w:t xml:space="preserve"> </w:t>
      </w:r>
      <w:r w:rsidRPr="006553FE">
        <w:t>great</w:t>
      </w:r>
      <w:r>
        <w:t xml:space="preserve"> </w:t>
      </w:r>
      <w:r w:rsidRPr="006553FE">
        <w:t xml:space="preserve">variability.  </w:t>
      </w:r>
      <w:r w:rsidRPr="000D6E9A">
        <w:t>They attributed th</w:t>
      </w:r>
      <w:r>
        <w:t>is</w:t>
      </w:r>
      <w:r w:rsidRPr="000D6E9A">
        <w:t xml:space="preserve"> to</w:t>
      </w:r>
      <w:r w:rsidRPr="002B6D59">
        <w:t xml:space="preserve"> density-</w:t>
      </w:r>
      <w:r w:rsidRPr="000D6E9A">
        <w:t xml:space="preserve">dependent responses of individual plants and their ability to produce </w:t>
      </w:r>
      <w:r>
        <w:t xml:space="preserve">larger and </w:t>
      </w:r>
      <w:r w:rsidRPr="000D6E9A">
        <w:t>more tillers.  This same plan</w:t>
      </w:r>
      <w:r w:rsidRPr="00136BC7">
        <w:t>t</w:t>
      </w:r>
      <w:r w:rsidRPr="002B6D59">
        <w:t xml:space="preserve"> density-dep</w:t>
      </w:r>
      <w:r w:rsidRPr="00677DC5">
        <w:t>endent</w:t>
      </w:r>
      <w:r w:rsidRPr="000D6E9A">
        <w:t xml:space="preserve"> process may be important for BB as well.  The variability in the pla</w:t>
      </w:r>
      <w:r w:rsidRPr="00136BC7">
        <w:t>n</w:t>
      </w:r>
      <w:r w:rsidRPr="002B6D59">
        <w:t xml:space="preserve">t </w:t>
      </w:r>
      <w:r w:rsidRPr="00677DC5">
        <w:t>density-yield</w:t>
      </w:r>
      <w:r w:rsidRPr="000D6E9A">
        <w:t xml:space="preserve"> relationship may also be a function of the level of competition within a given plot</w:t>
      </w:r>
      <w:r>
        <w:t xml:space="preserve"> based on </w:t>
      </w:r>
      <w:r w:rsidRPr="000D6E9A">
        <w:t>wee</w:t>
      </w:r>
      <w:r w:rsidRPr="00136BC7">
        <w:t>d</w:t>
      </w:r>
      <w:r w:rsidRPr="002B6D59">
        <w:t xml:space="preserve"> size and</w:t>
      </w:r>
      <w:r>
        <w:t>/or</w:t>
      </w:r>
      <w:r w:rsidRPr="002B6D59">
        <w:t xml:space="preserve"> density</w:t>
      </w:r>
      <w:r w:rsidRPr="00677DC5">
        <w:t>.</w:t>
      </w:r>
      <w:r>
        <w:t xml:space="preserve"> </w:t>
      </w:r>
      <w:r w:rsidRPr="00677DC5">
        <w:t xml:space="preserve"> </w:t>
      </w:r>
      <w:r w:rsidRPr="000D6E9A">
        <w:t>These differences did not appear to be particularly influenced by variability in air</w:t>
      </w:r>
      <w:r w:rsidRPr="00136BC7">
        <w:t xml:space="preserve"> </w:t>
      </w:r>
      <w:r w:rsidRPr="002B6D59">
        <w:t>te</w:t>
      </w:r>
      <w:r w:rsidRPr="000D6E9A">
        <w:t>mperature or rainfall between years, at least for treatments that included BTM</w:t>
      </w:r>
      <w:r>
        <w:t>, because</w:t>
      </w:r>
      <w:r w:rsidRPr="000D6E9A">
        <w:t xml:space="preserve"> yields for both the half- and full-r</w:t>
      </w:r>
      <w:r w:rsidRPr="00136BC7">
        <w:t>e</w:t>
      </w:r>
      <w:r w:rsidRPr="002B6D59">
        <w:t>co</w:t>
      </w:r>
      <w:r w:rsidRPr="00677DC5">
        <w:t>mm</w:t>
      </w:r>
      <w:r w:rsidRPr="005578B5">
        <w:t>en</w:t>
      </w:r>
      <w:r w:rsidRPr="00995696">
        <w:t>de</w:t>
      </w:r>
      <w:r w:rsidRPr="001D5498">
        <w:t>d</w:t>
      </w:r>
      <w:r w:rsidRPr="000D6E9A">
        <w:t xml:space="preserve"> BTM</w:t>
      </w:r>
      <w:r w:rsidRPr="00136BC7">
        <w:t xml:space="preserve"> </w:t>
      </w:r>
      <w:r w:rsidRPr="002B6D59">
        <w:t>se</w:t>
      </w:r>
      <w:r w:rsidRPr="00677DC5">
        <w:t>ed</w:t>
      </w:r>
      <w:r w:rsidRPr="005578B5">
        <w:t>in</w:t>
      </w:r>
      <w:r w:rsidRPr="00995696">
        <w:t xml:space="preserve">g </w:t>
      </w:r>
      <w:r w:rsidRPr="001D5498">
        <w:t>rat</w:t>
      </w:r>
      <w:r w:rsidRPr="00BA5362">
        <w:t>es</w:t>
      </w:r>
      <w:r w:rsidRPr="000D6E9A">
        <w:t xml:space="preserve"> were </w:t>
      </w:r>
      <w:r>
        <w:t>similar at both sites</w:t>
      </w:r>
      <w:r w:rsidRPr="000D6E9A">
        <w:t xml:space="preserve">.  </w:t>
      </w:r>
    </w:p>
    <w:p w14:paraId="27A3525F" w14:textId="77777777" w:rsidR="003C00F4" w:rsidRDefault="003C00F4" w:rsidP="00A539F2">
      <w:pPr>
        <w:spacing w:after="100" w:afterAutospacing="1"/>
        <w:ind w:firstLine="720"/>
      </w:pPr>
      <w:r>
        <w:t>Switchgrass biomass DM yields were also similar to those reported in</w:t>
      </w:r>
      <w:r w:rsidRPr="000D6E9A">
        <w:t xml:space="preserve"> </w:t>
      </w:r>
      <w:r>
        <w:t xml:space="preserve">previous </w:t>
      </w:r>
      <w:r w:rsidRPr="000D6E9A">
        <w:t>studies</w:t>
      </w:r>
      <w:r>
        <w:t>,</w:t>
      </w:r>
      <w:r w:rsidRPr="000D6E9A">
        <w:t xml:space="preserve"> ranging from 4.0-8.0 Mg ha</w:t>
      </w:r>
      <w:r w:rsidRPr="000D6E9A">
        <w:rPr>
          <w:vertAlign w:val="superscript"/>
        </w:rPr>
        <w:t>-1</w:t>
      </w:r>
      <w:r w:rsidRPr="000D6E9A">
        <w:t xml:space="preserve"> (Hedtcke et al., 2014</w:t>
      </w:r>
      <w:r>
        <w:t xml:space="preserve">; </w:t>
      </w:r>
      <w:r w:rsidRPr="000D6E9A">
        <w:t xml:space="preserve">Keyser et al., 2016a, 2016b).  </w:t>
      </w:r>
      <w:r>
        <w:t>Yields from the SG experiment</w:t>
      </w:r>
      <w:r w:rsidRPr="000D6E9A">
        <w:t xml:space="preserve"> were consistent with those reported by</w:t>
      </w:r>
      <w:r>
        <w:t xml:space="preserve"> Cossar and Baldwin (2002)</w:t>
      </w:r>
      <w:bookmarkStart w:id="274" w:name="_Hlk50072185"/>
      <w:r>
        <w:t>.  However, yields were contrary to those later reported by Horton et al. (2004) which found no difference in SG biomass yield when replicating the Cossar and Baldwin (2002) study.</w:t>
      </w:r>
      <w:bookmarkEnd w:id="274"/>
      <w:r>
        <w:t xml:space="preserve">  </w:t>
      </w:r>
      <w:r w:rsidRPr="000D6E9A">
        <w:t xml:space="preserve">Keyser et al. (2016b) </w:t>
      </w:r>
      <w:r>
        <w:t>noted</w:t>
      </w:r>
      <w:r w:rsidRPr="000D6E9A">
        <w:t xml:space="preserve"> SG biomass yield increased until a threshold of 8 plants m</w:t>
      </w:r>
      <w:r w:rsidRPr="000D6E9A">
        <w:rPr>
          <w:vertAlign w:val="superscript"/>
        </w:rPr>
        <w:t>-2</w:t>
      </w:r>
      <w:r w:rsidRPr="000D6E9A">
        <w:t xml:space="preserve"> and plateaued </w:t>
      </w:r>
      <w:r>
        <w:t xml:space="preserve">at densities </w:t>
      </w:r>
      <w:r w:rsidRPr="000D6E9A">
        <w:t>beyond 10 plants m</w:t>
      </w:r>
      <w:r w:rsidRPr="000D6E9A">
        <w:rPr>
          <w:vertAlign w:val="superscript"/>
        </w:rPr>
        <w:t>-2</w:t>
      </w:r>
      <w:r w:rsidRPr="000D6E9A">
        <w:t>.  Similarly, in the current study, SG bio</w:t>
      </w:r>
      <w:r w:rsidRPr="008617CC">
        <w:t>m</w:t>
      </w:r>
      <w:r w:rsidRPr="002B6D59">
        <w:t>a</w:t>
      </w:r>
      <w:r w:rsidRPr="00677DC5">
        <w:t>s</w:t>
      </w:r>
      <w:r w:rsidRPr="005578B5">
        <w:t>s</w:t>
      </w:r>
      <w:r w:rsidRPr="000D6E9A">
        <w:t xml:space="preserve"> DM yield increased until reaching 8 plants m</w:t>
      </w:r>
      <w:r w:rsidRPr="000D6E9A">
        <w:rPr>
          <w:vertAlign w:val="superscript"/>
        </w:rPr>
        <w:t>-2</w:t>
      </w:r>
      <w:r w:rsidRPr="000D6E9A">
        <w:t xml:space="preserve"> </w:t>
      </w:r>
      <w:r>
        <w:t>at Site 1</w:t>
      </w:r>
      <w:r w:rsidRPr="000D6E9A">
        <w:t xml:space="preserve"> and plateaued beyond 10 plants m</w:t>
      </w:r>
      <w:r w:rsidRPr="000D6E9A">
        <w:rPr>
          <w:vertAlign w:val="superscript"/>
        </w:rPr>
        <w:t>-2</w:t>
      </w:r>
      <w:r w:rsidRPr="000D6E9A">
        <w:t xml:space="preserve"> </w:t>
      </w:r>
      <w:r>
        <w:t>at Site 2</w:t>
      </w:r>
      <w:r w:rsidRPr="000D6E9A">
        <w:t>.</w:t>
      </w:r>
      <w:r>
        <w:t xml:space="preserve">  </w:t>
      </w:r>
      <w:r w:rsidRPr="000D6E9A">
        <w:t xml:space="preserve">The </w:t>
      </w:r>
      <w:r>
        <w:t>concept of stocking threshold for yield</w:t>
      </w:r>
      <w:r w:rsidRPr="000D6E9A" w:rsidDel="002E25D3">
        <w:t xml:space="preserve"> </w:t>
      </w:r>
      <w:r>
        <w:t>was further reinforced by the sizeable</w:t>
      </w:r>
      <w:r w:rsidRPr="000D6E9A">
        <w:t xml:space="preserve"> difference in bio</w:t>
      </w:r>
      <w:r w:rsidRPr="008617CC">
        <w:t>m</w:t>
      </w:r>
      <w:r w:rsidRPr="002B6D59">
        <w:t>a</w:t>
      </w:r>
      <w:r w:rsidRPr="00677DC5">
        <w:t>s</w:t>
      </w:r>
      <w:r w:rsidRPr="005578B5">
        <w:t>s</w:t>
      </w:r>
      <w:r w:rsidRPr="00995696">
        <w:t xml:space="preserve"> DM</w:t>
      </w:r>
      <w:r w:rsidRPr="000D6E9A">
        <w:t xml:space="preserve"> yield for</w:t>
      </w:r>
      <w:r>
        <w:t xml:space="preserve"> the unplanted </w:t>
      </w:r>
      <w:r>
        <w:lastRenderedPageBreak/>
        <w:t>controls between Site 1 (5.10 Mg ha</w:t>
      </w:r>
      <w:r w:rsidRPr="00253B89">
        <w:rPr>
          <w:vertAlign w:val="superscript"/>
        </w:rPr>
        <w:t>-1</w:t>
      </w:r>
      <w:r>
        <w:t>) and Site 2 (2.67 Mg ha</w:t>
      </w:r>
      <w:r w:rsidRPr="00253B89">
        <w:rPr>
          <w:vertAlign w:val="superscript"/>
        </w:rPr>
        <w:t>-1</w:t>
      </w:r>
      <w:r>
        <w:t xml:space="preserve">).  Despite the five-fold greater number of seedlings at Site 1 (42.9 seedlings </w:t>
      </w:r>
      <w:r w:rsidRPr="000D6E9A">
        <w:t>m</w:t>
      </w:r>
      <w:r w:rsidRPr="000D6E9A">
        <w:rPr>
          <w:vertAlign w:val="superscript"/>
        </w:rPr>
        <w:t>-2</w:t>
      </w:r>
      <w:r w:rsidRPr="000D6E9A">
        <w:t xml:space="preserve">) than </w:t>
      </w:r>
      <w:r>
        <w:t xml:space="preserve">at Site 2 </w:t>
      </w:r>
      <w:r w:rsidRPr="000D6E9A">
        <w:t>(8.5 seedlings m</w:t>
      </w:r>
      <w:r w:rsidRPr="000D6E9A">
        <w:rPr>
          <w:vertAlign w:val="superscript"/>
        </w:rPr>
        <w:t>-2</w:t>
      </w:r>
      <w:r w:rsidRPr="000D6E9A">
        <w:t xml:space="preserve">), yields </w:t>
      </w:r>
      <w:r>
        <w:t>were only 1.9 times greater</w:t>
      </w:r>
      <w:r w:rsidRPr="000D6E9A">
        <w:t xml:space="preserve">.  Although this may have been the result of factors other than SG plant density, it may also suggest a plant density-dependent threshold for SG plant population.  Another reasonable explanation is that the plants in the </w:t>
      </w:r>
      <w:r>
        <w:t xml:space="preserve">Site 2 </w:t>
      </w:r>
      <w:r w:rsidRPr="000D6E9A">
        <w:t xml:space="preserve">control were not as individually vigorous or well developed as those from </w:t>
      </w:r>
      <w:r>
        <w:t>Site 1</w:t>
      </w:r>
      <w:r w:rsidRPr="000D6E9A">
        <w:t xml:space="preserve">.  </w:t>
      </w:r>
      <w:r>
        <w:t xml:space="preserve">Mean monthly air temperature and total monthly precipitation, which were greater than the 30-year mean for April and May for Site 2, may have moderated the difference in yield between the two sites.  Lee and Boe (2005) found a strong linear relationship between maximum SG biomass production and April through May precipitation in South Dakota.   </w:t>
      </w:r>
    </w:p>
    <w:p w14:paraId="549CAC2F" w14:textId="53A740AB" w:rsidR="003C00F4" w:rsidRDefault="003C00F4" w:rsidP="003C00F4">
      <w:pPr>
        <w:pStyle w:val="AgronomyJournalSectionTitles"/>
      </w:pPr>
      <w:bookmarkStart w:id="275" w:name="_Toc72305446"/>
      <w:r>
        <w:t>CONCLUSIONS</w:t>
      </w:r>
      <w:bookmarkEnd w:id="275"/>
    </w:p>
    <w:p w14:paraId="64D850C1" w14:textId="77777777" w:rsidR="003C00F4" w:rsidRDefault="003C00F4" w:rsidP="00A539F2">
      <w:pPr>
        <w:spacing w:after="100" w:afterAutospacing="1"/>
        <w:ind w:firstLine="720"/>
      </w:pPr>
      <w:r>
        <w:t xml:space="preserve">Defoliation strategy </w:t>
      </w:r>
      <w:r w:rsidRPr="000D6E9A">
        <w:t xml:space="preserve">did not affect BB or SG seedling establishment.  Timelier implementation of canopy treatments may have had a greater impact on the results.  Furthermore, the rapid growth rate of the well-established BTM </w:t>
      </w:r>
      <w:r>
        <w:t>at Site 1</w:t>
      </w:r>
      <w:r w:rsidRPr="000D6E9A">
        <w:t xml:space="preserve"> made more precise timing of treatments difficult.  Conversely, the lack of a consistent effect from </w:t>
      </w:r>
      <w:r>
        <w:t>defoliation strategies</w:t>
      </w:r>
      <w:r w:rsidRPr="000D6E9A">
        <w:t xml:space="preserve"> may suggest producers could have some flexibility in implementing </w:t>
      </w:r>
      <w:r>
        <w:t>these</w:t>
      </w:r>
      <w:r w:rsidRPr="000D6E9A">
        <w:t xml:space="preserve"> treatments.  All BTM seeding rates resulted in acceptable stands (≥ 5.4 plants m</w:t>
      </w:r>
      <w:r w:rsidRPr="000D6E9A">
        <w:rPr>
          <w:vertAlign w:val="superscript"/>
        </w:rPr>
        <w:t>-2</w:t>
      </w:r>
      <w:r w:rsidRPr="000D6E9A">
        <w:t xml:space="preserve">; </w:t>
      </w:r>
      <w:bookmarkStart w:id="276" w:name="_Hlk61292190"/>
      <w:r w:rsidRPr="000D6E9A">
        <w:t>Keyser</w:t>
      </w:r>
      <w:r>
        <w:t xml:space="preserve"> et al.</w:t>
      </w:r>
      <w:r w:rsidRPr="000D6E9A">
        <w:t>, 2011</w:t>
      </w:r>
      <w:bookmarkEnd w:id="276"/>
      <w:r w:rsidRPr="000D6E9A">
        <w:t xml:space="preserve">) of BB </w:t>
      </w:r>
      <w:r>
        <w:t>at Site 1</w:t>
      </w:r>
      <w:r w:rsidRPr="000D6E9A">
        <w:t xml:space="preserve"> and </w:t>
      </w:r>
      <w:r>
        <w:t xml:space="preserve">both </w:t>
      </w:r>
      <w:r w:rsidRPr="000D6E9A">
        <w:t xml:space="preserve">BB and SG </w:t>
      </w:r>
      <w:r>
        <w:t>at Site 2</w:t>
      </w:r>
      <w:r w:rsidRPr="000D6E9A">
        <w:t>, whereas only the control allowed for acceptable stands of SG (8.5 ± 2.1 plants m</w:t>
      </w:r>
      <w:r w:rsidRPr="000D6E9A">
        <w:rPr>
          <w:vertAlign w:val="superscript"/>
        </w:rPr>
        <w:t>-2</w:t>
      </w:r>
      <w:r w:rsidRPr="000D6E9A">
        <w:t xml:space="preserve">) </w:t>
      </w:r>
      <w:r>
        <w:t>at Site 1</w:t>
      </w:r>
      <w:r w:rsidRPr="000D6E9A">
        <w:t xml:space="preserve">.  Timing of BTM plantings and precipitation patterns appear to be an important consideration for using this species as a </w:t>
      </w:r>
      <w:r>
        <w:t>companion</w:t>
      </w:r>
      <w:r w:rsidRPr="000D6E9A">
        <w:t xml:space="preserve"> crop for improving BB or SG establishment.  Precipitation between seeding the NWSG and BTM </w:t>
      </w:r>
      <w:r>
        <w:t xml:space="preserve">at Site 2 </w:t>
      </w:r>
      <w:r w:rsidRPr="000D6E9A">
        <w:t xml:space="preserve">was </w:t>
      </w:r>
      <w:r>
        <w:t>greater</w:t>
      </w:r>
      <w:r w:rsidRPr="000D6E9A">
        <w:t xml:space="preserve"> than that </w:t>
      </w:r>
      <w:r>
        <w:t xml:space="preserve">at Site </w:t>
      </w:r>
      <w:r>
        <w:lastRenderedPageBreak/>
        <w:t xml:space="preserve">1 </w:t>
      </w:r>
      <w:r w:rsidRPr="000D6E9A">
        <w:t>leading to substantially greater weed germination prior to emergence of BTM</w:t>
      </w:r>
      <w:r>
        <w:t xml:space="preserve"> at Site 2</w:t>
      </w:r>
      <w:r w:rsidRPr="000D6E9A">
        <w:t xml:space="preserve">.  Thus, </w:t>
      </w:r>
      <w:r>
        <w:t>Site 1</w:t>
      </w:r>
      <w:r w:rsidRPr="000D6E9A">
        <w:t xml:space="preserve"> BTM stands were more developed and appeared to be more competitive with weed seedlings.  </w:t>
      </w:r>
      <w:r>
        <w:t>At Site 2</w:t>
      </w:r>
      <w:r w:rsidRPr="000D6E9A">
        <w:t xml:space="preserve">, on the other hand, weeds were well developed by the time BTM seedlings emerged in large numbers, thus reducing BTM vigor.  Regardless, lower BTM seeding rates produced greater BB and SG </w:t>
      </w:r>
      <w:r>
        <w:t xml:space="preserve">dormancy </w:t>
      </w:r>
      <w:r w:rsidRPr="0060629C">
        <w:t>plant</w:t>
      </w:r>
      <w:r w:rsidRPr="000D6E9A">
        <w:t xml:space="preserve"> density and greater second-year bi</w:t>
      </w:r>
      <w:r w:rsidRPr="008617CC">
        <w:t>o</w:t>
      </w:r>
      <w:r w:rsidRPr="002B6D59">
        <w:t>m</w:t>
      </w:r>
      <w:r w:rsidRPr="00677DC5">
        <w:t>a</w:t>
      </w:r>
      <w:r w:rsidRPr="005578B5">
        <w:t>s</w:t>
      </w:r>
      <w:r w:rsidRPr="00995696">
        <w:t>s</w:t>
      </w:r>
      <w:r w:rsidRPr="001D5498">
        <w:t xml:space="preserve"> </w:t>
      </w:r>
      <w:r w:rsidRPr="00BA5362">
        <w:t>DM</w:t>
      </w:r>
      <w:r w:rsidRPr="000D6E9A">
        <w:t xml:space="preserve"> yields </w:t>
      </w:r>
      <w:r>
        <w:t>at Site 1</w:t>
      </w:r>
      <w:r w:rsidRPr="000D6E9A">
        <w:t xml:space="preserve">, but not </w:t>
      </w:r>
      <w:r>
        <w:t>at Site 2</w:t>
      </w:r>
      <w:r w:rsidRPr="000D6E9A">
        <w:t>.</w:t>
      </w:r>
      <w:r>
        <w:t xml:space="preserve"> </w:t>
      </w:r>
    </w:p>
    <w:p w14:paraId="41B01334" w14:textId="3A6E8EF8" w:rsidR="003C00F4" w:rsidRDefault="003C00F4" w:rsidP="003C00F4">
      <w:pPr>
        <w:pStyle w:val="AgronomyJournalSectionTitles"/>
      </w:pPr>
      <w:bookmarkStart w:id="277" w:name="_Toc72305447"/>
      <w:r>
        <w:t>ACKNOWLEDG</w:t>
      </w:r>
      <w:r w:rsidR="00230FED">
        <w:t>E</w:t>
      </w:r>
      <w:r>
        <w:t>MENTS</w:t>
      </w:r>
      <w:bookmarkEnd w:id="277"/>
    </w:p>
    <w:p w14:paraId="32A2BFC1" w14:textId="77777777" w:rsidR="003C00F4" w:rsidRDefault="003C00F4" w:rsidP="003C00F4">
      <w:pPr>
        <w:pStyle w:val="ListParagraph"/>
        <w:spacing w:line="480" w:lineRule="auto"/>
        <w:ind w:left="0" w:firstLine="720"/>
        <w:sectPr w:rsidR="003C00F4" w:rsidSect="00A539F2">
          <w:pgSz w:w="12240" w:h="15840"/>
          <w:pgMar w:top="1440" w:right="1800" w:bottom="1872" w:left="1800" w:header="720" w:footer="720" w:gutter="0"/>
          <w:cols w:space="720"/>
          <w:titlePg/>
          <w:docGrid w:linePitch="360"/>
        </w:sectPr>
      </w:pPr>
      <w:r>
        <w:t xml:space="preserve">The authors thank the Director, Bobby Simpson, and dedicated staff of the UTIA East Tennessee AgResearch and Education Center-Plant Science Unit, seasonal technicians Ken Goddard and Aundrea Richwine, and Dr. Arnold Saxton for his assistance with statistical analysis.  Support for this research was obtained from USDA-AFRI award no: 2015-67028-23537 as well as USDA Hatch Project TEN00547.    </w:t>
      </w:r>
    </w:p>
    <w:p w14:paraId="1021508A" w14:textId="35480D55" w:rsidR="003C00F4" w:rsidRDefault="003C00F4" w:rsidP="003C00F4">
      <w:pPr>
        <w:pStyle w:val="AgronomyJournalSectionTitles"/>
      </w:pPr>
      <w:bookmarkStart w:id="278" w:name="_Toc72305448"/>
      <w:r>
        <w:lastRenderedPageBreak/>
        <w:t>REFERENCES</w:t>
      </w:r>
      <w:bookmarkEnd w:id="278"/>
    </w:p>
    <w:p w14:paraId="57F1FB7B" w14:textId="04489962" w:rsidR="003C00F4" w:rsidRDefault="003C00F4" w:rsidP="003C00F4">
      <w:pPr>
        <w:pStyle w:val="ListParagraph"/>
      </w:pPr>
      <w:r w:rsidRPr="006E2709">
        <w:t>Aiken, G.E., and T.L. Springer. 1995. Seed size distribution, germination, and emergence of six switchgrass cultivars. J. Range Manage. 48:455–458.</w:t>
      </w:r>
    </w:p>
    <w:p w14:paraId="703104BD" w14:textId="77777777" w:rsidR="003C00F4" w:rsidRPr="006E2709" w:rsidRDefault="003C00F4" w:rsidP="003C00F4">
      <w:pPr>
        <w:pStyle w:val="ListParagraph"/>
      </w:pPr>
    </w:p>
    <w:p w14:paraId="7949714D" w14:textId="238FB315" w:rsidR="003C00F4" w:rsidRDefault="003C00F4" w:rsidP="003C00F4">
      <w:pPr>
        <w:pStyle w:val="ListParagraph"/>
      </w:pPr>
      <w:r w:rsidRPr="006E2709">
        <w:t>Anderson, E.K., G.A. Bollero, M.W. Maughan, A.S. Parrish, T.B. Voigt, and D.K. Lee. 2016. Establishing switchgrass with a corn companion crop to improve economic profitability. Agron. J. 108:662–669.</w:t>
      </w:r>
    </w:p>
    <w:p w14:paraId="5AD6002C" w14:textId="77777777" w:rsidR="003C00F4" w:rsidRDefault="003C00F4" w:rsidP="003C00F4">
      <w:pPr>
        <w:pStyle w:val="ListParagraph"/>
      </w:pPr>
    </w:p>
    <w:p w14:paraId="118C8C17" w14:textId="5ED18621" w:rsidR="003C00F4" w:rsidRDefault="003C00F4" w:rsidP="003C00F4">
      <w:pPr>
        <w:pStyle w:val="ListParagraph"/>
      </w:pPr>
      <w:r>
        <w:t>Ashworth, A.J., F.L. Allen, P.D. Keyser, D.D. Tyler, A.M. Saxton, and A.M. Taylor. 2015. Switchgrass yield and stand dynamics from legume intercropping based on seeding rate and harvest management. J. Soil Water Conserv. 70:374-384.</w:t>
      </w:r>
    </w:p>
    <w:p w14:paraId="27137A47" w14:textId="77777777" w:rsidR="003C00F4" w:rsidRPr="006E2709" w:rsidRDefault="003C00F4" w:rsidP="003C00F4">
      <w:pPr>
        <w:pStyle w:val="ListParagraph"/>
        <w:rPr>
          <w:b/>
        </w:rPr>
      </w:pPr>
    </w:p>
    <w:p w14:paraId="57E6FE3C" w14:textId="3146CAEA" w:rsidR="003C00F4" w:rsidRDefault="003C00F4" w:rsidP="003C00F4">
      <w:pPr>
        <w:pStyle w:val="ListParagraph"/>
      </w:pPr>
      <w:r w:rsidRPr="006E2709">
        <w:t>Backus, W. M., J.C. Waller, G.E. Bates, C.A. Harper, A.</w:t>
      </w:r>
      <w:r>
        <w:t xml:space="preserve"> </w:t>
      </w:r>
      <w:r w:rsidRPr="006E2709">
        <w:t>Saxton, D.W. McIntosh, J.</w:t>
      </w:r>
      <w:r>
        <w:t xml:space="preserve"> </w:t>
      </w:r>
      <w:r w:rsidRPr="006E2709">
        <w:t>Birckhead, and P.D. Keyser. 2017. Management of native warm-season grasses for beef cattle and biomass production in the Mid-South USA. J</w:t>
      </w:r>
      <w:r>
        <w:t>.</w:t>
      </w:r>
      <w:r w:rsidRPr="006E2709">
        <w:t xml:space="preserve"> Anim</w:t>
      </w:r>
      <w:r>
        <w:t>.</w:t>
      </w:r>
      <w:r w:rsidRPr="006E2709">
        <w:t xml:space="preserve"> Sci</w:t>
      </w:r>
      <w:r>
        <w:t>.</w:t>
      </w:r>
      <w:r w:rsidRPr="006E2709">
        <w:t xml:space="preserve"> 95:3143–3153.</w:t>
      </w:r>
    </w:p>
    <w:p w14:paraId="03E333AD" w14:textId="77777777" w:rsidR="003C00F4" w:rsidRPr="006E2709" w:rsidRDefault="003C00F4" w:rsidP="003C00F4">
      <w:pPr>
        <w:pStyle w:val="ListParagraph"/>
      </w:pPr>
    </w:p>
    <w:p w14:paraId="53B42042" w14:textId="3E421DF5" w:rsidR="003C00F4" w:rsidRDefault="003C00F4" w:rsidP="003C00F4">
      <w:pPr>
        <w:pStyle w:val="ListParagraph"/>
      </w:pPr>
      <w:r w:rsidRPr="006E2709">
        <w:t>Boyer, C.N., D.D. Tyler, R.K. Roberts, B.C. English, and J.A. Larson. 2012. Yield response functions and profit maximizing nitrogen rate by soil types. Agron</w:t>
      </w:r>
      <w:r>
        <w:t>.</w:t>
      </w:r>
      <w:r w:rsidRPr="006E2709">
        <w:t xml:space="preserve"> J. 104:1579–1588.</w:t>
      </w:r>
    </w:p>
    <w:p w14:paraId="09841CFE" w14:textId="77777777" w:rsidR="003C00F4" w:rsidRPr="006E2709" w:rsidRDefault="003C00F4" w:rsidP="003C00F4">
      <w:pPr>
        <w:pStyle w:val="ListParagraph"/>
      </w:pPr>
    </w:p>
    <w:p w14:paraId="4046635C" w14:textId="2C58FFB6" w:rsidR="003C00F4" w:rsidRDefault="003C00F4" w:rsidP="003C00F4">
      <w:pPr>
        <w:pStyle w:val="ListParagraph"/>
      </w:pPr>
      <w:r w:rsidRPr="006E2709">
        <w:t>Burns, J.C., and D.S. Fisher. 2013. Steer performance and pas</w:t>
      </w:r>
      <w:r w:rsidRPr="006E2709">
        <w:softHyphen/>
        <w:t>ture productivity among five perennial warm-season grasses. Agron. J. 105:113–123.</w:t>
      </w:r>
    </w:p>
    <w:p w14:paraId="6D56AEDF" w14:textId="77777777" w:rsidR="003C00F4" w:rsidRPr="006E2709" w:rsidRDefault="003C00F4" w:rsidP="003C00F4">
      <w:pPr>
        <w:pStyle w:val="ListParagraph"/>
      </w:pPr>
    </w:p>
    <w:p w14:paraId="675EA307" w14:textId="317FA556" w:rsidR="003C00F4" w:rsidRDefault="003C00F4" w:rsidP="003C00F4">
      <w:pPr>
        <w:pStyle w:val="ListParagraph"/>
      </w:pPr>
      <w:r w:rsidRPr="006E2709">
        <w:t>Buttrey, E.K., B.W. Bean, F.T. McCollum III, R.E. Brandon, Q. Xue, and T.H. Marek. 2011. Yield, water use efficiency, and nutritive value of six warm-season perennial grasses in response to irrigation level. Online. Forage and Grazinglands. doi:10.1094/FG-2011-1021-01-RS.</w:t>
      </w:r>
    </w:p>
    <w:p w14:paraId="08F6A5B1" w14:textId="77777777" w:rsidR="003C00F4" w:rsidRDefault="003C00F4" w:rsidP="003C00F4">
      <w:pPr>
        <w:pStyle w:val="ListParagraph"/>
      </w:pPr>
    </w:p>
    <w:p w14:paraId="34A11EE2" w14:textId="793F3BC8" w:rsidR="003C00F4" w:rsidRDefault="003C00F4" w:rsidP="003C00F4">
      <w:pPr>
        <w:pStyle w:val="ListParagraph"/>
      </w:pPr>
      <w:bookmarkStart w:id="279" w:name="_Hlk50064604"/>
      <w:r w:rsidRPr="00547EB4">
        <w:t xml:space="preserve">Cossar, R.D., and B.S. Baldwin. 2002. Establishment of switchgrass with sorghum‐sudangrass. </w:t>
      </w:r>
      <w:r w:rsidRPr="00E6153F">
        <w:rPr>
          <w:i/>
          <w:iCs/>
        </w:rPr>
        <w:t>In</w:t>
      </w:r>
      <w:r w:rsidRPr="00547EB4">
        <w:t xml:space="preserve">: J. Randall </w:t>
      </w:r>
      <w:r>
        <w:t xml:space="preserve">and </w:t>
      </w:r>
      <w:r w:rsidRPr="00547EB4">
        <w:t>J.C. Burns, eds</w:t>
      </w:r>
      <w:r>
        <w:t>.</w:t>
      </w:r>
      <w:r w:rsidRPr="00547EB4">
        <w:t xml:space="preserve"> Proceedings of the Third Eastern Native Grass Symposium, Chapel Hill, NC. 1–3 Oct. Omnipress, Madison, WI. p. 98–102.</w:t>
      </w:r>
    </w:p>
    <w:p w14:paraId="09E5689D" w14:textId="77777777" w:rsidR="003C00F4" w:rsidRPr="006E2709" w:rsidRDefault="003C00F4" w:rsidP="003C00F4">
      <w:pPr>
        <w:pStyle w:val="ListParagraph"/>
      </w:pPr>
    </w:p>
    <w:bookmarkEnd w:id="279"/>
    <w:p w14:paraId="242A87B0" w14:textId="507C5733" w:rsidR="003C00F4" w:rsidRDefault="003C00F4" w:rsidP="003C00F4">
      <w:pPr>
        <w:pStyle w:val="ListParagraph"/>
      </w:pPr>
      <w:r w:rsidRPr="006E2709">
        <w:t>Curran, W.S., M.R. Ryan, M.W. Myers, and P.R. Adler. 2011. Effectiveness of sulfosulfuron and quinclorac for weed control during switchgrass establishment. Weed Technol. 25:598–603. doi:10.1614/WT-D-11-00010.1</w:t>
      </w:r>
    </w:p>
    <w:p w14:paraId="4D2A201C" w14:textId="77777777" w:rsidR="003C00F4" w:rsidRPr="006E2709" w:rsidRDefault="003C00F4" w:rsidP="003C00F4">
      <w:pPr>
        <w:pStyle w:val="ListParagraph"/>
      </w:pPr>
    </w:p>
    <w:p w14:paraId="0EA43EA3" w14:textId="641EB12E" w:rsidR="003C00F4" w:rsidRDefault="003C00F4" w:rsidP="003C00F4">
      <w:pPr>
        <w:pStyle w:val="ListParagraph"/>
      </w:pPr>
      <w:r w:rsidRPr="006E2709">
        <w:t>Gilley, J.E., B. Eghball, L.A. Kramer, and T.B. Moorman. 2000. Narrow grass hedge effects on runoff and soil loss. J. Soil Water Cons. 55:190–196</w:t>
      </w:r>
    </w:p>
    <w:p w14:paraId="088017D8" w14:textId="77777777" w:rsidR="003C00F4" w:rsidRPr="006E2709" w:rsidRDefault="003C00F4" w:rsidP="003C00F4">
      <w:pPr>
        <w:pStyle w:val="ListParagraph"/>
      </w:pPr>
    </w:p>
    <w:p w14:paraId="4E03A292" w14:textId="351F5CB0" w:rsidR="003C00F4" w:rsidRDefault="003C00F4" w:rsidP="003C00F4">
      <w:pPr>
        <w:pStyle w:val="ListParagraph"/>
      </w:pPr>
      <w:r w:rsidRPr="006E2709">
        <w:t>Guretzky, J.A., J.T. Biermacher, B.J. Cook, M.K. Kering, and J. Mosali. 2011. Switchgrass for forage and bioenergy: Harvest and nitrogen rate effects on biomass yields and nutrient com</w:t>
      </w:r>
      <w:r w:rsidRPr="006E2709">
        <w:softHyphen/>
        <w:t>position. Plant Soil 339:69–81.</w:t>
      </w:r>
    </w:p>
    <w:p w14:paraId="0F338DA7" w14:textId="77777777" w:rsidR="003C00F4" w:rsidRPr="006E2709" w:rsidRDefault="003C00F4" w:rsidP="003C00F4">
      <w:pPr>
        <w:pStyle w:val="ListParagraph"/>
      </w:pPr>
    </w:p>
    <w:p w14:paraId="7C808D15" w14:textId="47CDFE9C" w:rsidR="003C00F4" w:rsidRDefault="003C00F4" w:rsidP="003C00F4">
      <w:pPr>
        <w:pStyle w:val="ListParagraph"/>
      </w:pPr>
      <w:r w:rsidRPr="006E2709">
        <w:t>Harper, C.A., J.L. Birckhead, P.D. Keyser, J.C. Waller, M.M. Backus, G.E. Bates, E.D. Holcomb, and J.M. Brooke. 2015. Avian habitat following grazing native warm- season forages in the Mid-South United States. Rangeland Ecol</w:t>
      </w:r>
      <w:r>
        <w:t>.</w:t>
      </w:r>
      <w:r w:rsidRPr="006E2709">
        <w:t xml:space="preserve"> Manage</w:t>
      </w:r>
      <w:r>
        <w:t>.</w:t>
      </w:r>
      <w:r w:rsidRPr="006E2709">
        <w:t xml:space="preserve"> 68:166–172.</w:t>
      </w:r>
    </w:p>
    <w:p w14:paraId="6AB15ADC" w14:textId="4CBB0F32" w:rsidR="003C00F4" w:rsidRDefault="003C00F4" w:rsidP="003C00F4">
      <w:pPr>
        <w:pStyle w:val="ListParagraph"/>
      </w:pPr>
      <w:r w:rsidRPr="006E2709">
        <w:lastRenderedPageBreak/>
        <w:t xml:space="preserve">Hedtcke, J.L., G.R. Sanford, K.E. Hadley, and K.D. Thelen. 2014. Maximizing land use during switchgrass establishment in the North Central United States. Agron. J. 106:596–604. </w:t>
      </w:r>
    </w:p>
    <w:p w14:paraId="3F42D259" w14:textId="77777777" w:rsidR="003C00F4" w:rsidRPr="006E2709" w:rsidRDefault="003C00F4" w:rsidP="003C00F4">
      <w:pPr>
        <w:pStyle w:val="ListParagraph"/>
      </w:pPr>
    </w:p>
    <w:p w14:paraId="30F78A0E" w14:textId="018C6A5E" w:rsidR="003C00F4" w:rsidRDefault="003C00F4" w:rsidP="003C00F4">
      <w:pPr>
        <w:pStyle w:val="ListParagraph"/>
      </w:pPr>
      <w:r w:rsidRPr="006E2709">
        <w:t>Hintz, R.L., K.R. Harmoney, K.J. Moore, J.R. George, and E.C. Brummer. 1998. Establishment of switchgrass and big bluestem in corn with atrazine. Agron. J. 90:591–596.</w:t>
      </w:r>
    </w:p>
    <w:p w14:paraId="02D936F3" w14:textId="77777777" w:rsidR="003C00F4" w:rsidRDefault="003C00F4" w:rsidP="003C00F4">
      <w:pPr>
        <w:pStyle w:val="ListParagraph"/>
      </w:pPr>
    </w:p>
    <w:p w14:paraId="237816A6" w14:textId="621DAE7D" w:rsidR="003C00F4" w:rsidRDefault="003C00F4" w:rsidP="003C00F4">
      <w:pPr>
        <w:pStyle w:val="ListParagraph"/>
      </w:pPr>
      <w:r>
        <w:t>Horton, D.S.</w:t>
      </w:r>
      <w:r w:rsidRPr="00547EB4">
        <w:t xml:space="preserve"> B.S. Baldwin</w:t>
      </w:r>
      <w:r>
        <w:t>, and R.D. Cossar</w:t>
      </w:r>
      <w:r w:rsidRPr="00547EB4">
        <w:t>. 200</w:t>
      </w:r>
      <w:r>
        <w:t>4</w:t>
      </w:r>
      <w:r w:rsidRPr="00547EB4">
        <w:t xml:space="preserve">. </w:t>
      </w:r>
      <w:r>
        <w:t>Yield and population density changes of switchgrass es</w:t>
      </w:r>
      <w:r w:rsidRPr="00547EB4">
        <w:t>tablish</w:t>
      </w:r>
      <w:r>
        <w:t>ed</w:t>
      </w:r>
      <w:r w:rsidRPr="00547EB4">
        <w:t xml:space="preserve"> </w:t>
      </w:r>
      <w:r>
        <w:t>under sorghum/sudangrass</w:t>
      </w:r>
      <w:r w:rsidRPr="00547EB4">
        <w:t xml:space="preserve">. </w:t>
      </w:r>
      <w:r w:rsidRPr="009007EF">
        <w:rPr>
          <w:i/>
          <w:iCs/>
        </w:rPr>
        <w:t>In</w:t>
      </w:r>
      <w:r w:rsidRPr="00547EB4">
        <w:t xml:space="preserve">: </w:t>
      </w:r>
      <w:r w:rsidRPr="0064074D">
        <w:t>T.</w:t>
      </w:r>
      <w:r w:rsidRPr="00D44646">
        <w:t xml:space="preserve">J. </w:t>
      </w:r>
      <w:r w:rsidRPr="00AF7B86">
        <w:t>Barnes, ed</w:t>
      </w:r>
      <w:r w:rsidRPr="00FA3583">
        <w:t>.</w:t>
      </w:r>
      <w:r w:rsidRPr="00B22508">
        <w:t xml:space="preserve">, Proceedings of the </w:t>
      </w:r>
      <w:r w:rsidRPr="00884961">
        <w:t xml:space="preserve">Fourth Eastern Native Grass Symposium, </w:t>
      </w:r>
      <w:r w:rsidRPr="008E6813">
        <w:t>Lexington, KY</w:t>
      </w:r>
      <w:r w:rsidRPr="009F1EB7">
        <w:t xml:space="preserve">. </w:t>
      </w:r>
      <w:r w:rsidRPr="00AF7B86">
        <w:t>3</w:t>
      </w:r>
      <w:r w:rsidRPr="0064074D">
        <w:t>–</w:t>
      </w:r>
      <w:r w:rsidRPr="00AF7B86">
        <w:t>6</w:t>
      </w:r>
      <w:r w:rsidRPr="0064074D">
        <w:t xml:space="preserve"> Oct. 200</w:t>
      </w:r>
      <w:r w:rsidRPr="00AF7B86">
        <w:t>4.</w:t>
      </w:r>
      <w:r w:rsidRPr="0064074D">
        <w:t xml:space="preserve"> p. </w:t>
      </w:r>
      <w:r w:rsidRPr="00D44646">
        <w:t>36</w:t>
      </w:r>
      <w:r w:rsidRPr="00AF7B86">
        <w:t>–40.</w:t>
      </w:r>
    </w:p>
    <w:p w14:paraId="27BBEF2D" w14:textId="77777777" w:rsidR="003C00F4" w:rsidRPr="006E2709" w:rsidRDefault="003C00F4" w:rsidP="003C00F4">
      <w:pPr>
        <w:pStyle w:val="ListParagraph"/>
      </w:pPr>
    </w:p>
    <w:p w14:paraId="5109B6CB" w14:textId="6FD362F1" w:rsidR="003C00F4" w:rsidRDefault="003C00F4" w:rsidP="003C00F4">
      <w:pPr>
        <w:pStyle w:val="ListParagraph"/>
      </w:pPr>
      <w:r>
        <w:t>Jungers, J.M., D.L. Wyse, and C.C. Sheaffer. 2015. Establishing native perennial bioenergy crops with cereal grain companion crops. Bioenerg. Res. 8:109–118.</w:t>
      </w:r>
    </w:p>
    <w:p w14:paraId="1B87B056" w14:textId="77777777" w:rsidR="003C00F4" w:rsidRPr="006E2709" w:rsidRDefault="003C00F4" w:rsidP="003C00F4">
      <w:pPr>
        <w:pStyle w:val="ListParagraph"/>
      </w:pPr>
    </w:p>
    <w:p w14:paraId="7CB67770" w14:textId="3F84A597" w:rsidR="003C00F4" w:rsidRDefault="003C00F4" w:rsidP="003C00F4">
      <w:pPr>
        <w:pStyle w:val="ListParagraph"/>
      </w:pPr>
      <w:r w:rsidRPr="006E2709">
        <w:t>Kering, M.K., T.J. Butler, J.T. Biermacher, J. Mosali, and J.A. Guretzky. 2012. Effect of potassium and nitrogen fertilizer on switchgrass productivity and nutrient removal rates under two harvest systems on a low potassium soil.  Bioenerg. Res. 6:329–335.</w:t>
      </w:r>
    </w:p>
    <w:p w14:paraId="5ED15D3B" w14:textId="77777777" w:rsidR="003C00F4" w:rsidRPr="006E2709" w:rsidRDefault="003C00F4" w:rsidP="003C00F4">
      <w:pPr>
        <w:pStyle w:val="ListParagraph"/>
      </w:pPr>
    </w:p>
    <w:p w14:paraId="7F1100E4" w14:textId="20F2964C" w:rsidR="003C00F4" w:rsidRDefault="003C00F4" w:rsidP="003C00F4">
      <w:pPr>
        <w:pStyle w:val="ListParagraph"/>
      </w:pPr>
      <w:r w:rsidRPr="006E2709">
        <w:t>Keyser, P.D., A.J. Ashworth, F.L. Allen, and G.E. Bates. 2016a. Evaluation of small grain cover crops to enhance switchgrass establishment. Crop Sci. 56:2062–2071.</w:t>
      </w:r>
    </w:p>
    <w:p w14:paraId="157CB0BD" w14:textId="77777777" w:rsidR="003C00F4" w:rsidRPr="006E2709" w:rsidRDefault="003C00F4" w:rsidP="003C00F4">
      <w:pPr>
        <w:pStyle w:val="ListParagraph"/>
      </w:pPr>
    </w:p>
    <w:p w14:paraId="4A5C18BF" w14:textId="6B94EEF1" w:rsidR="003C00F4" w:rsidRDefault="003C00F4" w:rsidP="003C00F4">
      <w:pPr>
        <w:pStyle w:val="ListParagraph"/>
      </w:pPr>
      <w:r w:rsidRPr="006E2709">
        <w:t>Keyser, P.D., A.J. Ashworth, F.L. Allen, and G.E. Bates. 2016b. Dormant-season planting and seed-dormancy impacts on switchgrass establishment and yield. Crop Sci. 56:474–483.</w:t>
      </w:r>
    </w:p>
    <w:p w14:paraId="4B9F7ACD" w14:textId="77777777" w:rsidR="003C00F4" w:rsidRDefault="003C00F4" w:rsidP="003C00F4">
      <w:pPr>
        <w:pStyle w:val="ListParagraph"/>
      </w:pPr>
    </w:p>
    <w:p w14:paraId="4A2E4335" w14:textId="4036F000" w:rsidR="003C00F4" w:rsidRDefault="003C00F4" w:rsidP="003C00F4">
      <w:pPr>
        <w:pStyle w:val="ListParagraph"/>
      </w:pPr>
      <w:r>
        <w:t>Keyser, P.D., C.</w:t>
      </w:r>
      <w:r w:rsidRPr="00C209B8">
        <w:t xml:space="preserve">A. Harper, G.E. Bates, </w:t>
      </w:r>
      <w:r>
        <w:t xml:space="preserve">J.C. Waller, and E.D. Doxon. </w:t>
      </w:r>
      <w:r w:rsidRPr="00C209B8">
        <w:t xml:space="preserve">2011. Establishing native warm-season grasses for livestock forage in the Mid-south. </w:t>
      </w:r>
      <w:r>
        <w:t xml:space="preserve">Univ. of Tenn. Knox. Ext. Pub. </w:t>
      </w:r>
      <w:r w:rsidRPr="00C209B8">
        <w:t>SP731-B.</w:t>
      </w:r>
    </w:p>
    <w:p w14:paraId="16A20E90" w14:textId="77777777" w:rsidR="003C00F4" w:rsidRPr="006E2709" w:rsidRDefault="003C00F4" w:rsidP="003C00F4">
      <w:pPr>
        <w:pStyle w:val="ListParagraph"/>
      </w:pPr>
    </w:p>
    <w:p w14:paraId="6BD530B4" w14:textId="76EF2A3C" w:rsidR="003C00F4" w:rsidRDefault="003C00F4" w:rsidP="003C00F4">
      <w:pPr>
        <w:pStyle w:val="ListParagraph"/>
        <w:rPr>
          <w:bCs/>
        </w:rPr>
      </w:pPr>
      <w:r w:rsidRPr="006E2709">
        <w:rPr>
          <w:bCs/>
        </w:rPr>
        <w:t>Keyser, P., S. Schexnayder, A. Wilcox, G. Bates, and C. Boyer. 20</w:t>
      </w:r>
      <w:r w:rsidR="0075096B">
        <w:rPr>
          <w:bCs/>
        </w:rPr>
        <w:t>2</w:t>
      </w:r>
      <w:r w:rsidRPr="006E2709">
        <w:rPr>
          <w:bCs/>
        </w:rPr>
        <w:t xml:space="preserve">1. Identifying </w:t>
      </w:r>
      <w:r>
        <w:rPr>
          <w:bCs/>
        </w:rPr>
        <w:t>b</w:t>
      </w:r>
      <w:r w:rsidRPr="006E2709">
        <w:rPr>
          <w:bCs/>
        </w:rPr>
        <w:t xml:space="preserve">arriers to </w:t>
      </w:r>
      <w:r>
        <w:rPr>
          <w:bCs/>
        </w:rPr>
        <w:t>f</w:t>
      </w:r>
      <w:r w:rsidRPr="006E2709">
        <w:rPr>
          <w:bCs/>
        </w:rPr>
        <w:t xml:space="preserve">orage </w:t>
      </w:r>
      <w:r>
        <w:rPr>
          <w:bCs/>
        </w:rPr>
        <w:t>i</w:t>
      </w:r>
      <w:r w:rsidRPr="006E2709">
        <w:rPr>
          <w:bCs/>
        </w:rPr>
        <w:t xml:space="preserve">nnovation: Native </w:t>
      </w:r>
      <w:r>
        <w:rPr>
          <w:bCs/>
        </w:rPr>
        <w:t>g</w:t>
      </w:r>
      <w:r w:rsidRPr="006E2709">
        <w:rPr>
          <w:bCs/>
        </w:rPr>
        <w:t xml:space="preserve">rasses and </w:t>
      </w:r>
      <w:r>
        <w:rPr>
          <w:bCs/>
        </w:rPr>
        <w:t>p</w:t>
      </w:r>
      <w:r w:rsidRPr="006E2709">
        <w:rPr>
          <w:bCs/>
        </w:rPr>
        <w:t xml:space="preserve">roducer </w:t>
      </w:r>
      <w:r>
        <w:rPr>
          <w:bCs/>
        </w:rPr>
        <w:t>k</w:t>
      </w:r>
      <w:r w:rsidRPr="006E2709">
        <w:rPr>
          <w:bCs/>
        </w:rPr>
        <w:t xml:space="preserve">nowledge. Journal of Extension. </w:t>
      </w:r>
      <w:r w:rsidR="0075096B">
        <w:rPr>
          <w:bCs/>
        </w:rPr>
        <w:t>Vol. 57 Article #6RIB4</w:t>
      </w:r>
      <w:r w:rsidRPr="006E2709">
        <w:rPr>
          <w:bCs/>
        </w:rPr>
        <w:t>.</w:t>
      </w:r>
    </w:p>
    <w:p w14:paraId="50343702" w14:textId="7E2F2143" w:rsidR="0075096B" w:rsidRDefault="0075096B" w:rsidP="0075096B">
      <w:pPr>
        <w:pStyle w:val="ListParagraph"/>
      </w:pPr>
    </w:p>
    <w:p w14:paraId="5BB34D4F" w14:textId="77777777" w:rsidR="0075096B" w:rsidRPr="00253883" w:rsidRDefault="0075096B" w:rsidP="0075096B">
      <w:pPr>
        <w:pStyle w:val="ListParagraph"/>
        <w:rPr>
          <w:color w:val="111111"/>
        </w:rPr>
      </w:pPr>
      <w:r w:rsidRPr="00253883">
        <w:rPr>
          <w:color w:val="111111"/>
        </w:rPr>
        <w:t xml:space="preserve">Lee, D.K., &amp; Boe, A. 2005. Biomass production of switchgrass in central South Dakota. Crop Sci. 45:2583–2590. </w:t>
      </w:r>
    </w:p>
    <w:p w14:paraId="711C09DD" w14:textId="77777777" w:rsidR="0075096B" w:rsidRDefault="0075096B" w:rsidP="0075096B">
      <w:pPr>
        <w:pStyle w:val="ListParagraph"/>
      </w:pPr>
    </w:p>
    <w:p w14:paraId="6CBA4B2B" w14:textId="5F042192" w:rsidR="003C00F4" w:rsidRDefault="003C00F4" w:rsidP="003C00F4">
      <w:pPr>
        <w:pStyle w:val="ListParagraph"/>
        <w:rPr>
          <w:bCs/>
        </w:rPr>
      </w:pPr>
      <w:r w:rsidRPr="006E2709">
        <w:rPr>
          <w:bCs/>
        </w:rPr>
        <w:t>Lowe, J.K., II, C.N. Boyer, A.P. Griffith, G.E. Bates, P.D. Keyser, J.C. Waller, J.A. Larson, and W.M. Backus. 2015. Profitability of beef and biomass production from native warm-season grasses in Tennessee. Biomass and Bioenergy. Agron</w:t>
      </w:r>
      <w:r>
        <w:rPr>
          <w:bCs/>
        </w:rPr>
        <w:t>.</w:t>
      </w:r>
      <w:r w:rsidRPr="006E2709">
        <w:rPr>
          <w:bCs/>
        </w:rPr>
        <w:t xml:space="preserve"> J</w:t>
      </w:r>
      <w:r>
        <w:rPr>
          <w:bCs/>
        </w:rPr>
        <w:t>.</w:t>
      </w:r>
      <w:r w:rsidRPr="006E2709">
        <w:rPr>
          <w:bCs/>
        </w:rPr>
        <w:t xml:space="preserve"> 107:1733–1740.</w:t>
      </w:r>
    </w:p>
    <w:p w14:paraId="3C88D879" w14:textId="77777777" w:rsidR="003C00F4" w:rsidRPr="006E2709" w:rsidRDefault="003C00F4" w:rsidP="003C00F4">
      <w:pPr>
        <w:pStyle w:val="ListParagraph"/>
        <w:rPr>
          <w:bCs/>
        </w:rPr>
      </w:pPr>
    </w:p>
    <w:p w14:paraId="41E2B279" w14:textId="68E56C27" w:rsidR="003C00F4" w:rsidRDefault="003C00F4" w:rsidP="003C00F4">
      <w:pPr>
        <w:pStyle w:val="ListParagraph"/>
        <w:rPr>
          <w:bCs/>
        </w:rPr>
      </w:pPr>
      <w:r w:rsidRPr="006E2709">
        <w:rPr>
          <w:bCs/>
        </w:rPr>
        <w:t>McIntosh, D.W., G.E. Bates, P.D. Keyser, F.L. Allen, C.A. Harper, J.C. Waller, J.L. Birckhead, W.M. Backus, and J.E. Beeler. 2015. The impact of harvest timing on biomass yield from native warm-season grass mixtures. Agron. J. 107:2321–2326.</w:t>
      </w:r>
    </w:p>
    <w:p w14:paraId="4472F7F9" w14:textId="77777777" w:rsidR="003C00F4" w:rsidRPr="006E2709" w:rsidRDefault="003C00F4" w:rsidP="003C00F4">
      <w:pPr>
        <w:pStyle w:val="ListParagraph"/>
        <w:rPr>
          <w:bCs/>
        </w:rPr>
      </w:pPr>
    </w:p>
    <w:p w14:paraId="30E59D8E" w14:textId="099FE334" w:rsidR="003C00F4" w:rsidRDefault="003C00F4" w:rsidP="003C00F4">
      <w:pPr>
        <w:pStyle w:val="ListParagraph"/>
      </w:pPr>
      <w:r w:rsidRPr="006E2709">
        <w:t>McKenna, J.R., D.D. Wolf, and M. Lentner. 1991. No-till warm-season grass establishment as affected by atrazine and carbo</w:t>
      </w:r>
      <w:r w:rsidRPr="006E2709">
        <w:softHyphen/>
        <w:t>furan. Agron. J. 83:311–316.</w:t>
      </w:r>
    </w:p>
    <w:p w14:paraId="55DBE9E7" w14:textId="77777777" w:rsidR="003C00F4" w:rsidRDefault="003C00F4" w:rsidP="003C00F4">
      <w:pPr>
        <w:pStyle w:val="ListParagraph"/>
      </w:pPr>
    </w:p>
    <w:p w14:paraId="73DA2301" w14:textId="70A91C9B" w:rsidR="003C00F4" w:rsidRDefault="003C00F4" w:rsidP="003C00F4">
      <w:pPr>
        <w:pStyle w:val="ListParagraph"/>
      </w:pPr>
      <w:r>
        <w:lastRenderedPageBreak/>
        <w:t>McLaughlin, M.R., T.E. Fairbrother, and D.E. Rowe. 2004. Forage yield and nutrient uptake of warm-season annual grasses in a swine effluent spray field. Agron. J. 96:1516-1522.</w:t>
      </w:r>
    </w:p>
    <w:p w14:paraId="22BB5069" w14:textId="77777777" w:rsidR="003C00F4" w:rsidRPr="006E2709" w:rsidRDefault="003C00F4" w:rsidP="003C00F4">
      <w:pPr>
        <w:pStyle w:val="ListParagraph"/>
      </w:pPr>
    </w:p>
    <w:p w14:paraId="127DD613" w14:textId="0708876B" w:rsidR="003C00F4" w:rsidRDefault="003C00F4" w:rsidP="003C00F4">
      <w:pPr>
        <w:pStyle w:val="ListParagraph"/>
      </w:pPr>
      <w:r w:rsidRPr="006E2709">
        <w:t>McLaughlin, S.B., and M.E. Walsh. 1998. Evaluating environmental consequences of producing herbaceous crops for bioenergy. Biomass Bioenergy. 14:317–324.</w:t>
      </w:r>
    </w:p>
    <w:p w14:paraId="6D3FBAFB" w14:textId="77777777" w:rsidR="003C00F4" w:rsidRPr="006E2709" w:rsidRDefault="003C00F4" w:rsidP="003C00F4">
      <w:pPr>
        <w:pStyle w:val="ListParagraph"/>
      </w:pPr>
    </w:p>
    <w:p w14:paraId="008A625C" w14:textId="40F52858" w:rsidR="003C00F4" w:rsidRDefault="003C00F4" w:rsidP="003C00F4">
      <w:pPr>
        <w:pStyle w:val="ListParagraph"/>
      </w:pPr>
      <w:r w:rsidRPr="006E2709">
        <w:t>McLaughlin, S.B., and L.A. Kszos. 2005. Development of switch</w:t>
      </w:r>
      <w:r w:rsidRPr="006E2709">
        <w:softHyphen/>
        <w:t>grass (</w:t>
      </w:r>
      <w:r w:rsidRPr="006E2709">
        <w:rPr>
          <w:i/>
          <w:iCs/>
        </w:rPr>
        <w:t>Panicum virgatum</w:t>
      </w:r>
      <w:r w:rsidRPr="006E2709">
        <w:t>) as a bioenergy feedstock in the United States. Biomass Bioenergy 28:515–535. doi:10.1016/j.biom</w:t>
      </w:r>
      <w:r w:rsidRPr="006E2709">
        <w:softHyphen/>
        <w:t>bioe.2004.05.006</w:t>
      </w:r>
    </w:p>
    <w:p w14:paraId="181986DF" w14:textId="77777777" w:rsidR="003C00F4" w:rsidRPr="006E2709" w:rsidRDefault="003C00F4" w:rsidP="003C00F4">
      <w:pPr>
        <w:pStyle w:val="ListParagraph"/>
      </w:pPr>
    </w:p>
    <w:p w14:paraId="57EC1386" w14:textId="2657D6C1" w:rsidR="003C00F4" w:rsidRDefault="003C00F4" w:rsidP="003C00F4">
      <w:pPr>
        <w:pStyle w:val="ListParagraph"/>
      </w:pPr>
      <w:r w:rsidRPr="006E2709">
        <w:t>Miesel, J.R., M.J. Renz, J.E. Doll, and R.D. Jackson. 2012. Effec</w:t>
      </w:r>
      <w:r w:rsidRPr="006E2709">
        <w:softHyphen/>
        <w:t>tiveness of weed management methods in establishment of switchgrass and a native species mixture for biofuels in Wis</w:t>
      </w:r>
      <w:r w:rsidRPr="006E2709">
        <w:softHyphen/>
        <w:t>consin. Biomass Bioenergy 36:121–131. doi:10.1016/j.biom</w:t>
      </w:r>
      <w:r w:rsidRPr="006E2709">
        <w:softHyphen/>
        <w:t>bioe.2011.10.018</w:t>
      </w:r>
    </w:p>
    <w:p w14:paraId="12D6775E" w14:textId="77777777" w:rsidR="003C00F4" w:rsidRPr="006E2709" w:rsidRDefault="003C00F4" w:rsidP="003C00F4">
      <w:pPr>
        <w:pStyle w:val="ListParagraph"/>
      </w:pPr>
    </w:p>
    <w:p w14:paraId="16B5ED0D" w14:textId="48AE0F0A" w:rsidR="003C00F4" w:rsidRDefault="003C00F4" w:rsidP="003C00F4">
      <w:pPr>
        <w:pStyle w:val="ListParagraph"/>
      </w:pPr>
      <w:r w:rsidRPr="006E2709">
        <w:t>Milchunas, D.G., M.W. Vandever, L.O. Ball, and S. Hyberg. 2011. Allelopathic cover crop prior to seeding is more important than subsequent grazing/mowing in grassland establishment. Rangeland Ecol. Manag</w:t>
      </w:r>
      <w:r>
        <w:t>e</w:t>
      </w:r>
      <w:r w:rsidRPr="006E2709">
        <w:t>. 64:291–300.</w:t>
      </w:r>
    </w:p>
    <w:p w14:paraId="5883CDD2" w14:textId="77777777" w:rsidR="003C00F4" w:rsidRPr="006E2709" w:rsidRDefault="003C00F4" w:rsidP="003C00F4">
      <w:pPr>
        <w:pStyle w:val="ListParagraph"/>
      </w:pPr>
    </w:p>
    <w:p w14:paraId="5C53C3D8" w14:textId="537BCD4D" w:rsidR="003C00F4" w:rsidRDefault="003C00F4" w:rsidP="003C00F4">
      <w:pPr>
        <w:pStyle w:val="ListParagraph"/>
      </w:pPr>
      <w:r w:rsidRPr="006E2709">
        <w:t>Mosali, J., J.T. Biermacher, B. Cook, and J. Blanton, Jr. 2013. Bioenergy for cattle and cars: A switchgrass production sys</w:t>
      </w:r>
      <w:r w:rsidRPr="006E2709">
        <w:softHyphen/>
        <w:t>tem that engages cattle producers. Agron. J. 105:960–966.</w:t>
      </w:r>
    </w:p>
    <w:p w14:paraId="4F7FDEE9" w14:textId="77777777" w:rsidR="003C00F4" w:rsidRDefault="003C00F4" w:rsidP="003C00F4">
      <w:pPr>
        <w:pStyle w:val="ListParagraph"/>
      </w:pPr>
    </w:p>
    <w:p w14:paraId="148D112F" w14:textId="7797659C" w:rsidR="003C00F4" w:rsidRDefault="003C00F4" w:rsidP="003C00F4">
      <w:pPr>
        <w:pStyle w:val="ListParagraph"/>
      </w:pPr>
      <w:r w:rsidRPr="00262A6E">
        <w:t xml:space="preserve">NOAA. </w:t>
      </w:r>
      <w:r>
        <w:t>2020</w:t>
      </w:r>
      <w:r w:rsidRPr="00044D25">
        <w:t xml:space="preserve">. NOWData – NOAA Online Weather Data, Knoxville Exp </w:t>
      </w:r>
      <w:r>
        <w:t xml:space="preserve">Sta, TN. Retrieved from </w:t>
      </w:r>
      <w:r w:rsidRPr="00262A6E">
        <w:t xml:space="preserve">https://w2.weather.gov/climate/xmacis.php?wfo=mrx </w:t>
      </w:r>
      <w:r>
        <w:t>(accessed 4</w:t>
      </w:r>
      <w:r w:rsidRPr="00262A6E">
        <w:t xml:space="preserve"> </w:t>
      </w:r>
      <w:r>
        <w:t>June</w:t>
      </w:r>
      <w:r w:rsidRPr="00262A6E">
        <w:t xml:space="preserve"> 2020</w:t>
      </w:r>
      <w:r w:rsidRPr="00044D25">
        <w:t>)</w:t>
      </w:r>
      <w:r>
        <w:t>.</w:t>
      </w:r>
    </w:p>
    <w:p w14:paraId="06221121" w14:textId="77777777" w:rsidR="003C00F4" w:rsidRPr="00262A6E" w:rsidRDefault="003C00F4" w:rsidP="003C00F4">
      <w:pPr>
        <w:pStyle w:val="ListParagraph"/>
      </w:pPr>
    </w:p>
    <w:p w14:paraId="02D8F824" w14:textId="63F7D16A" w:rsidR="003C00F4" w:rsidRDefault="003C00F4" w:rsidP="003C00F4">
      <w:pPr>
        <w:pStyle w:val="ListParagraph"/>
      </w:pPr>
      <w:r w:rsidRPr="006E2709">
        <w:t>Owensby, C.E., J.M. Ham, A.K. Knapp, and L.M. Auen. 1999. Biomass production and species composition change in tallgrass prairie ecosystem after long-term exposer to elevated atmospheric CO2. Global Change Biol. 4:497–506.</w:t>
      </w:r>
    </w:p>
    <w:p w14:paraId="3529B2B7" w14:textId="77777777" w:rsidR="003C00F4" w:rsidRPr="006E2709" w:rsidRDefault="003C00F4" w:rsidP="003C00F4">
      <w:pPr>
        <w:pStyle w:val="ListParagraph"/>
      </w:pPr>
    </w:p>
    <w:p w14:paraId="58B43C2B" w14:textId="1BB9DCD7" w:rsidR="003C00F4" w:rsidRDefault="003C00F4" w:rsidP="003C00F4">
      <w:pPr>
        <w:pStyle w:val="ListParagraph"/>
      </w:pPr>
      <w:r w:rsidRPr="006E2709">
        <w:t xml:space="preserve">Parrish, D.J. and J.H. Fike. 2005. The biology and agronomy of switchgrass for biofuels. Critical Reviews in Plant Sciences. 24:423–459. </w:t>
      </w:r>
    </w:p>
    <w:p w14:paraId="4459ED16" w14:textId="77777777" w:rsidR="003C00F4" w:rsidRPr="006E2709" w:rsidRDefault="003C00F4" w:rsidP="003C00F4">
      <w:pPr>
        <w:pStyle w:val="ListParagraph"/>
      </w:pPr>
    </w:p>
    <w:p w14:paraId="15751538" w14:textId="48E93BAF" w:rsidR="003C00F4" w:rsidRDefault="003C00F4" w:rsidP="003C00F4">
      <w:pPr>
        <w:pStyle w:val="ListParagraph"/>
      </w:pPr>
      <w:r w:rsidRPr="006E2709">
        <w:t>Rushing, J.B., R.W. Lemus, J.A. White, J.C. Lyles, and M.T. Thornton. 2019. Yield of native warm-season grasses in response to nitrogen and harvest frequency. Agron. J. 111:193–199.</w:t>
      </w:r>
    </w:p>
    <w:p w14:paraId="36A3887C" w14:textId="77777777" w:rsidR="003C00F4" w:rsidRPr="006E2709" w:rsidRDefault="003C00F4" w:rsidP="003C00F4">
      <w:pPr>
        <w:pStyle w:val="ListParagraph"/>
      </w:pPr>
    </w:p>
    <w:p w14:paraId="47BBB66C" w14:textId="3AB7C3B4" w:rsidR="003C00F4" w:rsidRDefault="003C00F4" w:rsidP="003C00F4">
      <w:pPr>
        <w:pStyle w:val="ListParagraph"/>
      </w:pPr>
      <w:r w:rsidRPr="006E2709">
        <w:t>Sanderson, M.A.</w:t>
      </w:r>
      <w:r>
        <w:t>,</w:t>
      </w:r>
      <w:r w:rsidRPr="006E2709">
        <w:t xml:space="preserve"> and R.L. Reed. 2000. Switchgrass growth and development: Water, nitrogen, and plant density effects.  J. Range Manage. 53:221–227.</w:t>
      </w:r>
    </w:p>
    <w:p w14:paraId="36DBB53F" w14:textId="77777777" w:rsidR="003C00F4" w:rsidRPr="006E2709" w:rsidRDefault="003C00F4" w:rsidP="003C00F4">
      <w:pPr>
        <w:pStyle w:val="ListParagraph"/>
      </w:pPr>
    </w:p>
    <w:p w14:paraId="0752261A" w14:textId="25C4F819" w:rsidR="003C00F4" w:rsidRDefault="003C00F4" w:rsidP="003C00F4">
      <w:pPr>
        <w:pStyle w:val="ListParagraph"/>
      </w:pPr>
      <w:r w:rsidRPr="006E2709">
        <w:t>Sanderson, M., M. Schmer, V. Owens, P. Keyser, and W. Elber</w:t>
      </w:r>
      <w:r w:rsidRPr="006E2709">
        <w:softHyphen/>
        <w:t xml:space="preserve">sen. 2012. Crop management of switchgrass. </w:t>
      </w:r>
      <w:r w:rsidRPr="00535997">
        <w:rPr>
          <w:i/>
        </w:rPr>
        <w:t>In:</w:t>
      </w:r>
      <w:r w:rsidRPr="006E2709">
        <w:t xml:space="preserve"> A. Monti, editor, Switchgrass: A valuable biomass crop for energy. Springer-Verlag, London. p. 87–112.</w:t>
      </w:r>
    </w:p>
    <w:p w14:paraId="106E9221" w14:textId="77777777" w:rsidR="003C00F4" w:rsidRPr="006E2709" w:rsidRDefault="003C00F4" w:rsidP="003C00F4">
      <w:pPr>
        <w:pStyle w:val="ListParagraph"/>
      </w:pPr>
    </w:p>
    <w:p w14:paraId="758C7741" w14:textId="2A8A78BA" w:rsidR="003C00F4" w:rsidRDefault="003C00F4" w:rsidP="003C00F4">
      <w:pPr>
        <w:pStyle w:val="ListParagraph"/>
      </w:pPr>
      <w:r w:rsidRPr="006E2709">
        <w:t>SAS Institute. 2013. The SAS system for Windows. Version 9.4. SAS Inst., Cary, NC.</w:t>
      </w:r>
    </w:p>
    <w:p w14:paraId="5E239509" w14:textId="77777777" w:rsidR="0075096B" w:rsidRDefault="0075096B" w:rsidP="003C00F4">
      <w:pPr>
        <w:pStyle w:val="ListParagraph"/>
      </w:pPr>
    </w:p>
    <w:p w14:paraId="28C7E137" w14:textId="231B01DF" w:rsidR="003C00F4" w:rsidRDefault="003C00F4" w:rsidP="003C00F4">
      <w:pPr>
        <w:pStyle w:val="ListParagraph"/>
      </w:pPr>
      <w:r w:rsidRPr="006E2709">
        <w:lastRenderedPageBreak/>
        <w:t>Schmer, M.R., K.P. Vogel, R.B. Mitchell, L.E. Moser, K.M. Eskridge, and R.K. Perrin. 2006. Establishment thresholds for switchgrass grown as a bioenergy crop. Crop Sci. 46:157–161.</w:t>
      </w:r>
    </w:p>
    <w:p w14:paraId="0663B11D" w14:textId="77777777" w:rsidR="003C00F4" w:rsidRPr="006E2709" w:rsidRDefault="003C00F4" w:rsidP="003C00F4">
      <w:pPr>
        <w:pStyle w:val="ListParagraph"/>
      </w:pPr>
    </w:p>
    <w:p w14:paraId="1717C457" w14:textId="398E4D06" w:rsidR="003C00F4" w:rsidRDefault="003C00F4" w:rsidP="003C00F4">
      <w:pPr>
        <w:pStyle w:val="ListParagraph"/>
      </w:pPr>
      <w:r w:rsidRPr="006E2709">
        <w:t>Singh, H.P., D.R. Batish, and R.K. Kohli. 2003. Allelopathic interactions and allelochemicals: New possibilities for sus</w:t>
      </w:r>
      <w:r w:rsidRPr="006E2709">
        <w:softHyphen/>
        <w:t>tainable weed management. Crit. Rev. Plant Sci. 22:239–311 10.1080/713610858. doi:10.1080/713610858</w:t>
      </w:r>
    </w:p>
    <w:p w14:paraId="232DAE75" w14:textId="77777777" w:rsidR="003C00F4" w:rsidRPr="006E2709" w:rsidRDefault="003C00F4" w:rsidP="003C00F4">
      <w:pPr>
        <w:pStyle w:val="ListParagraph"/>
      </w:pPr>
    </w:p>
    <w:p w14:paraId="05D3EA6B" w14:textId="786F17A7" w:rsidR="003C00F4" w:rsidRDefault="003C00F4" w:rsidP="003C00F4">
      <w:pPr>
        <w:pStyle w:val="ListParagraph"/>
      </w:pPr>
      <w:r w:rsidRPr="006E2709">
        <w:t>Tracy, B.F., M. Maughan, N. Post, and D.B. Faulkner. 2010. Integrating annual and perennial warm-season grasses in a temperate grazing system. Crop Sci.</w:t>
      </w:r>
      <w:r w:rsidRPr="006E2709">
        <w:rPr>
          <w:i/>
        </w:rPr>
        <w:t xml:space="preserve"> </w:t>
      </w:r>
      <w:r w:rsidRPr="006E2709">
        <w:t>50:2171–2177.</w:t>
      </w:r>
    </w:p>
    <w:p w14:paraId="58EB66AA" w14:textId="77777777" w:rsidR="0075096B" w:rsidRPr="006E2709" w:rsidRDefault="0075096B" w:rsidP="003C00F4">
      <w:pPr>
        <w:pStyle w:val="ListParagraph"/>
      </w:pPr>
    </w:p>
    <w:p w14:paraId="2DD4AFD0" w14:textId="59CE717B" w:rsidR="003C00F4" w:rsidRDefault="003C00F4" w:rsidP="003C00F4">
      <w:pPr>
        <w:pStyle w:val="ListParagraph"/>
      </w:pPr>
      <w:r w:rsidRPr="006E2709">
        <w:t>Vogel</w:t>
      </w:r>
      <w:r>
        <w:t>,</w:t>
      </w:r>
      <w:r w:rsidRPr="006E2709">
        <w:t xml:space="preserve"> K.P.,</w:t>
      </w:r>
      <w:r>
        <w:t xml:space="preserve"> J.J.</w:t>
      </w:r>
      <w:r w:rsidRPr="006E2709">
        <w:t xml:space="preserve"> Brejda, </w:t>
      </w:r>
      <w:r>
        <w:t xml:space="preserve">D.T. </w:t>
      </w:r>
      <w:r w:rsidRPr="006E2709">
        <w:t>Walters,</w:t>
      </w:r>
      <w:r>
        <w:t xml:space="preserve"> and D.R. </w:t>
      </w:r>
      <w:r w:rsidRPr="006E2709">
        <w:t xml:space="preserve">Buxton. 2002. Switchgrass biomass production in the Midwest USA: harvest and nitrogen management. Agron. J. 94:413–420. </w:t>
      </w:r>
    </w:p>
    <w:p w14:paraId="5FE460D6" w14:textId="77777777" w:rsidR="0075096B" w:rsidRPr="006E2709" w:rsidRDefault="0075096B" w:rsidP="003C00F4">
      <w:pPr>
        <w:pStyle w:val="ListParagraph"/>
      </w:pPr>
    </w:p>
    <w:p w14:paraId="53698718" w14:textId="5763D3D2" w:rsidR="003C00F4" w:rsidRDefault="003C00F4" w:rsidP="003C00F4">
      <w:pPr>
        <w:pStyle w:val="ListParagraph"/>
      </w:pPr>
      <w:r w:rsidRPr="006E2709">
        <w:t>West, D.R., and D.R. Kincer. 2011. Yield of switchgrass as affected by seeding rates and dates. Biomass Bioenergy 35:4057–4059. doi:10.1016/j.biombioe.2011.06.048</w:t>
      </w:r>
    </w:p>
    <w:p w14:paraId="2BC21694" w14:textId="77777777" w:rsidR="0075096B" w:rsidRPr="006E2709" w:rsidRDefault="0075096B" w:rsidP="003C00F4">
      <w:pPr>
        <w:pStyle w:val="ListParagraph"/>
      </w:pPr>
    </w:p>
    <w:p w14:paraId="127076F8" w14:textId="77777777" w:rsidR="003C00F4" w:rsidRDefault="003C00F4" w:rsidP="003C00F4">
      <w:pPr>
        <w:pStyle w:val="ListParagraph"/>
      </w:pPr>
      <w:r w:rsidRPr="006E2709">
        <w:rPr>
          <w:bCs/>
        </w:rPr>
        <w:t>West, A.S., P.D. Keyser, C.M. Lituma, D.A. Buehler, R.D. Applegate, and J. Morgan. 2016. Grasslands bird occupancy of native warm-season grass. J</w:t>
      </w:r>
      <w:r>
        <w:rPr>
          <w:bCs/>
        </w:rPr>
        <w:t>.</w:t>
      </w:r>
      <w:r w:rsidRPr="006E2709">
        <w:rPr>
          <w:bCs/>
        </w:rPr>
        <w:t xml:space="preserve"> Wildl</w:t>
      </w:r>
      <w:r>
        <w:rPr>
          <w:bCs/>
        </w:rPr>
        <w:t>.</w:t>
      </w:r>
      <w:r w:rsidRPr="006E2709">
        <w:rPr>
          <w:bCs/>
        </w:rPr>
        <w:t xml:space="preserve"> Manage</w:t>
      </w:r>
      <w:r>
        <w:rPr>
          <w:bCs/>
        </w:rPr>
        <w:t>.</w:t>
      </w:r>
      <w:r w:rsidRPr="006E2709">
        <w:rPr>
          <w:bCs/>
        </w:rPr>
        <w:t xml:space="preserve"> 80:1081–1090.</w:t>
      </w:r>
    </w:p>
    <w:p w14:paraId="283451F8" w14:textId="77777777" w:rsidR="003C00F4" w:rsidRDefault="003C00F4" w:rsidP="003C00F4">
      <w:pPr>
        <w:pStyle w:val="ListParagraph"/>
      </w:pPr>
    </w:p>
    <w:p w14:paraId="406E94CC" w14:textId="77777777" w:rsidR="003C00F4" w:rsidRDefault="003C00F4" w:rsidP="003C00F4">
      <w:pPr>
        <w:pStyle w:val="Paragraphs"/>
      </w:pPr>
    </w:p>
    <w:p w14:paraId="0EF87118" w14:textId="77777777" w:rsidR="003C00F4" w:rsidRDefault="003C00F4" w:rsidP="003C00F4">
      <w:pPr>
        <w:ind w:firstLine="720"/>
      </w:pPr>
    </w:p>
    <w:p w14:paraId="58CB0D8E" w14:textId="77777777" w:rsidR="003C00F4" w:rsidRDefault="003C00F4" w:rsidP="003C00F4">
      <w:pPr>
        <w:ind w:firstLine="720"/>
      </w:pPr>
    </w:p>
    <w:p w14:paraId="184A5DBB" w14:textId="6C1766AE" w:rsidR="003C00F4" w:rsidRDefault="003C00F4" w:rsidP="003C00F4">
      <w:pPr>
        <w:ind w:firstLine="720"/>
        <w:sectPr w:rsidR="003C00F4" w:rsidSect="003C00F4">
          <w:pgSz w:w="12240" w:h="15840"/>
          <w:pgMar w:top="1440" w:right="1440" w:bottom="1440" w:left="1440" w:header="720" w:footer="720" w:gutter="0"/>
          <w:cols w:space="720"/>
          <w:titlePg/>
          <w:docGrid w:linePitch="360"/>
        </w:sectPr>
      </w:pPr>
    </w:p>
    <w:p w14:paraId="5D86ECF4" w14:textId="71F8B25D" w:rsidR="003C00F4" w:rsidRPr="00C64021" w:rsidRDefault="00C64021" w:rsidP="00C64021">
      <w:pPr>
        <w:pStyle w:val="AgronomyJournalSectionTitles"/>
      </w:pPr>
      <w:bookmarkStart w:id="280" w:name="_Toc72305449"/>
      <w:r>
        <w:lastRenderedPageBreak/>
        <w:t>APPENDIX IIIA</w:t>
      </w:r>
      <w:bookmarkEnd w:id="280"/>
    </w:p>
    <w:p w14:paraId="4793DECB" w14:textId="0D262D77" w:rsidR="00C64021" w:rsidRPr="00C64021" w:rsidRDefault="003C00F4" w:rsidP="003D575F">
      <w:pPr>
        <w:pStyle w:val="Tables"/>
      </w:pPr>
      <w:r>
        <w:t xml:space="preserve"> </w:t>
      </w:r>
      <w:bookmarkStart w:id="281" w:name="_Toc72300418"/>
      <w:r w:rsidR="00C64021" w:rsidRPr="00C64021">
        <w:t xml:space="preserve">Table </w:t>
      </w:r>
      <w:r w:rsidR="00C64021">
        <w:t>3A.</w:t>
      </w:r>
      <w:r w:rsidR="00C64021" w:rsidRPr="00C64021">
        <w:t>1. Harvest dates for browntop millet defoliation strategies for big bluestem and switchgrass at each site at East Tennessee AgResearch and Education Center-Plant Science Unit, Knoxville, TN, during establishment experiments in 2016 and 2017.</w:t>
      </w:r>
      <w:bookmarkEnd w:id="281"/>
    </w:p>
    <w:tbl>
      <w:tblPr>
        <w:tblW w:w="8302" w:type="dxa"/>
        <w:tblLook w:val="04A0" w:firstRow="1" w:lastRow="0" w:firstColumn="1" w:lastColumn="0" w:noHBand="0" w:noVBand="1"/>
      </w:tblPr>
      <w:tblGrid>
        <w:gridCol w:w="2880"/>
        <w:gridCol w:w="1424"/>
        <w:gridCol w:w="1281"/>
        <w:gridCol w:w="1435"/>
        <w:gridCol w:w="1282"/>
      </w:tblGrid>
      <w:tr w:rsidR="00C64021" w:rsidRPr="00C64021" w14:paraId="0EE2A2B2" w14:textId="77777777" w:rsidTr="00D849E6">
        <w:trPr>
          <w:trHeight w:val="300"/>
        </w:trPr>
        <w:tc>
          <w:tcPr>
            <w:tcW w:w="2880" w:type="dxa"/>
            <w:tcBorders>
              <w:top w:val="single" w:sz="12" w:space="0" w:color="auto"/>
              <w:left w:val="nil"/>
              <w:bottom w:val="nil"/>
              <w:right w:val="single" w:sz="48" w:space="0" w:color="FFFFFF"/>
            </w:tcBorders>
            <w:shd w:val="clear" w:color="auto" w:fill="auto"/>
            <w:noWrap/>
            <w:vAlign w:val="bottom"/>
            <w:hideMark/>
          </w:tcPr>
          <w:p w14:paraId="0ED6EA8A" w14:textId="77777777" w:rsidR="00C64021" w:rsidRPr="00C64021" w:rsidRDefault="00C64021" w:rsidP="00D849E6">
            <w:pPr>
              <w:spacing w:line="240" w:lineRule="auto"/>
              <w:rPr>
                <w:sz w:val="20"/>
                <w:szCs w:val="20"/>
              </w:rPr>
            </w:pPr>
          </w:p>
        </w:tc>
        <w:tc>
          <w:tcPr>
            <w:tcW w:w="2705" w:type="dxa"/>
            <w:gridSpan w:val="2"/>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65F06CF9" w14:textId="77777777" w:rsidR="00C64021" w:rsidRPr="00C64021" w:rsidRDefault="00C64021" w:rsidP="00D849E6">
            <w:pPr>
              <w:spacing w:line="240" w:lineRule="auto"/>
              <w:jc w:val="center"/>
              <w:rPr>
                <w:color w:val="000000"/>
                <w:sz w:val="20"/>
                <w:szCs w:val="20"/>
              </w:rPr>
            </w:pPr>
            <w:r w:rsidRPr="00C64021">
              <w:rPr>
                <w:color w:val="000000"/>
                <w:sz w:val="20"/>
                <w:szCs w:val="20"/>
              </w:rPr>
              <w:t>Site 1</w:t>
            </w:r>
          </w:p>
        </w:tc>
        <w:tc>
          <w:tcPr>
            <w:tcW w:w="2717" w:type="dxa"/>
            <w:gridSpan w:val="2"/>
            <w:tcBorders>
              <w:top w:val="single" w:sz="12" w:space="0" w:color="auto"/>
              <w:left w:val="single" w:sz="48" w:space="0" w:color="FFFFFF"/>
              <w:bottom w:val="single" w:sz="12" w:space="0" w:color="auto"/>
              <w:right w:val="nil"/>
            </w:tcBorders>
            <w:shd w:val="clear" w:color="auto" w:fill="auto"/>
            <w:noWrap/>
            <w:vAlign w:val="center"/>
            <w:hideMark/>
          </w:tcPr>
          <w:p w14:paraId="5391792D" w14:textId="77777777" w:rsidR="00C64021" w:rsidRPr="00C64021" w:rsidRDefault="00C64021" w:rsidP="00D849E6">
            <w:pPr>
              <w:spacing w:line="240" w:lineRule="auto"/>
              <w:jc w:val="center"/>
              <w:rPr>
                <w:color w:val="000000"/>
                <w:sz w:val="20"/>
                <w:szCs w:val="20"/>
              </w:rPr>
            </w:pPr>
            <w:r w:rsidRPr="00C64021">
              <w:rPr>
                <w:color w:val="000000"/>
                <w:sz w:val="20"/>
                <w:szCs w:val="20"/>
              </w:rPr>
              <w:t>Site 2</w:t>
            </w:r>
          </w:p>
        </w:tc>
      </w:tr>
      <w:tr w:rsidR="00C64021" w:rsidRPr="00C64021" w14:paraId="48E2FE01" w14:textId="77777777" w:rsidTr="00D849E6">
        <w:trPr>
          <w:trHeight w:val="300"/>
        </w:trPr>
        <w:tc>
          <w:tcPr>
            <w:tcW w:w="2880" w:type="dxa"/>
            <w:tcBorders>
              <w:top w:val="nil"/>
              <w:left w:val="nil"/>
              <w:bottom w:val="single" w:sz="12" w:space="0" w:color="auto"/>
              <w:right w:val="single" w:sz="48" w:space="0" w:color="FFFFFF"/>
            </w:tcBorders>
            <w:shd w:val="clear" w:color="auto" w:fill="auto"/>
            <w:noWrap/>
            <w:vAlign w:val="center"/>
            <w:hideMark/>
          </w:tcPr>
          <w:p w14:paraId="278836FF" w14:textId="77777777" w:rsidR="00C64021" w:rsidRPr="00C64021" w:rsidRDefault="00C64021" w:rsidP="00D849E6">
            <w:pPr>
              <w:spacing w:line="240" w:lineRule="auto"/>
              <w:rPr>
                <w:color w:val="000000"/>
                <w:sz w:val="20"/>
                <w:szCs w:val="20"/>
              </w:rPr>
            </w:pPr>
            <w:r w:rsidRPr="00C64021">
              <w:rPr>
                <w:color w:val="000000"/>
                <w:sz w:val="20"/>
                <w:szCs w:val="20"/>
              </w:rPr>
              <w:t xml:space="preserve">BTM Defoliation Strategy† </w:t>
            </w:r>
          </w:p>
        </w:tc>
        <w:tc>
          <w:tcPr>
            <w:tcW w:w="1424"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2FB28E2F" w14:textId="77777777" w:rsidR="00C64021" w:rsidRPr="00C64021" w:rsidRDefault="00C64021" w:rsidP="00D849E6">
            <w:pPr>
              <w:spacing w:line="240" w:lineRule="auto"/>
              <w:jc w:val="center"/>
              <w:rPr>
                <w:color w:val="000000"/>
                <w:sz w:val="20"/>
                <w:szCs w:val="20"/>
              </w:rPr>
            </w:pPr>
            <w:r w:rsidRPr="00C64021">
              <w:rPr>
                <w:color w:val="000000"/>
                <w:sz w:val="20"/>
                <w:szCs w:val="20"/>
              </w:rPr>
              <w:t>Big bluestem</w:t>
            </w:r>
          </w:p>
        </w:tc>
        <w:tc>
          <w:tcPr>
            <w:tcW w:w="1281"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700567BB" w14:textId="77777777" w:rsidR="00C64021" w:rsidRPr="00C64021" w:rsidRDefault="00C64021" w:rsidP="00D849E6">
            <w:pPr>
              <w:spacing w:line="240" w:lineRule="auto"/>
              <w:jc w:val="center"/>
              <w:rPr>
                <w:color w:val="000000"/>
                <w:sz w:val="20"/>
                <w:szCs w:val="20"/>
              </w:rPr>
            </w:pPr>
            <w:r w:rsidRPr="00C64021">
              <w:rPr>
                <w:color w:val="000000"/>
                <w:sz w:val="20"/>
                <w:szCs w:val="20"/>
              </w:rPr>
              <w:t>Switchgrass</w:t>
            </w:r>
          </w:p>
        </w:tc>
        <w:tc>
          <w:tcPr>
            <w:tcW w:w="1435"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1A6955CA" w14:textId="77777777" w:rsidR="00C64021" w:rsidRPr="00C64021" w:rsidRDefault="00C64021" w:rsidP="00D849E6">
            <w:pPr>
              <w:spacing w:line="240" w:lineRule="auto"/>
              <w:jc w:val="center"/>
              <w:rPr>
                <w:color w:val="000000"/>
                <w:sz w:val="20"/>
                <w:szCs w:val="20"/>
              </w:rPr>
            </w:pPr>
            <w:r w:rsidRPr="00C64021">
              <w:rPr>
                <w:color w:val="000000"/>
                <w:sz w:val="20"/>
                <w:szCs w:val="20"/>
              </w:rPr>
              <w:t>Big bluestem</w:t>
            </w:r>
          </w:p>
        </w:tc>
        <w:tc>
          <w:tcPr>
            <w:tcW w:w="1280" w:type="dxa"/>
            <w:tcBorders>
              <w:top w:val="single" w:sz="12" w:space="0" w:color="auto"/>
              <w:left w:val="single" w:sz="48" w:space="0" w:color="FFFFFF"/>
              <w:bottom w:val="single" w:sz="12" w:space="0" w:color="auto"/>
              <w:right w:val="nil"/>
            </w:tcBorders>
            <w:shd w:val="clear" w:color="auto" w:fill="auto"/>
            <w:noWrap/>
            <w:vAlign w:val="center"/>
            <w:hideMark/>
          </w:tcPr>
          <w:p w14:paraId="560CECBD" w14:textId="77777777" w:rsidR="00C64021" w:rsidRPr="00C64021" w:rsidRDefault="00C64021" w:rsidP="00D849E6">
            <w:pPr>
              <w:spacing w:line="240" w:lineRule="auto"/>
              <w:jc w:val="center"/>
              <w:rPr>
                <w:color w:val="000000"/>
                <w:sz w:val="20"/>
                <w:szCs w:val="20"/>
              </w:rPr>
            </w:pPr>
            <w:r w:rsidRPr="00C64021">
              <w:rPr>
                <w:color w:val="000000"/>
                <w:sz w:val="20"/>
                <w:szCs w:val="20"/>
              </w:rPr>
              <w:t>Switchgrass</w:t>
            </w:r>
          </w:p>
        </w:tc>
      </w:tr>
      <w:tr w:rsidR="00C64021" w:rsidRPr="00C64021" w14:paraId="6DA72913" w14:textId="77777777" w:rsidTr="00D849E6">
        <w:trPr>
          <w:trHeight w:val="300"/>
        </w:trPr>
        <w:tc>
          <w:tcPr>
            <w:tcW w:w="2880" w:type="dxa"/>
            <w:tcBorders>
              <w:top w:val="single" w:sz="12" w:space="0" w:color="auto"/>
              <w:left w:val="nil"/>
              <w:bottom w:val="nil"/>
              <w:right w:val="single" w:sz="48" w:space="0" w:color="FFFFFF"/>
            </w:tcBorders>
            <w:shd w:val="clear" w:color="auto" w:fill="auto"/>
            <w:noWrap/>
            <w:vAlign w:val="center"/>
            <w:hideMark/>
          </w:tcPr>
          <w:p w14:paraId="4737430E" w14:textId="77777777" w:rsidR="00C64021" w:rsidRPr="00C64021" w:rsidRDefault="00C64021" w:rsidP="00D849E6">
            <w:pPr>
              <w:spacing w:line="240" w:lineRule="auto"/>
              <w:rPr>
                <w:color w:val="000000"/>
                <w:sz w:val="20"/>
                <w:szCs w:val="20"/>
              </w:rPr>
            </w:pPr>
            <w:r w:rsidRPr="00C64021">
              <w:rPr>
                <w:color w:val="000000"/>
                <w:sz w:val="20"/>
                <w:szCs w:val="20"/>
              </w:rPr>
              <w:t>HAY</w:t>
            </w:r>
          </w:p>
        </w:tc>
        <w:tc>
          <w:tcPr>
            <w:tcW w:w="1424" w:type="dxa"/>
            <w:tcBorders>
              <w:top w:val="single" w:sz="12" w:space="0" w:color="auto"/>
              <w:left w:val="single" w:sz="48" w:space="0" w:color="FFFFFF"/>
              <w:right w:val="single" w:sz="48" w:space="0" w:color="FFFFFF"/>
            </w:tcBorders>
            <w:shd w:val="clear" w:color="auto" w:fill="auto"/>
            <w:noWrap/>
            <w:vAlign w:val="center"/>
            <w:hideMark/>
          </w:tcPr>
          <w:p w14:paraId="2E144FFF" w14:textId="77777777" w:rsidR="00C64021" w:rsidRPr="00C64021" w:rsidRDefault="00C64021" w:rsidP="00D849E6">
            <w:pPr>
              <w:spacing w:line="240" w:lineRule="auto"/>
              <w:jc w:val="center"/>
              <w:rPr>
                <w:color w:val="000000"/>
                <w:sz w:val="20"/>
                <w:szCs w:val="20"/>
              </w:rPr>
            </w:pPr>
            <w:r w:rsidRPr="00C64021">
              <w:rPr>
                <w:color w:val="000000"/>
                <w:sz w:val="20"/>
                <w:szCs w:val="20"/>
              </w:rPr>
              <w:t>27-Jun</w:t>
            </w:r>
          </w:p>
        </w:tc>
        <w:tc>
          <w:tcPr>
            <w:tcW w:w="1281" w:type="dxa"/>
            <w:tcBorders>
              <w:top w:val="single" w:sz="12" w:space="0" w:color="auto"/>
              <w:left w:val="single" w:sz="48" w:space="0" w:color="FFFFFF"/>
              <w:right w:val="single" w:sz="48" w:space="0" w:color="FFFFFF"/>
            </w:tcBorders>
            <w:shd w:val="clear" w:color="auto" w:fill="auto"/>
            <w:noWrap/>
            <w:vAlign w:val="center"/>
            <w:hideMark/>
          </w:tcPr>
          <w:p w14:paraId="5C4DB04B" w14:textId="77777777" w:rsidR="00C64021" w:rsidRPr="00C64021" w:rsidRDefault="00C64021" w:rsidP="00D849E6">
            <w:pPr>
              <w:spacing w:line="240" w:lineRule="auto"/>
              <w:jc w:val="center"/>
              <w:rPr>
                <w:color w:val="000000"/>
                <w:sz w:val="20"/>
                <w:szCs w:val="20"/>
              </w:rPr>
            </w:pPr>
            <w:r w:rsidRPr="00C64021">
              <w:rPr>
                <w:color w:val="000000"/>
                <w:sz w:val="20"/>
                <w:szCs w:val="20"/>
              </w:rPr>
              <w:t>12-Aug</w:t>
            </w:r>
          </w:p>
        </w:tc>
        <w:tc>
          <w:tcPr>
            <w:tcW w:w="1435" w:type="dxa"/>
            <w:tcBorders>
              <w:top w:val="single" w:sz="12" w:space="0" w:color="auto"/>
              <w:left w:val="single" w:sz="48" w:space="0" w:color="FFFFFF"/>
              <w:right w:val="single" w:sz="48" w:space="0" w:color="FFFFFF"/>
            </w:tcBorders>
            <w:shd w:val="clear" w:color="auto" w:fill="auto"/>
            <w:noWrap/>
            <w:vAlign w:val="center"/>
            <w:hideMark/>
          </w:tcPr>
          <w:p w14:paraId="2B71121A" w14:textId="77777777" w:rsidR="00C64021" w:rsidRPr="00C64021" w:rsidRDefault="00C64021" w:rsidP="00D849E6">
            <w:pPr>
              <w:spacing w:line="240" w:lineRule="auto"/>
              <w:jc w:val="center"/>
              <w:rPr>
                <w:color w:val="000000"/>
                <w:sz w:val="20"/>
                <w:szCs w:val="20"/>
              </w:rPr>
            </w:pPr>
            <w:r w:rsidRPr="00C64021">
              <w:rPr>
                <w:color w:val="000000"/>
                <w:sz w:val="20"/>
                <w:szCs w:val="20"/>
              </w:rPr>
              <w:t>10-Jul</w:t>
            </w:r>
          </w:p>
        </w:tc>
        <w:tc>
          <w:tcPr>
            <w:tcW w:w="1280" w:type="dxa"/>
            <w:tcBorders>
              <w:top w:val="single" w:sz="12" w:space="0" w:color="auto"/>
              <w:left w:val="single" w:sz="48" w:space="0" w:color="FFFFFF"/>
              <w:right w:val="nil"/>
            </w:tcBorders>
            <w:shd w:val="clear" w:color="auto" w:fill="auto"/>
            <w:noWrap/>
            <w:vAlign w:val="center"/>
            <w:hideMark/>
          </w:tcPr>
          <w:p w14:paraId="2BD035A8" w14:textId="77777777" w:rsidR="00C64021" w:rsidRPr="00C64021" w:rsidRDefault="00C64021" w:rsidP="00D849E6">
            <w:pPr>
              <w:spacing w:line="240" w:lineRule="auto"/>
              <w:jc w:val="center"/>
              <w:rPr>
                <w:color w:val="000000"/>
                <w:sz w:val="20"/>
                <w:szCs w:val="20"/>
              </w:rPr>
            </w:pPr>
            <w:r w:rsidRPr="00C64021">
              <w:rPr>
                <w:color w:val="000000"/>
                <w:sz w:val="20"/>
                <w:szCs w:val="20"/>
              </w:rPr>
              <w:t>20-Jul</w:t>
            </w:r>
          </w:p>
        </w:tc>
      </w:tr>
      <w:tr w:rsidR="00C64021" w:rsidRPr="00C64021" w14:paraId="42B994E9" w14:textId="77777777" w:rsidTr="00D849E6">
        <w:trPr>
          <w:trHeight w:val="300"/>
        </w:trPr>
        <w:tc>
          <w:tcPr>
            <w:tcW w:w="2880" w:type="dxa"/>
            <w:tcBorders>
              <w:top w:val="nil"/>
              <w:left w:val="nil"/>
              <w:bottom w:val="single" w:sz="8" w:space="0" w:color="000000"/>
            </w:tcBorders>
            <w:shd w:val="clear" w:color="auto" w:fill="auto"/>
            <w:noWrap/>
            <w:vAlign w:val="center"/>
            <w:hideMark/>
          </w:tcPr>
          <w:p w14:paraId="40DF9CD6" w14:textId="77777777" w:rsidR="00C64021" w:rsidRPr="00C64021" w:rsidRDefault="00C64021" w:rsidP="00D849E6">
            <w:pPr>
              <w:spacing w:line="240" w:lineRule="auto"/>
              <w:rPr>
                <w:color w:val="000000"/>
                <w:sz w:val="20"/>
                <w:szCs w:val="20"/>
              </w:rPr>
            </w:pPr>
          </w:p>
        </w:tc>
        <w:tc>
          <w:tcPr>
            <w:tcW w:w="1424" w:type="dxa"/>
            <w:tcBorders>
              <w:top w:val="nil"/>
              <w:bottom w:val="single" w:sz="8" w:space="0" w:color="000000"/>
            </w:tcBorders>
            <w:shd w:val="clear" w:color="auto" w:fill="auto"/>
            <w:noWrap/>
            <w:vAlign w:val="center"/>
            <w:hideMark/>
          </w:tcPr>
          <w:p w14:paraId="5D909CF9" w14:textId="77777777" w:rsidR="00C64021" w:rsidRPr="00C64021" w:rsidRDefault="00C64021" w:rsidP="00D849E6">
            <w:pPr>
              <w:spacing w:line="240" w:lineRule="auto"/>
              <w:jc w:val="center"/>
              <w:rPr>
                <w:color w:val="000000"/>
                <w:sz w:val="20"/>
                <w:szCs w:val="20"/>
              </w:rPr>
            </w:pPr>
            <w:r w:rsidRPr="00C64021">
              <w:rPr>
                <w:color w:val="000000"/>
                <w:sz w:val="20"/>
                <w:szCs w:val="20"/>
              </w:rPr>
              <w:t>22-Jul</w:t>
            </w:r>
          </w:p>
        </w:tc>
        <w:tc>
          <w:tcPr>
            <w:tcW w:w="1281" w:type="dxa"/>
            <w:tcBorders>
              <w:top w:val="nil"/>
              <w:bottom w:val="single" w:sz="8" w:space="0" w:color="000000"/>
            </w:tcBorders>
            <w:shd w:val="clear" w:color="auto" w:fill="auto"/>
            <w:noWrap/>
            <w:vAlign w:val="center"/>
            <w:hideMark/>
          </w:tcPr>
          <w:p w14:paraId="0FE2F77E" w14:textId="77777777" w:rsidR="00C64021" w:rsidRPr="00C64021" w:rsidRDefault="00C64021" w:rsidP="00D849E6">
            <w:pPr>
              <w:spacing w:line="240" w:lineRule="auto"/>
              <w:jc w:val="center"/>
              <w:rPr>
                <w:color w:val="000000"/>
                <w:sz w:val="20"/>
                <w:szCs w:val="20"/>
              </w:rPr>
            </w:pPr>
          </w:p>
        </w:tc>
        <w:tc>
          <w:tcPr>
            <w:tcW w:w="1435" w:type="dxa"/>
            <w:tcBorders>
              <w:top w:val="nil"/>
              <w:bottom w:val="single" w:sz="8" w:space="0" w:color="000000"/>
            </w:tcBorders>
            <w:shd w:val="clear" w:color="auto" w:fill="auto"/>
            <w:noWrap/>
            <w:vAlign w:val="center"/>
            <w:hideMark/>
          </w:tcPr>
          <w:p w14:paraId="113D59FE" w14:textId="77777777" w:rsidR="00C64021" w:rsidRPr="00C64021" w:rsidRDefault="00C64021" w:rsidP="00D849E6">
            <w:pPr>
              <w:spacing w:line="240" w:lineRule="auto"/>
              <w:jc w:val="center"/>
              <w:rPr>
                <w:sz w:val="20"/>
                <w:szCs w:val="20"/>
              </w:rPr>
            </w:pPr>
          </w:p>
        </w:tc>
        <w:tc>
          <w:tcPr>
            <w:tcW w:w="1280" w:type="dxa"/>
            <w:tcBorders>
              <w:top w:val="nil"/>
              <w:bottom w:val="single" w:sz="8" w:space="0" w:color="000000"/>
              <w:right w:val="nil"/>
            </w:tcBorders>
            <w:shd w:val="clear" w:color="auto" w:fill="auto"/>
            <w:noWrap/>
            <w:vAlign w:val="center"/>
            <w:hideMark/>
          </w:tcPr>
          <w:p w14:paraId="79B2281B" w14:textId="77777777" w:rsidR="00C64021" w:rsidRPr="00C64021" w:rsidRDefault="00C64021" w:rsidP="00D849E6">
            <w:pPr>
              <w:spacing w:line="240" w:lineRule="auto"/>
              <w:jc w:val="center"/>
              <w:rPr>
                <w:sz w:val="20"/>
                <w:szCs w:val="20"/>
              </w:rPr>
            </w:pPr>
          </w:p>
        </w:tc>
      </w:tr>
      <w:tr w:rsidR="00C64021" w:rsidRPr="00C64021" w14:paraId="4F23314C" w14:textId="77777777" w:rsidTr="00D849E6">
        <w:trPr>
          <w:trHeight w:val="300"/>
        </w:trPr>
        <w:tc>
          <w:tcPr>
            <w:tcW w:w="2880" w:type="dxa"/>
            <w:tcBorders>
              <w:top w:val="single" w:sz="8" w:space="0" w:color="000000"/>
              <w:left w:val="nil"/>
              <w:bottom w:val="nil"/>
              <w:right w:val="single" w:sz="48" w:space="0" w:color="FFFFFF"/>
            </w:tcBorders>
            <w:shd w:val="clear" w:color="auto" w:fill="auto"/>
            <w:noWrap/>
            <w:vAlign w:val="center"/>
            <w:hideMark/>
          </w:tcPr>
          <w:p w14:paraId="64928748" w14:textId="77777777" w:rsidR="00C64021" w:rsidRPr="00C64021" w:rsidRDefault="00C64021" w:rsidP="00D849E6">
            <w:pPr>
              <w:spacing w:line="240" w:lineRule="auto"/>
              <w:rPr>
                <w:color w:val="000000"/>
                <w:sz w:val="20"/>
                <w:szCs w:val="20"/>
              </w:rPr>
            </w:pPr>
            <w:r w:rsidRPr="00C64021">
              <w:rPr>
                <w:color w:val="000000"/>
                <w:sz w:val="20"/>
                <w:szCs w:val="20"/>
              </w:rPr>
              <w:t>CLIP</w:t>
            </w:r>
          </w:p>
        </w:tc>
        <w:tc>
          <w:tcPr>
            <w:tcW w:w="1424" w:type="dxa"/>
            <w:tcBorders>
              <w:top w:val="single" w:sz="8" w:space="0" w:color="000000"/>
              <w:left w:val="single" w:sz="48" w:space="0" w:color="FFFFFF"/>
              <w:bottom w:val="nil"/>
              <w:right w:val="single" w:sz="48" w:space="0" w:color="FFFFFF"/>
            </w:tcBorders>
            <w:shd w:val="clear" w:color="auto" w:fill="auto"/>
            <w:noWrap/>
            <w:vAlign w:val="center"/>
            <w:hideMark/>
          </w:tcPr>
          <w:p w14:paraId="645CD0C9" w14:textId="77777777" w:rsidR="00C64021" w:rsidRPr="00C64021" w:rsidRDefault="00C64021" w:rsidP="00D849E6">
            <w:pPr>
              <w:spacing w:line="240" w:lineRule="auto"/>
              <w:jc w:val="center"/>
              <w:rPr>
                <w:color w:val="000000"/>
                <w:sz w:val="20"/>
                <w:szCs w:val="20"/>
              </w:rPr>
            </w:pPr>
            <w:r w:rsidRPr="00C64021">
              <w:rPr>
                <w:color w:val="000000"/>
                <w:sz w:val="20"/>
                <w:szCs w:val="20"/>
              </w:rPr>
              <w:t>21-Jun</w:t>
            </w:r>
          </w:p>
        </w:tc>
        <w:tc>
          <w:tcPr>
            <w:tcW w:w="1281" w:type="dxa"/>
            <w:tcBorders>
              <w:top w:val="single" w:sz="8" w:space="0" w:color="000000"/>
              <w:left w:val="single" w:sz="48" w:space="0" w:color="FFFFFF"/>
              <w:bottom w:val="nil"/>
              <w:right w:val="single" w:sz="48" w:space="0" w:color="FFFFFF"/>
            </w:tcBorders>
            <w:shd w:val="clear" w:color="auto" w:fill="auto"/>
            <w:noWrap/>
            <w:vAlign w:val="center"/>
            <w:hideMark/>
          </w:tcPr>
          <w:p w14:paraId="57C2A3FB" w14:textId="77777777" w:rsidR="00C64021" w:rsidRPr="00C64021" w:rsidRDefault="00C64021" w:rsidP="00D849E6">
            <w:pPr>
              <w:spacing w:line="240" w:lineRule="auto"/>
              <w:jc w:val="center"/>
              <w:rPr>
                <w:color w:val="000000"/>
                <w:sz w:val="20"/>
                <w:szCs w:val="20"/>
              </w:rPr>
            </w:pPr>
            <w:r w:rsidRPr="00C64021">
              <w:rPr>
                <w:color w:val="000000"/>
                <w:sz w:val="20"/>
                <w:szCs w:val="20"/>
              </w:rPr>
              <w:t>22-Jul</w:t>
            </w:r>
          </w:p>
        </w:tc>
        <w:tc>
          <w:tcPr>
            <w:tcW w:w="1435" w:type="dxa"/>
            <w:tcBorders>
              <w:top w:val="single" w:sz="8" w:space="0" w:color="000000"/>
              <w:left w:val="single" w:sz="48" w:space="0" w:color="FFFFFF"/>
              <w:bottom w:val="nil"/>
              <w:right w:val="single" w:sz="48" w:space="0" w:color="FFFFFF"/>
            </w:tcBorders>
            <w:shd w:val="clear" w:color="auto" w:fill="auto"/>
            <w:noWrap/>
            <w:vAlign w:val="center"/>
            <w:hideMark/>
          </w:tcPr>
          <w:p w14:paraId="6119C2C7" w14:textId="77777777" w:rsidR="00C64021" w:rsidRPr="00C64021" w:rsidRDefault="00C64021" w:rsidP="00D849E6">
            <w:pPr>
              <w:spacing w:line="240" w:lineRule="auto"/>
              <w:jc w:val="center"/>
              <w:rPr>
                <w:color w:val="000000"/>
                <w:sz w:val="20"/>
                <w:szCs w:val="20"/>
              </w:rPr>
            </w:pPr>
            <w:r w:rsidRPr="00C64021">
              <w:rPr>
                <w:color w:val="000000"/>
                <w:sz w:val="20"/>
                <w:szCs w:val="20"/>
              </w:rPr>
              <w:t>10-Jul</w:t>
            </w:r>
          </w:p>
        </w:tc>
        <w:tc>
          <w:tcPr>
            <w:tcW w:w="1280" w:type="dxa"/>
            <w:tcBorders>
              <w:top w:val="single" w:sz="8" w:space="0" w:color="000000"/>
              <w:left w:val="single" w:sz="48" w:space="0" w:color="FFFFFF"/>
              <w:bottom w:val="nil"/>
              <w:right w:val="nil"/>
            </w:tcBorders>
            <w:shd w:val="clear" w:color="auto" w:fill="auto"/>
            <w:noWrap/>
            <w:vAlign w:val="center"/>
            <w:hideMark/>
          </w:tcPr>
          <w:p w14:paraId="34522A08" w14:textId="77777777" w:rsidR="00C64021" w:rsidRPr="00C64021" w:rsidRDefault="00C64021" w:rsidP="00D849E6">
            <w:pPr>
              <w:spacing w:line="240" w:lineRule="auto"/>
              <w:jc w:val="center"/>
              <w:rPr>
                <w:color w:val="000000"/>
                <w:sz w:val="20"/>
                <w:szCs w:val="20"/>
              </w:rPr>
            </w:pPr>
            <w:r w:rsidRPr="00C64021">
              <w:rPr>
                <w:color w:val="000000"/>
                <w:sz w:val="20"/>
                <w:szCs w:val="20"/>
              </w:rPr>
              <w:t>10-Jul</w:t>
            </w:r>
          </w:p>
        </w:tc>
      </w:tr>
      <w:tr w:rsidR="00C64021" w:rsidRPr="00C64021" w14:paraId="40A0EC32" w14:textId="77777777" w:rsidTr="00D849E6">
        <w:trPr>
          <w:trHeight w:val="300"/>
        </w:trPr>
        <w:tc>
          <w:tcPr>
            <w:tcW w:w="2880" w:type="dxa"/>
            <w:tcBorders>
              <w:top w:val="nil"/>
              <w:left w:val="nil"/>
              <w:bottom w:val="single" w:sz="12" w:space="0" w:color="auto"/>
              <w:right w:val="single" w:sz="48" w:space="0" w:color="FFFFFF"/>
            </w:tcBorders>
            <w:shd w:val="clear" w:color="auto" w:fill="auto"/>
            <w:noWrap/>
            <w:vAlign w:val="bottom"/>
            <w:hideMark/>
          </w:tcPr>
          <w:p w14:paraId="142719E3" w14:textId="77777777" w:rsidR="00C64021" w:rsidRPr="00C64021" w:rsidRDefault="00C64021" w:rsidP="00D849E6">
            <w:pPr>
              <w:spacing w:line="240" w:lineRule="auto"/>
              <w:jc w:val="right"/>
              <w:rPr>
                <w:color w:val="000000"/>
                <w:sz w:val="20"/>
                <w:szCs w:val="20"/>
              </w:rPr>
            </w:pPr>
          </w:p>
        </w:tc>
        <w:tc>
          <w:tcPr>
            <w:tcW w:w="1424" w:type="dxa"/>
            <w:tcBorders>
              <w:top w:val="nil"/>
              <w:left w:val="single" w:sz="48" w:space="0" w:color="FFFFFF"/>
              <w:bottom w:val="single" w:sz="12" w:space="0" w:color="auto"/>
              <w:right w:val="single" w:sz="48" w:space="0" w:color="FFFFFF"/>
            </w:tcBorders>
            <w:shd w:val="clear" w:color="auto" w:fill="auto"/>
            <w:noWrap/>
            <w:vAlign w:val="center"/>
            <w:hideMark/>
          </w:tcPr>
          <w:p w14:paraId="3B18D4CF" w14:textId="77777777" w:rsidR="00C64021" w:rsidRPr="00C64021" w:rsidRDefault="00C64021" w:rsidP="00D849E6">
            <w:pPr>
              <w:spacing w:line="240" w:lineRule="auto"/>
              <w:jc w:val="center"/>
              <w:rPr>
                <w:color w:val="000000"/>
                <w:sz w:val="20"/>
                <w:szCs w:val="20"/>
              </w:rPr>
            </w:pPr>
            <w:r w:rsidRPr="00C64021">
              <w:rPr>
                <w:color w:val="000000"/>
                <w:sz w:val="20"/>
                <w:szCs w:val="20"/>
              </w:rPr>
              <w:t>22-Jul</w:t>
            </w:r>
          </w:p>
        </w:tc>
        <w:tc>
          <w:tcPr>
            <w:tcW w:w="1281" w:type="dxa"/>
            <w:tcBorders>
              <w:top w:val="nil"/>
              <w:left w:val="single" w:sz="48" w:space="0" w:color="FFFFFF"/>
              <w:bottom w:val="single" w:sz="12" w:space="0" w:color="auto"/>
              <w:right w:val="single" w:sz="48" w:space="0" w:color="FFFFFF"/>
            </w:tcBorders>
            <w:shd w:val="clear" w:color="auto" w:fill="auto"/>
            <w:noWrap/>
            <w:vAlign w:val="center"/>
            <w:hideMark/>
          </w:tcPr>
          <w:p w14:paraId="42A8DDA5" w14:textId="77777777" w:rsidR="00C64021" w:rsidRPr="00C64021" w:rsidRDefault="00C64021" w:rsidP="00D849E6">
            <w:pPr>
              <w:spacing w:line="240" w:lineRule="auto"/>
              <w:jc w:val="center"/>
              <w:rPr>
                <w:color w:val="000000"/>
                <w:sz w:val="20"/>
                <w:szCs w:val="20"/>
              </w:rPr>
            </w:pPr>
            <w:r w:rsidRPr="00C64021">
              <w:rPr>
                <w:color w:val="000000"/>
                <w:sz w:val="20"/>
                <w:szCs w:val="20"/>
              </w:rPr>
              <w:t>12-Aug</w:t>
            </w:r>
          </w:p>
        </w:tc>
        <w:tc>
          <w:tcPr>
            <w:tcW w:w="1435" w:type="dxa"/>
            <w:tcBorders>
              <w:top w:val="nil"/>
              <w:left w:val="single" w:sz="48" w:space="0" w:color="FFFFFF"/>
              <w:bottom w:val="single" w:sz="12" w:space="0" w:color="auto"/>
              <w:right w:val="single" w:sz="48" w:space="0" w:color="FFFFFF"/>
            </w:tcBorders>
            <w:shd w:val="clear" w:color="auto" w:fill="auto"/>
            <w:noWrap/>
            <w:vAlign w:val="center"/>
            <w:hideMark/>
          </w:tcPr>
          <w:p w14:paraId="634BD19D" w14:textId="77777777" w:rsidR="00C64021" w:rsidRPr="00C64021" w:rsidRDefault="00C64021" w:rsidP="00D849E6">
            <w:pPr>
              <w:spacing w:line="240" w:lineRule="auto"/>
              <w:jc w:val="center"/>
              <w:rPr>
                <w:color w:val="000000"/>
                <w:sz w:val="20"/>
                <w:szCs w:val="20"/>
              </w:rPr>
            </w:pPr>
          </w:p>
        </w:tc>
        <w:tc>
          <w:tcPr>
            <w:tcW w:w="1280" w:type="dxa"/>
            <w:tcBorders>
              <w:top w:val="nil"/>
              <w:left w:val="single" w:sz="48" w:space="0" w:color="FFFFFF"/>
              <w:bottom w:val="single" w:sz="12" w:space="0" w:color="auto"/>
              <w:right w:val="nil"/>
            </w:tcBorders>
            <w:shd w:val="clear" w:color="auto" w:fill="auto"/>
            <w:noWrap/>
            <w:vAlign w:val="center"/>
            <w:hideMark/>
          </w:tcPr>
          <w:p w14:paraId="6EB56998" w14:textId="77777777" w:rsidR="00C64021" w:rsidRPr="00C64021" w:rsidRDefault="00C64021" w:rsidP="00D849E6">
            <w:pPr>
              <w:spacing w:line="240" w:lineRule="auto"/>
              <w:jc w:val="center"/>
              <w:rPr>
                <w:sz w:val="20"/>
                <w:szCs w:val="20"/>
              </w:rPr>
            </w:pPr>
          </w:p>
        </w:tc>
      </w:tr>
    </w:tbl>
    <w:p w14:paraId="483EE428" w14:textId="77777777" w:rsidR="00C64021" w:rsidRDefault="00C64021" w:rsidP="00C64021">
      <w:pPr>
        <w:spacing w:line="240" w:lineRule="auto"/>
      </w:pPr>
      <w:r w:rsidRPr="00C64021">
        <w:t>†Browntop millet (BTM) defoliation strategy [HAY = harvests based on BTM maturity (boot to heading stage) for hay or CLIP = clipping to reduce BTM competition by maintaining &gt;50% sunlight reaching big bluestem and switchgrass seedlings]</w:t>
      </w:r>
    </w:p>
    <w:p w14:paraId="7F84F805" w14:textId="77777777" w:rsidR="00C64021" w:rsidRDefault="00C64021" w:rsidP="00C64021">
      <w:pPr>
        <w:spacing w:line="240" w:lineRule="auto"/>
      </w:pPr>
    </w:p>
    <w:p w14:paraId="78921D4B" w14:textId="2FC3A45B" w:rsidR="00C64021" w:rsidRPr="00C64021" w:rsidRDefault="00C64021" w:rsidP="00C64021">
      <w:pPr>
        <w:spacing w:line="240" w:lineRule="auto"/>
        <w:sectPr w:rsidR="00C64021" w:rsidRPr="00C64021" w:rsidSect="00C64021">
          <w:pgSz w:w="12240" w:h="15840"/>
          <w:pgMar w:top="1440" w:right="1800" w:bottom="1872" w:left="1800" w:header="720" w:footer="720" w:gutter="0"/>
          <w:cols w:space="720"/>
          <w:docGrid w:linePitch="360"/>
        </w:sectPr>
      </w:pPr>
    </w:p>
    <w:p w14:paraId="31014CC0" w14:textId="767A7B0A" w:rsidR="00C64021" w:rsidRPr="00BA5362" w:rsidRDefault="00C64021" w:rsidP="00C64021">
      <w:pPr>
        <w:pStyle w:val="Tables"/>
      </w:pPr>
      <w:bookmarkStart w:id="282" w:name="_Toc72300419"/>
      <w:r w:rsidRPr="00E04E78">
        <w:lastRenderedPageBreak/>
        <w:t xml:space="preserve">Table </w:t>
      </w:r>
      <w:r>
        <w:t>3A.2</w:t>
      </w:r>
      <w:r w:rsidRPr="00E04E78">
        <w:t>. Mixed-</w:t>
      </w:r>
      <w:r w:rsidRPr="000D6E9A">
        <w:t xml:space="preserve">effects ANOVA model </w:t>
      </w:r>
      <w:r>
        <w:t xml:space="preserve">results </w:t>
      </w:r>
      <w:r w:rsidRPr="000D6E9A">
        <w:t>for</w:t>
      </w:r>
      <w:r>
        <w:t xml:space="preserve"> establishment-year</w:t>
      </w:r>
      <w:r w:rsidRPr="000D6E9A">
        <w:t xml:space="preserve"> plant density of b</w:t>
      </w:r>
      <w:r w:rsidRPr="00136BC7">
        <w:t>i</w:t>
      </w:r>
      <w:r w:rsidRPr="002B6D59">
        <w:t>g bl</w:t>
      </w:r>
      <w:r w:rsidRPr="00677DC5">
        <w:t>ue</w:t>
      </w:r>
      <w:r w:rsidRPr="005578B5">
        <w:t>stem se</w:t>
      </w:r>
      <w:r w:rsidRPr="00995696">
        <w:t>edlings, weeds, and browntop millet (BTM) + weeds</w:t>
      </w:r>
      <w:r>
        <w:t xml:space="preserve"> at each site at </w:t>
      </w:r>
      <w:r w:rsidRPr="00995696">
        <w:t>East Tennessee AgRes</w:t>
      </w:r>
      <w:r w:rsidRPr="00BA5362">
        <w:t>earch and Education Center</w:t>
      </w:r>
      <w:r>
        <w:t>-Plant Science Unit</w:t>
      </w:r>
      <w:r w:rsidRPr="00BA5362">
        <w:t>, Knoxville, TN</w:t>
      </w:r>
      <w:r>
        <w:t>, 2016-2017</w:t>
      </w:r>
      <w:r w:rsidRPr="00BA5362">
        <w:t>, during a big bluestem establishment experiment.</w:t>
      </w:r>
      <w:bookmarkEnd w:id="282"/>
      <w:r w:rsidRPr="00BA5362">
        <w:t xml:space="preserve">  </w:t>
      </w:r>
    </w:p>
    <w:tbl>
      <w:tblPr>
        <w:tblW w:w="11880" w:type="dxa"/>
        <w:tblLook w:val="04A0" w:firstRow="1" w:lastRow="0" w:firstColumn="1" w:lastColumn="0" w:noHBand="0" w:noVBand="1"/>
      </w:tblPr>
      <w:tblGrid>
        <w:gridCol w:w="348"/>
        <w:gridCol w:w="1452"/>
        <w:gridCol w:w="1008"/>
        <w:gridCol w:w="809"/>
        <w:gridCol w:w="928"/>
        <w:gridCol w:w="765"/>
        <w:gridCol w:w="900"/>
        <w:gridCol w:w="720"/>
        <w:gridCol w:w="934"/>
        <w:gridCol w:w="765"/>
        <w:gridCol w:w="900"/>
        <w:gridCol w:w="731"/>
        <w:gridCol w:w="900"/>
        <w:gridCol w:w="720"/>
      </w:tblGrid>
      <w:tr w:rsidR="00C64021" w:rsidRPr="00C64021" w14:paraId="6B9653C5" w14:textId="77777777" w:rsidTr="002F5B7E">
        <w:trPr>
          <w:trHeight w:val="300"/>
        </w:trPr>
        <w:tc>
          <w:tcPr>
            <w:tcW w:w="348" w:type="dxa"/>
            <w:tcBorders>
              <w:top w:val="single" w:sz="12" w:space="0" w:color="auto"/>
              <w:left w:val="nil"/>
              <w:bottom w:val="nil"/>
              <w:right w:val="nil"/>
            </w:tcBorders>
            <w:shd w:val="clear" w:color="auto" w:fill="auto"/>
            <w:noWrap/>
            <w:vAlign w:val="bottom"/>
            <w:hideMark/>
          </w:tcPr>
          <w:p w14:paraId="19EA2E8E" w14:textId="77777777" w:rsidR="00C64021" w:rsidRPr="00C64021" w:rsidRDefault="00C64021" w:rsidP="00D849E6">
            <w:pPr>
              <w:spacing w:line="240" w:lineRule="auto"/>
              <w:rPr>
                <w:sz w:val="20"/>
                <w:szCs w:val="20"/>
              </w:rPr>
            </w:pPr>
          </w:p>
        </w:tc>
        <w:tc>
          <w:tcPr>
            <w:tcW w:w="1452" w:type="dxa"/>
            <w:tcBorders>
              <w:top w:val="single" w:sz="12" w:space="0" w:color="auto"/>
              <w:left w:val="nil"/>
              <w:bottom w:val="nil"/>
              <w:right w:val="single" w:sz="48" w:space="0" w:color="FFFFFF"/>
            </w:tcBorders>
            <w:shd w:val="clear" w:color="auto" w:fill="auto"/>
            <w:noWrap/>
            <w:vAlign w:val="bottom"/>
            <w:hideMark/>
          </w:tcPr>
          <w:p w14:paraId="4808B808" w14:textId="77777777" w:rsidR="00C64021" w:rsidRPr="00C64021" w:rsidRDefault="00C64021" w:rsidP="00D849E6">
            <w:pPr>
              <w:spacing w:line="240" w:lineRule="auto"/>
              <w:rPr>
                <w:sz w:val="20"/>
                <w:szCs w:val="20"/>
              </w:rPr>
            </w:pPr>
          </w:p>
        </w:tc>
        <w:tc>
          <w:tcPr>
            <w:tcW w:w="5130" w:type="dxa"/>
            <w:gridSpan w:val="6"/>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1188D876" w14:textId="77777777" w:rsidR="00C64021" w:rsidRPr="00C64021" w:rsidRDefault="00C64021" w:rsidP="00D849E6">
            <w:pPr>
              <w:spacing w:line="240" w:lineRule="auto"/>
              <w:jc w:val="center"/>
              <w:rPr>
                <w:color w:val="000000"/>
                <w:sz w:val="20"/>
                <w:szCs w:val="20"/>
              </w:rPr>
            </w:pPr>
            <w:r w:rsidRPr="00C64021">
              <w:rPr>
                <w:color w:val="000000"/>
                <w:sz w:val="20"/>
                <w:szCs w:val="20"/>
              </w:rPr>
              <w:t>Site 1</w:t>
            </w:r>
          </w:p>
        </w:tc>
        <w:tc>
          <w:tcPr>
            <w:tcW w:w="4950" w:type="dxa"/>
            <w:gridSpan w:val="6"/>
            <w:tcBorders>
              <w:top w:val="single" w:sz="12" w:space="0" w:color="auto"/>
              <w:left w:val="single" w:sz="48" w:space="0" w:color="FFFFFF"/>
              <w:bottom w:val="nil"/>
              <w:right w:val="nil"/>
            </w:tcBorders>
            <w:shd w:val="clear" w:color="auto" w:fill="auto"/>
            <w:noWrap/>
            <w:vAlign w:val="center"/>
            <w:hideMark/>
          </w:tcPr>
          <w:p w14:paraId="49E4DA45" w14:textId="77777777" w:rsidR="00C64021" w:rsidRPr="00C64021" w:rsidRDefault="00C64021" w:rsidP="00D849E6">
            <w:pPr>
              <w:spacing w:line="240" w:lineRule="auto"/>
              <w:jc w:val="center"/>
              <w:rPr>
                <w:color w:val="000000"/>
                <w:sz w:val="20"/>
                <w:szCs w:val="20"/>
              </w:rPr>
            </w:pPr>
            <w:r w:rsidRPr="00C64021">
              <w:rPr>
                <w:color w:val="000000"/>
                <w:sz w:val="20"/>
                <w:szCs w:val="20"/>
              </w:rPr>
              <w:t>Site 2</w:t>
            </w:r>
          </w:p>
        </w:tc>
      </w:tr>
      <w:tr w:rsidR="00C64021" w:rsidRPr="00C64021" w14:paraId="26B6FBA4" w14:textId="77777777" w:rsidTr="002F5B7E">
        <w:trPr>
          <w:trHeight w:val="300"/>
        </w:trPr>
        <w:tc>
          <w:tcPr>
            <w:tcW w:w="348" w:type="dxa"/>
            <w:tcBorders>
              <w:top w:val="nil"/>
              <w:left w:val="nil"/>
              <w:bottom w:val="nil"/>
              <w:right w:val="nil"/>
            </w:tcBorders>
            <w:shd w:val="clear" w:color="auto" w:fill="auto"/>
            <w:noWrap/>
            <w:vAlign w:val="bottom"/>
            <w:hideMark/>
          </w:tcPr>
          <w:p w14:paraId="01188A15" w14:textId="77777777" w:rsidR="00C64021" w:rsidRPr="00C64021" w:rsidRDefault="00C64021" w:rsidP="00D849E6">
            <w:pPr>
              <w:spacing w:line="240" w:lineRule="auto"/>
              <w:jc w:val="center"/>
              <w:rPr>
                <w:color w:val="000000"/>
                <w:sz w:val="20"/>
                <w:szCs w:val="20"/>
              </w:rPr>
            </w:pPr>
          </w:p>
        </w:tc>
        <w:tc>
          <w:tcPr>
            <w:tcW w:w="1452" w:type="dxa"/>
            <w:tcBorders>
              <w:top w:val="nil"/>
              <w:left w:val="nil"/>
              <w:bottom w:val="nil"/>
              <w:right w:val="single" w:sz="48" w:space="0" w:color="FFFFFF"/>
            </w:tcBorders>
            <w:shd w:val="clear" w:color="auto" w:fill="auto"/>
            <w:noWrap/>
            <w:vAlign w:val="bottom"/>
            <w:hideMark/>
          </w:tcPr>
          <w:p w14:paraId="2575EF1E" w14:textId="77777777" w:rsidR="00C64021" w:rsidRPr="00C64021" w:rsidRDefault="00C64021" w:rsidP="00D849E6">
            <w:pPr>
              <w:spacing w:line="240" w:lineRule="auto"/>
              <w:rPr>
                <w:sz w:val="20"/>
                <w:szCs w:val="20"/>
              </w:rPr>
            </w:pPr>
          </w:p>
        </w:tc>
        <w:tc>
          <w:tcPr>
            <w:tcW w:w="1817" w:type="dxa"/>
            <w:gridSpan w:val="2"/>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3863212D" w14:textId="77777777" w:rsidR="00C64021" w:rsidRPr="00C64021" w:rsidRDefault="00C64021" w:rsidP="00D849E6">
            <w:pPr>
              <w:spacing w:line="240" w:lineRule="auto"/>
              <w:jc w:val="center"/>
              <w:rPr>
                <w:color w:val="000000"/>
                <w:sz w:val="20"/>
                <w:szCs w:val="20"/>
              </w:rPr>
            </w:pPr>
            <w:r w:rsidRPr="00C64021">
              <w:rPr>
                <w:color w:val="000000"/>
                <w:sz w:val="20"/>
                <w:szCs w:val="20"/>
              </w:rPr>
              <w:t>30 DAP†</w:t>
            </w:r>
          </w:p>
        </w:tc>
        <w:tc>
          <w:tcPr>
            <w:tcW w:w="1693" w:type="dxa"/>
            <w:gridSpan w:val="2"/>
            <w:tcBorders>
              <w:top w:val="single" w:sz="12" w:space="0" w:color="auto"/>
              <w:left w:val="single" w:sz="48" w:space="0" w:color="FFFFFF"/>
              <w:bottom w:val="nil"/>
              <w:right w:val="single" w:sz="48" w:space="0" w:color="FFFFFF"/>
            </w:tcBorders>
            <w:shd w:val="clear" w:color="auto" w:fill="auto"/>
            <w:noWrap/>
            <w:vAlign w:val="center"/>
            <w:hideMark/>
          </w:tcPr>
          <w:p w14:paraId="4DFC8111" w14:textId="77777777" w:rsidR="00C64021" w:rsidRPr="00C64021" w:rsidRDefault="00C64021" w:rsidP="00D849E6">
            <w:pPr>
              <w:spacing w:line="240" w:lineRule="auto"/>
              <w:ind w:left="1"/>
              <w:jc w:val="center"/>
              <w:rPr>
                <w:color w:val="000000"/>
                <w:sz w:val="20"/>
                <w:szCs w:val="20"/>
              </w:rPr>
            </w:pPr>
            <w:r w:rsidRPr="00C64021">
              <w:rPr>
                <w:color w:val="000000"/>
                <w:sz w:val="20"/>
                <w:szCs w:val="20"/>
              </w:rPr>
              <w:t>60 DAP</w:t>
            </w:r>
          </w:p>
        </w:tc>
        <w:tc>
          <w:tcPr>
            <w:tcW w:w="1620" w:type="dxa"/>
            <w:gridSpan w:val="2"/>
            <w:tcBorders>
              <w:top w:val="single" w:sz="12" w:space="0" w:color="auto"/>
              <w:left w:val="single" w:sz="48" w:space="0" w:color="FFFFFF"/>
              <w:bottom w:val="nil"/>
              <w:right w:val="single" w:sz="48" w:space="0" w:color="FFFFFF"/>
            </w:tcBorders>
            <w:shd w:val="clear" w:color="auto" w:fill="auto"/>
            <w:noWrap/>
            <w:vAlign w:val="center"/>
            <w:hideMark/>
          </w:tcPr>
          <w:p w14:paraId="6AF056DE" w14:textId="77777777" w:rsidR="00C64021" w:rsidRPr="00C64021" w:rsidRDefault="00C64021" w:rsidP="00D849E6">
            <w:pPr>
              <w:spacing w:line="240" w:lineRule="auto"/>
              <w:jc w:val="center"/>
              <w:rPr>
                <w:color w:val="000000"/>
                <w:sz w:val="20"/>
                <w:szCs w:val="20"/>
              </w:rPr>
            </w:pPr>
            <w:r w:rsidRPr="00C64021">
              <w:rPr>
                <w:color w:val="000000"/>
                <w:sz w:val="20"/>
                <w:szCs w:val="20"/>
              </w:rPr>
              <w:t>Dormancy</w:t>
            </w:r>
          </w:p>
        </w:tc>
        <w:tc>
          <w:tcPr>
            <w:tcW w:w="1699" w:type="dxa"/>
            <w:gridSpan w:val="2"/>
            <w:tcBorders>
              <w:top w:val="single" w:sz="12" w:space="0" w:color="auto"/>
              <w:left w:val="single" w:sz="48" w:space="0" w:color="FFFFFF"/>
              <w:bottom w:val="nil"/>
              <w:right w:val="single" w:sz="48" w:space="0" w:color="FFFFFF"/>
            </w:tcBorders>
            <w:shd w:val="clear" w:color="auto" w:fill="auto"/>
            <w:noWrap/>
            <w:vAlign w:val="center"/>
            <w:hideMark/>
          </w:tcPr>
          <w:p w14:paraId="21417FDB" w14:textId="77777777" w:rsidR="00C64021" w:rsidRPr="00C64021" w:rsidRDefault="00C64021" w:rsidP="00D849E6">
            <w:pPr>
              <w:spacing w:line="240" w:lineRule="auto"/>
              <w:jc w:val="center"/>
              <w:rPr>
                <w:color w:val="000000"/>
                <w:sz w:val="20"/>
                <w:szCs w:val="20"/>
              </w:rPr>
            </w:pPr>
            <w:r w:rsidRPr="00C64021">
              <w:rPr>
                <w:color w:val="000000"/>
                <w:sz w:val="20"/>
                <w:szCs w:val="20"/>
              </w:rPr>
              <w:t>30 DAP</w:t>
            </w:r>
          </w:p>
        </w:tc>
        <w:tc>
          <w:tcPr>
            <w:tcW w:w="1631" w:type="dxa"/>
            <w:gridSpan w:val="2"/>
            <w:tcBorders>
              <w:top w:val="single" w:sz="12" w:space="0" w:color="auto"/>
              <w:left w:val="single" w:sz="48" w:space="0" w:color="FFFFFF"/>
              <w:bottom w:val="nil"/>
              <w:right w:val="single" w:sz="48" w:space="0" w:color="FFFFFF"/>
            </w:tcBorders>
            <w:shd w:val="clear" w:color="auto" w:fill="auto"/>
            <w:noWrap/>
            <w:vAlign w:val="center"/>
            <w:hideMark/>
          </w:tcPr>
          <w:p w14:paraId="68D2BC1D" w14:textId="77777777" w:rsidR="00C64021" w:rsidRPr="00C64021" w:rsidRDefault="00C64021" w:rsidP="00D849E6">
            <w:pPr>
              <w:spacing w:line="240" w:lineRule="auto"/>
              <w:jc w:val="center"/>
              <w:rPr>
                <w:color w:val="000000"/>
                <w:sz w:val="20"/>
                <w:szCs w:val="20"/>
              </w:rPr>
            </w:pPr>
            <w:r w:rsidRPr="00C64021">
              <w:rPr>
                <w:color w:val="000000"/>
                <w:sz w:val="20"/>
                <w:szCs w:val="20"/>
              </w:rPr>
              <w:t>60 DAP</w:t>
            </w:r>
          </w:p>
        </w:tc>
        <w:tc>
          <w:tcPr>
            <w:tcW w:w="1620" w:type="dxa"/>
            <w:gridSpan w:val="2"/>
            <w:tcBorders>
              <w:top w:val="single" w:sz="12" w:space="0" w:color="auto"/>
              <w:left w:val="single" w:sz="48" w:space="0" w:color="FFFFFF"/>
              <w:bottom w:val="nil"/>
              <w:right w:val="nil"/>
            </w:tcBorders>
            <w:shd w:val="clear" w:color="auto" w:fill="auto"/>
            <w:noWrap/>
            <w:vAlign w:val="center"/>
            <w:hideMark/>
          </w:tcPr>
          <w:p w14:paraId="77879047" w14:textId="77777777" w:rsidR="00C64021" w:rsidRPr="00C64021" w:rsidRDefault="00C64021" w:rsidP="00D849E6">
            <w:pPr>
              <w:spacing w:line="240" w:lineRule="auto"/>
              <w:jc w:val="center"/>
              <w:rPr>
                <w:color w:val="000000"/>
                <w:sz w:val="20"/>
                <w:szCs w:val="20"/>
              </w:rPr>
            </w:pPr>
            <w:r w:rsidRPr="00C64021">
              <w:rPr>
                <w:color w:val="000000"/>
                <w:sz w:val="20"/>
                <w:szCs w:val="20"/>
              </w:rPr>
              <w:t>Dormancy</w:t>
            </w:r>
          </w:p>
        </w:tc>
      </w:tr>
      <w:tr w:rsidR="00C64021" w:rsidRPr="00C64021" w14:paraId="635E9989" w14:textId="77777777" w:rsidTr="002F5B7E">
        <w:trPr>
          <w:trHeight w:val="300"/>
        </w:trPr>
        <w:tc>
          <w:tcPr>
            <w:tcW w:w="1800" w:type="dxa"/>
            <w:gridSpan w:val="2"/>
            <w:tcBorders>
              <w:top w:val="nil"/>
              <w:left w:val="nil"/>
              <w:bottom w:val="single" w:sz="12" w:space="0" w:color="auto"/>
              <w:right w:val="single" w:sz="48" w:space="0" w:color="FFFFFF"/>
            </w:tcBorders>
            <w:shd w:val="clear" w:color="auto" w:fill="auto"/>
            <w:noWrap/>
            <w:vAlign w:val="center"/>
            <w:hideMark/>
          </w:tcPr>
          <w:p w14:paraId="54E08231" w14:textId="77777777" w:rsidR="00C64021" w:rsidRPr="00C64021" w:rsidRDefault="00C64021" w:rsidP="00D849E6">
            <w:pPr>
              <w:spacing w:line="240" w:lineRule="auto"/>
              <w:rPr>
                <w:color w:val="000000"/>
                <w:sz w:val="20"/>
                <w:szCs w:val="20"/>
              </w:rPr>
            </w:pPr>
            <w:r w:rsidRPr="00C64021">
              <w:rPr>
                <w:color w:val="000000"/>
                <w:sz w:val="20"/>
                <w:szCs w:val="20"/>
              </w:rPr>
              <w:t>Effect</w:t>
            </w:r>
          </w:p>
        </w:tc>
        <w:tc>
          <w:tcPr>
            <w:tcW w:w="1008"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43EF73CF" w14:textId="77777777" w:rsidR="00C64021" w:rsidRPr="00C64021" w:rsidRDefault="00C64021" w:rsidP="00D849E6">
            <w:pPr>
              <w:spacing w:line="240" w:lineRule="auto"/>
              <w:jc w:val="center"/>
              <w:rPr>
                <w:color w:val="000000"/>
                <w:sz w:val="20"/>
                <w:szCs w:val="20"/>
              </w:rPr>
            </w:pPr>
            <w:r w:rsidRPr="00C64021">
              <w:rPr>
                <w:i/>
                <w:iCs/>
                <w:color w:val="000000"/>
                <w:sz w:val="20"/>
                <w:szCs w:val="20"/>
              </w:rPr>
              <w:t>F</w:t>
            </w:r>
            <w:r w:rsidRPr="00C64021">
              <w:rPr>
                <w:color w:val="000000"/>
                <w:sz w:val="20"/>
                <w:szCs w:val="20"/>
              </w:rPr>
              <w:t xml:space="preserve"> value§</w:t>
            </w:r>
          </w:p>
        </w:tc>
        <w:tc>
          <w:tcPr>
            <w:tcW w:w="809"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543A9627" w14:textId="77777777" w:rsidR="00C64021" w:rsidRPr="00C64021" w:rsidRDefault="00C64021" w:rsidP="00D849E6">
            <w:pPr>
              <w:spacing w:line="240" w:lineRule="auto"/>
              <w:jc w:val="center"/>
              <w:rPr>
                <w:i/>
                <w:iCs/>
                <w:color w:val="000000"/>
                <w:sz w:val="20"/>
                <w:szCs w:val="20"/>
              </w:rPr>
            </w:pPr>
            <w:r w:rsidRPr="00C64021">
              <w:rPr>
                <w:i/>
                <w:iCs/>
                <w:color w:val="000000"/>
                <w:sz w:val="20"/>
                <w:szCs w:val="20"/>
              </w:rPr>
              <w:t>P &gt; F</w:t>
            </w:r>
          </w:p>
        </w:tc>
        <w:tc>
          <w:tcPr>
            <w:tcW w:w="928"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669F3AB8" w14:textId="77777777" w:rsidR="00C64021" w:rsidRPr="00C64021" w:rsidRDefault="00C64021" w:rsidP="00D849E6">
            <w:pPr>
              <w:spacing w:line="240" w:lineRule="auto"/>
              <w:jc w:val="center"/>
              <w:rPr>
                <w:color w:val="000000"/>
                <w:sz w:val="20"/>
                <w:szCs w:val="20"/>
              </w:rPr>
            </w:pPr>
            <w:r w:rsidRPr="00C64021">
              <w:rPr>
                <w:i/>
                <w:iCs/>
                <w:color w:val="000000"/>
                <w:sz w:val="20"/>
                <w:szCs w:val="20"/>
              </w:rPr>
              <w:t>F</w:t>
            </w:r>
            <w:r w:rsidRPr="00C64021">
              <w:rPr>
                <w:color w:val="000000"/>
                <w:sz w:val="20"/>
                <w:szCs w:val="20"/>
              </w:rPr>
              <w:t xml:space="preserve"> value</w:t>
            </w:r>
          </w:p>
        </w:tc>
        <w:tc>
          <w:tcPr>
            <w:tcW w:w="765"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059C9BE9" w14:textId="77777777" w:rsidR="00C64021" w:rsidRPr="00C64021" w:rsidRDefault="00C64021" w:rsidP="00D849E6">
            <w:pPr>
              <w:spacing w:line="240" w:lineRule="auto"/>
              <w:jc w:val="center"/>
              <w:rPr>
                <w:i/>
                <w:iCs/>
                <w:color w:val="000000"/>
                <w:sz w:val="20"/>
                <w:szCs w:val="20"/>
              </w:rPr>
            </w:pPr>
            <w:r w:rsidRPr="00C64021">
              <w:rPr>
                <w:i/>
                <w:iCs/>
                <w:color w:val="000000"/>
                <w:sz w:val="20"/>
                <w:szCs w:val="20"/>
              </w:rPr>
              <w:t>P &gt; F</w:t>
            </w:r>
          </w:p>
        </w:tc>
        <w:tc>
          <w:tcPr>
            <w:tcW w:w="900"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6415DECF" w14:textId="77777777" w:rsidR="00C64021" w:rsidRPr="00C64021" w:rsidRDefault="00C64021" w:rsidP="00D849E6">
            <w:pPr>
              <w:spacing w:line="240" w:lineRule="auto"/>
              <w:jc w:val="center"/>
              <w:rPr>
                <w:color w:val="000000"/>
                <w:sz w:val="20"/>
                <w:szCs w:val="20"/>
              </w:rPr>
            </w:pPr>
            <w:r w:rsidRPr="00C64021">
              <w:rPr>
                <w:i/>
                <w:iCs/>
                <w:color w:val="000000"/>
                <w:sz w:val="20"/>
                <w:szCs w:val="20"/>
              </w:rPr>
              <w:t>F</w:t>
            </w:r>
            <w:r w:rsidRPr="00C64021">
              <w:rPr>
                <w:color w:val="000000"/>
                <w:sz w:val="20"/>
                <w:szCs w:val="20"/>
              </w:rPr>
              <w:t xml:space="preserve"> value</w:t>
            </w:r>
          </w:p>
        </w:tc>
        <w:tc>
          <w:tcPr>
            <w:tcW w:w="720"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361188A3" w14:textId="77777777" w:rsidR="00C64021" w:rsidRPr="00C64021" w:rsidRDefault="00C64021" w:rsidP="00D849E6">
            <w:pPr>
              <w:spacing w:line="240" w:lineRule="auto"/>
              <w:jc w:val="center"/>
              <w:rPr>
                <w:i/>
                <w:iCs/>
                <w:color w:val="000000"/>
                <w:sz w:val="20"/>
                <w:szCs w:val="20"/>
              </w:rPr>
            </w:pPr>
            <w:r w:rsidRPr="00C64021">
              <w:rPr>
                <w:i/>
                <w:iCs/>
                <w:color w:val="000000"/>
                <w:sz w:val="20"/>
                <w:szCs w:val="20"/>
              </w:rPr>
              <w:t>P &gt; F</w:t>
            </w:r>
          </w:p>
        </w:tc>
        <w:tc>
          <w:tcPr>
            <w:tcW w:w="934"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59B39C19" w14:textId="77777777" w:rsidR="00C64021" w:rsidRPr="00C64021" w:rsidRDefault="00C64021" w:rsidP="00D849E6">
            <w:pPr>
              <w:spacing w:line="240" w:lineRule="auto"/>
              <w:jc w:val="center"/>
              <w:rPr>
                <w:color w:val="000000"/>
                <w:sz w:val="20"/>
                <w:szCs w:val="20"/>
              </w:rPr>
            </w:pPr>
            <w:r w:rsidRPr="00C64021">
              <w:rPr>
                <w:i/>
                <w:iCs/>
                <w:color w:val="000000"/>
                <w:sz w:val="20"/>
                <w:szCs w:val="20"/>
              </w:rPr>
              <w:t>F</w:t>
            </w:r>
            <w:r w:rsidRPr="00C64021">
              <w:rPr>
                <w:color w:val="000000"/>
                <w:sz w:val="20"/>
                <w:szCs w:val="20"/>
              </w:rPr>
              <w:t xml:space="preserve"> value</w:t>
            </w:r>
          </w:p>
        </w:tc>
        <w:tc>
          <w:tcPr>
            <w:tcW w:w="765"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5A783E7A" w14:textId="77777777" w:rsidR="00C64021" w:rsidRPr="00C64021" w:rsidRDefault="00C64021" w:rsidP="00D849E6">
            <w:pPr>
              <w:spacing w:line="240" w:lineRule="auto"/>
              <w:jc w:val="center"/>
              <w:rPr>
                <w:i/>
                <w:iCs/>
                <w:color w:val="000000"/>
                <w:sz w:val="20"/>
                <w:szCs w:val="20"/>
              </w:rPr>
            </w:pPr>
            <w:r w:rsidRPr="00C64021">
              <w:rPr>
                <w:i/>
                <w:iCs/>
                <w:color w:val="000000"/>
                <w:sz w:val="20"/>
                <w:szCs w:val="20"/>
              </w:rPr>
              <w:t>P &gt; F</w:t>
            </w:r>
          </w:p>
        </w:tc>
        <w:tc>
          <w:tcPr>
            <w:tcW w:w="900"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5201AE87" w14:textId="77777777" w:rsidR="00C64021" w:rsidRPr="00C64021" w:rsidRDefault="00C64021" w:rsidP="00D849E6">
            <w:pPr>
              <w:spacing w:line="240" w:lineRule="auto"/>
              <w:jc w:val="center"/>
              <w:rPr>
                <w:color w:val="000000"/>
                <w:sz w:val="20"/>
                <w:szCs w:val="20"/>
              </w:rPr>
            </w:pPr>
            <w:r w:rsidRPr="00C64021">
              <w:rPr>
                <w:i/>
                <w:iCs/>
                <w:color w:val="000000"/>
                <w:sz w:val="20"/>
                <w:szCs w:val="20"/>
              </w:rPr>
              <w:t>F</w:t>
            </w:r>
            <w:r w:rsidRPr="00C64021">
              <w:rPr>
                <w:color w:val="000000"/>
                <w:sz w:val="20"/>
                <w:szCs w:val="20"/>
              </w:rPr>
              <w:t xml:space="preserve"> value</w:t>
            </w:r>
          </w:p>
        </w:tc>
        <w:tc>
          <w:tcPr>
            <w:tcW w:w="731"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25915393" w14:textId="77777777" w:rsidR="00C64021" w:rsidRPr="00C64021" w:rsidRDefault="00C64021" w:rsidP="00D849E6">
            <w:pPr>
              <w:spacing w:line="240" w:lineRule="auto"/>
              <w:jc w:val="center"/>
              <w:rPr>
                <w:i/>
                <w:iCs/>
                <w:color w:val="000000"/>
                <w:sz w:val="20"/>
                <w:szCs w:val="20"/>
              </w:rPr>
            </w:pPr>
            <w:r w:rsidRPr="00C64021">
              <w:rPr>
                <w:i/>
                <w:iCs/>
                <w:color w:val="000000"/>
                <w:sz w:val="20"/>
                <w:szCs w:val="20"/>
              </w:rPr>
              <w:t>P &gt; F</w:t>
            </w:r>
          </w:p>
        </w:tc>
        <w:tc>
          <w:tcPr>
            <w:tcW w:w="900"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534002C5" w14:textId="77777777" w:rsidR="00C64021" w:rsidRPr="00C64021" w:rsidRDefault="00C64021" w:rsidP="00D849E6">
            <w:pPr>
              <w:spacing w:line="240" w:lineRule="auto"/>
              <w:jc w:val="center"/>
              <w:rPr>
                <w:color w:val="000000"/>
                <w:sz w:val="20"/>
                <w:szCs w:val="20"/>
              </w:rPr>
            </w:pPr>
            <w:r w:rsidRPr="00C64021">
              <w:rPr>
                <w:i/>
                <w:iCs/>
                <w:color w:val="000000"/>
                <w:sz w:val="20"/>
                <w:szCs w:val="20"/>
              </w:rPr>
              <w:t>F</w:t>
            </w:r>
            <w:r w:rsidRPr="00C64021">
              <w:rPr>
                <w:color w:val="000000"/>
                <w:sz w:val="20"/>
                <w:szCs w:val="20"/>
              </w:rPr>
              <w:t xml:space="preserve"> value</w:t>
            </w:r>
          </w:p>
        </w:tc>
        <w:tc>
          <w:tcPr>
            <w:tcW w:w="720" w:type="dxa"/>
            <w:tcBorders>
              <w:top w:val="single" w:sz="12" w:space="0" w:color="auto"/>
              <w:left w:val="single" w:sz="48" w:space="0" w:color="FFFFFF"/>
              <w:bottom w:val="single" w:sz="12" w:space="0" w:color="auto"/>
              <w:right w:val="nil"/>
            </w:tcBorders>
            <w:shd w:val="clear" w:color="auto" w:fill="auto"/>
            <w:noWrap/>
            <w:vAlign w:val="center"/>
            <w:hideMark/>
          </w:tcPr>
          <w:p w14:paraId="59B72DA3" w14:textId="77777777" w:rsidR="00C64021" w:rsidRPr="00C64021" w:rsidRDefault="00C64021" w:rsidP="00D849E6">
            <w:pPr>
              <w:spacing w:line="240" w:lineRule="auto"/>
              <w:jc w:val="center"/>
              <w:rPr>
                <w:i/>
                <w:iCs/>
                <w:color w:val="000000"/>
                <w:sz w:val="20"/>
                <w:szCs w:val="20"/>
              </w:rPr>
            </w:pPr>
            <w:r w:rsidRPr="00C64021">
              <w:rPr>
                <w:i/>
                <w:iCs/>
                <w:color w:val="000000"/>
                <w:sz w:val="20"/>
                <w:szCs w:val="20"/>
              </w:rPr>
              <w:t>P &gt; F</w:t>
            </w:r>
          </w:p>
        </w:tc>
      </w:tr>
      <w:tr w:rsidR="00C64021" w:rsidRPr="00C64021" w14:paraId="2E8E7726" w14:textId="77777777" w:rsidTr="002F5B7E">
        <w:trPr>
          <w:trHeight w:val="300"/>
        </w:trPr>
        <w:tc>
          <w:tcPr>
            <w:tcW w:w="1800" w:type="dxa"/>
            <w:gridSpan w:val="2"/>
            <w:tcBorders>
              <w:top w:val="single" w:sz="12" w:space="0" w:color="auto"/>
              <w:left w:val="nil"/>
              <w:bottom w:val="nil"/>
              <w:right w:val="single" w:sz="48" w:space="0" w:color="FFFFFF"/>
            </w:tcBorders>
            <w:shd w:val="clear" w:color="auto" w:fill="auto"/>
            <w:noWrap/>
            <w:vAlign w:val="center"/>
            <w:hideMark/>
          </w:tcPr>
          <w:p w14:paraId="3F34F602" w14:textId="77777777" w:rsidR="00C64021" w:rsidRPr="00C64021" w:rsidRDefault="00C64021" w:rsidP="00D849E6">
            <w:pPr>
              <w:spacing w:line="240" w:lineRule="auto"/>
              <w:rPr>
                <w:color w:val="000000"/>
                <w:sz w:val="20"/>
                <w:szCs w:val="20"/>
                <w:u w:val="single"/>
              </w:rPr>
            </w:pPr>
            <w:r w:rsidRPr="00C64021">
              <w:rPr>
                <w:color w:val="000000"/>
                <w:sz w:val="20"/>
                <w:szCs w:val="20"/>
                <w:u w:val="single"/>
              </w:rPr>
              <w:t>Big bluestem</w:t>
            </w:r>
          </w:p>
        </w:tc>
        <w:tc>
          <w:tcPr>
            <w:tcW w:w="1008" w:type="dxa"/>
            <w:tcBorders>
              <w:top w:val="single" w:sz="12" w:space="0" w:color="auto"/>
              <w:left w:val="single" w:sz="48" w:space="0" w:color="FFFFFF"/>
              <w:bottom w:val="nil"/>
              <w:right w:val="single" w:sz="48" w:space="0" w:color="FFFFFF"/>
            </w:tcBorders>
            <w:shd w:val="clear" w:color="auto" w:fill="auto"/>
            <w:noWrap/>
            <w:vAlign w:val="bottom"/>
            <w:hideMark/>
          </w:tcPr>
          <w:p w14:paraId="6DCE9160" w14:textId="77777777" w:rsidR="00C64021" w:rsidRPr="00C64021" w:rsidRDefault="00C64021" w:rsidP="00D849E6">
            <w:pPr>
              <w:spacing w:line="240" w:lineRule="auto"/>
              <w:rPr>
                <w:color w:val="000000"/>
                <w:sz w:val="20"/>
                <w:szCs w:val="20"/>
              </w:rPr>
            </w:pPr>
          </w:p>
        </w:tc>
        <w:tc>
          <w:tcPr>
            <w:tcW w:w="809" w:type="dxa"/>
            <w:tcBorders>
              <w:top w:val="single" w:sz="12" w:space="0" w:color="auto"/>
              <w:left w:val="single" w:sz="48" w:space="0" w:color="FFFFFF"/>
              <w:bottom w:val="nil"/>
              <w:right w:val="single" w:sz="48" w:space="0" w:color="FFFFFF"/>
            </w:tcBorders>
            <w:shd w:val="clear" w:color="auto" w:fill="auto"/>
            <w:noWrap/>
            <w:vAlign w:val="bottom"/>
            <w:hideMark/>
          </w:tcPr>
          <w:p w14:paraId="28AC0A3C" w14:textId="77777777" w:rsidR="00C64021" w:rsidRPr="00C64021" w:rsidRDefault="00C64021" w:rsidP="00D849E6">
            <w:pPr>
              <w:spacing w:line="240" w:lineRule="auto"/>
              <w:rPr>
                <w:sz w:val="20"/>
                <w:szCs w:val="20"/>
              </w:rPr>
            </w:pPr>
          </w:p>
        </w:tc>
        <w:tc>
          <w:tcPr>
            <w:tcW w:w="928" w:type="dxa"/>
            <w:tcBorders>
              <w:top w:val="single" w:sz="12" w:space="0" w:color="auto"/>
              <w:left w:val="single" w:sz="48" w:space="0" w:color="FFFFFF"/>
              <w:bottom w:val="nil"/>
              <w:right w:val="single" w:sz="48" w:space="0" w:color="FFFFFF"/>
            </w:tcBorders>
            <w:shd w:val="clear" w:color="auto" w:fill="auto"/>
            <w:noWrap/>
            <w:vAlign w:val="bottom"/>
            <w:hideMark/>
          </w:tcPr>
          <w:p w14:paraId="6B116B19" w14:textId="77777777" w:rsidR="00C64021" w:rsidRPr="00C64021" w:rsidRDefault="00C64021" w:rsidP="00D849E6">
            <w:pPr>
              <w:spacing w:line="240" w:lineRule="auto"/>
              <w:rPr>
                <w:sz w:val="20"/>
                <w:szCs w:val="20"/>
              </w:rPr>
            </w:pPr>
          </w:p>
        </w:tc>
        <w:tc>
          <w:tcPr>
            <w:tcW w:w="765" w:type="dxa"/>
            <w:tcBorders>
              <w:top w:val="single" w:sz="12" w:space="0" w:color="auto"/>
              <w:left w:val="single" w:sz="48" w:space="0" w:color="FFFFFF"/>
              <w:bottom w:val="nil"/>
              <w:right w:val="single" w:sz="48" w:space="0" w:color="FFFFFF"/>
            </w:tcBorders>
            <w:shd w:val="clear" w:color="auto" w:fill="auto"/>
            <w:noWrap/>
            <w:vAlign w:val="bottom"/>
            <w:hideMark/>
          </w:tcPr>
          <w:p w14:paraId="16468CFB" w14:textId="77777777" w:rsidR="00C64021" w:rsidRPr="00C64021" w:rsidRDefault="00C64021" w:rsidP="00D849E6">
            <w:pPr>
              <w:spacing w:line="240" w:lineRule="auto"/>
              <w:rPr>
                <w:sz w:val="20"/>
                <w:szCs w:val="20"/>
              </w:rPr>
            </w:pPr>
          </w:p>
        </w:tc>
        <w:tc>
          <w:tcPr>
            <w:tcW w:w="900" w:type="dxa"/>
            <w:tcBorders>
              <w:top w:val="single" w:sz="12" w:space="0" w:color="auto"/>
              <w:left w:val="single" w:sz="48" w:space="0" w:color="FFFFFF"/>
              <w:bottom w:val="nil"/>
              <w:right w:val="single" w:sz="48" w:space="0" w:color="FFFFFF"/>
            </w:tcBorders>
            <w:shd w:val="clear" w:color="auto" w:fill="auto"/>
            <w:noWrap/>
            <w:vAlign w:val="bottom"/>
            <w:hideMark/>
          </w:tcPr>
          <w:p w14:paraId="2B9B2611" w14:textId="77777777" w:rsidR="00C64021" w:rsidRPr="00C64021" w:rsidRDefault="00C64021" w:rsidP="00D849E6">
            <w:pPr>
              <w:spacing w:line="240" w:lineRule="auto"/>
              <w:rPr>
                <w:sz w:val="20"/>
                <w:szCs w:val="20"/>
              </w:rPr>
            </w:pPr>
          </w:p>
        </w:tc>
        <w:tc>
          <w:tcPr>
            <w:tcW w:w="720" w:type="dxa"/>
            <w:tcBorders>
              <w:top w:val="single" w:sz="12" w:space="0" w:color="auto"/>
              <w:left w:val="single" w:sz="48" w:space="0" w:color="FFFFFF"/>
              <w:bottom w:val="nil"/>
              <w:right w:val="single" w:sz="48" w:space="0" w:color="FFFFFF"/>
            </w:tcBorders>
            <w:shd w:val="clear" w:color="auto" w:fill="auto"/>
            <w:noWrap/>
            <w:vAlign w:val="bottom"/>
            <w:hideMark/>
          </w:tcPr>
          <w:p w14:paraId="7A102C72" w14:textId="77777777" w:rsidR="00C64021" w:rsidRPr="00C64021" w:rsidRDefault="00C64021" w:rsidP="00D849E6">
            <w:pPr>
              <w:spacing w:line="240" w:lineRule="auto"/>
              <w:rPr>
                <w:sz w:val="20"/>
                <w:szCs w:val="20"/>
              </w:rPr>
            </w:pPr>
          </w:p>
        </w:tc>
        <w:tc>
          <w:tcPr>
            <w:tcW w:w="934" w:type="dxa"/>
            <w:tcBorders>
              <w:top w:val="single" w:sz="12" w:space="0" w:color="auto"/>
              <w:left w:val="single" w:sz="48" w:space="0" w:color="FFFFFF"/>
              <w:bottom w:val="nil"/>
              <w:right w:val="single" w:sz="48" w:space="0" w:color="FFFFFF"/>
            </w:tcBorders>
            <w:shd w:val="clear" w:color="auto" w:fill="auto"/>
            <w:noWrap/>
            <w:vAlign w:val="bottom"/>
            <w:hideMark/>
          </w:tcPr>
          <w:p w14:paraId="5985FC30" w14:textId="77777777" w:rsidR="00C64021" w:rsidRPr="00C64021" w:rsidRDefault="00C64021" w:rsidP="00D849E6">
            <w:pPr>
              <w:spacing w:line="240" w:lineRule="auto"/>
              <w:rPr>
                <w:sz w:val="20"/>
                <w:szCs w:val="20"/>
              </w:rPr>
            </w:pPr>
          </w:p>
        </w:tc>
        <w:tc>
          <w:tcPr>
            <w:tcW w:w="765" w:type="dxa"/>
            <w:tcBorders>
              <w:top w:val="single" w:sz="12" w:space="0" w:color="auto"/>
              <w:left w:val="single" w:sz="48" w:space="0" w:color="FFFFFF"/>
              <w:bottom w:val="nil"/>
              <w:right w:val="single" w:sz="48" w:space="0" w:color="FFFFFF"/>
            </w:tcBorders>
            <w:shd w:val="clear" w:color="auto" w:fill="auto"/>
            <w:noWrap/>
            <w:vAlign w:val="bottom"/>
            <w:hideMark/>
          </w:tcPr>
          <w:p w14:paraId="04289123" w14:textId="77777777" w:rsidR="00C64021" w:rsidRPr="00C64021" w:rsidRDefault="00C64021" w:rsidP="00D849E6">
            <w:pPr>
              <w:spacing w:line="240" w:lineRule="auto"/>
              <w:rPr>
                <w:sz w:val="20"/>
                <w:szCs w:val="20"/>
              </w:rPr>
            </w:pPr>
          </w:p>
        </w:tc>
        <w:tc>
          <w:tcPr>
            <w:tcW w:w="900" w:type="dxa"/>
            <w:tcBorders>
              <w:top w:val="single" w:sz="12" w:space="0" w:color="auto"/>
              <w:left w:val="single" w:sz="48" w:space="0" w:color="FFFFFF"/>
              <w:bottom w:val="nil"/>
              <w:right w:val="single" w:sz="48" w:space="0" w:color="FFFFFF"/>
            </w:tcBorders>
            <w:shd w:val="clear" w:color="auto" w:fill="auto"/>
            <w:noWrap/>
            <w:vAlign w:val="bottom"/>
            <w:hideMark/>
          </w:tcPr>
          <w:p w14:paraId="23549B12" w14:textId="77777777" w:rsidR="00C64021" w:rsidRPr="00C64021" w:rsidRDefault="00C64021" w:rsidP="00D849E6">
            <w:pPr>
              <w:spacing w:line="240" w:lineRule="auto"/>
              <w:rPr>
                <w:sz w:val="20"/>
                <w:szCs w:val="20"/>
              </w:rPr>
            </w:pPr>
          </w:p>
        </w:tc>
        <w:tc>
          <w:tcPr>
            <w:tcW w:w="731" w:type="dxa"/>
            <w:tcBorders>
              <w:top w:val="single" w:sz="12" w:space="0" w:color="auto"/>
              <w:left w:val="single" w:sz="48" w:space="0" w:color="FFFFFF"/>
              <w:bottom w:val="nil"/>
              <w:right w:val="single" w:sz="48" w:space="0" w:color="FFFFFF"/>
            </w:tcBorders>
            <w:shd w:val="clear" w:color="auto" w:fill="auto"/>
            <w:noWrap/>
            <w:vAlign w:val="bottom"/>
            <w:hideMark/>
          </w:tcPr>
          <w:p w14:paraId="7FCDD395" w14:textId="77777777" w:rsidR="00C64021" w:rsidRPr="00C64021" w:rsidRDefault="00C64021" w:rsidP="00D849E6">
            <w:pPr>
              <w:spacing w:line="240" w:lineRule="auto"/>
              <w:rPr>
                <w:sz w:val="20"/>
                <w:szCs w:val="20"/>
              </w:rPr>
            </w:pPr>
          </w:p>
        </w:tc>
        <w:tc>
          <w:tcPr>
            <w:tcW w:w="900" w:type="dxa"/>
            <w:tcBorders>
              <w:top w:val="single" w:sz="12" w:space="0" w:color="auto"/>
              <w:left w:val="single" w:sz="48" w:space="0" w:color="FFFFFF"/>
              <w:bottom w:val="nil"/>
              <w:right w:val="single" w:sz="48" w:space="0" w:color="FFFFFF"/>
            </w:tcBorders>
            <w:shd w:val="clear" w:color="auto" w:fill="auto"/>
            <w:noWrap/>
            <w:vAlign w:val="bottom"/>
            <w:hideMark/>
          </w:tcPr>
          <w:p w14:paraId="163AF75D" w14:textId="77777777" w:rsidR="00C64021" w:rsidRPr="00C64021" w:rsidRDefault="00C64021" w:rsidP="00D849E6">
            <w:pPr>
              <w:spacing w:line="240" w:lineRule="auto"/>
              <w:rPr>
                <w:sz w:val="20"/>
                <w:szCs w:val="20"/>
              </w:rPr>
            </w:pPr>
          </w:p>
        </w:tc>
        <w:tc>
          <w:tcPr>
            <w:tcW w:w="720" w:type="dxa"/>
            <w:tcBorders>
              <w:top w:val="single" w:sz="12" w:space="0" w:color="auto"/>
              <w:left w:val="single" w:sz="48" w:space="0" w:color="FFFFFF"/>
              <w:bottom w:val="nil"/>
              <w:right w:val="nil"/>
            </w:tcBorders>
            <w:shd w:val="clear" w:color="auto" w:fill="auto"/>
            <w:noWrap/>
            <w:vAlign w:val="bottom"/>
            <w:hideMark/>
          </w:tcPr>
          <w:p w14:paraId="6F30648D" w14:textId="77777777" w:rsidR="00C64021" w:rsidRPr="00C64021" w:rsidRDefault="00C64021" w:rsidP="00D849E6">
            <w:pPr>
              <w:spacing w:line="240" w:lineRule="auto"/>
              <w:rPr>
                <w:sz w:val="20"/>
                <w:szCs w:val="20"/>
              </w:rPr>
            </w:pPr>
          </w:p>
        </w:tc>
      </w:tr>
      <w:tr w:rsidR="00C64021" w:rsidRPr="00C64021" w14:paraId="49488CCD" w14:textId="77777777" w:rsidTr="002F5B7E">
        <w:trPr>
          <w:trHeight w:val="300"/>
        </w:trPr>
        <w:tc>
          <w:tcPr>
            <w:tcW w:w="348" w:type="dxa"/>
            <w:tcBorders>
              <w:top w:val="nil"/>
              <w:left w:val="nil"/>
              <w:bottom w:val="nil"/>
              <w:right w:val="nil"/>
            </w:tcBorders>
            <w:shd w:val="clear" w:color="auto" w:fill="auto"/>
            <w:noWrap/>
            <w:vAlign w:val="center"/>
            <w:hideMark/>
          </w:tcPr>
          <w:p w14:paraId="2A7DC572" w14:textId="77777777" w:rsidR="00C64021" w:rsidRPr="00C64021" w:rsidRDefault="00C64021" w:rsidP="00D849E6">
            <w:pPr>
              <w:spacing w:line="240" w:lineRule="auto"/>
              <w:rPr>
                <w:sz w:val="20"/>
                <w:szCs w:val="20"/>
              </w:rPr>
            </w:pPr>
          </w:p>
        </w:tc>
        <w:tc>
          <w:tcPr>
            <w:tcW w:w="1452" w:type="dxa"/>
            <w:tcBorders>
              <w:top w:val="nil"/>
              <w:left w:val="nil"/>
              <w:bottom w:val="nil"/>
              <w:right w:val="single" w:sz="48" w:space="0" w:color="FFFFFF"/>
            </w:tcBorders>
            <w:shd w:val="clear" w:color="auto" w:fill="auto"/>
            <w:noWrap/>
            <w:vAlign w:val="center"/>
            <w:hideMark/>
          </w:tcPr>
          <w:p w14:paraId="360C7BAF" w14:textId="77777777" w:rsidR="00C64021" w:rsidRPr="00C64021" w:rsidRDefault="00C64021" w:rsidP="00D849E6">
            <w:pPr>
              <w:spacing w:line="240" w:lineRule="auto"/>
              <w:ind w:left="-105"/>
              <w:rPr>
                <w:color w:val="000000"/>
                <w:sz w:val="20"/>
                <w:szCs w:val="20"/>
              </w:rPr>
            </w:pPr>
            <w:r w:rsidRPr="00C64021">
              <w:rPr>
                <w:color w:val="000000"/>
                <w:sz w:val="20"/>
                <w:szCs w:val="20"/>
              </w:rPr>
              <w:t>HARV</w:t>
            </w:r>
            <w:r w:rsidRPr="00C64021">
              <w:rPr>
                <w:sz w:val="20"/>
                <w:szCs w:val="20"/>
              </w:rPr>
              <w:t>‡</w:t>
            </w:r>
          </w:p>
        </w:tc>
        <w:tc>
          <w:tcPr>
            <w:tcW w:w="1008" w:type="dxa"/>
            <w:tcBorders>
              <w:top w:val="nil"/>
              <w:left w:val="single" w:sz="48" w:space="0" w:color="FFFFFF"/>
              <w:bottom w:val="nil"/>
              <w:right w:val="single" w:sz="48" w:space="0" w:color="FFFFFF"/>
            </w:tcBorders>
            <w:shd w:val="clear" w:color="auto" w:fill="auto"/>
            <w:noWrap/>
            <w:vAlign w:val="center"/>
          </w:tcPr>
          <w:p w14:paraId="17F1B72D"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809" w:type="dxa"/>
            <w:tcBorders>
              <w:top w:val="nil"/>
              <w:left w:val="single" w:sz="48" w:space="0" w:color="FFFFFF"/>
              <w:bottom w:val="nil"/>
              <w:right w:val="single" w:sz="48" w:space="0" w:color="FFFFFF"/>
            </w:tcBorders>
            <w:shd w:val="clear" w:color="auto" w:fill="auto"/>
            <w:noWrap/>
            <w:vAlign w:val="center"/>
          </w:tcPr>
          <w:p w14:paraId="2F0D0194"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928" w:type="dxa"/>
            <w:tcBorders>
              <w:top w:val="nil"/>
              <w:left w:val="single" w:sz="48" w:space="0" w:color="FFFFFF"/>
              <w:bottom w:val="nil"/>
              <w:right w:val="single" w:sz="48" w:space="0" w:color="FFFFFF"/>
            </w:tcBorders>
            <w:shd w:val="clear" w:color="auto" w:fill="auto"/>
            <w:noWrap/>
            <w:vAlign w:val="center"/>
          </w:tcPr>
          <w:p w14:paraId="21026881"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765" w:type="dxa"/>
            <w:tcBorders>
              <w:top w:val="nil"/>
              <w:left w:val="single" w:sz="48" w:space="0" w:color="FFFFFF"/>
              <w:bottom w:val="nil"/>
              <w:right w:val="single" w:sz="48" w:space="0" w:color="FFFFFF"/>
            </w:tcBorders>
            <w:shd w:val="clear" w:color="auto" w:fill="auto"/>
            <w:noWrap/>
            <w:vAlign w:val="center"/>
          </w:tcPr>
          <w:p w14:paraId="746FD941" w14:textId="77777777" w:rsidR="00C64021" w:rsidRPr="00C64021" w:rsidRDefault="00C64021" w:rsidP="00D849E6">
            <w:pPr>
              <w:spacing w:line="240" w:lineRule="auto"/>
              <w:jc w:val="center"/>
              <w:rPr>
                <w:b/>
                <w:color w:val="000000"/>
                <w:sz w:val="20"/>
                <w:szCs w:val="20"/>
              </w:rPr>
            </w:pPr>
            <w:r w:rsidRPr="00C64021">
              <w:rPr>
                <w:color w:val="000000"/>
                <w:sz w:val="20"/>
                <w:szCs w:val="20"/>
              </w:rPr>
              <w:t>-</w:t>
            </w:r>
          </w:p>
        </w:tc>
        <w:tc>
          <w:tcPr>
            <w:tcW w:w="900" w:type="dxa"/>
            <w:tcBorders>
              <w:top w:val="nil"/>
              <w:left w:val="single" w:sz="48" w:space="0" w:color="FFFFFF"/>
              <w:bottom w:val="nil"/>
              <w:right w:val="single" w:sz="48" w:space="0" w:color="FFFFFF"/>
            </w:tcBorders>
            <w:shd w:val="clear" w:color="auto" w:fill="auto"/>
            <w:noWrap/>
            <w:vAlign w:val="center"/>
          </w:tcPr>
          <w:p w14:paraId="01EE7BE4" w14:textId="77777777" w:rsidR="00C64021" w:rsidRPr="00C64021" w:rsidRDefault="00C64021" w:rsidP="00D849E6">
            <w:pPr>
              <w:spacing w:line="240" w:lineRule="auto"/>
              <w:jc w:val="center"/>
              <w:rPr>
                <w:color w:val="000000"/>
                <w:sz w:val="20"/>
                <w:szCs w:val="20"/>
              </w:rPr>
            </w:pPr>
            <w:r w:rsidRPr="00C64021">
              <w:rPr>
                <w:color w:val="000000"/>
                <w:sz w:val="20"/>
                <w:szCs w:val="20"/>
              </w:rPr>
              <w:t>1.82</w:t>
            </w:r>
          </w:p>
        </w:tc>
        <w:tc>
          <w:tcPr>
            <w:tcW w:w="720" w:type="dxa"/>
            <w:tcBorders>
              <w:top w:val="nil"/>
              <w:left w:val="single" w:sz="48" w:space="0" w:color="FFFFFF"/>
              <w:bottom w:val="nil"/>
              <w:right w:val="single" w:sz="48" w:space="0" w:color="FFFFFF"/>
            </w:tcBorders>
            <w:shd w:val="clear" w:color="auto" w:fill="auto"/>
            <w:noWrap/>
            <w:vAlign w:val="center"/>
          </w:tcPr>
          <w:p w14:paraId="3513953F" w14:textId="77777777" w:rsidR="00C64021" w:rsidRPr="00C64021" w:rsidRDefault="00C64021" w:rsidP="00D849E6">
            <w:pPr>
              <w:spacing w:line="240" w:lineRule="auto"/>
              <w:jc w:val="center"/>
              <w:rPr>
                <w:b/>
                <w:color w:val="000000"/>
                <w:sz w:val="20"/>
                <w:szCs w:val="20"/>
              </w:rPr>
            </w:pPr>
            <w:r w:rsidRPr="00C64021">
              <w:rPr>
                <w:color w:val="000000"/>
                <w:sz w:val="20"/>
                <w:szCs w:val="20"/>
              </w:rPr>
              <w:t>0.197</w:t>
            </w:r>
          </w:p>
        </w:tc>
        <w:tc>
          <w:tcPr>
            <w:tcW w:w="934" w:type="dxa"/>
            <w:tcBorders>
              <w:top w:val="nil"/>
              <w:left w:val="single" w:sz="48" w:space="0" w:color="FFFFFF"/>
              <w:bottom w:val="nil"/>
              <w:right w:val="single" w:sz="48" w:space="0" w:color="FFFFFF"/>
            </w:tcBorders>
            <w:shd w:val="clear" w:color="auto" w:fill="auto"/>
            <w:noWrap/>
            <w:vAlign w:val="center"/>
          </w:tcPr>
          <w:p w14:paraId="4B516D4D"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765" w:type="dxa"/>
            <w:tcBorders>
              <w:top w:val="nil"/>
              <w:left w:val="single" w:sz="48" w:space="0" w:color="FFFFFF"/>
              <w:bottom w:val="nil"/>
              <w:right w:val="single" w:sz="48" w:space="0" w:color="FFFFFF"/>
            </w:tcBorders>
            <w:shd w:val="clear" w:color="auto" w:fill="auto"/>
            <w:noWrap/>
            <w:vAlign w:val="center"/>
          </w:tcPr>
          <w:p w14:paraId="0DDB0488"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900" w:type="dxa"/>
            <w:tcBorders>
              <w:top w:val="nil"/>
              <w:left w:val="single" w:sz="48" w:space="0" w:color="FFFFFF"/>
              <w:bottom w:val="nil"/>
              <w:right w:val="single" w:sz="48" w:space="0" w:color="FFFFFF"/>
            </w:tcBorders>
            <w:shd w:val="clear" w:color="auto" w:fill="auto"/>
            <w:noWrap/>
            <w:vAlign w:val="center"/>
          </w:tcPr>
          <w:p w14:paraId="26499BEA"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731" w:type="dxa"/>
            <w:tcBorders>
              <w:top w:val="nil"/>
              <w:left w:val="single" w:sz="48" w:space="0" w:color="FFFFFF"/>
              <w:bottom w:val="nil"/>
              <w:right w:val="single" w:sz="48" w:space="0" w:color="FFFFFF"/>
            </w:tcBorders>
            <w:shd w:val="clear" w:color="auto" w:fill="auto"/>
            <w:noWrap/>
            <w:vAlign w:val="center"/>
          </w:tcPr>
          <w:p w14:paraId="70EF36EC"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900" w:type="dxa"/>
            <w:tcBorders>
              <w:top w:val="nil"/>
              <w:left w:val="single" w:sz="48" w:space="0" w:color="FFFFFF"/>
              <w:bottom w:val="nil"/>
              <w:right w:val="single" w:sz="48" w:space="0" w:color="FFFFFF"/>
            </w:tcBorders>
            <w:shd w:val="clear" w:color="auto" w:fill="auto"/>
            <w:noWrap/>
            <w:vAlign w:val="center"/>
          </w:tcPr>
          <w:p w14:paraId="241AF08D" w14:textId="77777777" w:rsidR="00C64021" w:rsidRPr="00C64021" w:rsidRDefault="00C64021" w:rsidP="00D849E6">
            <w:pPr>
              <w:spacing w:line="240" w:lineRule="auto"/>
              <w:jc w:val="center"/>
              <w:rPr>
                <w:color w:val="000000"/>
                <w:sz w:val="20"/>
                <w:szCs w:val="20"/>
              </w:rPr>
            </w:pPr>
            <w:r w:rsidRPr="00C64021">
              <w:rPr>
                <w:color w:val="000000"/>
                <w:sz w:val="20"/>
                <w:szCs w:val="20"/>
              </w:rPr>
              <w:t>2.00</w:t>
            </w:r>
          </w:p>
        </w:tc>
        <w:tc>
          <w:tcPr>
            <w:tcW w:w="720" w:type="dxa"/>
            <w:tcBorders>
              <w:top w:val="nil"/>
              <w:left w:val="single" w:sz="48" w:space="0" w:color="FFFFFF"/>
              <w:bottom w:val="nil"/>
              <w:right w:val="nil"/>
            </w:tcBorders>
            <w:shd w:val="clear" w:color="auto" w:fill="auto"/>
            <w:noWrap/>
            <w:vAlign w:val="center"/>
          </w:tcPr>
          <w:p w14:paraId="388B0B98" w14:textId="77777777" w:rsidR="00C64021" w:rsidRPr="00C64021" w:rsidRDefault="00C64021" w:rsidP="00D849E6">
            <w:pPr>
              <w:spacing w:line="240" w:lineRule="auto"/>
              <w:jc w:val="center"/>
              <w:rPr>
                <w:color w:val="000000"/>
                <w:sz w:val="20"/>
                <w:szCs w:val="20"/>
              </w:rPr>
            </w:pPr>
            <w:r w:rsidRPr="00C64021">
              <w:rPr>
                <w:color w:val="000000"/>
                <w:sz w:val="20"/>
                <w:szCs w:val="20"/>
              </w:rPr>
              <w:t>0.178</w:t>
            </w:r>
          </w:p>
        </w:tc>
      </w:tr>
      <w:tr w:rsidR="00C64021" w:rsidRPr="00C64021" w14:paraId="56CC3342" w14:textId="77777777" w:rsidTr="002F5B7E">
        <w:trPr>
          <w:trHeight w:val="300"/>
        </w:trPr>
        <w:tc>
          <w:tcPr>
            <w:tcW w:w="348" w:type="dxa"/>
            <w:tcBorders>
              <w:top w:val="nil"/>
              <w:left w:val="nil"/>
              <w:bottom w:val="nil"/>
              <w:right w:val="nil"/>
            </w:tcBorders>
            <w:shd w:val="clear" w:color="auto" w:fill="auto"/>
            <w:noWrap/>
            <w:vAlign w:val="center"/>
            <w:hideMark/>
          </w:tcPr>
          <w:p w14:paraId="7F4E725B" w14:textId="77777777" w:rsidR="00C64021" w:rsidRPr="00C64021" w:rsidRDefault="00C64021" w:rsidP="00D849E6">
            <w:pPr>
              <w:spacing w:line="240" w:lineRule="auto"/>
              <w:rPr>
                <w:color w:val="000000"/>
                <w:sz w:val="20"/>
                <w:szCs w:val="20"/>
              </w:rPr>
            </w:pPr>
          </w:p>
        </w:tc>
        <w:tc>
          <w:tcPr>
            <w:tcW w:w="1452" w:type="dxa"/>
            <w:tcBorders>
              <w:top w:val="nil"/>
              <w:left w:val="nil"/>
              <w:bottom w:val="nil"/>
              <w:right w:val="single" w:sz="48" w:space="0" w:color="FFFFFF"/>
            </w:tcBorders>
            <w:shd w:val="clear" w:color="auto" w:fill="auto"/>
            <w:noWrap/>
            <w:vAlign w:val="center"/>
            <w:hideMark/>
          </w:tcPr>
          <w:p w14:paraId="7F85FDBF" w14:textId="77777777" w:rsidR="00C64021" w:rsidRPr="00C64021" w:rsidRDefault="00C64021" w:rsidP="00D849E6">
            <w:pPr>
              <w:spacing w:line="240" w:lineRule="auto"/>
              <w:ind w:left="-105"/>
              <w:rPr>
                <w:color w:val="000000"/>
                <w:sz w:val="20"/>
                <w:szCs w:val="20"/>
              </w:rPr>
            </w:pPr>
            <w:r w:rsidRPr="00C64021">
              <w:rPr>
                <w:color w:val="000000"/>
                <w:sz w:val="20"/>
                <w:szCs w:val="20"/>
              </w:rPr>
              <w:t>RATE</w:t>
            </w:r>
          </w:p>
        </w:tc>
        <w:tc>
          <w:tcPr>
            <w:tcW w:w="1008" w:type="dxa"/>
            <w:tcBorders>
              <w:top w:val="nil"/>
              <w:left w:val="single" w:sz="48" w:space="0" w:color="FFFFFF"/>
              <w:bottom w:val="nil"/>
              <w:right w:val="single" w:sz="48" w:space="0" w:color="FFFFFF"/>
            </w:tcBorders>
            <w:shd w:val="clear" w:color="auto" w:fill="auto"/>
            <w:noWrap/>
            <w:vAlign w:val="center"/>
            <w:hideMark/>
          </w:tcPr>
          <w:p w14:paraId="52648FC8" w14:textId="77777777" w:rsidR="00C64021" w:rsidRPr="00C64021" w:rsidRDefault="00C64021" w:rsidP="00D849E6">
            <w:pPr>
              <w:spacing w:line="240" w:lineRule="auto"/>
              <w:jc w:val="center"/>
              <w:rPr>
                <w:color w:val="000000"/>
                <w:sz w:val="20"/>
                <w:szCs w:val="20"/>
              </w:rPr>
            </w:pPr>
            <w:r w:rsidRPr="00C64021">
              <w:rPr>
                <w:color w:val="000000"/>
                <w:sz w:val="20"/>
                <w:szCs w:val="20"/>
              </w:rPr>
              <w:t>0.07</w:t>
            </w:r>
          </w:p>
        </w:tc>
        <w:tc>
          <w:tcPr>
            <w:tcW w:w="809" w:type="dxa"/>
            <w:tcBorders>
              <w:top w:val="nil"/>
              <w:left w:val="single" w:sz="48" w:space="0" w:color="FFFFFF"/>
              <w:bottom w:val="nil"/>
              <w:right w:val="single" w:sz="48" w:space="0" w:color="FFFFFF"/>
            </w:tcBorders>
            <w:shd w:val="clear" w:color="auto" w:fill="auto"/>
            <w:noWrap/>
            <w:vAlign w:val="center"/>
            <w:hideMark/>
          </w:tcPr>
          <w:p w14:paraId="76ECCE2F" w14:textId="77777777" w:rsidR="00C64021" w:rsidRPr="00C64021" w:rsidRDefault="00C64021" w:rsidP="00D849E6">
            <w:pPr>
              <w:spacing w:line="240" w:lineRule="auto"/>
              <w:jc w:val="center"/>
              <w:rPr>
                <w:color w:val="000000"/>
                <w:sz w:val="20"/>
                <w:szCs w:val="20"/>
              </w:rPr>
            </w:pPr>
            <w:r w:rsidRPr="00C64021">
              <w:rPr>
                <w:color w:val="000000"/>
                <w:sz w:val="20"/>
                <w:szCs w:val="20"/>
              </w:rPr>
              <w:t>0.937</w:t>
            </w:r>
          </w:p>
        </w:tc>
        <w:tc>
          <w:tcPr>
            <w:tcW w:w="928" w:type="dxa"/>
            <w:tcBorders>
              <w:top w:val="nil"/>
              <w:left w:val="single" w:sz="48" w:space="0" w:color="FFFFFF"/>
              <w:bottom w:val="nil"/>
              <w:right w:val="single" w:sz="48" w:space="0" w:color="FFFFFF"/>
            </w:tcBorders>
            <w:shd w:val="clear" w:color="auto" w:fill="auto"/>
            <w:noWrap/>
            <w:vAlign w:val="center"/>
            <w:hideMark/>
          </w:tcPr>
          <w:p w14:paraId="75AEDBCE" w14:textId="77777777" w:rsidR="00C64021" w:rsidRPr="00C64021" w:rsidRDefault="00C64021" w:rsidP="00D849E6">
            <w:pPr>
              <w:spacing w:line="240" w:lineRule="auto"/>
              <w:jc w:val="center"/>
              <w:rPr>
                <w:color w:val="000000"/>
                <w:sz w:val="20"/>
                <w:szCs w:val="20"/>
              </w:rPr>
            </w:pPr>
            <w:r w:rsidRPr="00C64021">
              <w:rPr>
                <w:color w:val="000000"/>
                <w:sz w:val="20"/>
                <w:szCs w:val="20"/>
              </w:rPr>
              <w:t>7.68</w:t>
            </w:r>
          </w:p>
        </w:tc>
        <w:tc>
          <w:tcPr>
            <w:tcW w:w="765" w:type="dxa"/>
            <w:tcBorders>
              <w:top w:val="nil"/>
              <w:left w:val="single" w:sz="48" w:space="0" w:color="FFFFFF"/>
              <w:bottom w:val="nil"/>
              <w:right w:val="single" w:sz="48" w:space="0" w:color="FFFFFF"/>
            </w:tcBorders>
            <w:shd w:val="clear" w:color="auto" w:fill="auto"/>
            <w:noWrap/>
            <w:vAlign w:val="center"/>
            <w:hideMark/>
          </w:tcPr>
          <w:p w14:paraId="50335C0E" w14:textId="77777777" w:rsidR="00C64021" w:rsidRPr="00C64021" w:rsidRDefault="00C64021" w:rsidP="00D849E6">
            <w:pPr>
              <w:spacing w:line="240" w:lineRule="auto"/>
              <w:jc w:val="center"/>
              <w:rPr>
                <w:color w:val="000000"/>
                <w:sz w:val="20"/>
                <w:szCs w:val="20"/>
              </w:rPr>
            </w:pPr>
            <w:r w:rsidRPr="00C64021">
              <w:rPr>
                <w:b/>
                <w:color w:val="000000"/>
                <w:sz w:val="20"/>
                <w:szCs w:val="20"/>
              </w:rPr>
              <w:t>0.022</w:t>
            </w:r>
          </w:p>
        </w:tc>
        <w:tc>
          <w:tcPr>
            <w:tcW w:w="900" w:type="dxa"/>
            <w:tcBorders>
              <w:top w:val="nil"/>
              <w:left w:val="single" w:sz="48" w:space="0" w:color="FFFFFF"/>
              <w:bottom w:val="nil"/>
              <w:right w:val="single" w:sz="48" w:space="0" w:color="FFFFFF"/>
            </w:tcBorders>
            <w:shd w:val="clear" w:color="auto" w:fill="auto"/>
            <w:noWrap/>
            <w:vAlign w:val="center"/>
            <w:hideMark/>
          </w:tcPr>
          <w:p w14:paraId="5D5F666B" w14:textId="77777777" w:rsidR="00C64021" w:rsidRPr="00C64021" w:rsidRDefault="00C64021" w:rsidP="00D849E6">
            <w:pPr>
              <w:spacing w:line="240" w:lineRule="auto"/>
              <w:jc w:val="center"/>
              <w:rPr>
                <w:color w:val="000000"/>
                <w:sz w:val="20"/>
                <w:szCs w:val="20"/>
              </w:rPr>
            </w:pPr>
            <w:r w:rsidRPr="00C64021">
              <w:rPr>
                <w:color w:val="000000"/>
                <w:sz w:val="20"/>
                <w:szCs w:val="20"/>
              </w:rPr>
              <w:t>4.36</w:t>
            </w:r>
          </w:p>
        </w:tc>
        <w:tc>
          <w:tcPr>
            <w:tcW w:w="720" w:type="dxa"/>
            <w:tcBorders>
              <w:top w:val="nil"/>
              <w:left w:val="single" w:sz="48" w:space="0" w:color="FFFFFF"/>
              <w:bottom w:val="nil"/>
              <w:right w:val="single" w:sz="48" w:space="0" w:color="FFFFFF"/>
            </w:tcBorders>
            <w:shd w:val="clear" w:color="auto" w:fill="auto"/>
            <w:noWrap/>
            <w:vAlign w:val="center"/>
            <w:hideMark/>
          </w:tcPr>
          <w:p w14:paraId="2FE8EED7" w14:textId="77777777" w:rsidR="00C64021" w:rsidRPr="00C64021" w:rsidRDefault="00C64021" w:rsidP="00D849E6">
            <w:pPr>
              <w:spacing w:line="240" w:lineRule="auto"/>
              <w:jc w:val="center"/>
              <w:rPr>
                <w:color w:val="000000"/>
                <w:sz w:val="20"/>
                <w:szCs w:val="20"/>
              </w:rPr>
            </w:pPr>
            <w:r w:rsidRPr="00C64021">
              <w:rPr>
                <w:b/>
                <w:color w:val="000000"/>
                <w:sz w:val="20"/>
                <w:szCs w:val="20"/>
              </w:rPr>
              <w:t>0.032</w:t>
            </w:r>
          </w:p>
        </w:tc>
        <w:tc>
          <w:tcPr>
            <w:tcW w:w="934" w:type="dxa"/>
            <w:tcBorders>
              <w:top w:val="nil"/>
              <w:left w:val="single" w:sz="48" w:space="0" w:color="FFFFFF"/>
              <w:bottom w:val="nil"/>
              <w:right w:val="single" w:sz="48" w:space="0" w:color="FFFFFF"/>
            </w:tcBorders>
            <w:shd w:val="clear" w:color="auto" w:fill="auto"/>
            <w:noWrap/>
            <w:vAlign w:val="center"/>
            <w:hideMark/>
          </w:tcPr>
          <w:p w14:paraId="161F6B06" w14:textId="77777777" w:rsidR="00C64021" w:rsidRPr="00C64021" w:rsidRDefault="00C64021" w:rsidP="00D849E6">
            <w:pPr>
              <w:spacing w:line="240" w:lineRule="auto"/>
              <w:jc w:val="center"/>
              <w:rPr>
                <w:color w:val="000000"/>
                <w:sz w:val="20"/>
                <w:szCs w:val="20"/>
              </w:rPr>
            </w:pPr>
            <w:r w:rsidRPr="00C64021">
              <w:rPr>
                <w:color w:val="000000"/>
                <w:sz w:val="20"/>
                <w:szCs w:val="20"/>
              </w:rPr>
              <w:t>0.72</w:t>
            </w:r>
          </w:p>
        </w:tc>
        <w:tc>
          <w:tcPr>
            <w:tcW w:w="765" w:type="dxa"/>
            <w:tcBorders>
              <w:top w:val="nil"/>
              <w:left w:val="single" w:sz="48" w:space="0" w:color="FFFFFF"/>
              <w:bottom w:val="nil"/>
              <w:right w:val="single" w:sz="48" w:space="0" w:color="FFFFFF"/>
            </w:tcBorders>
            <w:shd w:val="clear" w:color="auto" w:fill="auto"/>
            <w:noWrap/>
            <w:vAlign w:val="center"/>
            <w:hideMark/>
          </w:tcPr>
          <w:p w14:paraId="4E599281" w14:textId="77777777" w:rsidR="00C64021" w:rsidRPr="00C64021" w:rsidRDefault="00C64021" w:rsidP="00D849E6">
            <w:pPr>
              <w:spacing w:line="240" w:lineRule="auto"/>
              <w:jc w:val="center"/>
              <w:rPr>
                <w:color w:val="000000"/>
                <w:sz w:val="20"/>
                <w:szCs w:val="20"/>
              </w:rPr>
            </w:pPr>
            <w:r w:rsidRPr="00C64021">
              <w:rPr>
                <w:color w:val="000000"/>
                <w:sz w:val="20"/>
                <w:szCs w:val="20"/>
              </w:rPr>
              <w:t>0.523</w:t>
            </w:r>
          </w:p>
        </w:tc>
        <w:tc>
          <w:tcPr>
            <w:tcW w:w="900" w:type="dxa"/>
            <w:tcBorders>
              <w:top w:val="nil"/>
              <w:left w:val="single" w:sz="48" w:space="0" w:color="FFFFFF"/>
              <w:bottom w:val="nil"/>
              <w:right w:val="single" w:sz="48" w:space="0" w:color="FFFFFF"/>
            </w:tcBorders>
            <w:shd w:val="clear" w:color="auto" w:fill="auto"/>
            <w:noWrap/>
            <w:vAlign w:val="center"/>
            <w:hideMark/>
          </w:tcPr>
          <w:p w14:paraId="5D564A16" w14:textId="77777777" w:rsidR="00C64021" w:rsidRPr="00C64021" w:rsidRDefault="00C64021" w:rsidP="00D849E6">
            <w:pPr>
              <w:spacing w:line="240" w:lineRule="auto"/>
              <w:jc w:val="center"/>
              <w:rPr>
                <w:color w:val="000000"/>
                <w:sz w:val="20"/>
                <w:szCs w:val="20"/>
              </w:rPr>
            </w:pPr>
            <w:r w:rsidRPr="00C64021">
              <w:rPr>
                <w:color w:val="000000"/>
                <w:sz w:val="20"/>
                <w:szCs w:val="20"/>
              </w:rPr>
              <w:t>0.79</w:t>
            </w:r>
          </w:p>
        </w:tc>
        <w:tc>
          <w:tcPr>
            <w:tcW w:w="731" w:type="dxa"/>
            <w:tcBorders>
              <w:top w:val="nil"/>
              <w:left w:val="single" w:sz="48" w:space="0" w:color="FFFFFF"/>
              <w:bottom w:val="nil"/>
              <w:right w:val="single" w:sz="48" w:space="0" w:color="FFFFFF"/>
            </w:tcBorders>
            <w:shd w:val="clear" w:color="auto" w:fill="auto"/>
            <w:noWrap/>
            <w:vAlign w:val="center"/>
            <w:hideMark/>
          </w:tcPr>
          <w:p w14:paraId="5265050F" w14:textId="77777777" w:rsidR="00C64021" w:rsidRPr="00C64021" w:rsidRDefault="00C64021" w:rsidP="00D849E6">
            <w:pPr>
              <w:spacing w:line="240" w:lineRule="auto"/>
              <w:jc w:val="center"/>
              <w:rPr>
                <w:color w:val="000000"/>
                <w:sz w:val="20"/>
                <w:szCs w:val="20"/>
              </w:rPr>
            </w:pPr>
            <w:r w:rsidRPr="00C64021">
              <w:rPr>
                <w:color w:val="000000"/>
                <w:sz w:val="20"/>
                <w:szCs w:val="20"/>
              </w:rPr>
              <w:t>0.495</w:t>
            </w:r>
          </w:p>
        </w:tc>
        <w:tc>
          <w:tcPr>
            <w:tcW w:w="900" w:type="dxa"/>
            <w:tcBorders>
              <w:top w:val="nil"/>
              <w:left w:val="single" w:sz="48" w:space="0" w:color="FFFFFF"/>
              <w:bottom w:val="nil"/>
              <w:right w:val="single" w:sz="48" w:space="0" w:color="FFFFFF"/>
            </w:tcBorders>
            <w:shd w:val="clear" w:color="auto" w:fill="auto"/>
            <w:noWrap/>
            <w:vAlign w:val="center"/>
            <w:hideMark/>
          </w:tcPr>
          <w:p w14:paraId="087FECD7" w14:textId="77777777" w:rsidR="00C64021" w:rsidRPr="00C64021" w:rsidRDefault="00C64021" w:rsidP="00D849E6">
            <w:pPr>
              <w:spacing w:line="240" w:lineRule="auto"/>
              <w:jc w:val="center"/>
              <w:rPr>
                <w:color w:val="000000"/>
                <w:sz w:val="20"/>
                <w:szCs w:val="20"/>
              </w:rPr>
            </w:pPr>
            <w:r w:rsidRPr="00C64021">
              <w:rPr>
                <w:color w:val="000000"/>
                <w:sz w:val="20"/>
                <w:szCs w:val="20"/>
              </w:rPr>
              <w:t>1.80</w:t>
            </w:r>
          </w:p>
        </w:tc>
        <w:tc>
          <w:tcPr>
            <w:tcW w:w="720" w:type="dxa"/>
            <w:tcBorders>
              <w:top w:val="nil"/>
              <w:left w:val="single" w:sz="48" w:space="0" w:color="FFFFFF"/>
              <w:bottom w:val="nil"/>
              <w:right w:val="nil"/>
            </w:tcBorders>
            <w:shd w:val="clear" w:color="auto" w:fill="auto"/>
            <w:noWrap/>
            <w:vAlign w:val="center"/>
            <w:hideMark/>
          </w:tcPr>
          <w:p w14:paraId="2EADA629" w14:textId="77777777" w:rsidR="00C64021" w:rsidRPr="00C64021" w:rsidRDefault="00C64021" w:rsidP="00D849E6">
            <w:pPr>
              <w:spacing w:line="240" w:lineRule="auto"/>
              <w:jc w:val="center"/>
              <w:rPr>
                <w:color w:val="000000"/>
                <w:sz w:val="20"/>
                <w:szCs w:val="20"/>
              </w:rPr>
            </w:pPr>
            <w:r w:rsidRPr="00C64021">
              <w:rPr>
                <w:color w:val="000000"/>
                <w:sz w:val="20"/>
                <w:szCs w:val="20"/>
              </w:rPr>
              <w:t>0.200</w:t>
            </w:r>
          </w:p>
        </w:tc>
      </w:tr>
      <w:tr w:rsidR="00C64021" w:rsidRPr="00C64021" w14:paraId="03A99BBC" w14:textId="77777777" w:rsidTr="002F5B7E">
        <w:trPr>
          <w:trHeight w:val="300"/>
        </w:trPr>
        <w:tc>
          <w:tcPr>
            <w:tcW w:w="348" w:type="dxa"/>
            <w:tcBorders>
              <w:top w:val="nil"/>
              <w:left w:val="nil"/>
              <w:bottom w:val="nil"/>
              <w:right w:val="nil"/>
            </w:tcBorders>
            <w:shd w:val="clear" w:color="auto" w:fill="auto"/>
            <w:noWrap/>
            <w:vAlign w:val="center"/>
            <w:hideMark/>
          </w:tcPr>
          <w:p w14:paraId="72D745F0" w14:textId="77777777" w:rsidR="00C64021" w:rsidRPr="00C64021" w:rsidRDefault="00C64021" w:rsidP="00D849E6">
            <w:pPr>
              <w:spacing w:line="240" w:lineRule="auto"/>
              <w:rPr>
                <w:color w:val="000000"/>
                <w:sz w:val="20"/>
                <w:szCs w:val="20"/>
              </w:rPr>
            </w:pPr>
          </w:p>
        </w:tc>
        <w:tc>
          <w:tcPr>
            <w:tcW w:w="1452" w:type="dxa"/>
            <w:tcBorders>
              <w:top w:val="nil"/>
              <w:left w:val="nil"/>
              <w:bottom w:val="nil"/>
              <w:right w:val="single" w:sz="48" w:space="0" w:color="FFFFFF"/>
            </w:tcBorders>
            <w:shd w:val="clear" w:color="auto" w:fill="auto"/>
            <w:noWrap/>
            <w:vAlign w:val="center"/>
            <w:hideMark/>
          </w:tcPr>
          <w:p w14:paraId="47A2F5A8" w14:textId="77777777" w:rsidR="00C64021" w:rsidRPr="00C64021" w:rsidRDefault="00C64021" w:rsidP="00D849E6">
            <w:pPr>
              <w:spacing w:line="240" w:lineRule="auto"/>
              <w:ind w:left="-105"/>
              <w:rPr>
                <w:color w:val="000000"/>
                <w:sz w:val="20"/>
                <w:szCs w:val="20"/>
              </w:rPr>
            </w:pPr>
            <w:r w:rsidRPr="00C64021">
              <w:rPr>
                <w:color w:val="000000"/>
                <w:sz w:val="20"/>
                <w:szCs w:val="20"/>
              </w:rPr>
              <w:t>HARV x RATE</w:t>
            </w:r>
          </w:p>
        </w:tc>
        <w:tc>
          <w:tcPr>
            <w:tcW w:w="1008" w:type="dxa"/>
            <w:tcBorders>
              <w:top w:val="nil"/>
              <w:left w:val="single" w:sz="48" w:space="0" w:color="FFFFFF"/>
              <w:bottom w:val="nil"/>
              <w:right w:val="single" w:sz="48" w:space="0" w:color="FFFFFF"/>
            </w:tcBorders>
            <w:shd w:val="clear" w:color="auto" w:fill="auto"/>
            <w:noWrap/>
            <w:vAlign w:val="center"/>
            <w:hideMark/>
          </w:tcPr>
          <w:p w14:paraId="51B71668"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809" w:type="dxa"/>
            <w:tcBorders>
              <w:top w:val="nil"/>
              <w:left w:val="single" w:sz="48" w:space="0" w:color="FFFFFF"/>
              <w:bottom w:val="nil"/>
              <w:right w:val="single" w:sz="48" w:space="0" w:color="FFFFFF"/>
            </w:tcBorders>
            <w:shd w:val="clear" w:color="auto" w:fill="auto"/>
            <w:noWrap/>
            <w:vAlign w:val="center"/>
            <w:hideMark/>
          </w:tcPr>
          <w:p w14:paraId="77E36E97"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928" w:type="dxa"/>
            <w:tcBorders>
              <w:top w:val="nil"/>
              <w:left w:val="single" w:sz="48" w:space="0" w:color="FFFFFF"/>
              <w:bottom w:val="nil"/>
              <w:right w:val="single" w:sz="48" w:space="0" w:color="FFFFFF"/>
            </w:tcBorders>
            <w:shd w:val="clear" w:color="auto" w:fill="auto"/>
            <w:noWrap/>
            <w:vAlign w:val="center"/>
            <w:hideMark/>
          </w:tcPr>
          <w:p w14:paraId="6B169CC0"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765" w:type="dxa"/>
            <w:tcBorders>
              <w:top w:val="nil"/>
              <w:left w:val="single" w:sz="48" w:space="0" w:color="FFFFFF"/>
              <w:bottom w:val="nil"/>
              <w:right w:val="single" w:sz="48" w:space="0" w:color="FFFFFF"/>
            </w:tcBorders>
            <w:shd w:val="clear" w:color="auto" w:fill="auto"/>
            <w:noWrap/>
            <w:vAlign w:val="center"/>
            <w:hideMark/>
          </w:tcPr>
          <w:p w14:paraId="5D88625E"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900" w:type="dxa"/>
            <w:tcBorders>
              <w:top w:val="nil"/>
              <w:left w:val="single" w:sz="48" w:space="0" w:color="FFFFFF"/>
              <w:bottom w:val="nil"/>
              <w:right w:val="single" w:sz="48" w:space="0" w:color="FFFFFF"/>
            </w:tcBorders>
            <w:shd w:val="clear" w:color="auto" w:fill="auto"/>
            <w:noWrap/>
            <w:vAlign w:val="center"/>
            <w:hideMark/>
          </w:tcPr>
          <w:p w14:paraId="54328A49" w14:textId="77777777" w:rsidR="00C64021" w:rsidRPr="00C64021" w:rsidRDefault="00C64021" w:rsidP="00D849E6">
            <w:pPr>
              <w:spacing w:line="240" w:lineRule="auto"/>
              <w:jc w:val="center"/>
              <w:rPr>
                <w:color w:val="000000"/>
                <w:sz w:val="20"/>
                <w:szCs w:val="20"/>
              </w:rPr>
            </w:pPr>
            <w:r w:rsidRPr="00C64021">
              <w:rPr>
                <w:color w:val="000000"/>
                <w:sz w:val="20"/>
                <w:szCs w:val="20"/>
              </w:rPr>
              <w:t>3.06</w:t>
            </w:r>
          </w:p>
        </w:tc>
        <w:tc>
          <w:tcPr>
            <w:tcW w:w="720" w:type="dxa"/>
            <w:tcBorders>
              <w:top w:val="nil"/>
              <w:left w:val="single" w:sz="48" w:space="0" w:color="FFFFFF"/>
              <w:bottom w:val="nil"/>
              <w:right w:val="single" w:sz="48" w:space="0" w:color="FFFFFF"/>
            </w:tcBorders>
            <w:shd w:val="clear" w:color="auto" w:fill="auto"/>
            <w:noWrap/>
            <w:vAlign w:val="center"/>
            <w:hideMark/>
          </w:tcPr>
          <w:p w14:paraId="31F00011" w14:textId="77777777" w:rsidR="00C64021" w:rsidRPr="00C64021" w:rsidRDefault="00C64021" w:rsidP="00D849E6">
            <w:pPr>
              <w:spacing w:line="240" w:lineRule="auto"/>
              <w:jc w:val="center"/>
              <w:rPr>
                <w:color w:val="000000"/>
                <w:sz w:val="20"/>
                <w:szCs w:val="20"/>
              </w:rPr>
            </w:pPr>
            <w:r w:rsidRPr="00C64021">
              <w:rPr>
                <w:color w:val="000000"/>
                <w:sz w:val="20"/>
                <w:szCs w:val="20"/>
              </w:rPr>
              <w:t>0.077</w:t>
            </w:r>
          </w:p>
        </w:tc>
        <w:tc>
          <w:tcPr>
            <w:tcW w:w="934" w:type="dxa"/>
            <w:tcBorders>
              <w:top w:val="nil"/>
              <w:left w:val="single" w:sz="48" w:space="0" w:color="FFFFFF"/>
              <w:bottom w:val="nil"/>
              <w:right w:val="single" w:sz="48" w:space="0" w:color="FFFFFF"/>
            </w:tcBorders>
            <w:shd w:val="clear" w:color="auto" w:fill="auto"/>
            <w:noWrap/>
            <w:vAlign w:val="center"/>
            <w:hideMark/>
          </w:tcPr>
          <w:p w14:paraId="5F3F5514"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765" w:type="dxa"/>
            <w:tcBorders>
              <w:top w:val="nil"/>
              <w:left w:val="single" w:sz="48" w:space="0" w:color="FFFFFF"/>
              <w:bottom w:val="nil"/>
              <w:right w:val="single" w:sz="48" w:space="0" w:color="FFFFFF"/>
            </w:tcBorders>
            <w:shd w:val="clear" w:color="auto" w:fill="auto"/>
            <w:noWrap/>
            <w:vAlign w:val="center"/>
            <w:hideMark/>
          </w:tcPr>
          <w:p w14:paraId="1BAFD65B"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900" w:type="dxa"/>
            <w:tcBorders>
              <w:top w:val="nil"/>
              <w:left w:val="single" w:sz="48" w:space="0" w:color="FFFFFF"/>
              <w:bottom w:val="nil"/>
              <w:right w:val="single" w:sz="48" w:space="0" w:color="FFFFFF"/>
            </w:tcBorders>
            <w:shd w:val="clear" w:color="auto" w:fill="auto"/>
            <w:noWrap/>
            <w:vAlign w:val="center"/>
            <w:hideMark/>
          </w:tcPr>
          <w:p w14:paraId="43BF1EBA"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731" w:type="dxa"/>
            <w:tcBorders>
              <w:top w:val="nil"/>
              <w:left w:val="single" w:sz="48" w:space="0" w:color="FFFFFF"/>
              <w:bottom w:val="nil"/>
              <w:right w:val="single" w:sz="48" w:space="0" w:color="FFFFFF"/>
            </w:tcBorders>
            <w:shd w:val="clear" w:color="auto" w:fill="auto"/>
            <w:noWrap/>
            <w:vAlign w:val="center"/>
            <w:hideMark/>
          </w:tcPr>
          <w:p w14:paraId="160A8BDB"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900" w:type="dxa"/>
            <w:tcBorders>
              <w:top w:val="nil"/>
              <w:left w:val="single" w:sz="48" w:space="0" w:color="FFFFFF"/>
              <w:bottom w:val="nil"/>
              <w:right w:val="single" w:sz="48" w:space="0" w:color="FFFFFF"/>
            </w:tcBorders>
            <w:shd w:val="clear" w:color="auto" w:fill="auto"/>
            <w:noWrap/>
            <w:vAlign w:val="center"/>
            <w:hideMark/>
          </w:tcPr>
          <w:p w14:paraId="2DA41292" w14:textId="77777777" w:rsidR="00C64021" w:rsidRPr="00C64021" w:rsidRDefault="00C64021" w:rsidP="00D849E6">
            <w:pPr>
              <w:spacing w:line="240" w:lineRule="auto"/>
              <w:jc w:val="center"/>
              <w:rPr>
                <w:color w:val="000000"/>
                <w:sz w:val="20"/>
                <w:szCs w:val="20"/>
              </w:rPr>
            </w:pPr>
            <w:r w:rsidRPr="00C64021">
              <w:rPr>
                <w:color w:val="000000"/>
                <w:sz w:val="20"/>
                <w:szCs w:val="20"/>
              </w:rPr>
              <w:t>0.74</w:t>
            </w:r>
          </w:p>
        </w:tc>
        <w:tc>
          <w:tcPr>
            <w:tcW w:w="720" w:type="dxa"/>
            <w:tcBorders>
              <w:top w:val="nil"/>
              <w:left w:val="single" w:sz="48" w:space="0" w:color="FFFFFF"/>
              <w:bottom w:val="nil"/>
              <w:right w:val="nil"/>
            </w:tcBorders>
            <w:shd w:val="clear" w:color="auto" w:fill="auto"/>
            <w:noWrap/>
            <w:vAlign w:val="center"/>
            <w:hideMark/>
          </w:tcPr>
          <w:p w14:paraId="0A6945DB" w14:textId="77777777" w:rsidR="00C64021" w:rsidRPr="00C64021" w:rsidRDefault="00C64021" w:rsidP="00D849E6">
            <w:pPr>
              <w:spacing w:line="240" w:lineRule="auto"/>
              <w:jc w:val="center"/>
              <w:rPr>
                <w:color w:val="000000"/>
                <w:sz w:val="20"/>
                <w:szCs w:val="20"/>
              </w:rPr>
            </w:pPr>
            <w:r w:rsidRPr="00C64021">
              <w:rPr>
                <w:color w:val="000000"/>
                <w:sz w:val="20"/>
                <w:szCs w:val="20"/>
              </w:rPr>
              <w:t>0.495</w:t>
            </w:r>
          </w:p>
        </w:tc>
      </w:tr>
      <w:tr w:rsidR="00C64021" w:rsidRPr="00C64021" w14:paraId="3D93769C" w14:textId="77777777" w:rsidTr="002F5B7E">
        <w:trPr>
          <w:trHeight w:val="300"/>
        </w:trPr>
        <w:tc>
          <w:tcPr>
            <w:tcW w:w="1800" w:type="dxa"/>
            <w:gridSpan w:val="2"/>
            <w:tcBorders>
              <w:top w:val="nil"/>
              <w:left w:val="nil"/>
              <w:bottom w:val="nil"/>
              <w:right w:val="single" w:sz="48" w:space="0" w:color="FFFFFF"/>
            </w:tcBorders>
            <w:shd w:val="clear" w:color="auto" w:fill="auto"/>
            <w:noWrap/>
            <w:vAlign w:val="center"/>
            <w:hideMark/>
          </w:tcPr>
          <w:p w14:paraId="1CC81F1D" w14:textId="77777777" w:rsidR="00C64021" w:rsidRPr="00C64021" w:rsidRDefault="00C64021" w:rsidP="00D849E6">
            <w:pPr>
              <w:spacing w:line="240" w:lineRule="auto"/>
              <w:rPr>
                <w:color w:val="000000"/>
                <w:sz w:val="20"/>
                <w:szCs w:val="20"/>
                <w:u w:val="single"/>
              </w:rPr>
            </w:pPr>
            <w:r w:rsidRPr="00C64021">
              <w:rPr>
                <w:color w:val="000000"/>
                <w:sz w:val="20"/>
                <w:szCs w:val="20"/>
                <w:u w:val="single"/>
              </w:rPr>
              <w:t>Weeds</w:t>
            </w:r>
          </w:p>
        </w:tc>
        <w:tc>
          <w:tcPr>
            <w:tcW w:w="1008" w:type="dxa"/>
            <w:tcBorders>
              <w:top w:val="nil"/>
              <w:left w:val="single" w:sz="48" w:space="0" w:color="FFFFFF"/>
              <w:bottom w:val="nil"/>
              <w:right w:val="single" w:sz="48" w:space="0" w:color="FFFFFF"/>
            </w:tcBorders>
            <w:shd w:val="clear" w:color="auto" w:fill="auto"/>
            <w:noWrap/>
            <w:vAlign w:val="center"/>
            <w:hideMark/>
          </w:tcPr>
          <w:p w14:paraId="445E6EA1" w14:textId="77777777" w:rsidR="00C64021" w:rsidRPr="00C64021" w:rsidRDefault="00C64021" w:rsidP="00D849E6">
            <w:pPr>
              <w:spacing w:line="240" w:lineRule="auto"/>
              <w:jc w:val="center"/>
              <w:rPr>
                <w:color w:val="000000"/>
                <w:sz w:val="20"/>
                <w:szCs w:val="20"/>
              </w:rPr>
            </w:pPr>
          </w:p>
        </w:tc>
        <w:tc>
          <w:tcPr>
            <w:tcW w:w="809" w:type="dxa"/>
            <w:tcBorders>
              <w:top w:val="nil"/>
              <w:left w:val="single" w:sz="48" w:space="0" w:color="FFFFFF"/>
              <w:bottom w:val="nil"/>
              <w:right w:val="single" w:sz="48" w:space="0" w:color="FFFFFF"/>
            </w:tcBorders>
            <w:shd w:val="clear" w:color="auto" w:fill="auto"/>
            <w:noWrap/>
            <w:vAlign w:val="center"/>
            <w:hideMark/>
          </w:tcPr>
          <w:p w14:paraId="75C7012F" w14:textId="77777777" w:rsidR="00C64021" w:rsidRPr="00C64021" w:rsidRDefault="00C64021" w:rsidP="00D849E6">
            <w:pPr>
              <w:spacing w:line="240" w:lineRule="auto"/>
              <w:jc w:val="center"/>
              <w:rPr>
                <w:sz w:val="20"/>
                <w:szCs w:val="20"/>
              </w:rPr>
            </w:pPr>
          </w:p>
        </w:tc>
        <w:tc>
          <w:tcPr>
            <w:tcW w:w="928" w:type="dxa"/>
            <w:tcBorders>
              <w:top w:val="nil"/>
              <w:left w:val="single" w:sz="48" w:space="0" w:color="FFFFFF"/>
              <w:bottom w:val="nil"/>
              <w:right w:val="single" w:sz="48" w:space="0" w:color="FFFFFF"/>
            </w:tcBorders>
            <w:shd w:val="clear" w:color="auto" w:fill="auto"/>
            <w:noWrap/>
            <w:vAlign w:val="center"/>
            <w:hideMark/>
          </w:tcPr>
          <w:p w14:paraId="6E855B16" w14:textId="77777777" w:rsidR="00C64021" w:rsidRPr="00C64021" w:rsidRDefault="00C64021" w:rsidP="00D849E6">
            <w:pPr>
              <w:spacing w:line="240" w:lineRule="auto"/>
              <w:jc w:val="center"/>
              <w:rPr>
                <w:sz w:val="20"/>
                <w:szCs w:val="20"/>
              </w:rPr>
            </w:pPr>
          </w:p>
        </w:tc>
        <w:tc>
          <w:tcPr>
            <w:tcW w:w="765" w:type="dxa"/>
            <w:tcBorders>
              <w:top w:val="nil"/>
              <w:left w:val="single" w:sz="48" w:space="0" w:color="FFFFFF"/>
              <w:bottom w:val="nil"/>
              <w:right w:val="single" w:sz="48" w:space="0" w:color="FFFFFF"/>
            </w:tcBorders>
            <w:shd w:val="clear" w:color="auto" w:fill="auto"/>
            <w:noWrap/>
            <w:vAlign w:val="center"/>
            <w:hideMark/>
          </w:tcPr>
          <w:p w14:paraId="0D04544E" w14:textId="77777777" w:rsidR="00C64021" w:rsidRPr="00C64021" w:rsidRDefault="00C64021" w:rsidP="00D849E6">
            <w:pPr>
              <w:spacing w:line="240" w:lineRule="auto"/>
              <w:jc w:val="center"/>
              <w:rPr>
                <w:sz w:val="20"/>
                <w:szCs w:val="20"/>
              </w:rPr>
            </w:pPr>
          </w:p>
        </w:tc>
        <w:tc>
          <w:tcPr>
            <w:tcW w:w="900" w:type="dxa"/>
            <w:tcBorders>
              <w:top w:val="nil"/>
              <w:left w:val="single" w:sz="48" w:space="0" w:color="FFFFFF"/>
              <w:bottom w:val="nil"/>
              <w:right w:val="single" w:sz="48" w:space="0" w:color="FFFFFF"/>
            </w:tcBorders>
            <w:shd w:val="clear" w:color="auto" w:fill="auto"/>
            <w:noWrap/>
            <w:vAlign w:val="center"/>
            <w:hideMark/>
          </w:tcPr>
          <w:p w14:paraId="7A22EACE" w14:textId="77777777" w:rsidR="00C64021" w:rsidRPr="00C64021" w:rsidRDefault="00C64021" w:rsidP="00D849E6">
            <w:pPr>
              <w:spacing w:line="240" w:lineRule="auto"/>
              <w:jc w:val="center"/>
              <w:rPr>
                <w:sz w:val="20"/>
                <w:szCs w:val="20"/>
              </w:rPr>
            </w:pPr>
          </w:p>
        </w:tc>
        <w:tc>
          <w:tcPr>
            <w:tcW w:w="720" w:type="dxa"/>
            <w:tcBorders>
              <w:top w:val="nil"/>
              <w:left w:val="single" w:sz="48" w:space="0" w:color="FFFFFF"/>
              <w:bottom w:val="nil"/>
              <w:right w:val="single" w:sz="48" w:space="0" w:color="FFFFFF"/>
            </w:tcBorders>
            <w:shd w:val="clear" w:color="auto" w:fill="auto"/>
            <w:noWrap/>
            <w:vAlign w:val="center"/>
            <w:hideMark/>
          </w:tcPr>
          <w:p w14:paraId="2896E310" w14:textId="77777777" w:rsidR="00C64021" w:rsidRPr="00C64021" w:rsidRDefault="00C64021" w:rsidP="00D849E6">
            <w:pPr>
              <w:spacing w:line="240" w:lineRule="auto"/>
              <w:jc w:val="center"/>
              <w:rPr>
                <w:sz w:val="20"/>
                <w:szCs w:val="20"/>
              </w:rPr>
            </w:pPr>
          </w:p>
        </w:tc>
        <w:tc>
          <w:tcPr>
            <w:tcW w:w="934" w:type="dxa"/>
            <w:tcBorders>
              <w:top w:val="nil"/>
              <w:left w:val="single" w:sz="48" w:space="0" w:color="FFFFFF"/>
              <w:bottom w:val="nil"/>
              <w:right w:val="single" w:sz="48" w:space="0" w:color="FFFFFF"/>
            </w:tcBorders>
            <w:shd w:val="clear" w:color="auto" w:fill="auto"/>
            <w:noWrap/>
            <w:vAlign w:val="center"/>
            <w:hideMark/>
          </w:tcPr>
          <w:p w14:paraId="3F91AAF7" w14:textId="77777777" w:rsidR="00C64021" w:rsidRPr="00C64021" w:rsidRDefault="00C64021" w:rsidP="00D849E6">
            <w:pPr>
              <w:spacing w:line="240" w:lineRule="auto"/>
              <w:jc w:val="center"/>
              <w:rPr>
                <w:sz w:val="20"/>
                <w:szCs w:val="20"/>
              </w:rPr>
            </w:pPr>
          </w:p>
        </w:tc>
        <w:tc>
          <w:tcPr>
            <w:tcW w:w="765" w:type="dxa"/>
            <w:tcBorders>
              <w:top w:val="nil"/>
              <w:left w:val="single" w:sz="48" w:space="0" w:color="FFFFFF"/>
              <w:bottom w:val="nil"/>
              <w:right w:val="single" w:sz="48" w:space="0" w:color="FFFFFF"/>
            </w:tcBorders>
            <w:shd w:val="clear" w:color="auto" w:fill="auto"/>
            <w:noWrap/>
            <w:vAlign w:val="center"/>
            <w:hideMark/>
          </w:tcPr>
          <w:p w14:paraId="52588A84" w14:textId="77777777" w:rsidR="00C64021" w:rsidRPr="00C64021" w:rsidRDefault="00C64021" w:rsidP="00D849E6">
            <w:pPr>
              <w:spacing w:line="240" w:lineRule="auto"/>
              <w:jc w:val="center"/>
              <w:rPr>
                <w:sz w:val="20"/>
                <w:szCs w:val="20"/>
              </w:rPr>
            </w:pPr>
          </w:p>
        </w:tc>
        <w:tc>
          <w:tcPr>
            <w:tcW w:w="900" w:type="dxa"/>
            <w:tcBorders>
              <w:top w:val="nil"/>
              <w:left w:val="single" w:sz="48" w:space="0" w:color="FFFFFF"/>
              <w:bottom w:val="nil"/>
              <w:right w:val="single" w:sz="48" w:space="0" w:color="FFFFFF"/>
            </w:tcBorders>
            <w:shd w:val="clear" w:color="auto" w:fill="auto"/>
            <w:noWrap/>
            <w:vAlign w:val="center"/>
            <w:hideMark/>
          </w:tcPr>
          <w:p w14:paraId="29C6BA0E" w14:textId="77777777" w:rsidR="00C64021" w:rsidRPr="00C64021" w:rsidRDefault="00C64021" w:rsidP="00D849E6">
            <w:pPr>
              <w:spacing w:line="240" w:lineRule="auto"/>
              <w:jc w:val="center"/>
              <w:rPr>
                <w:sz w:val="20"/>
                <w:szCs w:val="20"/>
              </w:rPr>
            </w:pPr>
          </w:p>
        </w:tc>
        <w:tc>
          <w:tcPr>
            <w:tcW w:w="731" w:type="dxa"/>
            <w:tcBorders>
              <w:top w:val="nil"/>
              <w:left w:val="single" w:sz="48" w:space="0" w:color="FFFFFF"/>
              <w:bottom w:val="nil"/>
              <w:right w:val="single" w:sz="48" w:space="0" w:color="FFFFFF"/>
            </w:tcBorders>
            <w:shd w:val="clear" w:color="auto" w:fill="auto"/>
            <w:noWrap/>
            <w:vAlign w:val="center"/>
            <w:hideMark/>
          </w:tcPr>
          <w:p w14:paraId="47DC653B" w14:textId="77777777" w:rsidR="00C64021" w:rsidRPr="00C64021" w:rsidRDefault="00C64021" w:rsidP="00D849E6">
            <w:pPr>
              <w:spacing w:line="240" w:lineRule="auto"/>
              <w:jc w:val="center"/>
              <w:rPr>
                <w:sz w:val="20"/>
                <w:szCs w:val="20"/>
              </w:rPr>
            </w:pPr>
          </w:p>
        </w:tc>
        <w:tc>
          <w:tcPr>
            <w:tcW w:w="900" w:type="dxa"/>
            <w:tcBorders>
              <w:top w:val="nil"/>
              <w:left w:val="single" w:sz="48" w:space="0" w:color="FFFFFF"/>
              <w:bottom w:val="nil"/>
              <w:right w:val="single" w:sz="48" w:space="0" w:color="FFFFFF"/>
            </w:tcBorders>
            <w:shd w:val="clear" w:color="auto" w:fill="auto"/>
            <w:noWrap/>
            <w:vAlign w:val="center"/>
            <w:hideMark/>
          </w:tcPr>
          <w:p w14:paraId="6D246079" w14:textId="77777777" w:rsidR="00C64021" w:rsidRPr="00C64021" w:rsidRDefault="00C64021" w:rsidP="00D849E6">
            <w:pPr>
              <w:spacing w:line="240" w:lineRule="auto"/>
              <w:jc w:val="center"/>
              <w:rPr>
                <w:sz w:val="20"/>
                <w:szCs w:val="20"/>
              </w:rPr>
            </w:pPr>
          </w:p>
        </w:tc>
        <w:tc>
          <w:tcPr>
            <w:tcW w:w="720" w:type="dxa"/>
            <w:tcBorders>
              <w:top w:val="nil"/>
              <w:left w:val="single" w:sz="48" w:space="0" w:color="FFFFFF"/>
              <w:bottom w:val="nil"/>
              <w:right w:val="nil"/>
            </w:tcBorders>
            <w:shd w:val="clear" w:color="auto" w:fill="auto"/>
            <w:noWrap/>
            <w:vAlign w:val="center"/>
            <w:hideMark/>
          </w:tcPr>
          <w:p w14:paraId="2795EC35" w14:textId="77777777" w:rsidR="00C64021" w:rsidRPr="00C64021" w:rsidRDefault="00C64021" w:rsidP="00D849E6">
            <w:pPr>
              <w:spacing w:line="240" w:lineRule="auto"/>
              <w:jc w:val="center"/>
              <w:rPr>
                <w:sz w:val="20"/>
                <w:szCs w:val="20"/>
              </w:rPr>
            </w:pPr>
          </w:p>
        </w:tc>
      </w:tr>
      <w:tr w:rsidR="00C64021" w:rsidRPr="00C64021" w14:paraId="4260ABBF" w14:textId="77777777" w:rsidTr="002F5B7E">
        <w:trPr>
          <w:trHeight w:val="300"/>
        </w:trPr>
        <w:tc>
          <w:tcPr>
            <w:tcW w:w="348" w:type="dxa"/>
            <w:tcBorders>
              <w:top w:val="nil"/>
              <w:left w:val="nil"/>
              <w:bottom w:val="nil"/>
              <w:right w:val="nil"/>
            </w:tcBorders>
            <w:shd w:val="clear" w:color="auto" w:fill="auto"/>
            <w:noWrap/>
            <w:vAlign w:val="center"/>
            <w:hideMark/>
          </w:tcPr>
          <w:p w14:paraId="5D3A11D7" w14:textId="77777777" w:rsidR="00C64021" w:rsidRPr="00C64021" w:rsidRDefault="00C64021" w:rsidP="00D849E6">
            <w:pPr>
              <w:spacing w:line="240" w:lineRule="auto"/>
              <w:rPr>
                <w:color w:val="000000"/>
                <w:sz w:val="20"/>
                <w:szCs w:val="20"/>
              </w:rPr>
            </w:pPr>
          </w:p>
        </w:tc>
        <w:tc>
          <w:tcPr>
            <w:tcW w:w="1452" w:type="dxa"/>
            <w:tcBorders>
              <w:top w:val="nil"/>
              <w:left w:val="nil"/>
              <w:bottom w:val="nil"/>
              <w:right w:val="single" w:sz="48" w:space="0" w:color="FFFFFF"/>
            </w:tcBorders>
            <w:shd w:val="clear" w:color="auto" w:fill="auto"/>
            <w:noWrap/>
            <w:vAlign w:val="center"/>
            <w:hideMark/>
          </w:tcPr>
          <w:p w14:paraId="17CB56C6" w14:textId="77777777" w:rsidR="00C64021" w:rsidRPr="00C64021" w:rsidRDefault="00C64021" w:rsidP="00D849E6">
            <w:pPr>
              <w:spacing w:line="240" w:lineRule="auto"/>
              <w:ind w:left="-105"/>
              <w:rPr>
                <w:color w:val="000000"/>
                <w:sz w:val="20"/>
                <w:szCs w:val="20"/>
              </w:rPr>
            </w:pPr>
            <w:r w:rsidRPr="00C64021">
              <w:rPr>
                <w:color w:val="000000"/>
                <w:sz w:val="20"/>
                <w:szCs w:val="20"/>
              </w:rPr>
              <w:t>RATE</w:t>
            </w:r>
          </w:p>
        </w:tc>
        <w:tc>
          <w:tcPr>
            <w:tcW w:w="1008" w:type="dxa"/>
            <w:tcBorders>
              <w:top w:val="nil"/>
              <w:left w:val="single" w:sz="48" w:space="0" w:color="FFFFFF"/>
              <w:bottom w:val="nil"/>
              <w:right w:val="single" w:sz="48" w:space="0" w:color="FFFFFF"/>
            </w:tcBorders>
            <w:shd w:val="clear" w:color="auto" w:fill="auto"/>
            <w:noWrap/>
            <w:vAlign w:val="center"/>
            <w:hideMark/>
          </w:tcPr>
          <w:p w14:paraId="6ECCB275" w14:textId="77777777" w:rsidR="00C64021" w:rsidRPr="00C64021" w:rsidRDefault="00C64021" w:rsidP="00D849E6">
            <w:pPr>
              <w:spacing w:line="240" w:lineRule="auto"/>
              <w:jc w:val="center"/>
              <w:rPr>
                <w:color w:val="000000"/>
                <w:sz w:val="20"/>
                <w:szCs w:val="20"/>
              </w:rPr>
            </w:pPr>
            <w:r w:rsidRPr="00C64021">
              <w:rPr>
                <w:color w:val="000000"/>
                <w:sz w:val="20"/>
                <w:szCs w:val="20"/>
              </w:rPr>
              <w:t>2.45</w:t>
            </w:r>
          </w:p>
        </w:tc>
        <w:tc>
          <w:tcPr>
            <w:tcW w:w="809" w:type="dxa"/>
            <w:tcBorders>
              <w:top w:val="nil"/>
              <w:left w:val="single" w:sz="48" w:space="0" w:color="FFFFFF"/>
              <w:bottom w:val="nil"/>
              <w:right w:val="single" w:sz="48" w:space="0" w:color="FFFFFF"/>
            </w:tcBorders>
            <w:shd w:val="clear" w:color="auto" w:fill="auto"/>
            <w:noWrap/>
            <w:vAlign w:val="center"/>
            <w:hideMark/>
          </w:tcPr>
          <w:p w14:paraId="3DE72C1D" w14:textId="77777777" w:rsidR="00C64021" w:rsidRPr="00C64021" w:rsidRDefault="00C64021" w:rsidP="00D849E6">
            <w:pPr>
              <w:spacing w:line="240" w:lineRule="auto"/>
              <w:jc w:val="center"/>
              <w:rPr>
                <w:color w:val="000000"/>
                <w:sz w:val="20"/>
                <w:szCs w:val="20"/>
              </w:rPr>
            </w:pPr>
            <w:r w:rsidRPr="00C64021">
              <w:rPr>
                <w:color w:val="000000"/>
                <w:sz w:val="20"/>
                <w:szCs w:val="20"/>
              </w:rPr>
              <w:t>0.167</w:t>
            </w:r>
          </w:p>
        </w:tc>
        <w:tc>
          <w:tcPr>
            <w:tcW w:w="928" w:type="dxa"/>
            <w:tcBorders>
              <w:top w:val="nil"/>
              <w:left w:val="single" w:sz="48" w:space="0" w:color="FFFFFF"/>
              <w:bottom w:val="nil"/>
              <w:right w:val="single" w:sz="48" w:space="0" w:color="FFFFFF"/>
            </w:tcBorders>
            <w:shd w:val="clear" w:color="auto" w:fill="auto"/>
            <w:noWrap/>
            <w:vAlign w:val="center"/>
            <w:hideMark/>
          </w:tcPr>
          <w:p w14:paraId="689426E1" w14:textId="77777777" w:rsidR="00C64021" w:rsidRPr="00C64021" w:rsidRDefault="00C64021" w:rsidP="00D849E6">
            <w:pPr>
              <w:spacing w:line="240" w:lineRule="auto"/>
              <w:jc w:val="center"/>
              <w:rPr>
                <w:color w:val="000000"/>
                <w:sz w:val="20"/>
                <w:szCs w:val="20"/>
              </w:rPr>
            </w:pPr>
            <w:r w:rsidRPr="00C64021">
              <w:rPr>
                <w:color w:val="000000"/>
                <w:sz w:val="20"/>
                <w:szCs w:val="20"/>
              </w:rPr>
              <w:t>9.93</w:t>
            </w:r>
          </w:p>
        </w:tc>
        <w:tc>
          <w:tcPr>
            <w:tcW w:w="765" w:type="dxa"/>
            <w:tcBorders>
              <w:top w:val="nil"/>
              <w:left w:val="single" w:sz="48" w:space="0" w:color="FFFFFF"/>
              <w:bottom w:val="nil"/>
              <w:right w:val="single" w:sz="48" w:space="0" w:color="FFFFFF"/>
            </w:tcBorders>
            <w:shd w:val="clear" w:color="auto" w:fill="auto"/>
            <w:noWrap/>
            <w:vAlign w:val="center"/>
            <w:hideMark/>
          </w:tcPr>
          <w:p w14:paraId="16A4777B" w14:textId="77777777" w:rsidR="00C64021" w:rsidRPr="00C64021" w:rsidRDefault="00C64021" w:rsidP="00D849E6">
            <w:pPr>
              <w:spacing w:line="240" w:lineRule="auto"/>
              <w:jc w:val="center"/>
              <w:rPr>
                <w:color w:val="000000"/>
                <w:sz w:val="20"/>
                <w:szCs w:val="20"/>
              </w:rPr>
            </w:pPr>
            <w:r w:rsidRPr="00C64021">
              <w:rPr>
                <w:b/>
                <w:color w:val="000000"/>
                <w:sz w:val="20"/>
                <w:szCs w:val="20"/>
              </w:rPr>
              <w:t>0.013</w:t>
            </w:r>
          </w:p>
        </w:tc>
        <w:tc>
          <w:tcPr>
            <w:tcW w:w="900" w:type="dxa"/>
            <w:tcBorders>
              <w:top w:val="nil"/>
              <w:left w:val="single" w:sz="48" w:space="0" w:color="FFFFFF"/>
              <w:bottom w:val="nil"/>
              <w:right w:val="single" w:sz="48" w:space="0" w:color="FFFFFF"/>
            </w:tcBorders>
            <w:shd w:val="clear" w:color="auto" w:fill="auto"/>
            <w:noWrap/>
            <w:vAlign w:val="center"/>
            <w:hideMark/>
          </w:tcPr>
          <w:p w14:paraId="3E88792F"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720" w:type="dxa"/>
            <w:tcBorders>
              <w:top w:val="nil"/>
              <w:left w:val="single" w:sz="48" w:space="0" w:color="FFFFFF"/>
              <w:bottom w:val="nil"/>
              <w:right w:val="single" w:sz="48" w:space="0" w:color="FFFFFF"/>
            </w:tcBorders>
            <w:shd w:val="clear" w:color="auto" w:fill="auto"/>
            <w:noWrap/>
            <w:vAlign w:val="center"/>
            <w:hideMark/>
          </w:tcPr>
          <w:p w14:paraId="149DCF34"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934" w:type="dxa"/>
            <w:tcBorders>
              <w:top w:val="nil"/>
              <w:left w:val="single" w:sz="48" w:space="0" w:color="FFFFFF"/>
              <w:bottom w:val="nil"/>
              <w:right w:val="single" w:sz="48" w:space="0" w:color="FFFFFF"/>
            </w:tcBorders>
            <w:shd w:val="clear" w:color="auto" w:fill="auto"/>
            <w:noWrap/>
            <w:vAlign w:val="center"/>
            <w:hideMark/>
          </w:tcPr>
          <w:p w14:paraId="0522AA2D" w14:textId="77777777" w:rsidR="00C64021" w:rsidRPr="00C64021" w:rsidRDefault="00C64021" w:rsidP="00D849E6">
            <w:pPr>
              <w:spacing w:line="240" w:lineRule="auto"/>
              <w:jc w:val="center"/>
              <w:rPr>
                <w:color w:val="000000"/>
                <w:sz w:val="20"/>
                <w:szCs w:val="20"/>
              </w:rPr>
            </w:pPr>
            <w:r w:rsidRPr="00C64021">
              <w:rPr>
                <w:color w:val="000000"/>
                <w:sz w:val="20"/>
                <w:szCs w:val="20"/>
              </w:rPr>
              <w:t>0.55</w:t>
            </w:r>
          </w:p>
        </w:tc>
        <w:tc>
          <w:tcPr>
            <w:tcW w:w="765" w:type="dxa"/>
            <w:tcBorders>
              <w:top w:val="nil"/>
              <w:left w:val="single" w:sz="48" w:space="0" w:color="FFFFFF"/>
              <w:bottom w:val="nil"/>
              <w:right w:val="single" w:sz="48" w:space="0" w:color="FFFFFF"/>
            </w:tcBorders>
            <w:shd w:val="clear" w:color="auto" w:fill="auto"/>
            <w:noWrap/>
            <w:vAlign w:val="center"/>
            <w:hideMark/>
          </w:tcPr>
          <w:p w14:paraId="1DE7413D" w14:textId="77777777" w:rsidR="00C64021" w:rsidRPr="00C64021" w:rsidRDefault="00C64021" w:rsidP="00D849E6">
            <w:pPr>
              <w:spacing w:line="240" w:lineRule="auto"/>
              <w:jc w:val="center"/>
              <w:rPr>
                <w:color w:val="000000"/>
                <w:sz w:val="20"/>
                <w:szCs w:val="20"/>
              </w:rPr>
            </w:pPr>
            <w:r w:rsidRPr="00C64021">
              <w:rPr>
                <w:color w:val="000000"/>
                <w:sz w:val="20"/>
                <w:szCs w:val="20"/>
              </w:rPr>
              <w:t>0.603</w:t>
            </w:r>
          </w:p>
        </w:tc>
        <w:tc>
          <w:tcPr>
            <w:tcW w:w="900" w:type="dxa"/>
            <w:tcBorders>
              <w:top w:val="nil"/>
              <w:left w:val="single" w:sz="48" w:space="0" w:color="FFFFFF"/>
              <w:bottom w:val="nil"/>
              <w:right w:val="single" w:sz="48" w:space="0" w:color="FFFFFF"/>
            </w:tcBorders>
            <w:shd w:val="clear" w:color="auto" w:fill="auto"/>
            <w:noWrap/>
            <w:vAlign w:val="center"/>
            <w:hideMark/>
          </w:tcPr>
          <w:p w14:paraId="4BBE802D" w14:textId="77777777" w:rsidR="00C64021" w:rsidRPr="00C64021" w:rsidRDefault="00C64021" w:rsidP="00D849E6">
            <w:pPr>
              <w:spacing w:line="240" w:lineRule="auto"/>
              <w:jc w:val="center"/>
              <w:rPr>
                <w:color w:val="000000"/>
                <w:sz w:val="20"/>
                <w:szCs w:val="20"/>
              </w:rPr>
            </w:pPr>
            <w:r w:rsidRPr="00C64021">
              <w:rPr>
                <w:color w:val="000000"/>
                <w:sz w:val="20"/>
                <w:szCs w:val="20"/>
              </w:rPr>
              <w:t>0.16</w:t>
            </w:r>
          </w:p>
        </w:tc>
        <w:tc>
          <w:tcPr>
            <w:tcW w:w="731" w:type="dxa"/>
            <w:tcBorders>
              <w:top w:val="nil"/>
              <w:left w:val="single" w:sz="48" w:space="0" w:color="FFFFFF"/>
              <w:bottom w:val="nil"/>
              <w:right w:val="single" w:sz="48" w:space="0" w:color="FFFFFF"/>
            </w:tcBorders>
            <w:shd w:val="clear" w:color="auto" w:fill="auto"/>
            <w:noWrap/>
            <w:vAlign w:val="center"/>
            <w:hideMark/>
          </w:tcPr>
          <w:p w14:paraId="66480EF8" w14:textId="77777777" w:rsidR="00C64021" w:rsidRPr="00C64021" w:rsidRDefault="00C64021" w:rsidP="00D849E6">
            <w:pPr>
              <w:spacing w:line="240" w:lineRule="auto"/>
              <w:jc w:val="center"/>
              <w:rPr>
                <w:color w:val="000000"/>
                <w:sz w:val="20"/>
                <w:szCs w:val="20"/>
              </w:rPr>
            </w:pPr>
            <w:r w:rsidRPr="00C64021">
              <w:rPr>
                <w:color w:val="000000"/>
                <w:sz w:val="20"/>
                <w:szCs w:val="20"/>
              </w:rPr>
              <w:t>0.859</w:t>
            </w:r>
          </w:p>
        </w:tc>
        <w:tc>
          <w:tcPr>
            <w:tcW w:w="900" w:type="dxa"/>
            <w:tcBorders>
              <w:top w:val="nil"/>
              <w:left w:val="single" w:sz="48" w:space="0" w:color="FFFFFF"/>
              <w:bottom w:val="nil"/>
              <w:right w:val="single" w:sz="48" w:space="0" w:color="FFFFFF"/>
            </w:tcBorders>
            <w:shd w:val="clear" w:color="auto" w:fill="auto"/>
            <w:noWrap/>
            <w:vAlign w:val="center"/>
            <w:hideMark/>
          </w:tcPr>
          <w:p w14:paraId="75732B03"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720" w:type="dxa"/>
            <w:tcBorders>
              <w:top w:val="nil"/>
              <w:left w:val="single" w:sz="48" w:space="0" w:color="FFFFFF"/>
              <w:bottom w:val="nil"/>
              <w:right w:val="nil"/>
            </w:tcBorders>
            <w:shd w:val="clear" w:color="auto" w:fill="auto"/>
            <w:noWrap/>
            <w:vAlign w:val="center"/>
            <w:hideMark/>
          </w:tcPr>
          <w:p w14:paraId="5E461A02"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r>
      <w:tr w:rsidR="00C64021" w:rsidRPr="00C64021" w14:paraId="6CB33F3F" w14:textId="77777777" w:rsidTr="002F5B7E">
        <w:trPr>
          <w:trHeight w:val="300"/>
        </w:trPr>
        <w:tc>
          <w:tcPr>
            <w:tcW w:w="1800" w:type="dxa"/>
            <w:gridSpan w:val="2"/>
            <w:tcBorders>
              <w:top w:val="nil"/>
              <w:left w:val="nil"/>
              <w:bottom w:val="nil"/>
              <w:right w:val="single" w:sz="48" w:space="0" w:color="FFFFFF"/>
            </w:tcBorders>
            <w:shd w:val="clear" w:color="auto" w:fill="auto"/>
            <w:noWrap/>
            <w:vAlign w:val="center"/>
            <w:hideMark/>
          </w:tcPr>
          <w:p w14:paraId="11A9A33E" w14:textId="77777777" w:rsidR="00C64021" w:rsidRPr="00C64021" w:rsidRDefault="00C64021" w:rsidP="00D849E6">
            <w:pPr>
              <w:spacing w:line="240" w:lineRule="auto"/>
              <w:rPr>
                <w:color w:val="000000"/>
                <w:sz w:val="20"/>
                <w:szCs w:val="20"/>
                <w:u w:val="single"/>
              </w:rPr>
            </w:pPr>
            <w:r w:rsidRPr="00C64021">
              <w:rPr>
                <w:color w:val="000000"/>
                <w:sz w:val="20"/>
                <w:szCs w:val="20"/>
                <w:u w:val="single"/>
              </w:rPr>
              <w:t>BTM + Weeds</w:t>
            </w:r>
          </w:p>
        </w:tc>
        <w:tc>
          <w:tcPr>
            <w:tcW w:w="1008" w:type="dxa"/>
            <w:tcBorders>
              <w:top w:val="nil"/>
              <w:left w:val="single" w:sz="48" w:space="0" w:color="FFFFFF"/>
              <w:bottom w:val="nil"/>
              <w:right w:val="single" w:sz="48" w:space="0" w:color="FFFFFF"/>
            </w:tcBorders>
            <w:shd w:val="clear" w:color="auto" w:fill="auto"/>
            <w:noWrap/>
            <w:vAlign w:val="center"/>
            <w:hideMark/>
          </w:tcPr>
          <w:p w14:paraId="33E847BB" w14:textId="77777777" w:rsidR="00C64021" w:rsidRPr="00C64021" w:rsidRDefault="00C64021" w:rsidP="00D849E6">
            <w:pPr>
              <w:spacing w:line="240" w:lineRule="auto"/>
              <w:jc w:val="center"/>
              <w:rPr>
                <w:color w:val="000000"/>
                <w:sz w:val="20"/>
                <w:szCs w:val="20"/>
              </w:rPr>
            </w:pPr>
          </w:p>
        </w:tc>
        <w:tc>
          <w:tcPr>
            <w:tcW w:w="809" w:type="dxa"/>
            <w:tcBorders>
              <w:top w:val="nil"/>
              <w:left w:val="single" w:sz="48" w:space="0" w:color="FFFFFF"/>
              <w:bottom w:val="nil"/>
              <w:right w:val="single" w:sz="48" w:space="0" w:color="FFFFFF"/>
            </w:tcBorders>
            <w:shd w:val="clear" w:color="auto" w:fill="auto"/>
            <w:noWrap/>
            <w:vAlign w:val="center"/>
            <w:hideMark/>
          </w:tcPr>
          <w:p w14:paraId="7114B256" w14:textId="77777777" w:rsidR="00C64021" w:rsidRPr="00C64021" w:rsidRDefault="00C64021" w:rsidP="00D849E6">
            <w:pPr>
              <w:spacing w:line="240" w:lineRule="auto"/>
              <w:jc w:val="center"/>
              <w:rPr>
                <w:sz w:val="20"/>
                <w:szCs w:val="20"/>
              </w:rPr>
            </w:pPr>
          </w:p>
        </w:tc>
        <w:tc>
          <w:tcPr>
            <w:tcW w:w="928" w:type="dxa"/>
            <w:tcBorders>
              <w:top w:val="nil"/>
              <w:left w:val="single" w:sz="48" w:space="0" w:color="FFFFFF"/>
              <w:bottom w:val="nil"/>
              <w:right w:val="single" w:sz="48" w:space="0" w:color="FFFFFF"/>
            </w:tcBorders>
            <w:shd w:val="clear" w:color="auto" w:fill="auto"/>
            <w:noWrap/>
            <w:vAlign w:val="center"/>
            <w:hideMark/>
          </w:tcPr>
          <w:p w14:paraId="420A928A" w14:textId="77777777" w:rsidR="00C64021" w:rsidRPr="00C64021" w:rsidRDefault="00C64021" w:rsidP="00D849E6">
            <w:pPr>
              <w:spacing w:line="240" w:lineRule="auto"/>
              <w:jc w:val="center"/>
              <w:rPr>
                <w:sz w:val="20"/>
                <w:szCs w:val="20"/>
              </w:rPr>
            </w:pPr>
          </w:p>
        </w:tc>
        <w:tc>
          <w:tcPr>
            <w:tcW w:w="765" w:type="dxa"/>
            <w:tcBorders>
              <w:top w:val="nil"/>
              <w:left w:val="single" w:sz="48" w:space="0" w:color="FFFFFF"/>
              <w:bottom w:val="nil"/>
              <w:right w:val="single" w:sz="48" w:space="0" w:color="FFFFFF"/>
            </w:tcBorders>
            <w:shd w:val="clear" w:color="auto" w:fill="auto"/>
            <w:noWrap/>
            <w:vAlign w:val="center"/>
            <w:hideMark/>
          </w:tcPr>
          <w:p w14:paraId="2AA4975E" w14:textId="77777777" w:rsidR="00C64021" w:rsidRPr="00C64021" w:rsidRDefault="00C64021" w:rsidP="00D849E6">
            <w:pPr>
              <w:spacing w:line="240" w:lineRule="auto"/>
              <w:jc w:val="center"/>
              <w:rPr>
                <w:sz w:val="20"/>
                <w:szCs w:val="20"/>
              </w:rPr>
            </w:pPr>
          </w:p>
        </w:tc>
        <w:tc>
          <w:tcPr>
            <w:tcW w:w="900" w:type="dxa"/>
            <w:tcBorders>
              <w:top w:val="nil"/>
              <w:left w:val="single" w:sz="48" w:space="0" w:color="FFFFFF"/>
              <w:bottom w:val="nil"/>
              <w:right w:val="single" w:sz="48" w:space="0" w:color="FFFFFF"/>
            </w:tcBorders>
            <w:shd w:val="clear" w:color="auto" w:fill="auto"/>
            <w:noWrap/>
            <w:vAlign w:val="center"/>
            <w:hideMark/>
          </w:tcPr>
          <w:p w14:paraId="074FC5D2" w14:textId="77777777" w:rsidR="00C64021" w:rsidRPr="00C64021" w:rsidRDefault="00C64021" w:rsidP="00D849E6">
            <w:pPr>
              <w:spacing w:line="240" w:lineRule="auto"/>
              <w:jc w:val="center"/>
              <w:rPr>
                <w:sz w:val="20"/>
                <w:szCs w:val="20"/>
              </w:rPr>
            </w:pPr>
          </w:p>
        </w:tc>
        <w:tc>
          <w:tcPr>
            <w:tcW w:w="720" w:type="dxa"/>
            <w:tcBorders>
              <w:top w:val="nil"/>
              <w:left w:val="single" w:sz="48" w:space="0" w:color="FFFFFF"/>
              <w:bottom w:val="nil"/>
              <w:right w:val="single" w:sz="48" w:space="0" w:color="FFFFFF"/>
            </w:tcBorders>
            <w:shd w:val="clear" w:color="auto" w:fill="auto"/>
            <w:noWrap/>
            <w:vAlign w:val="center"/>
            <w:hideMark/>
          </w:tcPr>
          <w:p w14:paraId="1A64C682" w14:textId="77777777" w:rsidR="00C64021" w:rsidRPr="00C64021" w:rsidRDefault="00C64021" w:rsidP="00D849E6">
            <w:pPr>
              <w:spacing w:line="240" w:lineRule="auto"/>
              <w:jc w:val="center"/>
              <w:rPr>
                <w:sz w:val="20"/>
                <w:szCs w:val="20"/>
              </w:rPr>
            </w:pPr>
          </w:p>
        </w:tc>
        <w:tc>
          <w:tcPr>
            <w:tcW w:w="934" w:type="dxa"/>
            <w:tcBorders>
              <w:top w:val="nil"/>
              <w:left w:val="single" w:sz="48" w:space="0" w:color="FFFFFF"/>
              <w:bottom w:val="nil"/>
              <w:right w:val="single" w:sz="48" w:space="0" w:color="FFFFFF"/>
            </w:tcBorders>
            <w:shd w:val="clear" w:color="auto" w:fill="auto"/>
            <w:noWrap/>
            <w:vAlign w:val="center"/>
            <w:hideMark/>
          </w:tcPr>
          <w:p w14:paraId="27202C10" w14:textId="77777777" w:rsidR="00C64021" w:rsidRPr="00C64021" w:rsidRDefault="00C64021" w:rsidP="00D849E6">
            <w:pPr>
              <w:spacing w:line="240" w:lineRule="auto"/>
              <w:jc w:val="center"/>
              <w:rPr>
                <w:sz w:val="20"/>
                <w:szCs w:val="20"/>
              </w:rPr>
            </w:pPr>
          </w:p>
        </w:tc>
        <w:tc>
          <w:tcPr>
            <w:tcW w:w="765" w:type="dxa"/>
            <w:tcBorders>
              <w:top w:val="nil"/>
              <w:left w:val="single" w:sz="48" w:space="0" w:color="FFFFFF"/>
              <w:bottom w:val="nil"/>
              <w:right w:val="single" w:sz="48" w:space="0" w:color="FFFFFF"/>
            </w:tcBorders>
            <w:shd w:val="clear" w:color="auto" w:fill="auto"/>
            <w:noWrap/>
            <w:vAlign w:val="center"/>
            <w:hideMark/>
          </w:tcPr>
          <w:p w14:paraId="18473C8E" w14:textId="77777777" w:rsidR="00C64021" w:rsidRPr="00C64021" w:rsidRDefault="00C64021" w:rsidP="00D849E6">
            <w:pPr>
              <w:spacing w:line="240" w:lineRule="auto"/>
              <w:jc w:val="center"/>
              <w:rPr>
                <w:sz w:val="20"/>
                <w:szCs w:val="20"/>
              </w:rPr>
            </w:pPr>
          </w:p>
        </w:tc>
        <w:tc>
          <w:tcPr>
            <w:tcW w:w="900" w:type="dxa"/>
            <w:tcBorders>
              <w:top w:val="nil"/>
              <w:left w:val="single" w:sz="48" w:space="0" w:color="FFFFFF"/>
              <w:bottom w:val="nil"/>
              <w:right w:val="single" w:sz="48" w:space="0" w:color="FFFFFF"/>
            </w:tcBorders>
            <w:shd w:val="clear" w:color="auto" w:fill="auto"/>
            <w:noWrap/>
            <w:vAlign w:val="center"/>
            <w:hideMark/>
          </w:tcPr>
          <w:p w14:paraId="7FEAC5C9" w14:textId="77777777" w:rsidR="00C64021" w:rsidRPr="00C64021" w:rsidRDefault="00C64021" w:rsidP="00D849E6">
            <w:pPr>
              <w:spacing w:line="240" w:lineRule="auto"/>
              <w:jc w:val="center"/>
              <w:rPr>
                <w:sz w:val="20"/>
                <w:szCs w:val="20"/>
              </w:rPr>
            </w:pPr>
          </w:p>
        </w:tc>
        <w:tc>
          <w:tcPr>
            <w:tcW w:w="731" w:type="dxa"/>
            <w:tcBorders>
              <w:top w:val="nil"/>
              <w:left w:val="single" w:sz="48" w:space="0" w:color="FFFFFF"/>
              <w:bottom w:val="nil"/>
              <w:right w:val="single" w:sz="48" w:space="0" w:color="FFFFFF"/>
            </w:tcBorders>
            <w:shd w:val="clear" w:color="auto" w:fill="auto"/>
            <w:noWrap/>
            <w:vAlign w:val="center"/>
            <w:hideMark/>
          </w:tcPr>
          <w:p w14:paraId="6CB2A4AE" w14:textId="77777777" w:rsidR="00C64021" w:rsidRPr="00C64021" w:rsidRDefault="00C64021" w:rsidP="00D849E6">
            <w:pPr>
              <w:spacing w:line="240" w:lineRule="auto"/>
              <w:jc w:val="center"/>
              <w:rPr>
                <w:sz w:val="20"/>
                <w:szCs w:val="20"/>
              </w:rPr>
            </w:pPr>
          </w:p>
        </w:tc>
        <w:tc>
          <w:tcPr>
            <w:tcW w:w="900" w:type="dxa"/>
            <w:tcBorders>
              <w:top w:val="nil"/>
              <w:left w:val="single" w:sz="48" w:space="0" w:color="FFFFFF"/>
              <w:bottom w:val="nil"/>
              <w:right w:val="single" w:sz="48" w:space="0" w:color="FFFFFF"/>
            </w:tcBorders>
            <w:shd w:val="clear" w:color="auto" w:fill="auto"/>
            <w:noWrap/>
            <w:vAlign w:val="center"/>
            <w:hideMark/>
          </w:tcPr>
          <w:p w14:paraId="1C64A05F" w14:textId="77777777" w:rsidR="00C64021" w:rsidRPr="00C64021" w:rsidRDefault="00C64021" w:rsidP="00D849E6">
            <w:pPr>
              <w:spacing w:line="240" w:lineRule="auto"/>
              <w:jc w:val="center"/>
              <w:rPr>
                <w:sz w:val="20"/>
                <w:szCs w:val="20"/>
              </w:rPr>
            </w:pPr>
          </w:p>
        </w:tc>
        <w:tc>
          <w:tcPr>
            <w:tcW w:w="720" w:type="dxa"/>
            <w:tcBorders>
              <w:top w:val="nil"/>
              <w:left w:val="single" w:sz="48" w:space="0" w:color="FFFFFF"/>
              <w:bottom w:val="nil"/>
              <w:right w:val="nil"/>
            </w:tcBorders>
            <w:shd w:val="clear" w:color="auto" w:fill="auto"/>
            <w:noWrap/>
            <w:vAlign w:val="center"/>
            <w:hideMark/>
          </w:tcPr>
          <w:p w14:paraId="5B692B69" w14:textId="77777777" w:rsidR="00C64021" w:rsidRPr="00C64021" w:rsidRDefault="00C64021" w:rsidP="00D849E6">
            <w:pPr>
              <w:spacing w:line="240" w:lineRule="auto"/>
              <w:jc w:val="center"/>
              <w:rPr>
                <w:sz w:val="20"/>
                <w:szCs w:val="20"/>
              </w:rPr>
            </w:pPr>
          </w:p>
        </w:tc>
      </w:tr>
      <w:tr w:rsidR="00C64021" w:rsidRPr="00C64021" w14:paraId="4E29C7D7" w14:textId="77777777" w:rsidTr="002F5B7E">
        <w:trPr>
          <w:trHeight w:val="300"/>
        </w:trPr>
        <w:tc>
          <w:tcPr>
            <w:tcW w:w="348" w:type="dxa"/>
            <w:tcBorders>
              <w:top w:val="nil"/>
              <w:left w:val="nil"/>
              <w:bottom w:val="single" w:sz="12" w:space="0" w:color="auto"/>
              <w:right w:val="nil"/>
            </w:tcBorders>
            <w:shd w:val="clear" w:color="auto" w:fill="auto"/>
            <w:noWrap/>
            <w:vAlign w:val="center"/>
            <w:hideMark/>
          </w:tcPr>
          <w:p w14:paraId="338E4781" w14:textId="77777777" w:rsidR="00C64021" w:rsidRPr="00C64021" w:rsidRDefault="00C64021" w:rsidP="00D849E6">
            <w:pPr>
              <w:spacing w:line="240" w:lineRule="auto"/>
              <w:rPr>
                <w:color w:val="000000"/>
                <w:sz w:val="20"/>
                <w:szCs w:val="20"/>
              </w:rPr>
            </w:pPr>
          </w:p>
        </w:tc>
        <w:tc>
          <w:tcPr>
            <w:tcW w:w="1452" w:type="dxa"/>
            <w:tcBorders>
              <w:top w:val="nil"/>
              <w:left w:val="nil"/>
              <w:bottom w:val="single" w:sz="12" w:space="0" w:color="auto"/>
              <w:right w:val="single" w:sz="48" w:space="0" w:color="FFFFFF"/>
            </w:tcBorders>
            <w:shd w:val="clear" w:color="auto" w:fill="auto"/>
            <w:noWrap/>
            <w:vAlign w:val="center"/>
            <w:hideMark/>
          </w:tcPr>
          <w:p w14:paraId="7459DDD3" w14:textId="77777777" w:rsidR="00C64021" w:rsidRPr="00C64021" w:rsidRDefault="00C64021" w:rsidP="00D849E6">
            <w:pPr>
              <w:spacing w:line="240" w:lineRule="auto"/>
              <w:ind w:left="-105"/>
              <w:rPr>
                <w:color w:val="000000"/>
                <w:sz w:val="20"/>
                <w:szCs w:val="20"/>
              </w:rPr>
            </w:pPr>
            <w:r w:rsidRPr="00C64021">
              <w:rPr>
                <w:color w:val="000000"/>
                <w:sz w:val="20"/>
                <w:szCs w:val="20"/>
              </w:rPr>
              <w:t>RATE</w:t>
            </w:r>
          </w:p>
        </w:tc>
        <w:tc>
          <w:tcPr>
            <w:tcW w:w="1008" w:type="dxa"/>
            <w:tcBorders>
              <w:top w:val="nil"/>
              <w:left w:val="single" w:sz="48" w:space="0" w:color="FFFFFF"/>
              <w:bottom w:val="single" w:sz="12" w:space="0" w:color="auto"/>
              <w:right w:val="single" w:sz="48" w:space="0" w:color="FFFFFF"/>
            </w:tcBorders>
            <w:shd w:val="clear" w:color="auto" w:fill="auto"/>
            <w:noWrap/>
            <w:vAlign w:val="center"/>
            <w:hideMark/>
          </w:tcPr>
          <w:p w14:paraId="369FF02C" w14:textId="77777777" w:rsidR="00C64021" w:rsidRPr="00C64021" w:rsidRDefault="00C64021" w:rsidP="00D849E6">
            <w:pPr>
              <w:spacing w:line="240" w:lineRule="auto"/>
              <w:jc w:val="center"/>
              <w:rPr>
                <w:color w:val="000000"/>
                <w:sz w:val="20"/>
                <w:szCs w:val="20"/>
              </w:rPr>
            </w:pPr>
            <w:r w:rsidRPr="00C64021">
              <w:rPr>
                <w:color w:val="000000"/>
                <w:sz w:val="20"/>
                <w:szCs w:val="20"/>
              </w:rPr>
              <w:t>74.48</w:t>
            </w:r>
          </w:p>
        </w:tc>
        <w:tc>
          <w:tcPr>
            <w:tcW w:w="809" w:type="dxa"/>
            <w:tcBorders>
              <w:top w:val="nil"/>
              <w:left w:val="single" w:sz="48" w:space="0" w:color="FFFFFF"/>
              <w:bottom w:val="single" w:sz="12" w:space="0" w:color="auto"/>
              <w:right w:val="single" w:sz="48" w:space="0" w:color="FFFFFF"/>
            </w:tcBorders>
            <w:shd w:val="clear" w:color="auto" w:fill="auto"/>
            <w:noWrap/>
            <w:vAlign w:val="center"/>
            <w:hideMark/>
          </w:tcPr>
          <w:p w14:paraId="30CDA007" w14:textId="77777777" w:rsidR="00C64021" w:rsidRPr="00C64021" w:rsidRDefault="00C64021" w:rsidP="00D849E6">
            <w:pPr>
              <w:spacing w:line="240" w:lineRule="auto"/>
              <w:ind w:left="-105"/>
              <w:jc w:val="center"/>
              <w:rPr>
                <w:color w:val="000000"/>
                <w:sz w:val="20"/>
                <w:szCs w:val="20"/>
              </w:rPr>
            </w:pPr>
            <w:r w:rsidRPr="00C64021">
              <w:rPr>
                <w:b/>
                <w:color w:val="000000"/>
                <w:sz w:val="20"/>
                <w:szCs w:val="20"/>
              </w:rPr>
              <w:t>&lt;0.001</w:t>
            </w:r>
          </w:p>
        </w:tc>
        <w:tc>
          <w:tcPr>
            <w:tcW w:w="928" w:type="dxa"/>
            <w:tcBorders>
              <w:top w:val="nil"/>
              <w:left w:val="single" w:sz="48" w:space="0" w:color="FFFFFF"/>
              <w:bottom w:val="single" w:sz="12" w:space="0" w:color="auto"/>
              <w:right w:val="single" w:sz="48" w:space="0" w:color="FFFFFF"/>
            </w:tcBorders>
            <w:shd w:val="clear" w:color="auto" w:fill="auto"/>
            <w:noWrap/>
            <w:vAlign w:val="center"/>
            <w:hideMark/>
          </w:tcPr>
          <w:p w14:paraId="5B80F06D" w14:textId="77777777" w:rsidR="00C64021" w:rsidRPr="00C64021" w:rsidRDefault="00C64021" w:rsidP="00D849E6">
            <w:pPr>
              <w:spacing w:line="240" w:lineRule="auto"/>
              <w:jc w:val="center"/>
              <w:rPr>
                <w:color w:val="000000"/>
                <w:sz w:val="20"/>
                <w:szCs w:val="20"/>
              </w:rPr>
            </w:pPr>
            <w:r w:rsidRPr="00C64021">
              <w:rPr>
                <w:color w:val="000000"/>
                <w:sz w:val="20"/>
                <w:szCs w:val="20"/>
              </w:rPr>
              <w:t>12.99</w:t>
            </w:r>
          </w:p>
        </w:tc>
        <w:tc>
          <w:tcPr>
            <w:tcW w:w="765" w:type="dxa"/>
            <w:tcBorders>
              <w:top w:val="nil"/>
              <w:left w:val="single" w:sz="48" w:space="0" w:color="FFFFFF"/>
              <w:bottom w:val="single" w:sz="12" w:space="0" w:color="auto"/>
              <w:right w:val="single" w:sz="48" w:space="0" w:color="FFFFFF"/>
            </w:tcBorders>
            <w:shd w:val="clear" w:color="auto" w:fill="auto"/>
            <w:noWrap/>
            <w:vAlign w:val="center"/>
            <w:hideMark/>
          </w:tcPr>
          <w:p w14:paraId="7C94752A" w14:textId="77777777" w:rsidR="00C64021" w:rsidRPr="00C64021" w:rsidRDefault="00C64021" w:rsidP="00D849E6">
            <w:pPr>
              <w:spacing w:line="240" w:lineRule="auto"/>
              <w:jc w:val="center"/>
              <w:rPr>
                <w:color w:val="000000"/>
                <w:sz w:val="20"/>
                <w:szCs w:val="20"/>
              </w:rPr>
            </w:pPr>
            <w:r w:rsidRPr="00C64021">
              <w:rPr>
                <w:b/>
                <w:color w:val="000000"/>
                <w:sz w:val="20"/>
                <w:szCs w:val="20"/>
              </w:rPr>
              <w:t>0.007</w:t>
            </w:r>
          </w:p>
        </w:tc>
        <w:tc>
          <w:tcPr>
            <w:tcW w:w="900" w:type="dxa"/>
            <w:tcBorders>
              <w:top w:val="nil"/>
              <w:left w:val="single" w:sz="48" w:space="0" w:color="FFFFFF"/>
              <w:bottom w:val="single" w:sz="12" w:space="0" w:color="auto"/>
              <w:right w:val="single" w:sz="48" w:space="0" w:color="FFFFFF"/>
            </w:tcBorders>
            <w:shd w:val="clear" w:color="auto" w:fill="auto"/>
            <w:noWrap/>
            <w:vAlign w:val="center"/>
            <w:hideMark/>
          </w:tcPr>
          <w:p w14:paraId="665FB7DA"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720" w:type="dxa"/>
            <w:tcBorders>
              <w:top w:val="nil"/>
              <w:left w:val="single" w:sz="48" w:space="0" w:color="FFFFFF"/>
              <w:bottom w:val="single" w:sz="12" w:space="0" w:color="auto"/>
              <w:right w:val="single" w:sz="48" w:space="0" w:color="FFFFFF"/>
            </w:tcBorders>
            <w:shd w:val="clear" w:color="auto" w:fill="auto"/>
            <w:noWrap/>
            <w:vAlign w:val="center"/>
            <w:hideMark/>
          </w:tcPr>
          <w:p w14:paraId="011D201C"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934" w:type="dxa"/>
            <w:tcBorders>
              <w:top w:val="nil"/>
              <w:left w:val="single" w:sz="48" w:space="0" w:color="FFFFFF"/>
              <w:bottom w:val="single" w:sz="12" w:space="0" w:color="auto"/>
              <w:right w:val="single" w:sz="48" w:space="0" w:color="FFFFFF"/>
            </w:tcBorders>
            <w:shd w:val="clear" w:color="auto" w:fill="auto"/>
            <w:noWrap/>
            <w:vAlign w:val="center"/>
            <w:hideMark/>
          </w:tcPr>
          <w:p w14:paraId="55657397" w14:textId="77777777" w:rsidR="00C64021" w:rsidRPr="00C64021" w:rsidRDefault="00C64021" w:rsidP="00D849E6">
            <w:pPr>
              <w:spacing w:line="240" w:lineRule="auto"/>
              <w:jc w:val="center"/>
              <w:rPr>
                <w:color w:val="000000"/>
                <w:sz w:val="20"/>
                <w:szCs w:val="20"/>
              </w:rPr>
            </w:pPr>
            <w:r w:rsidRPr="00C64021">
              <w:rPr>
                <w:color w:val="000000"/>
                <w:sz w:val="20"/>
                <w:szCs w:val="20"/>
              </w:rPr>
              <w:t>16.41</w:t>
            </w:r>
          </w:p>
        </w:tc>
        <w:tc>
          <w:tcPr>
            <w:tcW w:w="765" w:type="dxa"/>
            <w:tcBorders>
              <w:top w:val="nil"/>
              <w:left w:val="single" w:sz="48" w:space="0" w:color="FFFFFF"/>
              <w:bottom w:val="single" w:sz="12" w:space="0" w:color="auto"/>
              <w:right w:val="single" w:sz="48" w:space="0" w:color="FFFFFF"/>
            </w:tcBorders>
            <w:shd w:val="clear" w:color="auto" w:fill="auto"/>
            <w:noWrap/>
            <w:vAlign w:val="center"/>
            <w:hideMark/>
          </w:tcPr>
          <w:p w14:paraId="30104226" w14:textId="77777777" w:rsidR="00C64021" w:rsidRPr="00C64021" w:rsidRDefault="00C64021" w:rsidP="00D849E6">
            <w:pPr>
              <w:spacing w:line="240" w:lineRule="auto"/>
              <w:jc w:val="center"/>
              <w:rPr>
                <w:color w:val="000000"/>
                <w:sz w:val="20"/>
                <w:szCs w:val="20"/>
              </w:rPr>
            </w:pPr>
            <w:r w:rsidRPr="00C64021">
              <w:rPr>
                <w:b/>
                <w:color w:val="000000"/>
                <w:sz w:val="20"/>
                <w:szCs w:val="20"/>
              </w:rPr>
              <w:t>0.004</w:t>
            </w:r>
          </w:p>
        </w:tc>
        <w:tc>
          <w:tcPr>
            <w:tcW w:w="900" w:type="dxa"/>
            <w:tcBorders>
              <w:top w:val="nil"/>
              <w:left w:val="single" w:sz="48" w:space="0" w:color="FFFFFF"/>
              <w:bottom w:val="single" w:sz="12" w:space="0" w:color="auto"/>
              <w:right w:val="single" w:sz="48" w:space="0" w:color="FFFFFF"/>
            </w:tcBorders>
            <w:shd w:val="clear" w:color="auto" w:fill="auto"/>
            <w:noWrap/>
            <w:vAlign w:val="center"/>
            <w:hideMark/>
          </w:tcPr>
          <w:p w14:paraId="7AC66605" w14:textId="77777777" w:rsidR="00C64021" w:rsidRPr="00C64021" w:rsidRDefault="00C64021" w:rsidP="00D849E6">
            <w:pPr>
              <w:spacing w:line="240" w:lineRule="auto"/>
              <w:jc w:val="center"/>
              <w:rPr>
                <w:color w:val="000000"/>
                <w:sz w:val="20"/>
                <w:szCs w:val="20"/>
              </w:rPr>
            </w:pPr>
            <w:r w:rsidRPr="00C64021">
              <w:rPr>
                <w:color w:val="000000"/>
                <w:sz w:val="20"/>
                <w:szCs w:val="20"/>
              </w:rPr>
              <w:t>6.84</w:t>
            </w:r>
          </w:p>
        </w:tc>
        <w:tc>
          <w:tcPr>
            <w:tcW w:w="731" w:type="dxa"/>
            <w:tcBorders>
              <w:top w:val="nil"/>
              <w:left w:val="single" w:sz="48" w:space="0" w:color="FFFFFF"/>
              <w:bottom w:val="single" w:sz="12" w:space="0" w:color="auto"/>
              <w:right w:val="single" w:sz="48" w:space="0" w:color="FFFFFF"/>
            </w:tcBorders>
            <w:shd w:val="clear" w:color="auto" w:fill="auto"/>
            <w:noWrap/>
            <w:vAlign w:val="center"/>
            <w:hideMark/>
          </w:tcPr>
          <w:p w14:paraId="2844D331" w14:textId="77777777" w:rsidR="00C64021" w:rsidRPr="00C64021" w:rsidRDefault="00C64021" w:rsidP="00D849E6">
            <w:pPr>
              <w:spacing w:line="240" w:lineRule="auto"/>
              <w:jc w:val="center"/>
              <w:rPr>
                <w:color w:val="000000"/>
                <w:sz w:val="20"/>
                <w:szCs w:val="20"/>
              </w:rPr>
            </w:pPr>
            <w:r w:rsidRPr="00C64021">
              <w:rPr>
                <w:b/>
                <w:color w:val="000000"/>
                <w:sz w:val="20"/>
                <w:szCs w:val="20"/>
              </w:rPr>
              <w:t>0.028</w:t>
            </w:r>
          </w:p>
        </w:tc>
        <w:tc>
          <w:tcPr>
            <w:tcW w:w="900" w:type="dxa"/>
            <w:tcBorders>
              <w:top w:val="nil"/>
              <w:left w:val="single" w:sz="48" w:space="0" w:color="FFFFFF"/>
              <w:bottom w:val="single" w:sz="12" w:space="0" w:color="auto"/>
              <w:right w:val="single" w:sz="48" w:space="0" w:color="FFFFFF"/>
            </w:tcBorders>
            <w:shd w:val="clear" w:color="auto" w:fill="auto"/>
            <w:noWrap/>
            <w:vAlign w:val="center"/>
            <w:hideMark/>
          </w:tcPr>
          <w:p w14:paraId="7366BE90"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c>
          <w:tcPr>
            <w:tcW w:w="720" w:type="dxa"/>
            <w:tcBorders>
              <w:top w:val="nil"/>
              <w:left w:val="single" w:sz="48" w:space="0" w:color="FFFFFF"/>
              <w:bottom w:val="single" w:sz="12" w:space="0" w:color="auto"/>
              <w:right w:val="nil"/>
            </w:tcBorders>
            <w:shd w:val="clear" w:color="auto" w:fill="auto"/>
            <w:noWrap/>
            <w:vAlign w:val="center"/>
            <w:hideMark/>
          </w:tcPr>
          <w:p w14:paraId="47A98A41" w14:textId="77777777" w:rsidR="00C64021" w:rsidRPr="00C64021" w:rsidRDefault="00C64021" w:rsidP="00D849E6">
            <w:pPr>
              <w:spacing w:line="240" w:lineRule="auto"/>
              <w:jc w:val="center"/>
              <w:rPr>
                <w:color w:val="000000"/>
                <w:sz w:val="20"/>
                <w:szCs w:val="20"/>
              </w:rPr>
            </w:pPr>
            <w:r w:rsidRPr="00C64021">
              <w:rPr>
                <w:color w:val="000000"/>
                <w:sz w:val="20"/>
                <w:szCs w:val="20"/>
              </w:rPr>
              <w:t>-</w:t>
            </w:r>
          </w:p>
        </w:tc>
      </w:tr>
    </w:tbl>
    <w:p w14:paraId="33E44FFC" w14:textId="77777777" w:rsidR="00C64021" w:rsidRPr="00265F11" w:rsidRDefault="00C64021" w:rsidP="00C64021">
      <w:pPr>
        <w:spacing w:line="240" w:lineRule="auto"/>
      </w:pPr>
      <w:r w:rsidRPr="000D6E9A">
        <w:t xml:space="preserve">† </w:t>
      </w:r>
      <w:r>
        <w:t>Establishment-year p</w:t>
      </w:r>
      <w:r w:rsidRPr="000D6E9A">
        <w:t xml:space="preserve">lant density at 30 and 60 days after planting (DAP) of big bluestem and big bluestem plant density during </w:t>
      </w:r>
      <w:r w:rsidRPr="00D51570">
        <w:t xml:space="preserve">dormancy.  Since both BTM </w:t>
      </w:r>
      <w:r>
        <w:t>defoliation strategy</w:t>
      </w:r>
      <w:r w:rsidRPr="00D51570">
        <w:t xml:space="preserve"> tr</w:t>
      </w:r>
      <w:r w:rsidRPr="004C50A3">
        <w:t xml:space="preserve">eatments had not been conducted prior to 30 and 60 DAP seedling counts, </w:t>
      </w:r>
      <w:r>
        <w:t>HARV</w:t>
      </w:r>
      <w:r w:rsidRPr="004C50A3">
        <w:t xml:space="preserve"> was not incorporated into the model as a dependent variable.</w:t>
      </w:r>
    </w:p>
    <w:p w14:paraId="58DD37F5" w14:textId="77777777" w:rsidR="00C64021" w:rsidRPr="009B1054" w:rsidRDefault="00C64021" w:rsidP="00C64021">
      <w:pPr>
        <w:spacing w:line="240" w:lineRule="auto"/>
      </w:pPr>
      <w:r w:rsidRPr="009B1054">
        <w:t xml:space="preserve">‡ </w:t>
      </w:r>
      <w:r>
        <w:t>HARV</w:t>
      </w:r>
      <w:r w:rsidRPr="009B1054">
        <w:t xml:space="preserve"> = BTM </w:t>
      </w:r>
      <w:r>
        <w:t xml:space="preserve">defoliation strategy </w:t>
      </w:r>
      <w:r w:rsidRPr="009B1054">
        <w:t>(</w:t>
      </w:r>
      <w:r>
        <w:t xml:space="preserve">harvested </w:t>
      </w:r>
      <w:r w:rsidRPr="009B1054">
        <w:t xml:space="preserve">for hay, </w:t>
      </w:r>
      <w:r>
        <w:t xml:space="preserve">harvested </w:t>
      </w:r>
      <w:r w:rsidRPr="009B1054">
        <w:t>for competition control); RATE = BTM seeding rate (0, 11.2, and 22.4 kg</w:t>
      </w:r>
      <w:r>
        <w:t xml:space="preserve"> PLS </w:t>
      </w:r>
      <w:r w:rsidRPr="009B1054">
        <w:t>ha</w:t>
      </w:r>
      <w:r w:rsidRPr="009B1054">
        <w:rPr>
          <w:vertAlign w:val="superscript"/>
        </w:rPr>
        <w:t>-1</w:t>
      </w:r>
      <w:r w:rsidRPr="009B1054">
        <w:t xml:space="preserve">) </w:t>
      </w:r>
    </w:p>
    <w:p w14:paraId="257B9170" w14:textId="77777777" w:rsidR="00C64021" w:rsidRDefault="00C64021" w:rsidP="00C64021">
      <w:pPr>
        <w:spacing w:line="240" w:lineRule="auto"/>
      </w:pPr>
      <w:r w:rsidRPr="00973876">
        <w:rPr>
          <w:rFonts w:cs="Calibri"/>
        </w:rPr>
        <w:t>§</w:t>
      </w:r>
      <w:r w:rsidRPr="00973876">
        <w:t xml:space="preserve"> df num/den = Big bluestem – </w:t>
      </w:r>
      <w:r>
        <w:t>HARV</w:t>
      </w:r>
      <w:r w:rsidRPr="00973876">
        <w:t xml:space="preserve"> 1/15, RATE 2/15, </w:t>
      </w:r>
      <w:r>
        <w:t>HARV</w:t>
      </w:r>
      <w:r w:rsidRPr="00973876">
        <w:t xml:space="preserve"> x RATE 2/15; Weeds – RATE</w:t>
      </w:r>
      <w:r>
        <w:t xml:space="preserve"> 2/6; BTM + Weeds – RATE 2/6</w:t>
      </w:r>
    </w:p>
    <w:p w14:paraId="2EEC4348" w14:textId="77777777" w:rsidR="00C64021" w:rsidRDefault="00C64021" w:rsidP="00C64021">
      <w:pPr>
        <w:spacing w:line="240" w:lineRule="auto"/>
      </w:pPr>
    </w:p>
    <w:p w14:paraId="39B8A1CC" w14:textId="10873AED" w:rsidR="00C64021" w:rsidRDefault="00C64021" w:rsidP="00C64021">
      <w:pPr>
        <w:spacing w:line="240" w:lineRule="auto"/>
        <w:sectPr w:rsidR="00C64021" w:rsidSect="00C64021">
          <w:pgSz w:w="15840" w:h="12240" w:orient="landscape"/>
          <w:pgMar w:top="1440" w:right="1800" w:bottom="1872" w:left="1800" w:header="720" w:footer="720" w:gutter="0"/>
          <w:cols w:space="720"/>
          <w:docGrid w:linePitch="360"/>
        </w:sectPr>
      </w:pPr>
    </w:p>
    <w:p w14:paraId="5933A550" w14:textId="070B4EEE" w:rsidR="00C64021" w:rsidRPr="00E04E78" w:rsidRDefault="00C64021" w:rsidP="00C64021">
      <w:pPr>
        <w:pStyle w:val="Tables"/>
      </w:pPr>
      <w:bookmarkStart w:id="283" w:name="_Toc72300420"/>
      <w:r w:rsidRPr="00E04E78">
        <w:lastRenderedPageBreak/>
        <w:t xml:space="preserve">Table </w:t>
      </w:r>
      <w:r>
        <w:t>3A.3</w:t>
      </w:r>
      <w:r w:rsidRPr="00E04E78">
        <w:t>. Mixed-effects ANOVA model results for big bluestem and switchgrass second</w:t>
      </w:r>
      <w:r>
        <w:t>-</w:t>
      </w:r>
      <w:r w:rsidRPr="00E04E78">
        <w:t xml:space="preserve">year biomass </w:t>
      </w:r>
      <w:r>
        <w:t xml:space="preserve">dry matter </w:t>
      </w:r>
      <w:r w:rsidRPr="00E04E78">
        <w:t>yield</w:t>
      </w:r>
      <w:r>
        <w:t xml:space="preserve"> for each site</w:t>
      </w:r>
      <w:r w:rsidRPr="00E04E78">
        <w:t xml:space="preserve"> at East Tennessee AgResearch and Education Center</w:t>
      </w:r>
      <w:r>
        <w:t>-Plant Science Unit</w:t>
      </w:r>
      <w:r w:rsidRPr="00E04E78">
        <w:t>, Knoxville, TN</w:t>
      </w:r>
      <w:r>
        <w:t>,</w:t>
      </w:r>
      <w:r w:rsidRPr="00E04E78">
        <w:t xml:space="preserve"> during establishment experiments.  Harvests were conducted in 2017 and 2018 for</w:t>
      </w:r>
      <w:r>
        <w:t xml:space="preserve"> Site 1 and 2</w:t>
      </w:r>
      <w:r w:rsidRPr="00E04E78">
        <w:t>, respectively.</w:t>
      </w:r>
      <w:bookmarkEnd w:id="283"/>
    </w:p>
    <w:tbl>
      <w:tblPr>
        <w:tblW w:w="8582" w:type="dxa"/>
        <w:tblLook w:val="04A0" w:firstRow="1" w:lastRow="0" w:firstColumn="1" w:lastColumn="0" w:noHBand="0" w:noVBand="1"/>
      </w:tblPr>
      <w:tblGrid>
        <w:gridCol w:w="1620"/>
        <w:gridCol w:w="1008"/>
        <w:gridCol w:w="810"/>
        <w:gridCol w:w="918"/>
        <w:gridCol w:w="746"/>
        <w:gridCol w:w="960"/>
        <w:gridCol w:w="809"/>
        <w:gridCol w:w="901"/>
        <w:gridCol w:w="810"/>
      </w:tblGrid>
      <w:tr w:rsidR="00C64021" w:rsidRPr="00C64021" w14:paraId="07090C84" w14:textId="77777777" w:rsidTr="00D849E6">
        <w:trPr>
          <w:trHeight w:val="300"/>
        </w:trPr>
        <w:tc>
          <w:tcPr>
            <w:tcW w:w="1620" w:type="dxa"/>
            <w:tcBorders>
              <w:top w:val="single" w:sz="12" w:space="0" w:color="auto"/>
              <w:left w:val="nil"/>
              <w:bottom w:val="nil"/>
              <w:right w:val="nil"/>
            </w:tcBorders>
            <w:shd w:val="clear" w:color="auto" w:fill="auto"/>
            <w:noWrap/>
            <w:vAlign w:val="bottom"/>
            <w:hideMark/>
          </w:tcPr>
          <w:p w14:paraId="2D59C282" w14:textId="77777777" w:rsidR="00C64021" w:rsidRPr="00C64021" w:rsidRDefault="00C64021" w:rsidP="00D849E6">
            <w:pPr>
              <w:spacing w:line="240" w:lineRule="auto"/>
              <w:jc w:val="center"/>
              <w:rPr>
                <w:sz w:val="20"/>
                <w:szCs w:val="20"/>
              </w:rPr>
            </w:pPr>
          </w:p>
        </w:tc>
        <w:tc>
          <w:tcPr>
            <w:tcW w:w="3480" w:type="dxa"/>
            <w:gridSpan w:val="4"/>
            <w:tcBorders>
              <w:top w:val="single" w:sz="12" w:space="0" w:color="auto"/>
              <w:left w:val="nil"/>
              <w:bottom w:val="single" w:sz="12" w:space="0" w:color="auto"/>
              <w:right w:val="single" w:sz="48" w:space="0" w:color="FFFFFF"/>
            </w:tcBorders>
            <w:shd w:val="clear" w:color="auto" w:fill="auto"/>
            <w:noWrap/>
            <w:vAlign w:val="center"/>
            <w:hideMark/>
          </w:tcPr>
          <w:p w14:paraId="6787C3E6" w14:textId="77777777" w:rsidR="00C64021" w:rsidRPr="00C64021" w:rsidRDefault="00C64021" w:rsidP="00D849E6">
            <w:pPr>
              <w:spacing w:line="240" w:lineRule="auto"/>
              <w:jc w:val="center"/>
              <w:rPr>
                <w:color w:val="000000"/>
                <w:sz w:val="20"/>
                <w:szCs w:val="20"/>
              </w:rPr>
            </w:pPr>
            <w:r w:rsidRPr="00C64021">
              <w:rPr>
                <w:color w:val="000000"/>
                <w:sz w:val="20"/>
                <w:szCs w:val="20"/>
              </w:rPr>
              <w:t>Big bluestem</w:t>
            </w:r>
          </w:p>
        </w:tc>
        <w:tc>
          <w:tcPr>
            <w:tcW w:w="3480" w:type="dxa"/>
            <w:gridSpan w:val="4"/>
            <w:tcBorders>
              <w:top w:val="single" w:sz="12" w:space="0" w:color="auto"/>
              <w:left w:val="single" w:sz="48" w:space="0" w:color="FFFFFF"/>
              <w:bottom w:val="single" w:sz="12" w:space="0" w:color="auto"/>
              <w:right w:val="nil"/>
            </w:tcBorders>
            <w:shd w:val="clear" w:color="auto" w:fill="auto"/>
            <w:noWrap/>
            <w:vAlign w:val="center"/>
            <w:hideMark/>
          </w:tcPr>
          <w:p w14:paraId="5E73441E" w14:textId="77777777" w:rsidR="00C64021" w:rsidRPr="00C64021" w:rsidRDefault="00C64021" w:rsidP="00D849E6">
            <w:pPr>
              <w:spacing w:line="240" w:lineRule="auto"/>
              <w:jc w:val="center"/>
              <w:rPr>
                <w:color w:val="000000"/>
                <w:sz w:val="20"/>
                <w:szCs w:val="20"/>
              </w:rPr>
            </w:pPr>
            <w:r w:rsidRPr="00C64021">
              <w:rPr>
                <w:color w:val="000000"/>
                <w:sz w:val="20"/>
                <w:szCs w:val="20"/>
              </w:rPr>
              <w:t>Switchgrass</w:t>
            </w:r>
          </w:p>
        </w:tc>
      </w:tr>
      <w:tr w:rsidR="00C64021" w:rsidRPr="00C64021" w14:paraId="43A3B34B" w14:textId="77777777" w:rsidTr="00D849E6">
        <w:trPr>
          <w:trHeight w:val="300"/>
        </w:trPr>
        <w:tc>
          <w:tcPr>
            <w:tcW w:w="1620" w:type="dxa"/>
            <w:tcBorders>
              <w:top w:val="nil"/>
              <w:left w:val="nil"/>
              <w:bottom w:val="nil"/>
              <w:right w:val="nil"/>
            </w:tcBorders>
            <w:shd w:val="clear" w:color="auto" w:fill="auto"/>
            <w:noWrap/>
            <w:vAlign w:val="bottom"/>
            <w:hideMark/>
          </w:tcPr>
          <w:p w14:paraId="0131E0B9" w14:textId="77777777" w:rsidR="00C64021" w:rsidRPr="00C64021" w:rsidRDefault="00C64021" w:rsidP="00D849E6">
            <w:pPr>
              <w:spacing w:line="240" w:lineRule="auto"/>
              <w:jc w:val="center"/>
              <w:rPr>
                <w:color w:val="000000"/>
                <w:sz w:val="20"/>
                <w:szCs w:val="20"/>
              </w:rPr>
            </w:pPr>
          </w:p>
        </w:tc>
        <w:tc>
          <w:tcPr>
            <w:tcW w:w="1816" w:type="dxa"/>
            <w:gridSpan w:val="2"/>
            <w:tcBorders>
              <w:top w:val="single" w:sz="12" w:space="0" w:color="auto"/>
              <w:left w:val="nil"/>
              <w:bottom w:val="single" w:sz="12" w:space="0" w:color="auto"/>
              <w:right w:val="single" w:sz="48" w:space="0" w:color="FFFFFF"/>
            </w:tcBorders>
            <w:shd w:val="clear" w:color="auto" w:fill="auto"/>
            <w:noWrap/>
            <w:vAlign w:val="center"/>
            <w:hideMark/>
          </w:tcPr>
          <w:p w14:paraId="7186D898" w14:textId="77777777" w:rsidR="00C64021" w:rsidRPr="00C64021" w:rsidRDefault="00C64021" w:rsidP="00D849E6">
            <w:pPr>
              <w:spacing w:line="240" w:lineRule="auto"/>
              <w:jc w:val="center"/>
              <w:rPr>
                <w:color w:val="000000"/>
                <w:sz w:val="20"/>
                <w:szCs w:val="20"/>
              </w:rPr>
            </w:pPr>
            <w:r w:rsidRPr="00C64021">
              <w:rPr>
                <w:color w:val="000000"/>
                <w:sz w:val="20"/>
                <w:szCs w:val="20"/>
              </w:rPr>
              <w:t>Site 1</w:t>
            </w:r>
          </w:p>
        </w:tc>
        <w:tc>
          <w:tcPr>
            <w:tcW w:w="1664" w:type="dxa"/>
            <w:gridSpan w:val="2"/>
            <w:tcBorders>
              <w:top w:val="single" w:sz="12" w:space="0" w:color="auto"/>
              <w:left w:val="single" w:sz="48" w:space="0" w:color="FFFFFF"/>
              <w:bottom w:val="nil"/>
              <w:right w:val="single" w:sz="48" w:space="0" w:color="FFFFFF"/>
            </w:tcBorders>
            <w:shd w:val="clear" w:color="auto" w:fill="auto"/>
            <w:noWrap/>
            <w:vAlign w:val="center"/>
            <w:hideMark/>
          </w:tcPr>
          <w:p w14:paraId="5D3032AF" w14:textId="77777777" w:rsidR="00C64021" w:rsidRPr="00C64021" w:rsidRDefault="00C64021" w:rsidP="00D849E6">
            <w:pPr>
              <w:spacing w:line="240" w:lineRule="auto"/>
              <w:jc w:val="center"/>
              <w:rPr>
                <w:color w:val="000000"/>
                <w:sz w:val="20"/>
                <w:szCs w:val="20"/>
              </w:rPr>
            </w:pPr>
            <w:r w:rsidRPr="00C64021">
              <w:rPr>
                <w:color w:val="000000"/>
                <w:sz w:val="20"/>
                <w:szCs w:val="20"/>
              </w:rPr>
              <w:t>Site 2</w:t>
            </w:r>
          </w:p>
        </w:tc>
        <w:tc>
          <w:tcPr>
            <w:tcW w:w="1769" w:type="dxa"/>
            <w:gridSpan w:val="2"/>
            <w:tcBorders>
              <w:top w:val="single" w:sz="12" w:space="0" w:color="auto"/>
              <w:left w:val="single" w:sz="48" w:space="0" w:color="FFFFFF"/>
              <w:bottom w:val="nil"/>
              <w:right w:val="single" w:sz="48" w:space="0" w:color="FFFFFF"/>
            </w:tcBorders>
            <w:shd w:val="clear" w:color="auto" w:fill="auto"/>
            <w:noWrap/>
            <w:vAlign w:val="center"/>
            <w:hideMark/>
          </w:tcPr>
          <w:p w14:paraId="1D154582" w14:textId="77777777" w:rsidR="00C64021" w:rsidRPr="00C64021" w:rsidRDefault="00C64021" w:rsidP="00D849E6">
            <w:pPr>
              <w:spacing w:line="240" w:lineRule="auto"/>
              <w:jc w:val="center"/>
              <w:rPr>
                <w:color w:val="000000"/>
                <w:sz w:val="20"/>
                <w:szCs w:val="20"/>
              </w:rPr>
            </w:pPr>
            <w:r w:rsidRPr="00C64021">
              <w:rPr>
                <w:color w:val="000000"/>
                <w:sz w:val="20"/>
                <w:szCs w:val="20"/>
              </w:rPr>
              <w:t>Site 1</w:t>
            </w:r>
          </w:p>
        </w:tc>
        <w:tc>
          <w:tcPr>
            <w:tcW w:w="1711" w:type="dxa"/>
            <w:gridSpan w:val="2"/>
            <w:tcBorders>
              <w:top w:val="single" w:sz="12" w:space="0" w:color="auto"/>
              <w:left w:val="single" w:sz="48" w:space="0" w:color="FFFFFF"/>
              <w:bottom w:val="nil"/>
              <w:right w:val="nil"/>
            </w:tcBorders>
            <w:shd w:val="clear" w:color="auto" w:fill="auto"/>
            <w:noWrap/>
            <w:vAlign w:val="center"/>
            <w:hideMark/>
          </w:tcPr>
          <w:p w14:paraId="54184F36" w14:textId="77777777" w:rsidR="00C64021" w:rsidRPr="00C64021" w:rsidRDefault="00C64021" w:rsidP="00D849E6">
            <w:pPr>
              <w:spacing w:line="240" w:lineRule="auto"/>
              <w:jc w:val="center"/>
              <w:rPr>
                <w:color w:val="000000"/>
                <w:sz w:val="20"/>
                <w:szCs w:val="20"/>
              </w:rPr>
            </w:pPr>
            <w:r w:rsidRPr="00C64021">
              <w:rPr>
                <w:color w:val="000000"/>
                <w:sz w:val="20"/>
                <w:szCs w:val="20"/>
              </w:rPr>
              <w:t>Site 2</w:t>
            </w:r>
          </w:p>
        </w:tc>
      </w:tr>
      <w:tr w:rsidR="00C64021" w:rsidRPr="00C64021" w14:paraId="552111B5" w14:textId="77777777" w:rsidTr="00D849E6">
        <w:trPr>
          <w:trHeight w:val="300"/>
        </w:trPr>
        <w:tc>
          <w:tcPr>
            <w:tcW w:w="1620" w:type="dxa"/>
            <w:tcBorders>
              <w:top w:val="nil"/>
              <w:left w:val="nil"/>
              <w:bottom w:val="single" w:sz="12" w:space="0" w:color="auto"/>
              <w:right w:val="single" w:sz="48" w:space="0" w:color="FFFFFF"/>
            </w:tcBorders>
            <w:shd w:val="clear" w:color="auto" w:fill="auto"/>
            <w:noWrap/>
            <w:vAlign w:val="center"/>
            <w:hideMark/>
          </w:tcPr>
          <w:p w14:paraId="7A221491" w14:textId="77777777" w:rsidR="00C64021" w:rsidRPr="00C64021" w:rsidRDefault="00C64021" w:rsidP="00D849E6">
            <w:pPr>
              <w:spacing w:line="240" w:lineRule="auto"/>
              <w:rPr>
                <w:color w:val="000000"/>
                <w:sz w:val="20"/>
                <w:szCs w:val="20"/>
              </w:rPr>
            </w:pPr>
            <w:r w:rsidRPr="00C64021">
              <w:rPr>
                <w:color w:val="000000"/>
                <w:sz w:val="20"/>
                <w:szCs w:val="20"/>
              </w:rPr>
              <w:t>Effect</w:t>
            </w:r>
          </w:p>
        </w:tc>
        <w:tc>
          <w:tcPr>
            <w:tcW w:w="1008"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087BF418" w14:textId="77777777" w:rsidR="00C64021" w:rsidRPr="00C64021" w:rsidRDefault="00C64021" w:rsidP="00D849E6">
            <w:pPr>
              <w:spacing w:line="240" w:lineRule="auto"/>
              <w:jc w:val="center"/>
              <w:rPr>
                <w:color w:val="000000"/>
                <w:sz w:val="20"/>
                <w:szCs w:val="20"/>
              </w:rPr>
            </w:pPr>
            <w:r w:rsidRPr="00C64021">
              <w:rPr>
                <w:i/>
                <w:iCs/>
                <w:color w:val="000000"/>
                <w:sz w:val="20"/>
                <w:szCs w:val="20"/>
              </w:rPr>
              <w:t>F</w:t>
            </w:r>
            <w:r w:rsidRPr="00C64021">
              <w:rPr>
                <w:color w:val="000000"/>
                <w:sz w:val="20"/>
                <w:szCs w:val="20"/>
              </w:rPr>
              <w:t xml:space="preserve"> value‡</w:t>
            </w:r>
          </w:p>
        </w:tc>
        <w:tc>
          <w:tcPr>
            <w:tcW w:w="810"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164FE21C" w14:textId="77777777" w:rsidR="00C64021" w:rsidRPr="00C64021" w:rsidRDefault="00C64021" w:rsidP="00D849E6">
            <w:pPr>
              <w:spacing w:line="240" w:lineRule="auto"/>
              <w:jc w:val="center"/>
              <w:rPr>
                <w:i/>
                <w:iCs/>
                <w:color w:val="000000"/>
                <w:sz w:val="20"/>
                <w:szCs w:val="20"/>
              </w:rPr>
            </w:pPr>
            <w:r w:rsidRPr="00C64021">
              <w:rPr>
                <w:i/>
                <w:iCs/>
                <w:color w:val="000000"/>
                <w:sz w:val="20"/>
                <w:szCs w:val="20"/>
              </w:rPr>
              <w:t>P &gt; F</w:t>
            </w:r>
          </w:p>
        </w:tc>
        <w:tc>
          <w:tcPr>
            <w:tcW w:w="918"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11A21827" w14:textId="77777777" w:rsidR="00C64021" w:rsidRPr="00C64021" w:rsidRDefault="00C64021" w:rsidP="00D849E6">
            <w:pPr>
              <w:spacing w:line="240" w:lineRule="auto"/>
              <w:jc w:val="center"/>
              <w:rPr>
                <w:color w:val="000000"/>
                <w:sz w:val="20"/>
                <w:szCs w:val="20"/>
              </w:rPr>
            </w:pPr>
            <w:r w:rsidRPr="00C64021">
              <w:rPr>
                <w:i/>
                <w:iCs/>
                <w:color w:val="000000"/>
                <w:sz w:val="20"/>
                <w:szCs w:val="20"/>
              </w:rPr>
              <w:t>F</w:t>
            </w:r>
            <w:r w:rsidRPr="00C64021">
              <w:rPr>
                <w:color w:val="000000"/>
                <w:sz w:val="20"/>
                <w:szCs w:val="20"/>
              </w:rPr>
              <w:t xml:space="preserve"> value</w:t>
            </w:r>
          </w:p>
        </w:tc>
        <w:tc>
          <w:tcPr>
            <w:tcW w:w="746"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12854AB1" w14:textId="77777777" w:rsidR="00C64021" w:rsidRPr="00C64021" w:rsidRDefault="00C64021" w:rsidP="00D849E6">
            <w:pPr>
              <w:spacing w:line="240" w:lineRule="auto"/>
              <w:jc w:val="center"/>
              <w:rPr>
                <w:i/>
                <w:iCs/>
                <w:color w:val="000000"/>
                <w:sz w:val="20"/>
                <w:szCs w:val="20"/>
              </w:rPr>
            </w:pPr>
            <w:r w:rsidRPr="00C64021">
              <w:rPr>
                <w:i/>
                <w:iCs/>
                <w:color w:val="000000"/>
                <w:sz w:val="20"/>
                <w:szCs w:val="20"/>
              </w:rPr>
              <w:t>P &gt; F</w:t>
            </w:r>
          </w:p>
        </w:tc>
        <w:tc>
          <w:tcPr>
            <w:tcW w:w="960"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1E8F1675" w14:textId="77777777" w:rsidR="00C64021" w:rsidRPr="00C64021" w:rsidRDefault="00C64021" w:rsidP="00D849E6">
            <w:pPr>
              <w:spacing w:line="240" w:lineRule="auto"/>
              <w:jc w:val="center"/>
              <w:rPr>
                <w:color w:val="000000"/>
                <w:sz w:val="20"/>
                <w:szCs w:val="20"/>
              </w:rPr>
            </w:pPr>
            <w:r w:rsidRPr="00C64021">
              <w:rPr>
                <w:i/>
                <w:iCs/>
                <w:color w:val="000000"/>
                <w:sz w:val="20"/>
                <w:szCs w:val="20"/>
              </w:rPr>
              <w:t>F</w:t>
            </w:r>
            <w:r w:rsidRPr="00C64021">
              <w:rPr>
                <w:color w:val="000000"/>
                <w:sz w:val="20"/>
                <w:szCs w:val="20"/>
              </w:rPr>
              <w:t xml:space="preserve"> value</w:t>
            </w:r>
          </w:p>
        </w:tc>
        <w:tc>
          <w:tcPr>
            <w:tcW w:w="809"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725D5C25" w14:textId="77777777" w:rsidR="00C64021" w:rsidRPr="00C64021" w:rsidRDefault="00C64021" w:rsidP="00D849E6">
            <w:pPr>
              <w:spacing w:line="240" w:lineRule="auto"/>
              <w:jc w:val="center"/>
              <w:rPr>
                <w:i/>
                <w:iCs/>
                <w:color w:val="000000"/>
                <w:sz w:val="20"/>
                <w:szCs w:val="20"/>
              </w:rPr>
            </w:pPr>
            <w:r w:rsidRPr="00C64021">
              <w:rPr>
                <w:i/>
                <w:iCs/>
                <w:color w:val="000000"/>
                <w:sz w:val="20"/>
                <w:szCs w:val="20"/>
              </w:rPr>
              <w:t>P &gt; F</w:t>
            </w:r>
          </w:p>
        </w:tc>
        <w:tc>
          <w:tcPr>
            <w:tcW w:w="901"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02A4E8E3" w14:textId="77777777" w:rsidR="00C64021" w:rsidRPr="00C64021" w:rsidRDefault="00C64021" w:rsidP="00D849E6">
            <w:pPr>
              <w:spacing w:line="240" w:lineRule="auto"/>
              <w:jc w:val="center"/>
              <w:rPr>
                <w:color w:val="000000"/>
                <w:sz w:val="20"/>
                <w:szCs w:val="20"/>
              </w:rPr>
            </w:pPr>
            <w:r w:rsidRPr="00C64021">
              <w:rPr>
                <w:i/>
                <w:iCs/>
                <w:color w:val="000000"/>
                <w:sz w:val="20"/>
                <w:szCs w:val="20"/>
              </w:rPr>
              <w:t>F</w:t>
            </w:r>
            <w:r w:rsidRPr="00C64021">
              <w:rPr>
                <w:color w:val="000000"/>
                <w:sz w:val="20"/>
                <w:szCs w:val="20"/>
              </w:rPr>
              <w:t xml:space="preserve"> value</w:t>
            </w:r>
          </w:p>
        </w:tc>
        <w:tc>
          <w:tcPr>
            <w:tcW w:w="810" w:type="dxa"/>
            <w:tcBorders>
              <w:top w:val="single" w:sz="12" w:space="0" w:color="auto"/>
              <w:left w:val="single" w:sz="48" w:space="0" w:color="FFFFFF"/>
              <w:bottom w:val="single" w:sz="12" w:space="0" w:color="auto"/>
              <w:right w:val="nil"/>
            </w:tcBorders>
            <w:shd w:val="clear" w:color="auto" w:fill="auto"/>
            <w:noWrap/>
            <w:vAlign w:val="center"/>
            <w:hideMark/>
          </w:tcPr>
          <w:p w14:paraId="0B87003E" w14:textId="77777777" w:rsidR="00C64021" w:rsidRPr="00C64021" w:rsidRDefault="00C64021" w:rsidP="00D849E6">
            <w:pPr>
              <w:spacing w:line="240" w:lineRule="auto"/>
              <w:jc w:val="center"/>
              <w:rPr>
                <w:i/>
                <w:iCs/>
                <w:color w:val="000000"/>
                <w:sz w:val="20"/>
                <w:szCs w:val="20"/>
              </w:rPr>
            </w:pPr>
            <w:r w:rsidRPr="00C64021">
              <w:rPr>
                <w:i/>
                <w:iCs/>
                <w:color w:val="000000"/>
                <w:sz w:val="20"/>
                <w:szCs w:val="20"/>
              </w:rPr>
              <w:t>P &gt; F</w:t>
            </w:r>
          </w:p>
        </w:tc>
      </w:tr>
      <w:tr w:rsidR="00C64021" w:rsidRPr="00C64021" w14:paraId="25FAA43E" w14:textId="77777777" w:rsidTr="00D849E6">
        <w:trPr>
          <w:trHeight w:val="300"/>
        </w:trPr>
        <w:tc>
          <w:tcPr>
            <w:tcW w:w="1620" w:type="dxa"/>
            <w:tcBorders>
              <w:left w:val="nil"/>
              <w:bottom w:val="nil"/>
              <w:right w:val="single" w:sz="48" w:space="0" w:color="FFFFFF"/>
            </w:tcBorders>
            <w:shd w:val="clear" w:color="auto" w:fill="auto"/>
            <w:noWrap/>
            <w:vAlign w:val="center"/>
            <w:hideMark/>
          </w:tcPr>
          <w:p w14:paraId="70B12CA6" w14:textId="77777777" w:rsidR="00C64021" w:rsidRPr="00C64021" w:rsidRDefault="00C64021" w:rsidP="00D849E6">
            <w:pPr>
              <w:spacing w:line="240" w:lineRule="auto"/>
              <w:rPr>
                <w:color w:val="000000"/>
                <w:sz w:val="20"/>
                <w:szCs w:val="20"/>
              </w:rPr>
            </w:pPr>
            <w:r w:rsidRPr="00C64021">
              <w:rPr>
                <w:color w:val="000000"/>
                <w:sz w:val="20"/>
                <w:szCs w:val="20"/>
              </w:rPr>
              <w:t>HARV</w:t>
            </w:r>
            <w:r w:rsidRPr="00C64021">
              <w:rPr>
                <w:sz w:val="20"/>
                <w:szCs w:val="20"/>
              </w:rPr>
              <w:t>†</w:t>
            </w:r>
          </w:p>
        </w:tc>
        <w:tc>
          <w:tcPr>
            <w:tcW w:w="1008" w:type="dxa"/>
            <w:tcBorders>
              <w:top w:val="nil"/>
              <w:left w:val="single" w:sz="48" w:space="0" w:color="FFFFFF"/>
              <w:bottom w:val="nil"/>
              <w:right w:val="single" w:sz="48" w:space="0" w:color="FFFFFF"/>
            </w:tcBorders>
            <w:shd w:val="clear" w:color="auto" w:fill="auto"/>
            <w:noWrap/>
            <w:vAlign w:val="center"/>
          </w:tcPr>
          <w:p w14:paraId="580AE067" w14:textId="77777777" w:rsidR="00C64021" w:rsidRPr="00C64021" w:rsidRDefault="00C64021" w:rsidP="00D849E6">
            <w:pPr>
              <w:spacing w:line="240" w:lineRule="auto"/>
              <w:jc w:val="center"/>
              <w:rPr>
                <w:color w:val="000000"/>
                <w:sz w:val="20"/>
                <w:szCs w:val="20"/>
              </w:rPr>
            </w:pPr>
            <w:r w:rsidRPr="00C64021">
              <w:rPr>
                <w:color w:val="000000"/>
                <w:sz w:val="20"/>
                <w:szCs w:val="20"/>
              </w:rPr>
              <w:t>0.29</w:t>
            </w:r>
          </w:p>
        </w:tc>
        <w:tc>
          <w:tcPr>
            <w:tcW w:w="810" w:type="dxa"/>
            <w:tcBorders>
              <w:top w:val="nil"/>
              <w:left w:val="single" w:sz="48" w:space="0" w:color="FFFFFF"/>
              <w:bottom w:val="nil"/>
              <w:right w:val="single" w:sz="48" w:space="0" w:color="FFFFFF"/>
            </w:tcBorders>
            <w:shd w:val="clear" w:color="auto" w:fill="auto"/>
            <w:noWrap/>
            <w:vAlign w:val="center"/>
          </w:tcPr>
          <w:p w14:paraId="344FB240" w14:textId="77777777" w:rsidR="00C64021" w:rsidRPr="00C64021" w:rsidRDefault="00C64021" w:rsidP="00D849E6">
            <w:pPr>
              <w:spacing w:line="240" w:lineRule="auto"/>
              <w:jc w:val="center"/>
              <w:rPr>
                <w:b/>
                <w:color w:val="000000"/>
                <w:sz w:val="20"/>
                <w:szCs w:val="20"/>
              </w:rPr>
            </w:pPr>
            <w:r w:rsidRPr="00C64021">
              <w:rPr>
                <w:color w:val="000000"/>
                <w:sz w:val="20"/>
                <w:szCs w:val="20"/>
              </w:rPr>
              <w:t>0.596</w:t>
            </w:r>
          </w:p>
        </w:tc>
        <w:tc>
          <w:tcPr>
            <w:tcW w:w="918" w:type="dxa"/>
            <w:tcBorders>
              <w:top w:val="nil"/>
              <w:left w:val="single" w:sz="48" w:space="0" w:color="FFFFFF"/>
              <w:bottom w:val="nil"/>
              <w:right w:val="single" w:sz="48" w:space="0" w:color="FFFFFF"/>
            </w:tcBorders>
            <w:shd w:val="clear" w:color="auto" w:fill="auto"/>
            <w:noWrap/>
            <w:vAlign w:val="center"/>
          </w:tcPr>
          <w:p w14:paraId="70760B20" w14:textId="77777777" w:rsidR="00C64021" w:rsidRPr="00C64021" w:rsidRDefault="00C64021" w:rsidP="00D849E6">
            <w:pPr>
              <w:spacing w:line="240" w:lineRule="auto"/>
              <w:jc w:val="center"/>
              <w:rPr>
                <w:color w:val="000000"/>
                <w:sz w:val="20"/>
                <w:szCs w:val="20"/>
              </w:rPr>
            </w:pPr>
            <w:r w:rsidRPr="00C64021">
              <w:rPr>
                <w:color w:val="000000"/>
                <w:sz w:val="20"/>
                <w:szCs w:val="20"/>
              </w:rPr>
              <w:t>0.88</w:t>
            </w:r>
          </w:p>
        </w:tc>
        <w:tc>
          <w:tcPr>
            <w:tcW w:w="746" w:type="dxa"/>
            <w:tcBorders>
              <w:top w:val="nil"/>
              <w:left w:val="single" w:sz="48" w:space="0" w:color="FFFFFF"/>
              <w:bottom w:val="nil"/>
              <w:right w:val="single" w:sz="48" w:space="0" w:color="FFFFFF"/>
            </w:tcBorders>
            <w:shd w:val="clear" w:color="auto" w:fill="auto"/>
            <w:noWrap/>
            <w:vAlign w:val="center"/>
          </w:tcPr>
          <w:p w14:paraId="7B95CE92" w14:textId="77777777" w:rsidR="00C64021" w:rsidRPr="00C64021" w:rsidRDefault="00C64021" w:rsidP="00D849E6">
            <w:pPr>
              <w:spacing w:line="240" w:lineRule="auto"/>
              <w:jc w:val="center"/>
              <w:rPr>
                <w:color w:val="000000"/>
                <w:sz w:val="20"/>
                <w:szCs w:val="20"/>
              </w:rPr>
            </w:pPr>
            <w:r w:rsidRPr="00C64021">
              <w:rPr>
                <w:color w:val="000000"/>
                <w:sz w:val="20"/>
                <w:szCs w:val="20"/>
              </w:rPr>
              <w:t>0.362</w:t>
            </w:r>
          </w:p>
        </w:tc>
        <w:tc>
          <w:tcPr>
            <w:tcW w:w="960" w:type="dxa"/>
            <w:tcBorders>
              <w:top w:val="nil"/>
              <w:left w:val="single" w:sz="48" w:space="0" w:color="FFFFFF"/>
              <w:bottom w:val="nil"/>
              <w:right w:val="single" w:sz="48" w:space="0" w:color="FFFFFF"/>
            </w:tcBorders>
            <w:shd w:val="clear" w:color="auto" w:fill="auto"/>
            <w:noWrap/>
            <w:vAlign w:val="center"/>
          </w:tcPr>
          <w:p w14:paraId="3D22B24C" w14:textId="77777777" w:rsidR="00C64021" w:rsidRPr="00C64021" w:rsidRDefault="00C64021" w:rsidP="00D849E6">
            <w:pPr>
              <w:spacing w:line="240" w:lineRule="auto"/>
              <w:jc w:val="center"/>
              <w:rPr>
                <w:color w:val="000000"/>
                <w:sz w:val="20"/>
                <w:szCs w:val="20"/>
              </w:rPr>
            </w:pPr>
            <w:r w:rsidRPr="00C64021">
              <w:rPr>
                <w:color w:val="000000"/>
                <w:sz w:val="20"/>
                <w:szCs w:val="20"/>
              </w:rPr>
              <w:t>0.75</w:t>
            </w:r>
          </w:p>
        </w:tc>
        <w:tc>
          <w:tcPr>
            <w:tcW w:w="809" w:type="dxa"/>
            <w:tcBorders>
              <w:top w:val="nil"/>
              <w:left w:val="single" w:sz="48" w:space="0" w:color="FFFFFF"/>
              <w:bottom w:val="nil"/>
              <w:right w:val="single" w:sz="48" w:space="0" w:color="FFFFFF"/>
            </w:tcBorders>
            <w:shd w:val="clear" w:color="auto" w:fill="auto"/>
            <w:noWrap/>
            <w:vAlign w:val="center"/>
          </w:tcPr>
          <w:p w14:paraId="771EDFCD" w14:textId="77777777" w:rsidR="00C64021" w:rsidRPr="00C64021" w:rsidRDefault="00C64021" w:rsidP="00D849E6">
            <w:pPr>
              <w:spacing w:line="240" w:lineRule="auto"/>
              <w:jc w:val="center"/>
              <w:rPr>
                <w:b/>
                <w:color w:val="000000"/>
                <w:sz w:val="20"/>
                <w:szCs w:val="20"/>
              </w:rPr>
            </w:pPr>
            <w:r w:rsidRPr="00C64021">
              <w:rPr>
                <w:color w:val="000000"/>
                <w:sz w:val="20"/>
                <w:szCs w:val="20"/>
              </w:rPr>
              <w:t>0.400</w:t>
            </w:r>
          </w:p>
        </w:tc>
        <w:tc>
          <w:tcPr>
            <w:tcW w:w="901" w:type="dxa"/>
            <w:tcBorders>
              <w:top w:val="nil"/>
              <w:left w:val="single" w:sz="48" w:space="0" w:color="FFFFFF"/>
              <w:bottom w:val="nil"/>
              <w:right w:val="single" w:sz="48" w:space="0" w:color="FFFFFF"/>
            </w:tcBorders>
            <w:shd w:val="clear" w:color="auto" w:fill="auto"/>
            <w:noWrap/>
            <w:vAlign w:val="center"/>
          </w:tcPr>
          <w:p w14:paraId="767CC5A3" w14:textId="77777777" w:rsidR="00C64021" w:rsidRPr="00C64021" w:rsidRDefault="00C64021" w:rsidP="00D849E6">
            <w:pPr>
              <w:spacing w:line="240" w:lineRule="auto"/>
              <w:jc w:val="center"/>
              <w:rPr>
                <w:color w:val="000000"/>
                <w:sz w:val="20"/>
                <w:szCs w:val="20"/>
              </w:rPr>
            </w:pPr>
            <w:r w:rsidRPr="00C64021">
              <w:rPr>
                <w:color w:val="000000"/>
                <w:sz w:val="20"/>
                <w:szCs w:val="20"/>
              </w:rPr>
              <w:t>8.22</w:t>
            </w:r>
          </w:p>
        </w:tc>
        <w:tc>
          <w:tcPr>
            <w:tcW w:w="810" w:type="dxa"/>
            <w:tcBorders>
              <w:top w:val="nil"/>
              <w:left w:val="single" w:sz="48" w:space="0" w:color="FFFFFF"/>
              <w:bottom w:val="nil"/>
              <w:right w:val="nil"/>
            </w:tcBorders>
            <w:shd w:val="clear" w:color="auto" w:fill="auto"/>
            <w:noWrap/>
            <w:vAlign w:val="center"/>
          </w:tcPr>
          <w:p w14:paraId="2BB6FC52" w14:textId="77777777" w:rsidR="00C64021" w:rsidRPr="00C64021" w:rsidRDefault="00C64021" w:rsidP="00D849E6">
            <w:pPr>
              <w:spacing w:line="240" w:lineRule="auto"/>
              <w:jc w:val="center"/>
              <w:rPr>
                <w:b/>
                <w:color w:val="000000"/>
                <w:sz w:val="20"/>
                <w:szCs w:val="20"/>
              </w:rPr>
            </w:pPr>
            <w:r w:rsidRPr="00C64021">
              <w:rPr>
                <w:b/>
                <w:color w:val="000000"/>
                <w:sz w:val="20"/>
                <w:szCs w:val="20"/>
              </w:rPr>
              <w:t>0.012</w:t>
            </w:r>
          </w:p>
        </w:tc>
      </w:tr>
      <w:tr w:rsidR="00C64021" w:rsidRPr="00C64021" w14:paraId="0A87FCAE" w14:textId="77777777" w:rsidTr="00D849E6">
        <w:trPr>
          <w:trHeight w:val="300"/>
        </w:trPr>
        <w:tc>
          <w:tcPr>
            <w:tcW w:w="1620" w:type="dxa"/>
            <w:tcBorders>
              <w:top w:val="nil"/>
              <w:left w:val="nil"/>
              <w:bottom w:val="nil"/>
              <w:right w:val="single" w:sz="48" w:space="0" w:color="FFFFFF"/>
            </w:tcBorders>
            <w:shd w:val="clear" w:color="auto" w:fill="auto"/>
            <w:noWrap/>
            <w:vAlign w:val="center"/>
            <w:hideMark/>
          </w:tcPr>
          <w:p w14:paraId="1B7B98D2" w14:textId="77777777" w:rsidR="00C64021" w:rsidRPr="00C64021" w:rsidRDefault="00C64021" w:rsidP="00D849E6">
            <w:pPr>
              <w:spacing w:line="240" w:lineRule="auto"/>
              <w:rPr>
                <w:color w:val="000000"/>
                <w:sz w:val="20"/>
                <w:szCs w:val="20"/>
              </w:rPr>
            </w:pPr>
            <w:r w:rsidRPr="00C64021">
              <w:rPr>
                <w:color w:val="000000"/>
                <w:sz w:val="20"/>
                <w:szCs w:val="20"/>
              </w:rPr>
              <w:t>RATE</w:t>
            </w:r>
          </w:p>
        </w:tc>
        <w:tc>
          <w:tcPr>
            <w:tcW w:w="1008" w:type="dxa"/>
            <w:tcBorders>
              <w:left w:val="single" w:sz="48" w:space="0" w:color="FFFFFF"/>
              <w:bottom w:val="nil"/>
              <w:right w:val="single" w:sz="48" w:space="0" w:color="FFFFFF"/>
            </w:tcBorders>
            <w:shd w:val="clear" w:color="auto" w:fill="auto"/>
            <w:noWrap/>
            <w:vAlign w:val="center"/>
            <w:hideMark/>
          </w:tcPr>
          <w:p w14:paraId="6FA26FE7" w14:textId="77777777" w:rsidR="00C64021" w:rsidRPr="00C64021" w:rsidRDefault="00C64021" w:rsidP="00D849E6">
            <w:pPr>
              <w:spacing w:line="240" w:lineRule="auto"/>
              <w:ind w:left="-90"/>
              <w:jc w:val="center"/>
              <w:rPr>
                <w:color w:val="000000"/>
                <w:sz w:val="20"/>
                <w:szCs w:val="20"/>
              </w:rPr>
            </w:pPr>
            <w:r w:rsidRPr="00C64021">
              <w:rPr>
                <w:color w:val="000000"/>
                <w:sz w:val="20"/>
                <w:szCs w:val="20"/>
              </w:rPr>
              <w:t>12.27</w:t>
            </w:r>
          </w:p>
        </w:tc>
        <w:tc>
          <w:tcPr>
            <w:tcW w:w="810" w:type="dxa"/>
            <w:tcBorders>
              <w:left w:val="single" w:sz="48" w:space="0" w:color="FFFFFF"/>
              <w:bottom w:val="nil"/>
              <w:right w:val="single" w:sz="48" w:space="0" w:color="FFFFFF"/>
            </w:tcBorders>
            <w:shd w:val="clear" w:color="auto" w:fill="auto"/>
            <w:noWrap/>
            <w:vAlign w:val="center"/>
            <w:hideMark/>
          </w:tcPr>
          <w:p w14:paraId="45ABD2ED" w14:textId="77777777" w:rsidR="00C64021" w:rsidRPr="00C64021" w:rsidRDefault="00C64021" w:rsidP="00D849E6">
            <w:pPr>
              <w:spacing w:line="240" w:lineRule="auto"/>
              <w:ind w:left="-105"/>
              <w:jc w:val="center"/>
              <w:rPr>
                <w:color w:val="000000"/>
                <w:sz w:val="20"/>
                <w:szCs w:val="20"/>
              </w:rPr>
            </w:pPr>
            <w:r w:rsidRPr="00C64021">
              <w:rPr>
                <w:b/>
                <w:color w:val="000000"/>
                <w:sz w:val="20"/>
                <w:szCs w:val="20"/>
              </w:rPr>
              <w:t>&lt;0.001</w:t>
            </w:r>
          </w:p>
        </w:tc>
        <w:tc>
          <w:tcPr>
            <w:tcW w:w="918" w:type="dxa"/>
            <w:tcBorders>
              <w:left w:val="single" w:sz="48" w:space="0" w:color="FFFFFF"/>
              <w:bottom w:val="nil"/>
              <w:right w:val="single" w:sz="48" w:space="0" w:color="FFFFFF"/>
            </w:tcBorders>
            <w:shd w:val="clear" w:color="auto" w:fill="auto"/>
            <w:noWrap/>
            <w:vAlign w:val="center"/>
            <w:hideMark/>
          </w:tcPr>
          <w:p w14:paraId="6BC7980D" w14:textId="77777777" w:rsidR="00C64021" w:rsidRPr="00C64021" w:rsidRDefault="00C64021" w:rsidP="00D849E6">
            <w:pPr>
              <w:spacing w:line="240" w:lineRule="auto"/>
              <w:jc w:val="center"/>
              <w:rPr>
                <w:color w:val="000000"/>
                <w:sz w:val="20"/>
                <w:szCs w:val="20"/>
              </w:rPr>
            </w:pPr>
            <w:r w:rsidRPr="00C64021">
              <w:rPr>
                <w:color w:val="000000"/>
                <w:sz w:val="20"/>
                <w:szCs w:val="20"/>
              </w:rPr>
              <w:t>1.77</w:t>
            </w:r>
          </w:p>
        </w:tc>
        <w:tc>
          <w:tcPr>
            <w:tcW w:w="746" w:type="dxa"/>
            <w:tcBorders>
              <w:left w:val="single" w:sz="48" w:space="0" w:color="FFFFFF"/>
              <w:bottom w:val="nil"/>
              <w:right w:val="single" w:sz="48" w:space="0" w:color="FFFFFF"/>
            </w:tcBorders>
            <w:shd w:val="clear" w:color="auto" w:fill="auto"/>
            <w:noWrap/>
            <w:vAlign w:val="center"/>
            <w:hideMark/>
          </w:tcPr>
          <w:p w14:paraId="63210F46" w14:textId="77777777" w:rsidR="00C64021" w:rsidRPr="00C64021" w:rsidRDefault="00C64021" w:rsidP="00D849E6">
            <w:pPr>
              <w:spacing w:line="240" w:lineRule="auto"/>
              <w:jc w:val="center"/>
              <w:rPr>
                <w:color w:val="000000"/>
                <w:sz w:val="20"/>
                <w:szCs w:val="20"/>
              </w:rPr>
            </w:pPr>
            <w:r w:rsidRPr="00C64021">
              <w:rPr>
                <w:color w:val="000000"/>
                <w:sz w:val="20"/>
                <w:szCs w:val="20"/>
              </w:rPr>
              <w:t>0.205</w:t>
            </w:r>
          </w:p>
        </w:tc>
        <w:tc>
          <w:tcPr>
            <w:tcW w:w="960" w:type="dxa"/>
            <w:tcBorders>
              <w:left w:val="single" w:sz="48" w:space="0" w:color="FFFFFF"/>
              <w:bottom w:val="nil"/>
              <w:right w:val="single" w:sz="48" w:space="0" w:color="FFFFFF"/>
            </w:tcBorders>
            <w:shd w:val="clear" w:color="auto" w:fill="auto"/>
            <w:noWrap/>
            <w:vAlign w:val="center"/>
            <w:hideMark/>
          </w:tcPr>
          <w:p w14:paraId="0653E7A5" w14:textId="77777777" w:rsidR="00C64021" w:rsidRPr="00C64021" w:rsidRDefault="00C64021" w:rsidP="00D849E6">
            <w:pPr>
              <w:spacing w:line="240" w:lineRule="auto"/>
              <w:ind w:left="-60"/>
              <w:jc w:val="center"/>
              <w:rPr>
                <w:color w:val="000000"/>
                <w:sz w:val="20"/>
                <w:szCs w:val="20"/>
              </w:rPr>
            </w:pPr>
            <w:r w:rsidRPr="00C64021">
              <w:rPr>
                <w:color w:val="000000"/>
                <w:sz w:val="20"/>
                <w:szCs w:val="20"/>
              </w:rPr>
              <w:t>29.99</w:t>
            </w:r>
          </w:p>
        </w:tc>
        <w:tc>
          <w:tcPr>
            <w:tcW w:w="809" w:type="dxa"/>
            <w:tcBorders>
              <w:left w:val="single" w:sz="48" w:space="0" w:color="FFFFFF"/>
              <w:bottom w:val="nil"/>
              <w:right w:val="single" w:sz="48" w:space="0" w:color="FFFFFF"/>
            </w:tcBorders>
            <w:shd w:val="clear" w:color="auto" w:fill="auto"/>
            <w:noWrap/>
            <w:vAlign w:val="center"/>
            <w:hideMark/>
          </w:tcPr>
          <w:p w14:paraId="5BEA580B" w14:textId="77777777" w:rsidR="00C64021" w:rsidRPr="00C64021" w:rsidRDefault="00C64021" w:rsidP="00D849E6">
            <w:pPr>
              <w:spacing w:line="240" w:lineRule="auto"/>
              <w:ind w:left="-120"/>
              <w:jc w:val="center"/>
              <w:rPr>
                <w:color w:val="000000"/>
                <w:sz w:val="20"/>
                <w:szCs w:val="20"/>
              </w:rPr>
            </w:pPr>
            <w:r w:rsidRPr="00C64021">
              <w:rPr>
                <w:b/>
                <w:color w:val="000000"/>
                <w:sz w:val="20"/>
                <w:szCs w:val="20"/>
              </w:rPr>
              <w:t>&lt;0.001</w:t>
            </w:r>
          </w:p>
        </w:tc>
        <w:tc>
          <w:tcPr>
            <w:tcW w:w="901" w:type="dxa"/>
            <w:tcBorders>
              <w:left w:val="single" w:sz="48" w:space="0" w:color="FFFFFF"/>
              <w:bottom w:val="nil"/>
              <w:right w:val="single" w:sz="48" w:space="0" w:color="FFFFFF"/>
            </w:tcBorders>
            <w:shd w:val="clear" w:color="auto" w:fill="auto"/>
            <w:noWrap/>
            <w:vAlign w:val="center"/>
            <w:hideMark/>
          </w:tcPr>
          <w:p w14:paraId="48407330" w14:textId="77777777" w:rsidR="00C64021" w:rsidRPr="00C64021" w:rsidRDefault="00C64021" w:rsidP="00D849E6">
            <w:pPr>
              <w:spacing w:line="240" w:lineRule="auto"/>
              <w:jc w:val="center"/>
              <w:rPr>
                <w:color w:val="000000"/>
                <w:sz w:val="20"/>
                <w:szCs w:val="20"/>
              </w:rPr>
            </w:pPr>
            <w:r w:rsidRPr="00C64021">
              <w:rPr>
                <w:color w:val="000000"/>
                <w:sz w:val="20"/>
                <w:szCs w:val="20"/>
              </w:rPr>
              <w:t>3.70</w:t>
            </w:r>
          </w:p>
        </w:tc>
        <w:tc>
          <w:tcPr>
            <w:tcW w:w="810" w:type="dxa"/>
            <w:tcBorders>
              <w:left w:val="single" w:sz="48" w:space="0" w:color="FFFFFF"/>
              <w:bottom w:val="nil"/>
              <w:right w:val="nil"/>
            </w:tcBorders>
            <w:shd w:val="clear" w:color="auto" w:fill="auto"/>
            <w:noWrap/>
            <w:vAlign w:val="center"/>
            <w:hideMark/>
          </w:tcPr>
          <w:p w14:paraId="6B8FE66E" w14:textId="77777777" w:rsidR="00C64021" w:rsidRPr="00C64021" w:rsidRDefault="00C64021" w:rsidP="00D849E6">
            <w:pPr>
              <w:spacing w:line="240" w:lineRule="auto"/>
              <w:jc w:val="center"/>
              <w:rPr>
                <w:b/>
                <w:color w:val="000000"/>
                <w:sz w:val="20"/>
                <w:szCs w:val="20"/>
              </w:rPr>
            </w:pPr>
            <w:r w:rsidRPr="00C64021">
              <w:rPr>
                <w:b/>
                <w:color w:val="000000"/>
                <w:sz w:val="20"/>
                <w:szCs w:val="20"/>
              </w:rPr>
              <w:t>0.049</w:t>
            </w:r>
          </w:p>
        </w:tc>
      </w:tr>
      <w:tr w:rsidR="00C64021" w:rsidRPr="00C64021" w14:paraId="72C68B6E" w14:textId="77777777" w:rsidTr="00D849E6">
        <w:trPr>
          <w:trHeight w:val="300"/>
        </w:trPr>
        <w:tc>
          <w:tcPr>
            <w:tcW w:w="1620" w:type="dxa"/>
            <w:tcBorders>
              <w:top w:val="nil"/>
              <w:left w:val="nil"/>
              <w:bottom w:val="single" w:sz="12" w:space="0" w:color="auto"/>
              <w:right w:val="single" w:sz="48" w:space="0" w:color="FFFFFF"/>
            </w:tcBorders>
            <w:shd w:val="clear" w:color="auto" w:fill="auto"/>
            <w:noWrap/>
            <w:vAlign w:val="center"/>
            <w:hideMark/>
          </w:tcPr>
          <w:p w14:paraId="1DF55649" w14:textId="77777777" w:rsidR="00C64021" w:rsidRPr="00C64021" w:rsidRDefault="00C64021" w:rsidP="00D849E6">
            <w:pPr>
              <w:spacing w:line="240" w:lineRule="auto"/>
              <w:rPr>
                <w:color w:val="000000"/>
                <w:sz w:val="20"/>
                <w:szCs w:val="20"/>
              </w:rPr>
            </w:pPr>
            <w:r w:rsidRPr="00C64021">
              <w:rPr>
                <w:color w:val="000000"/>
                <w:sz w:val="20"/>
                <w:szCs w:val="20"/>
              </w:rPr>
              <w:t>HARV x RATE</w:t>
            </w:r>
          </w:p>
        </w:tc>
        <w:tc>
          <w:tcPr>
            <w:tcW w:w="1008" w:type="dxa"/>
            <w:tcBorders>
              <w:top w:val="nil"/>
              <w:left w:val="single" w:sz="48" w:space="0" w:color="FFFFFF"/>
              <w:bottom w:val="single" w:sz="12" w:space="0" w:color="auto"/>
              <w:right w:val="single" w:sz="48" w:space="0" w:color="FFFFFF"/>
            </w:tcBorders>
            <w:shd w:val="clear" w:color="auto" w:fill="auto"/>
            <w:noWrap/>
            <w:vAlign w:val="center"/>
            <w:hideMark/>
          </w:tcPr>
          <w:p w14:paraId="67FBF566" w14:textId="77777777" w:rsidR="00C64021" w:rsidRPr="00C64021" w:rsidRDefault="00C64021" w:rsidP="00D849E6">
            <w:pPr>
              <w:spacing w:line="240" w:lineRule="auto"/>
              <w:jc w:val="center"/>
              <w:rPr>
                <w:color w:val="000000"/>
                <w:sz w:val="20"/>
                <w:szCs w:val="20"/>
              </w:rPr>
            </w:pPr>
            <w:r w:rsidRPr="00C64021">
              <w:rPr>
                <w:color w:val="000000"/>
                <w:sz w:val="20"/>
                <w:szCs w:val="20"/>
              </w:rPr>
              <w:t>0.05</w:t>
            </w:r>
          </w:p>
        </w:tc>
        <w:tc>
          <w:tcPr>
            <w:tcW w:w="810" w:type="dxa"/>
            <w:tcBorders>
              <w:top w:val="nil"/>
              <w:left w:val="single" w:sz="48" w:space="0" w:color="FFFFFF"/>
              <w:bottom w:val="single" w:sz="12" w:space="0" w:color="auto"/>
              <w:right w:val="single" w:sz="48" w:space="0" w:color="FFFFFF"/>
            </w:tcBorders>
            <w:shd w:val="clear" w:color="auto" w:fill="auto"/>
            <w:noWrap/>
            <w:vAlign w:val="center"/>
            <w:hideMark/>
          </w:tcPr>
          <w:p w14:paraId="480243D0" w14:textId="77777777" w:rsidR="00C64021" w:rsidRPr="00C64021" w:rsidRDefault="00C64021" w:rsidP="00D849E6">
            <w:pPr>
              <w:spacing w:line="240" w:lineRule="auto"/>
              <w:jc w:val="center"/>
              <w:rPr>
                <w:color w:val="000000"/>
                <w:sz w:val="20"/>
                <w:szCs w:val="20"/>
              </w:rPr>
            </w:pPr>
            <w:r w:rsidRPr="00C64021">
              <w:rPr>
                <w:color w:val="000000"/>
                <w:sz w:val="20"/>
                <w:szCs w:val="20"/>
              </w:rPr>
              <w:t>0.953</w:t>
            </w:r>
          </w:p>
        </w:tc>
        <w:tc>
          <w:tcPr>
            <w:tcW w:w="918" w:type="dxa"/>
            <w:tcBorders>
              <w:top w:val="nil"/>
              <w:left w:val="single" w:sz="48" w:space="0" w:color="FFFFFF"/>
              <w:bottom w:val="single" w:sz="12" w:space="0" w:color="auto"/>
              <w:right w:val="single" w:sz="48" w:space="0" w:color="FFFFFF"/>
            </w:tcBorders>
            <w:shd w:val="clear" w:color="auto" w:fill="auto"/>
            <w:noWrap/>
            <w:vAlign w:val="center"/>
            <w:hideMark/>
          </w:tcPr>
          <w:p w14:paraId="19F062C6" w14:textId="77777777" w:rsidR="00C64021" w:rsidRPr="00C64021" w:rsidRDefault="00C64021" w:rsidP="00D849E6">
            <w:pPr>
              <w:spacing w:line="240" w:lineRule="auto"/>
              <w:jc w:val="center"/>
              <w:rPr>
                <w:color w:val="000000"/>
                <w:sz w:val="20"/>
                <w:szCs w:val="20"/>
              </w:rPr>
            </w:pPr>
            <w:r w:rsidRPr="00C64021">
              <w:rPr>
                <w:color w:val="000000"/>
                <w:sz w:val="20"/>
                <w:szCs w:val="20"/>
              </w:rPr>
              <w:t>0.29</w:t>
            </w:r>
          </w:p>
        </w:tc>
        <w:tc>
          <w:tcPr>
            <w:tcW w:w="746" w:type="dxa"/>
            <w:tcBorders>
              <w:top w:val="nil"/>
              <w:left w:val="single" w:sz="48" w:space="0" w:color="FFFFFF"/>
              <w:bottom w:val="single" w:sz="12" w:space="0" w:color="auto"/>
              <w:right w:val="single" w:sz="48" w:space="0" w:color="FFFFFF"/>
            </w:tcBorders>
            <w:shd w:val="clear" w:color="auto" w:fill="auto"/>
            <w:noWrap/>
            <w:vAlign w:val="center"/>
            <w:hideMark/>
          </w:tcPr>
          <w:p w14:paraId="360A0219" w14:textId="77777777" w:rsidR="00C64021" w:rsidRPr="00C64021" w:rsidRDefault="00C64021" w:rsidP="00D849E6">
            <w:pPr>
              <w:spacing w:line="240" w:lineRule="auto"/>
              <w:jc w:val="center"/>
              <w:rPr>
                <w:color w:val="000000"/>
                <w:sz w:val="20"/>
                <w:szCs w:val="20"/>
              </w:rPr>
            </w:pPr>
            <w:r w:rsidRPr="00C64021">
              <w:rPr>
                <w:color w:val="000000"/>
                <w:sz w:val="20"/>
                <w:szCs w:val="20"/>
              </w:rPr>
              <w:t>0.751</w:t>
            </w:r>
          </w:p>
        </w:tc>
        <w:tc>
          <w:tcPr>
            <w:tcW w:w="960" w:type="dxa"/>
            <w:tcBorders>
              <w:top w:val="nil"/>
              <w:left w:val="single" w:sz="48" w:space="0" w:color="FFFFFF"/>
              <w:bottom w:val="single" w:sz="12" w:space="0" w:color="auto"/>
              <w:right w:val="single" w:sz="48" w:space="0" w:color="FFFFFF"/>
            </w:tcBorders>
            <w:shd w:val="clear" w:color="auto" w:fill="auto"/>
            <w:noWrap/>
            <w:vAlign w:val="center"/>
            <w:hideMark/>
          </w:tcPr>
          <w:p w14:paraId="38FF4D74" w14:textId="77777777" w:rsidR="00C64021" w:rsidRPr="00C64021" w:rsidRDefault="00C64021" w:rsidP="00D849E6">
            <w:pPr>
              <w:spacing w:line="240" w:lineRule="auto"/>
              <w:jc w:val="center"/>
              <w:rPr>
                <w:color w:val="000000"/>
                <w:sz w:val="20"/>
                <w:szCs w:val="20"/>
              </w:rPr>
            </w:pPr>
            <w:r w:rsidRPr="00C64021">
              <w:rPr>
                <w:color w:val="000000"/>
                <w:sz w:val="20"/>
                <w:szCs w:val="20"/>
              </w:rPr>
              <w:t>0.07</w:t>
            </w:r>
          </w:p>
        </w:tc>
        <w:tc>
          <w:tcPr>
            <w:tcW w:w="809" w:type="dxa"/>
            <w:tcBorders>
              <w:top w:val="nil"/>
              <w:left w:val="single" w:sz="48" w:space="0" w:color="FFFFFF"/>
              <w:bottom w:val="single" w:sz="12" w:space="0" w:color="auto"/>
              <w:right w:val="single" w:sz="48" w:space="0" w:color="FFFFFF"/>
            </w:tcBorders>
            <w:shd w:val="clear" w:color="auto" w:fill="auto"/>
            <w:noWrap/>
            <w:vAlign w:val="center"/>
            <w:hideMark/>
          </w:tcPr>
          <w:p w14:paraId="354B22D9" w14:textId="77777777" w:rsidR="00C64021" w:rsidRPr="00C64021" w:rsidRDefault="00C64021" w:rsidP="00D849E6">
            <w:pPr>
              <w:spacing w:line="240" w:lineRule="auto"/>
              <w:jc w:val="center"/>
              <w:rPr>
                <w:color w:val="000000"/>
                <w:sz w:val="20"/>
                <w:szCs w:val="20"/>
              </w:rPr>
            </w:pPr>
            <w:r w:rsidRPr="00C64021">
              <w:rPr>
                <w:color w:val="000000"/>
                <w:sz w:val="20"/>
                <w:szCs w:val="20"/>
              </w:rPr>
              <w:t>0.931</w:t>
            </w:r>
          </w:p>
        </w:tc>
        <w:tc>
          <w:tcPr>
            <w:tcW w:w="901" w:type="dxa"/>
            <w:tcBorders>
              <w:top w:val="nil"/>
              <w:left w:val="single" w:sz="48" w:space="0" w:color="FFFFFF"/>
              <w:bottom w:val="single" w:sz="12" w:space="0" w:color="auto"/>
              <w:right w:val="single" w:sz="48" w:space="0" w:color="FFFFFF"/>
            </w:tcBorders>
            <w:shd w:val="clear" w:color="auto" w:fill="auto"/>
            <w:noWrap/>
            <w:vAlign w:val="center"/>
            <w:hideMark/>
          </w:tcPr>
          <w:p w14:paraId="1E84B228" w14:textId="77777777" w:rsidR="00C64021" w:rsidRPr="00C64021" w:rsidRDefault="00C64021" w:rsidP="00D849E6">
            <w:pPr>
              <w:spacing w:line="240" w:lineRule="auto"/>
              <w:jc w:val="center"/>
              <w:rPr>
                <w:color w:val="000000"/>
                <w:sz w:val="20"/>
                <w:szCs w:val="20"/>
              </w:rPr>
            </w:pPr>
            <w:r w:rsidRPr="00C64021">
              <w:rPr>
                <w:color w:val="000000"/>
                <w:sz w:val="20"/>
                <w:szCs w:val="20"/>
              </w:rPr>
              <w:t>3.07</w:t>
            </w:r>
          </w:p>
        </w:tc>
        <w:tc>
          <w:tcPr>
            <w:tcW w:w="810" w:type="dxa"/>
            <w:tcBorders>
              <w:top w:val="nil"/>
              <w:left w:val="single" w:sz="48" w:space="0" w:color="FFFFFF"/>
              <w:bottom w:val="single" w:sz="12" w:space="0" w:color="auto"/>
              <w:right w:val="nil"/>
            </w:tcBorders>
            <w:shd w:val="clear" w:color="auto" w:fill="auto"/>
            <w:noWrap/>
            <w:vAlign w:val="center"/>
            <w:hideMark/>
          </w:tcPr>
          <w:p w14:paraId="63B35B68" w14:textId="77777777" w:rsidR="00C64021" w:rsidRPr="00C64021" w:rsidRDefault="00C64021" w:rsidP="00D849E6">
            <w:pPr>
              <w:spacing w:line="240" w:lineRule="auto"/>
              <w:jc w:val="center"/>
              <w:rPr>
                <w:color w:val="000000"/>
                <w:sz w:val="20"/>
                <w:szCs w:val="20"/>
              </w:rPr>
            </w:pPr>
            <w:r w:rsidRPr="00C64021">
              <w:rPr>
                <w:color w:val="000000"/>
                <w:sz w:val="20"/>
                <w:szCs w:val="20"/>
              </w:rPr>
              <w:t>0.076</w:t>
            </w:r>
          </w:p>
        </w:tc>
      </w:tr>
    </w:tbl>
    <w:p w14:paraId="45DFF552" w14:textId="77777777" w:rsidR="00C64021" w:rsidRPr="00C64021" w:rsidRDefault="00C64021" w:rsidP="00C64021">
      <w:pPr>
        <w:spacing w:line="240" w:lineRule="auto"/>
        <w:ind w:left="180" w:hanging="180"/>
        <w:rPr>
          <w:bCs/>
        </w:rPr>
      </w:pPr>
      <w:r w:rsidRPr="00C64021">
        <w:rPr>
          <w:bCs/>
        </w:rPr>
        <w:t>† HARV = browntop millet (BTM) defoliation strategies (harvest for hay, harvest for competition control); RATE = BTM seeding rate (0, 11.2, and 22.4 kg PLS ha</w:t>
      </w:r>
      <w:r w:rsidRPr="00C64021">
        <w:rPr>
          <w:bCs/>
          <w:vertAlign w:val="superscript"/>
        </w:rPr>
        <w:t>-1</w:t>
      </w:r>
      <w:r w:rsidRPr="00C64021">
        <w:rPr>
          <w:bCs/>
        </w:rPr>
        <w:t>)</w:t>
      </w:r>
    </w:p>
    <w:p w14:paraId="76992E33" w14:textId="77777777" w:rsidR="00C64021" w:rsidRDefault="00C64021" w:rsidP="00C64021">
      <w:pPr>
        <w:spacing w:line="240" w:lineRule="auto"/>
        <w:rPr>
          <w:bCs/>
        </w:rPr>
      </w:pPr>
      <w:r w:rsidRPr="00C64021">
        <w:rPr>
          <w:bCs/>
        </w:rPr>
        <w:t>‡ df num/den = HARV, 1/15; RATE, 2/15; HARV x RATE, 2/15</w:t>
      </w:r>
    </w:p>
    <w:p w14:paraId="0702634A" w14:textId="77777777" w:rsidR="002F5B7E" w:rsidRDefault="002F5B7E" w:rsidP="00C64021">
      <w:pPr>
        <w:spacing w:line="240" w:lineRule="auto"/>
        <w:rPr>
          <w:bCs/>
        </w:rPr>
      </w:pPr>
    </w:p>
    <w:p w14:paraId="3BD31618" w14:textId="6D8E4BE4" w:rsidR="002F5B7E" w:rsidRPr="00C64021" w:rsidRDefault="002F5B7E" w:rsidP="00C64021">
      <w:pPr>
        <w:spacing w:line="240" w:lineRule="auto"/>
        <w:rPr>
          <w:bCs/>
        </w:rPr>
        <w:sectPr w:rsidR="002F5B7E" w:rsidRPr="00C64021" w:rsidSect="00C64021">
          <w:pgSz w:w="12240" w:h="15840"/>
          <w:pgMar w:top="1440" w:right="1800" w:bottom="1872" w:left="1800" w:header="720" w:footer="720" w:gutter="0"/>
          <w:cols w:space="720"/>
          <w:docGrid w:linePitch="360"/>
        </w:sectPr>
      </w:pPr>
    </w:p>
    <w:p w14:paraId="4641E78A" w14:textId="5E7B7D12" w:rsidR="00C64021" w:rsidRPr="000D6E9A" w:rsidRDefault="00C64021" w:rsidP="00C64021">
      <w:pPr>
        <w:pStyle w:val="Tables"/>
      </w:pPr>
      <w:bookmarkStart w:id="284" w:name="_Toc72300421"/>
      <w:r w:rsidRPr="00E04E78">
        <w:lastRenderedPageBreak/>
        <w:t xml:space="preserve">Table </w:t>
      </w:r>
      <w:r w:rsidR="00CF049C">
        <w:t>3A.4</w:t>
      </w:r>
      <w:r w:rsidRPr="00E04E78">
        <w:t xml:space="preserve">. Mixed-effects ANOVA model </w:t>
      </w:r>
      <w:r w:rsidRPr="000D6E9A">
        <w:t xml:space="preserve">results for </w:t>
      </w:r>
      <w:r>
        <w:t xml:space="preserve">establishment-year </w:t>
      </w:r>
      <w:r w:rsidRPr="000D6E9A">
        <w:t>pla</w:t>
      </w:r>
      <w:r w:rsidRPr="00136BC7">
        <w:t>n</w:t>
      </w:r>
      <w:r w:rsidRPr="002B6D59">
        <w:t>t densit</w:t>
      </w:r>
      <w:r w:rsidRPr="00677DC5">
        <w:t>y of switchgrass seedlings</w:t>
      </w:r>
      <w:r w:rsidRPr="000D6E9A">
        <w:t>, weeds, and browntop millet (BTM) + weeds</w:t>
      </w:r>
      <w:r>
        <w:t xml:space="preserve"> at each site</w:t>
      </w:r>
      <w:r w:rsidRPr="000D6E9A">
        <w:t xml:space="preserve"> at East Tennessee AgResearch and Education Center</w:t>
      </w:r>
      <w:r>
        <w:t>-Plant Science Unit</w:t>
      </w:r>
      <w:r w:rsidRPr="000D6E9A">
        <w:t xml:space="preserve">, Knoxville, TN, </w:t>
      </w:r>
      <w:r>
        <w:t xml:space="preserve">2016-2017 </w:t>
      </w:r>
      <w:r w:rsidRPr="000D6E9A">
        <w:t>during a switchgrass establishment experiment.</w:t>
      </w:r>
      <w:bookmarkEnd w:id="284"/>
      <w:r w:rsidRPr="000D6E9A">
        <w:t xml:space="preserve">  </w:t>
      </w:r>
    </w:p>
    <w:tbl>
      <w:tblPr>
        <w:tblW w:w="11700" w:type="dxa"/>
        <w:tblLayout w:type="fixed"/>
        <w:tblLook w:val="04A0" w:firstRow="1" w:lastRow="0" w:firstColumn="1" w:lastColumn="0" w:noHBand="0" w:noVBand="1"/>
      </w:tblPr>
      <w:tblGrid>
        <w:gridCol w:w="433"/>
        <w:gridCol w:w="1454"/>
        <w:gridCol w:w="989"/>
        <w:gridCol w:w="720"/>
        <w:gridCol w:w="872"/>
        <w:gridCol w:w="748"/>
        <w:gridCol w:w="872"/>
        <w:gridCol w:w="748"/>
        <w:gridCol w:w="842"/>
        <w:gridCol w:w="782"/>
        <w:gridCol w:w="870"/>
        <w:gridCol w:w="750"/>
        <w:gridCol w:w="869"/>
        <w:gridCol w:w="751"/>
      </w:tblGrid>
      <w:tr w:rsidR="00C64021" w:rsidRPr="002F5B7E" w14:paraId="26D2F10D" w14:textId="77777777" w:rsidTr="002F5B7E">
        <w:trPr>
          <w:trHeight w:val="300"/>
        </w:trPr>
        <w:tc>
          <w:tcPr>
            <w:tcW w:w="433" w:type="dxa"/>
            <w:tcBorders>
              <w:top w:val="single" w:sz="12" w:space="0" w:color="auto"/>
              <w:left w:val="nil"/>
              <w:bottom w:val="nil"/>
              <w:right w:val="nil"/>
            </w:tcBorders>
            <w:shd w:val="clear" w:color="auto" w:fill="auto"/>
            <w:noWrap/>
            <w:vAlign w:val="bottom"/>
            <w:hideMark/>
          </w:tcPr>
          <w:p w14:paraId="695C6D80" w14:textId="77777777" w:rsidR="00C64021" w:rsidRPr="002F5B7E" w:rsidRDefault="00C64021" w:rsidP="00D849E6">
            <w:pPr>
              <w:spacing w:line="240" w:lineRule="auto"/>
              <w:rPr>
                <w:sz w:val="20"/>
                <w:szCs w:val="20"/>
              </w:rPr>
            </w:pPr>
          </w:p>
        </w:tc>
        <w:tc>
          <w:tcPr>
            <w:tcW w:w="1454" w:type="dxa"/>
            <w:tcBorders>
              <w:top w:val="single" w:sz="12" w:space="0" w:color="auto"/>
              <w:left w:val="nil"/>
              <w:bottom w:val="nil"/>
              <w:right w:val="single" w:sz="48" w:space="0" w:color="FFFFFF"/>
            </w:tcBorders>
            <w:shd w:val="clear" w:color="auto" w:fill="auto"/>
            <w:noWrap/>
            <w:vAlign w:val="bottom"/>
            <w:hideMark/>
          </w:tcPr>
          <w:p w14:paraId="19E1B593" w14:textId="77777777" w:rsidR="00C64021" w:rsidRPr="002F5B7E" w:rsidRDefault="00C64021" w:rsidP="00D849E6">
            <w:pPr>
              <w:spacing w:line="240" w:lineRule="auto"/>
              <w:rPr>
                <w:sz w:val="20"/>
                <w:szCs w:val="20"/>
              </w:rPr>
            </w:pPr>
          </w:p>
        </w:tc>
        <w:tc>
          <w:tcPr>
            <w:tcW w:w="4949" w:type="dxa"/>
            <w:gridSpan w:val="6"/>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02FF755D" w14:textId="77777777" w:rsidR="00C64021" w:rsidRPr="002F5B7E" w:rsidRDefault="00C64021" w:rsidP="00D849E6">
            <w:pPr>
              <w:spacing w:line="240" w:lineRule="auto"/>
              <w:jc w:val="center"/>
              <w:rPr>
                <w:color w:val="000000"/>
                <w:sz w:val="20"/>
                <w:szCs w:val="20"/>
              </w:rPr>
            </w:pPr>
            <w:r w:rsidRPr="002F5B7E">
              <w:rPr>
                <w:color w:val="000000"/>
                <w:sz w:val="20"/>
                <w:szCs w:val="20"/>
              </w:rPr>
              <w:t>Site 1</w:t>
            </w:r>
          </w:p>
        </w:tc>
        <w:tc>
          <w:tcPr>
            <w:tcW w:w="4864" w:type="dxa"/>
            <w:gridSpan w:val="6"/>
            <w:tcBorders>
              <w:top w:val="single" w:sz="12" w:space="0" w:color="auto"/>
              <w:left w:val="single" w:sz="48" w:space="0" w:color="FFFFFF"/>
              <w:bottom w:val="single" w:sz="12" w:space="0" w:color="auto"/>
              <w:right w:val="nil"/>
            </w:tcBorders>
            <w:shd w:val="clear" w:color="auto" w:fill="auto"/>
            <w:noWrap/>
            <w:vAlign w:val="center"/>
            <w:hideMark/>
          </w:tcPr>
          <w:p w14:paraId="1D4623AA" w14:textId="77777777" w:rsidR="00C64021" w:rsidRPr="002F5B7E" w:rsidRDefault="00C64021" w:rsidP="00D849E6">
            <w:pPr>
              <w:spacing w:line="240" w:lineRule="auto"/>
              <w:jc w:val="center"/>
              <w:rPr>
                <w:color w:val="000000"/>
                <w:sz w:val="20"/>
                <w:szCs w:val="20"/>
              </w:rPr>
            </w:pPr>
            <w:r w:rsidRPr="002F5B7E">
              <w:rPr>
                <w:color w:val="000000"/>
                <w:sz w:val="20"/>
                <w:szCs w:val="20"/>
              </w:rPr>
              <w:t>Site 2</w:t>
            </w:r>
          </w:p>
        </w:tc>
      </w:tr>
      <w:tr w:rsidR="00C64021" w:rsidRPr="002F5B7E" w14:paraId="5D688F33" w14:textId="77777777" w:rsidTr="002F5B7E">
        <w:trPr>
          <w:trHeight w:val="300"/>
        </w:trPr>
        <w:tc>
          <w:tcPr>
            <w:tcW w:w="433" w:type="dxa"/>
            <w:tcBorders>
              <w:top w:val="nil"/>
              <w:left w:val="nil"/>
              <w:bottom w:val="nil"/>
              <w:right w:val="nil"/>
            </w:tcBorders>
            <w:shd w:val="clear" w:color="auto" w:fill="auto"/>
            <w:noWrap/>
            <w:vAlign w:val="bottom"/>
            <w:hideMark/>
          </w:tcPr>
          <w:p w14:paraId="0576445C" w14:textId="77777777" w:rsidR="00C64021" w:rsidRPr="002F5B7E" w:rsidRDefault="00C64021" w:rsidP="00D849E6">
            <w:pPr>
              <w:spacing w:line="240" w:lineRule="auto"/>
              <w:jc w:val="center"/>
              <w:rPr>
                <w:color w:val="000000"/>
                <w:sz w:val="20"/>
                <w:szCs w:val="20"/>
              </w:rPr>
            </w:pPr>
          </w:p>
        </w:tc>
        <w:tc>
          <w:tcPr>
            <w:tcW w:w="1454" w:type="dxa"/>
            <w:tcBorders>
              <w:top w:val="nil"/>
              <w:left w:val="nil"/>
              <w:bottom w:val="nil"/>
              <w:right w:val="single" w:sz="48" w:space="0" w:color="FFFFFF"/>
            </w:tcBorders>
            <w:shd w:val="clear" w:color="auto" w:fill="auto"/>
            <w:noWrap/>
            <w:vAlign w:val="bottom"/>
            <w:hideMark/>
          </w:tcPr>
          <w:p w14:paraId="25293F96" w14:textId="77777777" w:rsidR="00C64021" w:rsidRPr="002F5B7E" w:rsidRDefault="00C64021" w:rsidP="00D849E6">
            <w:pPr>
              <w:spacing w:line="240" w:lineRule="auto"/>
              <w:rPr>
                <w:sz w:val="20"/>
                <w:szCs w:val="20"/>
              </w:rPr>
            </w:pPr>
          </w:p>
        </w:tc>
        <w:tc>
          <w:tcPr>
            <w:tcW w:w="1709" w:type="dxa"/>
            <w:gridSpan w:val="2"/>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3A791FE1" w14:textId="77777777" w:rsidR="00C64021" w:rsidRPr="002F5B7E" w:rsidRDefault="00C64021" w:rsidP="00D849E6">
            <w:pPr>
              <w:spacing w:line="240" w:lineRule="auto"/>
              <w:jc w:val="center"/>
              <w:rPr>
                <w:color w:val="000000"/>
                <w:sz w:val="20"/>
                <w:szCs w:val="20"/>
              </w:rPr>
            </w:pPr>
            <w:r w:rsidRPr="002F5B7E">
              <w:rPr>
                <w:color w:val="000000"/>
                <w:sz w:val="20"/>
                <w:szCs w:val="20"/>
              </w:rPr>
              <w:t>30 DAP</w:t>
            </w:r>
            <w:r w:rsidRPr="002F5B7E">
              <w:rPr>
                <w:sz w:val="20"/>
                <w:szCs w:val="20"/>
              </w:rPr>
              <w:t>†</w:t>
            </w:r>
          </w:p>
        </w:tc>
        <w:tc>
          <w:tcPr>
            <w:tcW w:w="1620" w:type="dxa"/>
            <w:gridSpan w:val="2"/>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53C8D207" w14:textId="77777777" w:rsidR="00C64021" w:rsidRPr="002F5B7E" w:rsidRDefault="00C64021" w:rsidP="00D849E6">
            <w:pPr>
              <w:spacing w:line="240" w:lineRule="auto"/>
              <w:jc w:val="center"/>
              <w:rPr>
                <w:color w:val="000000"/>
                <w:sz w:val="20"/>
                <w:szCs w:val="20"/>
              </w:rPr>
            </w:pPr>
            <w:r w:rsidRPr="002F5B7E">
              <w:rPr>
                <w:color w:val="000000"/>
                <w:sz w:val="20"/>
                <w:szCs w:val="20"/>
              </w:rPr>
              <w:t>60 DAP</w:t>
            </w:r>
          </w:p>
        </w:tc>
        <w:tc>
          <w:tcPr>
            <w:tcW w:w="1620" w:type="dxa"/>
            <w:gridSpan w:val="2"/>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5A2E47D5" w14:textId="77777777" w:rsidR="00C64021" w:rsidRPr="002F5B7E" w:rsidRDefault="00C64021" w:rsidP="00D849E6">
            <w:pPr>
              <w:spacing w:line="240" w:lineRule="auto"/>
              <w:jc w:val="center"/>
              <w:rPr>
                <w:color w:val="000000"/>
                <w:sz w:val="20"/>
                <w:szCs w:val="20"/>
              </w:rPr>
            </w:pPr>
            <w:r w:rsidRPr="002F5B7E">
              <w:rPr>
                <w:color w:val="000000"/>
                <w:sz w:val="20"/>
                <w:szCs w:val="20"/>
              </w:rPr>
              <w:t>Dormancy</w:t>
            </w:r>
          </w:p>
        </w:tc>
        <w:tc>
          <w:tcPr>
            <w:tcW w:w="1624" w:type="dxa"/>
            <w:gridSpan w:val="2"/>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3C86A8CC" w14:textId="77777777" w:rsidR="00C64021" w:rsidRPr="002F5B7E" w:rsidRDefault="00C64021" w:rsidP="00D849E6">
            <w:pPr>
              <w:spacing w:line="240" w:lineRule="auto"/>
              <w:jc w:val="center"/>
              <w:rPr>
                <w:color w:val="000000"/>
                <w:sz w:val="20"/>
                <w:szCs w:val="20"/>
              </w:rPr>
            </w:pPr>
            <w:r w:rsidRPr="002F5B7E">
              <w:rPr>
                <w:color w:val="000000"/>
                <w:sz w:val="20"/>
                <w:szCs w:val="20"/>
              </w:rPr>
              <w:t>30 DAP</w:t>
            </w:r>
          </w:p>
        </w:tc>
        <w:tc>
          <w:tcPr>
            <w:tcW w:w="1620" w:type="dxa"/>
            <w:gridSpan w:val="2"/>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15065B9A" w14:textId="77777777" w:rsidR="00C64021" w:rsidRPr="002F5B7E" w:rsidRDefault="00C64021" w:rsidP="00D849E6">
            <w:pPr>
              <w:spacing w:line="240" w:lineRule="auto"/>
              <w:jc w:val="center"/>
              <w:rPr>
                <w:color w:val="000000"/>
                <w:sz w:val="20"/>
                <w:szCs w:val="20"/>
              </w:rPr>
            </w:pPr>
            <w:r w:rsidRPr="002F5B7E">
              <w:rPr>
                <w:color w:val="000000"/>
                <w:sz w:val="20"/>
                <w:szCs w:val="20"/>
              </w:rPr>
              <w:t>60 DAP</w:t>
            </w:r>
          </w:p>
        </w:tc>
        <w:tc>
          <w:tcPr>
            <w:tcW w:w="1620" w:type="dxa"/>
            <w:gridSpan w:val="2"/>
            <w:tcBorders>
              <w:top w:val="single" w:sz="12" w:space="0" w:color="auto"/>
              <w:left w:val="single" w:sz="48" w:space="0" w:color="FFFFFF"/>
              <w:bottom w:val="nil"/>
              <w:right w:val="nil"/>
            </w:tcBorders>
            <w:shd w:val="clear" w:color="auto" w:fill="auto"/>
            <w:noWrap/>
            <w:vAlign w:val="center"/>
            <w:hideMark/>
          </w:tcPr>
          <w:p w14:paraId="2FF4CCFB" w14:textId="77777777" w:rsidR="00C64021" w:rsidRPr="002F5B7E" w:rsidRDefault="00C64021" w:rsidP="00D849E6">
            <w:pPr>
              <w:spacing w:line="240" w:lineRule="auto"/>
              <w:jc w:val="center"/>
              <w:rPr>
                <w:color w:val="000000"/>
                <w:sz w:val="20"/>
                <w:szCs w:val="20"/>
              </w:rPr>
            </w:pPr>
            <w:r w:rsidRPr="002F5B7E">
              <w:rPr>
                <w:color w:val="000000"/>
                <w:sz w:val="20"/>
                <w:szCs w:val="20"/>
              </w:rPr>
              <w:t>Dormancy</w:t>
            </w:r>
          </w:p>
        </w:tc>
      </w:tr>
      <w:tr w:rsidR="00C64021" w:rsidRPr="002F5B7E" w14:paraId="7E4BF0E1" w14:textId="77777777" w:rsidTr="002F5B7E">
        <w:trPr>
          <w:trHeight w:val="300"/>
        </w:trPr>
        <w:tc>
          <w:tcPr>
            <w:tcW w:w="1887" w:type="dxa"/>
            <w:gridSpan w:val="2"/>
            <w:tcBorders>
              <w:top w:val="nil"/>
              <w:left w:val="nil"/>
              <w:bottom w:val="single" w:sz="12" w:space="0" w:color="auto"/>
              <w:right w:val="single" w:sz="48" w:space="0" w:color="FFFFFF"/>
            </w:tcBorders>
            <w:shd w:val="clear" w:color="auto" w:fill="auto"/>
            <w:noWrap/>
            <w:vAlign w:val="center"/>
            <w:hideMark/>
          </w:tcPr>
          <w:p w14:paraId="0F4A8573" w14:textId="77777777" w:rsidR="00C64021" w:rsidRPr="002F5B7E" w:rsidRDefault="00C64021" w:rsidP="00D849E6">
            <w:pPr>
              <w:spacing w:line="240" w:lineRule="auto"/>
              <w:rPr>
                <w:color w:val="000000"/>
                <w:sz w:val="20"/>
                <w:szCs w:val="20"/>
              </w:rPr>
            </w:pPr>
            <w:r w:rsidRPr="002F5B7E">
              <w:rPr>
                <w:color w:val="000000"/>
                <w:sz w:val="20"/>
                <w:szCs w:val="20"/>
              </w:rPr>
              <w:t>Effect</w:t>
            </w:r>
          </w:p>
        </w:tc>
        <w:tc>
          <w:tcPr>
            <w:tcW w:w="989"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38EE5229" w14:textId="77777777" w:rsidR="00C64021" w:rsidRPr="002F5B7E" w:rsidRDefault="00C64021" w:rsidP="00D849E6">
            <w:pPr>
              <w:spacing w:line="240" w:lineRule="auto"/>
              <w:jc w:val="center"/>
              <w:rPr>
                <w:color w:val="000000"/>
                <w:sz w:val="20"/>
                <w:szCs w:val="20"/>
              </w:rPr>
            </w:pPr>
            <w:r w:rsidRPr="002F5B7E">
              <w:rPr>
                <w:i/>
                <w:iCs/>
                <w:color w:val="000000"/>
                <w:sz w:val="20"/>
                <w:szCs w:val="20"/>
              </w:rPr>
              <w:t>F</w:t>
            </w:r>
            <w:r w:rsidRPr="002F5B7E">
              <w:rPr>
                <w:color w:val="000000"/>
                <w:sz w:val="20"/>
                <w:szCs w:val="20"/>
              </w:rPr>
              <w:t xml:space="preserve"> value§</w:t>
            </w:r>
          </w:p>
        </w:tc>
        <w:tc>
          <w:tcPr>
            <w:tcW w:w="720"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29D2D061" w14:textId="77777777" w:rsidR="00C64021" w:rsidRPr="002F5B7E" w:rsidRDefault="00C64021" w:rsidP="00D849E6">
            <w:pPr>
              <w:spacing w:line="240" w:lineRule="auto"/>
              <w:jc w:val="center"/>
              <w:rPr>
                <w:i/>
                <w:iCs/>
                <w:color w:val="000000"/>
                <w:sz w:val="20"/>
                <w:szCs w:val="20"/>
              </w:rPr>
            </w:pPr>
            <w:r w:rsidRPr="002F5B7E">
              <w:rPr>
                <w:i/>
                <w:iCs/>
                <w:color w:val="000000"/>
                <w:sz w:val="20"/>
                <w:szCs w:val="20"/>
              </w:rPr>
              <w:t>P &gt; F</w:t>
            </w:r>
          </w:p>
        </w:tc>
        <w:tc>
          <w:tcPr>
            <w:tcW w:w="872"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1790D8C8" w14:textId="77777777" w:rsidR="00C64021" w:rsidRPr="002F5B7E" w:rsidRDefault="00C64021" w:rsidP="00D849E6">
            <w:pPr>
              <w:spacing w:line="240" w:lineRule="auto"/>
              <w:jc w:val="center"/>
              <w:rPr>
                <w:color w:val="000000"/>
                <w:sz w:val="20"/>
                <w:szCs w:val="20"/>
              </w:rPr>
            </w:pPr>
            <w:r w:rsidRPr="002F5B7E">
              <w:rPr>
                <w:i/>
                <w:iCs/>
                <w:color w:val="000000"/>
                <w:sz w:val="20"/>
                <w:szCs w:val="20"/>
              </w:rPr>
              <w:t>F</w:t>
            </w:r>
            <w:r w:rsidRPr="002F5B7E">
              <w:rPr>
                <w:color w:val="000000"/>
                <w:sz w:val="20"/>
                <w:szCs w:val="20"/>
              </w:rPr>
              <w:t xml:space="preserve"> value</w:t>
            </w:r>
          </w:p>
        </w:tc>
        <w:tc>
          <w:tcPr>
            <w:tcW w:w="748"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2AD92555" w14:textId="77777777" w:rsidR="00C64021" w:rsidRPr="002F5B7E" w:rsidRDefault="00C64021" w:rsidP="00D849E6">
            <w:pPr>
              <w:spacing w:line="240" w:lineRule="auto"/>
              <w:jc w:val="center"/>
              <w:rPr>
                <w:i/>
                <w:iCs/>
                <w:color w:val="000000"/>
                <w:sz w:val="20"/>
                <w:szCs w:val="20"/>
              </w:rPr>
            </w:pPr>
            <w:r w:rsidRPr="002F5B7E">
              <w:rPr>
                <w:i/>
                <w:iCs/>
                <w:color w:val="000000"/>
                <w:sz w:val="20"/>
                <w:szCs w:val="20"/>
              </w:rPr>
              <w:t>P &gt; F</w:t>
            </w:r>
          </w:p>
        </w:tc>
        <w:tc>
          <w:tcPr>
            <w:tcW w:w="872"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6779FBF4" w14:textId="77777777" w:rsidR="00C64021" w:rsidRPr="002F5B7E" w:rsidRDefault="00C64021" w:rsidP="00D849E6">
            <w:pPr>
              <w:spacing w:line="240" w:lineRule="auto"/>
              <w:jc w:val="center"/>
              <w:rPr>
                <w:color w:val="000000"/>
                <w:sz w:val="20"/>
                <w:szCs w:val="20"/>
              </w:rPr>
            </w:pPr>
            <w:r w:rsidRPr="002F5B7E">
              <w:rPr>
                <w:i/>
                <w:iCs/>
                <w:color w:val="000000"/>
                <w:sz w:val="20"/>
                <w:szCs w:val="20"/>
              </w:rPr>
              <w:t>F</w:t>
            </w:r>
            <w:r w:rsidRPr="002F5B7E">
              <w:rPr>
                <w:color w:val="000000"/>
                <w:sz w:val="20"/>
                <w:szCs w:val="20"/>
              </w:rPr>
              <w:t xml:space="preserve"> value</w:t>
            </w:r>
          </w:p>
        </w:tc>
        <w:tc>
          <w:tcPr>
            <w:tcW w:w="748"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4DC3A3D2" w14:textId="77777777" w:rsidR="00C64021" w:rsidRPr="002F5B7E" w:rsidRDefault="00C64021" w:rsidP="00D849E6">
            <w:pPr>
              <w:spacing w:line="240" w:lineRule="auto"/>
              <w:jc w:val="center"/>
              <w:rPr>
                <w:i/>
                <w:iCs/>
                <w:color w:val="000000"/>
                <w:sz w:val="20"/>
                <w:szCs w:val="20"/>
              </w:rPr>
            </w:pPr>
            <w:r w:rsidRPr="002F5B7E">
              <w:rPr>
                <w:i/>
                <w:iCs/>
                <w:color w:val="000000"/>
                <w:sz w:val="20"/>
                <w:szCs w:val="20"/>
              </w:rPr>
              <w:t>P &gt; F</w:t>
            </w:r>
          </w:p>
        </w:tc>
        <w:tc>
          <w:tcPr>
            <w:tcW w:w="842"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65708382" w14:textId="77777777" w:rsidR="00C64021" w:rsidRPr="002F5B7E" w:rsidRDefault="00C64021" w:rsidP="00D849E6">
            <w:pPr>
              <w:spacing w:line="240" w:lineRule="auto"/>
              <w:jc w:val="center"/>
              <w:rPr>
                <w:color w:val="000000"/>
                <w:sz w:val="20"/>
                <w:szCs w:val="20"/>
              </w:rPr>
            </w:pPr>
            <w:r w:rsidRPr="002F5B7E">
              <w:rPr>
                <w:i/>
                <w:iCs/>
                <w:color w:val="000000"/>
                <w:sz w:val="20"/>
                <w:szCs w:val="20"/>
              </w:rPr>
              <w:t>F</w:t>
            </w:r>
            <w:r w:rsidRPr="002F5B7E">
              <w:rPr>
                <w:color w:val="000000"/>
                <w:sz w:val="20"/>
                <w:szCs w:val="20"/>
              </w:rPr>
              <w:t xml:space="preserve"> value</w:t>
            </w:r>
          </w:p>
        </w:tc>
        <w:tc>
          <w:tcPr>
            <w:tcW w:w="782"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2871F25C" w14:textId="77777777" w:rsidR="00C64021" w:rsidRPr="002F5B7E" w:rsidRDefault="00C64021" w:rsidP="00D849E6">
            <w:pPr>
              <w:spacing w:line="240" w:lineRule="auto"/>
              <w:jc w:val="center"/>
              <w:rPr>
                <w:i/>
                <w:iCs/>
                <w:color w:val="000000"/>
                <w:sz w:val="20"/>
                <w:szCs w:val="20"/>
              </w:rPr>
            </w:pPr>
            <w:r w:rsidRPr="002F5B7E">
              <w:rPr>
                <w:i/>
                <w:iCs/>
                <w:color w:val="000000"/>
                <w:sz w:val="20"/>
                <w:szCs w:val="20"/>
              </w:rPr>
              <w:t>P &gt; F</w:t>
            </w:r>
          </w:p>
        </w:tc>
        <w:tc>
          <w:tcPr>
            <w:tcW w:w="870"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366B8EFC" w14:textId="77777777" w:rsidR="00C64021" w:rsidRPr="002F5B7E" w:rsidRDefault="00C64021" w:rsidP="00D849E6">
            <w:pPr>
              <w:spacing w:line="240" w:lineRule="auto"/>
              <w:jc w:val="center"/>
              <w:rPr>
                <w:color w:val="000000"/>
                <w:sz w:val="20"/>
                <w:szCs w:val="20"/>
              </w:rPr>
            </w:pPr>
            <w:r w:rsidRPr="002F5B7E">
              <w:rPr>
                <w:i/>
                <w:iCs/>
                <w:color w:val="000000"/>
                <w:sz w:val="20"/>
                <w:szCs w:val="20"/>
              </w:rPr>
              <w:t>F</w:t>
            </w:r>
            <w:r w:rsidRPr="002F5B7E">
              <w:rPr>
                <w:color w:val="000000"/>
                <w:sz w:val="20"/>
                <w:szCs w:val="20"/>
              </w:rPr>
              <w:t xml:space="preserve"> value</w:t>
            </w:r>
          </w:p>
        </w:tc>
        <w:tc>
          <w:tcPr>
            <w:tcW w:w="750"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57593209" w14:textId="77777777" w:rsidR="00C64021" w:rsidRPr="002F5B7E" w:rsidRDefault="00C64021" w:rsidP="00D849E6">
            <w:pPr>
              <w:spacing w:line="240" w:lineRule="auto"/>
              <w:jc w:val="center"/>
              <w:rPr>
                <w:i/>
                <w:iCs/>
                <w:color w:val="000000"/>
                <w:sz w:val="20"/>
                <w:szCs w:val="20"/>
              </w:rPr>
            </w:pPr>
            <w:r w:rsidRPr="002F5B7E">
              <w:rPr>
                <w:i/>
                <w:iCs/>
                <w:color w:val="000000"/>
                <w:sz w:val="20"/>
                <w:szCs w:val="20"/>
              </w:rPr>
              <w:t>P &gt; F</w:t>
            </w:r>
          </w:p>
        </w:tc>
        <w:tc>
          <w:tcPr>
            <w:tcW w:w="869" w:type="dxa"/>
            <w:tcBorders>
              <w:top w:val="single" w:sz="12" w:space="0" w:color="auto"/>
              <w:left w:val="single" w:sz="48" w:space="0" w:color="FFFFFF"/>
              <w:bottom w:val="single" w:sz="12" w:space="0" w:color="auto"/>
              <w:right w:val="single" w:sz="48" w:space="0" w:color="FFFFFF"/>
            </w:tcBorders>
            <w:shd w:val="clear" w:color="auto" w:fill="auto"/>
            <w:noWrap/>
            <w:vAlign w:val="center"/>
            <w:hideMark/>
          </w:tcPr>
          <w:p w14:paraId="13E170F8" w14:textId="77777777" w:rsidR="00C64021" w:rsidRPr="002F5B7E" w:rsidRDefault="00C64021" w:rsidP="00D849E6">
            <w:pPr>
              <w:spacing w:line="240" w:lineRule="auto"/>
              <w:jc w:val="center"/>
              <w:rPr>
                <w:color w:val="000000"/>
                <w:sz w:val="20"/>
                <w:szCs w:val="20"/>
              </w:rPr>
            </w:pPr>
            <w:r w:rsidRPr="002F5B7E">
              <w:rPr>
                <w:i/>
                <w:iCs/>
                <w:color w:val="000000"/>
                <w:sz w:val="20"/>
                <w:szCs w:val="20"/>
              </w:rPr>
              <w:t>F</w:t>
            </w:r>
            <w:r w:rsidRPr="002F5B7E">
              <w:rPr>
                <w:color w:val="000000"/>
                <w:sz w:val="20"/>
                <w:szCs w:val="20"/>
              </w:rPr>
              <w:t xml:space="preserve"> value</w:t>
            </w:r>
          </w:p>
        </w:tc>
        <w:tc>
          <w:tcPr>
            <w:tcW w:w="751" w:type="dxa"/>
            <w:tcBorders>
              <w:top w:val="single" w:sz="12" w:space="0" w:color="auto"/>
              <w:left w:val="single" w:sz="48" w:space="0" w:color="FFFFFF"/>
              <w:bottom w:val="single" w:sz="12" w:space="0" w:color="auto"/>
              <w:right w:val="nil"/>
            </w:tcBorders>
            <w:shd w:val="clear" w:color="auto" w:fill="auto"/>
            <w:noWrap/>
            <w:vAlign w:val="center"/>
            <w:hideMark/>
          </w:tcPr>
          <w:p w14:paraId="4AB78A92" w14:textId="77777777" w:rsidR="00C64021" w:rsidRPr="002F5B7E" w:rsidRDefault="00C64021" w:rsidP="00D849E6">
            <w:pPr>
              <w:spacing w:line="240" w:lineRule="auto"/>
              <w:jc w:val="center"/>
              <w:rPr>
                <w:i/>
                <w:iCs/>
                <w:color w:val="000000"/>
                <w:sz w:val="20"/>
                <w:szCs w:val="20"/>
              </w:rPr>
            </w:pPr>
            <w:r w:rsidRPr="002F5B7E">
              <w:rPr>
                <w:i/>
                <w:iCs/>
                <w:color w:val="000000"/>
                <w:sz w:val="20"/>
                <w:szCs w:val="20"/>
              </w:rPr>
              <w:t>P &gt; F</w:t>
            </w:r>
          </w:p>
        </w:tc>
      </w:tr>
      <w:tr w:rsidR="00C64021" w:rsidRPr="002F5B7E" w14:paraId="4C4B0637" w14:textId="77777777" w:rsidTr="002F5B7E">
        <w:trPr>
          <w:trHeight w:val="300"/>
        </w:trPr>
        <w:tc>
          <w:tcPr>
            <w:tcW w:w="1887" w:type="dxa"/>
            <w:gridSpan w:val="2"/>
            <w:tcBorders>
              <w:top w:val="single" w:sz="12" w:space="0" w:color="auto"/>
              <w:left w:val="nil"/>
              <w:bottom w:val="nil"/>
              <w:right w:val="single" w:sz="48" w:space="0" w:color="FFFFFF"/>
            </w:tcBorders>
            <w:shd w:val="clear" w:color="auto" w:fill="auto"/>
            <w:noWrap/>
            <w:vAlign w:val="center"/>
            <w:hideMark/>
          </w:tcPr>
          <w:p w14:paraId="4264F2E1" w14:textId="77777777" w:rsidR="00C64021" w:rsidRPr="002F5B7E" w:rsidRDefault="00C64021" w:rsidP="00D849E6">
            <w:pPr>
              <w:spacing w:line="240" w:lineRule="auto"/>
              <w:rPr>
                <w:color w:val="000000"/>
                <w:sz w:val="20"/>
                <w:szCs w:val="20"/>
                <w:u w:val="single"/>
              </w:rPr>
            </w:pPr>
            <w:r w:rsidRPr="002F5B7E">
              <w:rPr>
                <w:color w:val="000000"/>
                <w:sz w:val="20"/>
                <w:szCs w:val="20"/>
                <w:u w:val="single"/>
              </w:rPr>
              <w:t>Switchgrass</w:t>
            </w:r>
          </w:p>
        </w:tc>
        <w:tc>
          <w:tcPr>
            <w:tcW w:w="989" w:type="dxa"/>
            <w:tcBorders>
              <w:top w:val="single" w:sz="12" w:space="0" w:color="auto"/>
              <w:left w:val="single" w:sz="48" w:space="0" w:color="FFFFFF"/>
              <w:bottom w:val="nil"/>
              <w:right w:val="single" w:sz="48" w:space="0" w:color="FFFFFF"/>
            </w:tcBorders>
            <w:shd w:val="clear" w:color="auto" w:fill="auto"/>
            <w:noWrap/>
            <w:vAlign w:val="center"/>
            <w:hideMark/>
          </w:tcPr>
          <w:p w14:paraId="35C6876B" w14:textId="77777777" w:rsidR="00C64021" w:rsidRPr="002F5B7E" w:rsidRDefault="00C64021" w:rsidP="00D849E6">
            <w:pPr>
              <w:spacing w:line="240" w:lineRule="auto"/>
              <w:jc w:val="center"/>
              <w:rPr>
                <w:color w:val="000000"/>
                <w:sz w:val="20"/>
                <w:szCs w:val="20"/>
              </w:rPr>
            </w:pPr>
          </w:p>
        </w:tc>
        <w:tc>
          <w:tcPr>
            <w:tcW w:w="720" w:type="dxa"/>
            <w:tcBorders>
              <w:top w:val="single" w:sz="12" w:space="0" w:color="auto"/>
              <w:left w:val="single" w:sz="48" w:space="0" w:color="FFFFFF"/>
              <w:bottom w:val="nil"/>
              <w:right w:val="single" w:sz="48" w:space="0" w:color="FFFFFF"/>
            </w:tcBorders>
            <w:shd w:val="clear" w:color="auto" w:fill="auto"/>
            <w:noWrap/>
            <w:vAlign w:val="center"/>
            <w:hideMark/>
          </w:tcPr>
          <w:p w14:paraId="1C45DA02" w14:textId="77777777" w:rsidR="00C64021" w:rsidRPr="002F5B7E" w:rsidRDefault="00C64021" w:rsidP="00D849E6">
            <w:pPr>
              <w:spacing w:line="240" w:lineRule="auto"/>
              <w:jc w:val="center"/>
              <w:rPr>
                <w:sz w:val="20"/>
                <w:szCs w:val="20"/>
              </w:rPr>
            </w:pPr>
          </w:p>
        </w:tc>
        <w:tc>
          <w:tcPr>
            <w:tcW w:w="872" w:type="dxa"/>
            <w:tcBorders>
              <w:top w:val="single" w:sz="12" w:space="0" w:color="auto"/>
              <w:left w:val="single" w:sz="48" w:space="0" w:color="FFFFFF"/>
              <w:bottom w:val="nil"/>
              <w:right w:val="single" w:sz="48" w:space="0" w:color="FFFFFF"/>
            </w:tcBorders>
            <w:shd w:val="clear" w:color="auto" w:fill="auto"/>
            <w:noWrap/>
            <w:vAlign w:val="center"/>
            <w:hideMark/>
          </w:tcPr>
          <w:p w14:paraId="3EC932CD" w14:textId="77777777" w:rsidR="00C64021" w:rsidRPr="002F5B7E" w:rsidRDefault="00C64021" w:rsidP="00D849E6">
            <w:pPr>
              <w:spacing w:line="240" w:lineRule="auto"/>
              <w:jc w:val="center"/>
              <w:rPr>
                <w:sz w:val="20"/>
                <w:szCs w:val="20"/>
              </w:rPr>
            </w:pPr>
          </w:p>
        </w:tc>
        <w:tc>
          <w:tcPr>
            <w:tcW w:w="748" w:type="dxa"/>
            <w:tcBorders>
              <w:top w:val="single" w:sz="12" w:space="0" w:color="auto"/>
              <w:left w:val="single" w:sz="48" w:space="0" w:color="FFFFFF"/>
              <w:bottom w:val="nil"/>
              <w:right w:val="single" w:sz="48" w:space="0" w:color="FFFFFF"/>
            </w:tcBorders>
            <w:shd w:val="clear" w:color="auto" w:fill="auto"/>
            <w:noWrap/>
            <w:vAlign w:val="center"/>
            <w:hideMark/>
          </w:tcPr>
          <w:p w14:paraId="47AEC587" w14:textId="77777777" w:rsidR="00C64021" w:rsidRPr="002F5B7E" w:rsidRDefault="00C64021" w:rsidP="00D849E6">
            <w:pPr>
              <w:spacing w:line="240" w:lineRule="auto"/>
              <w:jc w:val="center"/>
              <w:rPr>
                <w:sz w:val="20"/>
                <w:szCs w:val="20"/>
              </w:rPr>
            </w:pPr>
          </w:p>
        </w:tc>
        <w:tc>
          <w:tcPr>
            <w:tcW w:w="872" w:type="dxa"/>
            <w:tcBorders>
              <w:top w:val="single" w:sz="12" w:space="0" w:color="auto"/>
              <w:left w:val="single" w:sz="48" w:space="0" w:color="FFFFFF"/>
              <w:bottom w:val="nil"/>
              <w:right w:val="single" w:sz="48" w:space="0" w:color="FFFFFF"/>
            </w:tcBorders>
            <w:shd w:val="clear" w:color="auto" w:fill="auto"/>
            <w:noWrap/>
            <w:vAlign w:val="center"/>
            <w:hideMark/>
          </w:tcPr>
          <w:p w14:paraId="16DCAAD5" w14:textId="77777777" w:rsidR="00C64021" w:rsidRPr="002F5B7E" w:rsidRDefault="00C64021" w:rsidP="00D849E6">
            <w:pPr>
              <w:spacing w:line="240" w:lineRule="auto"/>
              <w:jc w:val="center"/>
              <w:rPr>
                <w:sz w:val="20"/>
                <w:szCs w:val="20"/>
              </w:rPr>
            </w:pPr>
          </w:p>
        </w:tc>
        <w:tc>
          <w:tcPr>
            <w:tcW w:w="748" w:type="dxa"/>
            <w:tcBorders>
              <w:top w:val="single" w:sz="12" w:space="0" w:color="auto"/>
              <w:left w:val="single" w:sz="48" w:space="0" w:color="FFFFFF"/>
              <w:bottom w:val="nil"/>
              <w:right w:val="single" w:sz="48" w:space="0" w:color="FFFFFF"/>
            </w:tcBorders>
            <w:shd w:val="clear" w:color="auto" w:fill="auto"/>
            <w:noWrap/>
            <w:vAlign w:val="center"/>
            <w:hideMark/>
          </w:tcPr>
          <w:p w14:paraId="2A92583D" w14:textId="77777777" w:rsidR="00C64021" w:rsidRPr="002F5B7E" w:rsidRDefault="00C64021" w:rsidP="00D849E6">
            <w:pPr>
              <w:spacing w:line="240" w:lineRule="auto"/>
              <w:jc w:val="center"/>
              <w:rPr>
                <w:sz w:val="20"/>
                <w:szCs w:val="20"/>
              </w:rPr>
            </w:pPr>
          </w:p>
        </w:tc>
        <w:tc>
          <w:tcPr>
            <w:tcW w:w="842" w:type="dxa"/>
            <w:tcBorders>
              <w:top w:val="single" w:sz="12" w:space="0" w:color="auto"/>
              <w:left w:val="single" w:sz="48" w:space="0" w:color="FFFFFF"/>
              <w:bottom w:val="nil"/>
              <w:right w:val="single" w:sz="48" w:space="0" w:color="FFFFFF"/>
            </w:tcBorders>
            <w:shd w:val="clear" w:color="auto" w:fill="auto"/>
            <w:noWrap/>
            <w:vAlign w:val="center"/>
            <w:hideMark/>
          </w:tcPr>
          <w:p w14:paraId="4B4FF21A" w14:textId="77777777" w:rsidR="00C64021" w:rsidRPr="002F5B7E" w:rsidRDefault="00C64021" w:rsidP="00D849E6">
            <w:pPr>
              <w:spacing w:line="240" w:lineRule="auto"/>
              <w:jc w:val="center"/>
              <w:rPr>
                <w:sz w:val="20"/>
                <w:szCs w:val="20"/>
              </w:rPr>
            </w:pPr>
          </w:p>
        </w:tc>
        <w:tc>
          <w:tcPr>
            <w:tcW w:w="782" w:type="dxa"/>
            <w:tcBorders>
              <w:top w:val="single" w:sz="12" w:space="0" w:color="auto"/>
              <w:left w:val="single" w:sz="48" w:space="0" w:color="FFFFFF"/>
              <w:bottom w:val="nil"/>
              <w:right w:val="single" w:sz="48" w:space="0" w:color="FFFFFF"/>
            </w:tcBorders>
            <w:shd w:val="clear" w:color="auto" w:fill="auto"/>
            <w:noWrap/>
            <w:vAlign w:val="center"/>
            <w:hideMark/>
          </w:tcPr>
          <w:p w14:paraId="5507B665" w14:textId="77777777" w:rsidR="00C64021" w:rsidRPr="002F5B7E" w:rsidRDefault="00C64021" w:rsidP="00D849E6">
            <w:pPr>
              <w:spacing w:line="240" w:lineRule="auto"/>
              <w:jc w:val="center"/>
              <w:rPr>
                <w:sz w:val="20"/>
                <w:szCs w:val="20"/>
              </w:rPr>
            </w:pPr>
          </w:p>
        </w:tc>
        <w:tc>
          <w:tcPr>
            <w:tcW w:w="870" w:type="dxa"/>
            <w:tcBorders>
              <w:top w:val="single" w:sz="12" w:space="0" w:color="auto"/>
              <w:left w:val="single" w:sz="48" w:space="0" w:color="FFFFFF"/>
              <w:bottom w:val="nil"/>
              <w:right w:val="single" w:sz="48" w:space="0" w:color="FFFFFF"/>
            </w:tcBorders>
            <w:shd w:val="clear" w:color="auto" w:fill="auto"/>
            <w:noWrap/>
            <w:vAlign w:val="center"/>
            <w:hideMark/>
          </w:tcPr>
          <w:p w14:paraId="23ED3090" w14:textId="77777777" w:rsidR="00C64021" w:rsidRPr="002F5B7E" w:rsidRDefault="00C64021" w:rsidP="00D849E6">
            <w:pPr>
              <w:spacing w:line="240" w:lineRule="auto"/>
              <w:jc w:val="center"/>
              <w:rPr>
                <w:sz w:val="20"/>
                <w:szCs w:val="20"/>
              </w:rPr>
            </w:pPr>
          </w:p>
        </w:tc>
        <w:tc>
          <w:tcPr>
            <w:tcW w:w="750" w:type="dxa"/>
            <w:tcBorders>
              <w:top w:val="single" w:sz="12" w:space="0" w:color="auto"/>
              <w:left w:val="single" w:sz="48" w:space="0" w:color="FFFFFF"/>
              <w:bottom w:val="nil"/>
              <w:right w:val="single" w:sz="48" w:space="0" w:color="FFFFFF"/>
            </w:tcBorders>
            <w:shd w:val="clear" w:color="auto" w:fill="auto"/>
            <w:noWrap/>
            <w:vAlign w:val="center"/>
            <w:hideMark/>
          </w:tcPr>
          <w:p w14:paraId="5D6CBF0E" w14:textId="77777777" w:rsidR="00C64021" w:rsidRPr="002F5B7E" w:rsidRDefault="00C64021" w:rsidP="00D849E6">
            <w:pPr>
              <w:spacing w:line="240" w:lineRule="auto"/>
              <w:jc w:val="center"/>
              <w:rPr>
                <w:sz w:val="20"/>
                <w:szCs w:val="20"/>
              </w:rPr>
            </w:pPr>
          </w:p>
        </w:tc>
        <w:tc>
          <w:tcPr>
            <w:tcW w:w="869" w:type="dxa"/>
            <w:tcBorders>
              <w:top w:val="single" w:sz="12" w:space="0" w:color="auto"/>
              <w:left w:val="single" w:sz="48" w:space="0" w:color="FFFFFF"/>
              <w:bottom w:val="nil"/>
              <w:right w:val="single" w:sz="48" w:space="0" w:color="FFFFFF"/>
            </w:tcBorders>
            <w:shd w:val="clear" w:color="auto" w:fill="auto"/>
            <w:noWrap/>
            <w:vAlign w:val="center"/>
            <w:hideMark/>
          </w:tcPr>
          <w:p w14:paraId="2FEA6583" w14:textId="77777777" w:rsidR="00C64021" w:rsidRPr="002F5B7E" w:rsidRDefault="00C64021" w:rsidP="00D849E6">
            <w:pPr>
              <w:spacing w:line="240" w:lineRule="auto"/>
              <w:jc w:val="center"/>
              <w:rPr>
                <w:sz w:val="20"/>
                <w:szCs w:val="20"/>
              </w:rPr>
            </w:pPr>
          </w:p>
        </w:tc>
        <w:tc>
          <w:tcPr>
            <w:tcW w:w="751" w:type="dxa"/>
            <w:tcBorders>
              <w:top w:val="single" w:sz="12" w:space="0" w:color="auto"/>
              <w:left w:val="single" w:sz="48" w:space="0" w:color="FFFFFF"/>
              <w:bottom w:val="nil"/>
              <w:right w:val="nil"/>
            </w:tcBorders>
            <w:shd w:val="clear" w:color="auto" w:fill="auto"/>
            <w:noWrap/>
            <w:vAlign w:val="center"/>
            <w:hideMark/>
          </w:tcPr>
          <w:p w14:paraId="4E451BDF" w14:textId="77777777" w:rsidR="00C64021" w:rsidRPr="002F5B7E" w:rsidRDefault="00C64021" w:rsidP="00D849E6">
            <w:pPr>
              <w:spacing w:line="240" w:lineRule="auto"/>
              <w:jc w:val="center"/>
              <w:rPr>
                <w:sz w:val="20"/>
                <w:szCs w:val="20"/>
              </w:rPr>
            </w:pPr>
          </w:p>
        </w:tc>
      </w:tr>
      <w:tr w:rsidR="00C64021" w:rsidRPr="002F5B7E" w14:paraId="63156F6D" w14:textId="77777777" w:rsidTr="002F5B7E">
        <w:trPr>
          <w:trHeight w:val="300"/>
        </w:trPr>
        <w:tc>
          <w:tcPr>
            <w:tcW w:w="433" w:type="dxa"/>
            <w:tcBorders>
              <w:top w:val="nil"/>
              <w:left w:val="nil"/>
              <w:bottom w:val="nil"/>
              <w:right w:val="nil"/>
            </w:tcBorders>
            <w:shd w:val="clear" w:color="auto" w:fill="auto"/>
            <w:noWrap/>
            <w:vAlign w:val="center"/>
            <w:hideMark/>
          </w:tcPr>
          <w:p w14:paraId="753A3B67" w14:textId="77777777" w:rsidR="00C64021" w:rsidRPr="002F5B7E" w:rsidRDefault="00C64021" w:rsidP="00D849E6">
            <w:pPr>
              <w:spacing w:line="240" w:lineRule="auto"/>
              <w:rPr>
                <w:sz w:val="20"/>
                <w:szCs w:val="20"/>
              </w:rPr>
            </w:pPr>
          </w:p>
        </w:tc>
        <w:tc>
          <w:tcPr>
            <w:tcW w:w="1454" w:type="dxa"/>
            <w:tcBorders>
              <w:top w:val="nil"/>
              <w:left w:val="nil"/>
              <w:bottom w:val="nil"/>
              <w:right w:val="nil"/>
            </w:tcBorders>
            <w:shd w:val="clear" w:color="auto" w:fill="auto"/>
            <w:noWrap/>
            <w:vAlign w:val="center"/>
            <w:hideMark/>
          </w:tcPr>
          <w:p w14:paraId="5605CCF0" w14:textId="77777777" w:rsidR="00C64021" w:rsidRPr="002F5B7E" w:rsidRDefault="00C64021" w:rsidP="00D849E6">
            <w:pPr>
              <w:spacing w:line="240" w:lineRule="auto"/>
              <w:ind w:left="-105"/>
              <w:rPr>
                <w:color w:val="000000"/>
                <w:sz w:val="20"/>
                <w:szCs w:val="20"/>
              </w:rPr>
            </w:pPr>
            <w:r w:rsidRPr="002F5B7E">
              <w:rPr>
                <w:color w:val="000000"/>
                <w:sz w:val="20"/>
                <w:szCs w:val="20"/>
              </w:rPr>
              <w:t>HARV</w:t>
            </w:r>
            <w:r w:rsidRPr="002F5B7E">
              <w:rPr>
                <w:sz w:val="20"/>
                <w:szCs w:val="20"/>
              </w:rPr>
              <w:t>‡</w:t>
            </w:r>
          </w:p>
        </w:tc>
        <w:tc>
          <w:tcPr>
            <w:tcW w:w="989" w:type="dxa"/>
            <w:tcBorders>
              <w:top w:val="nil"/>
              <w:left w:val="nil"/>
              <w:bottom w:val="nil"/>
              <w:right w:val="single" w:sz="48" w:space="0" w:color="FFFFFF"/>
            </w:tcBorders>
            <w:shd w:val="clear" w:color="auto" w:fill="auto"/>
            <w:noWrap/>
            <w:vAlign w:val="center"/>
          </w:tcPr>
          <w:p w14:paraId="3793EA08"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720" w:type="dxa"/>
            <w:tcBorders>
              <w:top w:val="nil"/>
              <w:left w:val="single" w:sz="48" w:space="0" w:color="FFFFFF"/>
              <w:bottom w:val="nil"/>
              <w:right w:val="single" w:sz="48" w:space="0" w:color="FFFFFF"/>
            </w:tcBorders>
            <w:shd w:val="clear" w:color="auto" w:fill="auto"/>
            <w:noWrap/>
            <w:vAlign w:val="center"/>
          </w:tcPr>
          <w:p w14:paraId="4085FC63"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872" w:type="dxa"/>
            <w:tcBorders>
              <w:top w:val="nil"/>
              <w:left w:val="single" w:sz="48" w:space="0" w:color="FFFFFF"/>
              <w:bottom w:val="nil"/>
              <w:right w:val="single" w:sz="48" w:space="0" w:color="FFFFFF"/>
            </w:tcBorders>
            <w:shd w:val="clear" w:color="auto" w:fill="auto"/>
            <w:noWrap/>
            <w:vAlign w:val="center"/>
          </w:tcPr>
          <w:p w14:paraId="6F3046BE"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748" w:type="dxa"/>
            <w:tcBorders>
              <w:top w:val="nil"/>
              <w:left w:val="single" w:sz="48" w:space="0" w:color="FFFFFF"/>
              <w:bottom w:val="nil"/>
              <w:right w:val="single" w:sz="48" w:space="0" w:color="FFFFFF"/>
            </w:tcBorders>
            <w:shd w:val="clear" w:color="auto" w:fill="auto"/>
            <w:noWrap/>
            <w:vAlign w:val="center"/>
          </w:tcPr>
          <w:p w14:paraId="2A16CCA1" w14:textId="77777777" w:rsidR="00C64021" w:rsidRPr="002F5B7E" w:rsidRDefault="00C64021" w:rsidP="00D849E6">
            <w:pPr>
              <w:spacing w:line="240" w:lineRule="auto"/>
              <w:jc w:val="center"/>
              <w:rPr>
                <w:b/>
                <w:color w:val="000000"/>
                <w:sz w:val="20"/>
                <w:szCs w:val="20"/>
              </w:rPr>
            </w:pPr>
            <w:r w:rsidRPr="002F5B7E">
              <w:rPr>
                <w:color w:val="000000"/>
                <w:sz w:val="20"/>
                <w:szCs w:val="20"/>
              </w:rPr>
              <w:t>-</w:t>
            </w:r>
          </w:p>
        </w:tc>
        <w:tc>
          <w:tcPr>
            <w:tcW w:w="872" w:type="dxa"/>
            <w:tcBorders>
              <w:top w:val="nil"/>
              <w:left w:val="single" w:sz="48" w:space="0" w:color="FFFFFF"/>
              <w:bottom w:val="nil"/>
              <w:right w:val="single" w:sz="48" w:space="0" w:color="FFFFFF"/>
            </w:tcBorders>
            <w:shd w:val="clear" w:color="auto" w:fill="auto"/>
            <w:noWrap/>
            <w:vAlign w:val="center"/>
          </w:tcPr>
          <w:p w14:paraId="47B4FBA7" w14:textId="77777777" w:rsidR="00C64021" w:rsidRPr="002F5B7E" w:rsidRDefault="00C64021" w:rsidP="00D849E6">
            <w:pPr>
              <w:spacing w:line="240" w:lineRule="auto"/>
              <w:jc w:val="center"/>
              <w:rPr>
                <w:color w:val="000000"/>
                <w:sz w:val="20"/>
                <w:szCs w:val="20"/>
              </w:rPr>
            </w:pPr>
            <w:r w:rsidRPr="002F5B7E">
              <w:rPr>
                <w:color w:val="000000"/>
                <w:sz w:val="20"/>
                <w:szCs w:val="20"/>
              </w:rPr>
              <w:t>0.05</w:t>
            </w:r>
          </w:p>
        </w:tc>
        <w:tc>
          <w:tcPr>
            <w:tcW w:w="748" w:type="dxa"/>
            <w:tcBorders>
              <w:top w:val="nil"/>
              <w:left w:val="single" w:sz="48" w:space="0" w:color="FFFFFF"/>
              <w:bottom w:val="nil"/>
              <w:right w:val="single" w:sz="48" w:space="0" w:color="FFFFFF"/>
            </w:tcBorders>
            <w:shd w:val="clear" w:color="auto" w:fill="auto"/>
            <w:noWrap/>
            <w:vAlign w:val="center"/>
          </w:tcPr>
          <w:p w14:paraId="0527143B" w14:textId="77777777" w:rsidR="00C64021" w:rsidRPr="002F5B7E" w:rsidRDefault="00C64021" w:rsidP="00D849E6">
            <w:pPr>
              <w:spacing w:line="240" w:lineRule="auto"/>
              <w:jc w:val="center"/>
              <w:rPr>
                <w:b/>
                <w:color w:val="000000"/>
                <w:sz w:val="20"/>
                <w:szCs w:val="20"/>
              </w:rPr>
            </w:pPr>
            <w:r w:rsidRPr="002F5B7E">
              <w:rPr>
                <w:color w:val="000000"/>
                <w:sz w:val="20"/>
                <w:szCs w:val="20"/>
              </w:rPr>
              <w:t>0.832</w:t>
            </w:r>
          </w:p>
        </w:tc>
        <w:tc>
          <w:tcPr>
            <w:tcW w:w="842" w:type="dxa"/>
            <w:tcBorders>
              <w:top w:val="nil"/>
              <w:left w:val="single" w:sz="48" w:space="0" w:color="FFFFFF"/>
              <w:bottom w:val="nil"/>
              <w:right w:val="single" w:sz="48" w:space="0" w:color="FFFFFF"/>
            </w:tcBorders>
            <w:shd w:val="clear" w:color="auto" w:fill="auto"/>
            <w:noWrap/>
            <w:vAlign w:val="center"/>
          </w:tcPr>
          <w:p w14:paraId="473FD7C0"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782" w:type="dxa"/>
            <w:tcBorders>
              <w:top w:val="nil"/>
              <w:left w:val="single" w:sz="48" w:space="0" w:color="FFFFFF"/>
              <w:bottom w:val="nil"/>
              <w:right w:val="single" w:sz="48" w:space="0" w:color="FFFFFF"/>
            </w:tcBorders>
            <w:shd w:val="clear" w:color="auto" w:fill="auto"/>
            <w:noWrap/>
            <w:vAlign w:val="center"/>
          </w:tcPr>
          <w:p w14:paraId="7744C30E"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870" w:type="dxa"/>
            <w:tcBorders>
              <w:top w:val="nil"/>
              <w:left w:val="single" w:sz="48" w:space="0" w:color="FFFFFF"/>
              <w:bottom w:val="nil"/>
              <w:right w:val="single" w:sz="48" w:space="0" w:color="FFFFFF"/>
            </w:tcBorders>
            <w:shd w:val="clear" w:color="auto" w:fill="auto"/>
            <w:noWrap/>
            <w:vAlign w:val="center"/>
          </w:tcPr>
          <w:p w14:paraId="23FBD5EA"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750" w:type="dxa"/>
            <w:tcBorders>
              <w:top w:val="nil"/>
              <w:left w:val="single" w:sz="48" w:space="0" w:color="FFFFFF"/>
              <w:bottom w:val="nil"/>
              <w:right w:val="single" w:sz="48" w:space="0" w:color="FFFFFF"/>
            </w:tcBorders>
            <w:shd w:val="clear" w:color="auto" w:fill="auto"/>
            <w:noWrap/>
            <w:vAlign w:val="center"/>
          </w:tcPr>
          <w:p w14:paraId="0F4A4628"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869" w:type="dxa"/>
            <w:tcBorders>
              <w:top w:val="nil"/>
              <w:left w:val="single" w:sz="48" w:space="0" w:color="FFFFFF"/>
              <w:bottom w:val="nil"/>
              <w:right w:val="single" w:sz="48" w:space="0" w:color="FFFFFF"/>
            </w:tcBorders>
            <w:shd w:val="clear" w:color="auto" w:fill="auto"/>
            <w:noWrap/>
            <w:vAlign w:val="center"/>
          </w:tcPr>
          <w:p w14:paraId="2F721F55" w14:textId="77777777" w:rsidR="00C64021" w:rsidRPr="002F5B7E" w:rsidRDefault="00C64021" w:rsidP="00D849E6">
            <w:pPr>
              <w:spacing w:line="240" w:lineRule="auto"/>
              <w:jc w:val="center"/>
              <w:rPr>
                <w:color w:val="000000"/>
                <w:sz w:val="20"/>
                <w:szCs w:val="20"/>
              </w:rPr>
            </w:pPr>
            <w:r w:rsidRPr="002F5B7E">
              <w:rPr>
                <w:color w:val="000000"/>
                <w:sz w:val="20"/>
                <w:szCs w:val="20"/>
              </w:rPr>
              <w:t>1.70</w:t>
            </w:r>
          </w:p>
        </w:tc>
        <w:tc>
          <w:tcPr>
            <w:tcW w:w="751" w:type="dxa"/>
            <w:tcBorders>
              <w:top w:val="nil"/>
              <w:left w:val="single" w:sz="48" w:space="0" w:color="FFFFFF"/>
              <w:bottom w:val="nil"/>
              <w:right w:val="nil"/>
            </w:tcBorders>
            <w:shd w:val="clear" w:color="auto" w:fill="auto"/>
            <w:noWrap/>
            <w:vAlign w:val="center"/>
          </w:tcPr>
          <w:p w14:paraId="4828DF90" w14:textId="77777777" w:rsidR="00C64021" w:rsidRPr="002F5B7E" w:rsidRDefault="00C64021" w:rsidP="00D849E6">
            <w:pPr>
              <w:spacing w:line="240" w:lineRule="auto"/>
              <w:jc w:val="center"/>
              <w:rPr>
                <w:color w:val="000000"/>
                <w:sz w:val="20"/>
                <w:szCs w:val="20"/>
              </w:rPr>
            </w:pPr>
            <w:r w:rsidRPr="002F5B7E">
              <w:rPr>
                <w:color w:val="000000"/>
                <w:sz w:val="20"/>
                <w:szCs w:val="20"/>
              </w:rPr>
              <w:t>0.212</w:t>
            </w:r>
          </w:p>
        </w:tc>
      </w:tr>
      <w:tr w:rsidR="00C64021" w:rsidRPr="002F5B7E" w14:paraId="7D0074EB" w14:textId="77777777" w:rsidTr="002F5B7E">
        <w:trPr>
          <w:trHeight w:val="300"/>
        </w:trPr>
        <w:tc>
          <w:tcPr>
            <w:tcW w:w="433" w:type="dxa"/>
            <w:tcBorders>
              <w:top w:val="nil"/>
              <w:left w:val="nil"/>
              <w:bottom w:val="nil"/>
              <w:right w:val="nil"/>
            </w:tcBorders>
            <w:shd w:val="clear" w:color="auto" w:fill="auto"/>
            <w:noWrap/>
            <w:vAlign w:val="center"/>
            <w:hideMark/>
          </w:tcPr>
          <w:p w14:paraId="486099D0" w14:textId="77777777" w:rsidR="00C64021" w:rsidRPr="002F5B7E" w:rsidRDefault="00C64021" w:rsidP="00D849E6">
            <w:pPr>
              <w:spacing w:line="240" w:lineRule="auto"/>
              <w:rPr>
                <w:color w:val="000000"/>
                <w:sz w:val="20"/>
                <w:szCs w:val="20"/>
              </w:rPr>
            </w:pPr>
          </w:p>
        </w:tc>
        <w:tc>
          <w:tcPr>
            <w:tcW w:w="1454" w:type="dxa"/>
            <w:tcBorders>
              <w:top w:val="nil"/>
              <w:left w:val="nil"/>
              <w:bottom w:val="nil"/>
              <w:right w:val="nil"/>
            </w:tcBorders>
            <w:shd w:val="clear" w:color="auto" w:fill="auto"/>
            <w:noWrap/>
            <w:vAlign w:val="center"/>
            <w:hideMark/>
          </w:tcPr>
          <w:p w14:paraId="3CF9AC03" w14:textId="77777777" w:rsidR="00C64021" w:rsidRPr="002F5B7E" w:rsidRDefault="00C64021" w:rsidP="00D849E6">
            <w:pPr>
              <w:spacing w:line="240" w:lineRule="auto"/>
              <w:ind w:left="-105"/>
              <w:rPr>
                <w:color w:val="000000"/>
                <w:sz w:val="20"/>
                <w:szCs w:val="20"/>
              </w:rPr>
            </w:pPr>
            <w:r w:rsidRPr="002F5B7E">
              <w:rPr>
                <w:color w:val="000000"/>
                <w:sz w:val="20"/>
                <w:szCs w:val="20"/>
              </w:rPr>
              <w:t>RATE</w:t>
            </w:r>
          </w:p>
        </w:tc>
        <w:tc>
          <w:tcPr>
            <w:tcW w:w="989" w:type="dxa"/>
            <w:tcBorders>
              <w:top w:val="nil"/>
              <w:left w:val="nil"/>
              <w:bottom w:val="nil"/>
              <w:right w:val="single" w:sz="48" w:space="0" w:color="FFFFFF"/>
            </w:tcBorders>
            <w:shd w:val="clear" w:color="auto" w:fill="auto"/>
            <w:noWrap/>
            <w:vAlign w:val="center"/>
            <w:hideMark/>
          </w:tcPr>
          <w:p w14:paraId="5148B4B3" w14:textId="77777777" w:rsidR="00C64021" w:rsidRPr="002F5B7E" w:rsidRDefault="00C64021" w:rsidP="00D849E6">
            <w:pPr>
              <w:spacing w:line="240" w:lineRule="auto"/>
              <w:jc w:val="center"/>
              <w:rPr>
                <w:color w:val="000000"/>
                <w:sz w:val="20"/>
                <w:szCs w:val="20"/>
              </w:rPr>
            </w:pPr>
            <w:r w:rsidRPr="002F5B7E">
              <w:rPr>
                <w:color w:val="000000"/>
                <w:sz w:val="20"/>
                <w:szCs w:val="20"/>
              </w:rPr>
              <w:t>0.46</w:t>
            </w:r>
          </w:p>
        </w:tc>
        <w:tc>
          <w:tcPr>
            <w:tcW w:w="720" w:type="dxa"/>
            <w:tcBorders>
              <w:top w:val="nil"/>
              <w:left w:val="single" w:sz="48" w:space="0" w:color="FFFFFF"/>
              <w:bottom w:val="nil"/>
              <w:right w:val="single" w:sz="48" w:space="0" w:color="FFFFFF"/>
            </w:tcBorders>
            <w:shd w:val="clear" w:color="auto" w:fill="auto"/>
            <w:noWrap/>
            <w:vAlign w:val="center"/>
            <w:hideMark/>
          </w:tcPr>
          <w:p w14:paraId="6D49070C" w14:textId="77777777" w:rsidR="00C64021" w:rsidRPr="002F5B7E" w:rsidRDefault="00C64021" w:rsidP="00D849E6">
            <w:pPr>
              <w:spacing w:line="240" w:lineRule="auto"/>
              <w:jc w:val="center"/>
              <w:rPr>
                <w:color w:val="000000"/>
                <w:sz w:val="20"/>
                <w:szCs w:val="20"/>
              </w:rPr>
            </w:pPr>
            <w:r w:rsidRPr="002F5B7E">
              <w:rPr>
                <w:color w:val="000000"/>
                <w:sz w:val="20"/>
                <w:szCs w:val="20"/>
              </w:rPr>
              <w:t>0.653</w:t>
            </w:r>
          </w:p>
        </w:tc>
        <w:tc>
          <w:tcPr>
            <w:tcW w:w="872" w:type="dxa"/>
            <w:tcBorders>
              <w:top w:val="nil"/>
              <w:left w:val="single" w:sz="48" w:space="0" w:color="FFFFFF"/>
              <w:bottom w:val="nil"/>
              <w:right w:val="single" w:sz="48" w:space="0" w:color="FFFFFF"/>
            </w:tcBorders>
            <w:shd w:val="clear" w:color="auto" w:fill="auto"/>
            <w:noWrap/>
            <w:vAlign w:val="center"/>
            <w:hideMark/>
          </w:tcPr>
          <w:p w14:paraId="25A05744" w14:textId="77777777" w:rsidR="00C64021" w:rsidRPr="002F5B7E" w:rsidRDefault="00C64021" w:rsidP="00D849E6">
            <w:pPr>
              <w:spacing w:line="240" w:lineRule="auto"/>
              <w:jc w:val="center"/>
              <w:rPr>
                <w:color w:val="000000"/>
                <w:sz w:val="20"/>
                <w:szCs w:val="20"/>
              </w:rPr>
            </w:pPr>
            <w:r w:rsidRPr="002F5B7E">
              <w:rPr>
                <w:color w:val="000000"/>
                <w:sz w:val="20"/>
                <w:szCs w:val="20"/>
              </w:rPr>
              <w:t>6.88</w:t>
            </w:r>
          </w:p>
        </w:tc>
        <w:tc>
          <w:tcPr>
            <w:tcW w:w="748" w:type="dxa"/>
            <w:tcBorders>
              <w:top w:val="nil"/>
              <w:left w:val="single" w:sz="48" w:space="0" w:color="FFFFFF"/>
              <w:bottom w:val="nil"/>
              <w:right w:val="single" w:sz="48" w:space="0" w:color="FFFFFF"/>
            </w:tcBorders>
            <w:shd w:val="clear" w:color="auto" w:fill="auto"/>
            <w:noWrap/>
            <w:vAlign w:val="center"/>
            <w:hideMark/>
          </w:tcPr>
          <w:p w14:paraId="13408194" w14:textId="77777777" w:rsidR="00C64021" w:rsidRPr="002F5B7E" w:rsidRDefault="00C64021" w:rsidP="00D849E6">
            <w:pPr>
              <w:spacing w:line="240" w:lineRule="auto"/>
              <w:jc w:val="center"/>
              <w:rPr>
                <w:color w:val="000000"/>
                <w:sz w:val="20"/>
                <w:szCs w:val="20"/>
              </w:rPr>
            </w:pPr>
            <w:r w:rsidRPr="002F5B7E">
              <w:rPr>
                <w:b/>
                <w:color w:val="000000"/>
                <w:sz w:val="20"/>
                <w:szCs w:val="20"/>
              </w:rPr>
              <w:t>0.028</w:t>
            </w:r>
          </w:p>
        </w:tc>
        <w:tc>
          <w:tcPr>
            <w:tcW w:w="872" w:type="dxa"/>
            <w:tcBorders>
              <w:top w:val="nil"/>
              <w:left w:val="single" w:sz="48" w:space="0" w:color="FFFFFF"/>
              <w:bottom w:val="nil"/>
              <w:right w:val="single" w:sz="48" w:space="0" w:color="FFFFFF"/>
            </w:tcBorders>
            <w:shd w:val="clear" w:color="auto" w:fill="auto"/>
            <w:noWrap/>
            <w:vAlign w:val="center"/>
            <w:hideMark/>
          </w:tcPr>
          <w:p w14:paraId="2CB7D53F" w14:textId="77777777" w:rsidR="00C64021" w:rsidRPr="002F5B7E" w:rsidRDefault="00C64021" w:rsidP="00D849E6">
            <w:pPr>
              <w:spacing w:line="240" w:lineRule="auto"/>
              <w:jc w:val="center"/>
              <w:rPr>
                <w:color w:val="000000"/>
                <w:sz w:val="20"/>
                <w:szCs w:val="20"/>
              </w:rPr>
            </w:pPr>
            <w:r w:rsidRPr="002F5B7E">
              <w:rPr>
                <w:color w:val="000000"/>
                <w:sz w:val="20"/>
                <w:szCs w:val="20"/>
              </w:rPr>
              <w:t>8.22</w:t>
            </w:r>
          </w:p>
        </w:tc>
        <w:tc>
          <w:tcPr>
            <w:tcW w:w="748" w:type="dxa"/>
            <w:tcBorders>
              <w:top w:val="nil"/>
              <w:left w:val="single" w:sz="48" w:space="0" w:color="FFFFFF"/>
              <w:bottom w:val="nil"/>
              <w:right w:val="single" w:sz="48" w:space="0" w:color="FFFFFF"/>
            </w:tcBorders>
            <w:shd w:val="clear" w:color="auto" w:fill="auto"/>
            <w:noWrap/>
            <w:vAlign w:val="center"/>
            <w:hideMark/>
          </w:tcPr>
          <w:p w14:paraId="237C9A7F" w14:textId="77777777" w:rsidR="00C64021" w:rsidRPr="002F5B7E" w:rsidRDefault="00C64021" w:rsidP="00D849E6">
            <w:pPr>
              <w:spacing w:line="240" w:lineRule="auto"/>
              <w:jc w:val="center"/>
              <w:rPr>
                <w:color w:val="000000"/>
                <w:sz w:val="20"/>
                <w:szCs w:val="20"/>
              </w:rPr>
            </w:pPr>
            <w:r w:rsidRPr="002F5B7E">
              <w:rPr>
                <w:b/>
                <w:color w:val="000000"/>
                <w:sz w:val="20"/>
                <w:szCs w:val="20"/>
              </w:rPr>
              <w:t>0.004</w:t>
            </w:r>
          </w:p>
        </w:tc>
        <w:tc>
          <w:tcPr>
            <w:tcW w:w="842" w:type="dxa"/>
            <w:tcBorders>
              <w:top w:val="nil"/>
              <w:left w:val="single" w:sz="48" w:space="0" w:color="FFFFFF"/>
              <w:bottom w:val="nil"/>
              <w:right w:val="single" w:sz="48" w:space="0" w:color="FFFFFF"/>
            </w:tcBorders>
            <w:shd w:val="clear" w:color="auto" w:fill="auto"/>
            <w:noWrap/>
            <w:vAlign w:val="center"/>
            <w:hideMark/>
          </w:tcPr>
          <w:p w14:paraId="7E3FADFC" w14:textId="77777777" w:rsidR="00C64021" w:rsidRPr="002F5B7E" w:rsidRDefault="00C64021" w:rsidP="00D849E6">
            <w:pPr>
              <w:spacing w:line="240" w:lineRule="auto"/>
              <w:jc w:val="center"/>
              <w:rPr>
                <w:color w:val="000000"/>
                <w:sz w:val="20"/>
                <w:szCs w:val="20"/>
              </w:rPr>
            </w:pPr>
            <w:r w:rsidRPr="002F5B7E">
              <w:rPr>
                <w:color w:val="000000"/>
                <w:sz w:val="20"/>
                <w:szCs w:val="20"/>
              </w:rPr>
              <w:t>0.33</w:t>
            </w:r>
          </w:p>
        </w:tc>
        <w:tc>
          <w:tcPr>
            <w:tcW w:w="782" w:type="dxa"/>
            <w:tcBorders>
              <w:top w:val="nil"/>
              <w:left w:val="single" w:sz="48" w:space="0" w:color="FFFFFF"/>
              <w:bottom w:val="nil"/>
              <w:right w:val="single" w:sz="48" w:space="0" w:color="FFFFFF"/>
            </w:tcBorders>
            <w:shd w:val="clear" w:color="auto" w:fill="auto"/>
            <w:noWrap/>
            <w:vAlign w:val="center"/>
            <w:hideMark/>
          </w:tcPr>
          <w:p w14:paraId="6C02910F" w14:textId="77777777" w:rsidR="00C64021" w:rsidRPr="002F5B7E" w:rsidRDefault="00C64021" w:rsidP="00D849E6">
            <w:pPr>
              <w:spacing w:line="240" w:lineRule="auto"/>
              <w:jc w:val="center"/>
              <w:rPr>
                <w:color w:val="000000"/>
                <w:sz w:val="20"/>
                <w:szCs w:val="20"/>
              </w:rPr>
            </w:pPr>
            <w:r w:rsidRPr="002F5B7E">
              <w:rPr>
                <w:color w:val="000000"/>
                <w:sz w:val="20"/>
                <w:szCs w:val="20"/>
              </w:rPr>
              <w:t>0.729</w:t>
            </w:r>
          </w:p>
        </w:tc>
        <w:tc>
          <w:tcPr>
            <w:tcW w:w="870" w:type="dxa"/>
            <w:tcBorders>
              <w:top w:val="nil"/>
              <w:left w:val="single" w:sz="48" w:space="0" w:color="FFFFFF"/>
              <w:bottom w:val="nil"/>
              <w:right w:val="single" w:sz="48" w:space="0" w:color="FFFFFF"/>
            </w:tcBorders>
            <w:shd w:val="clear" w:color="auto" w:fill="auto"/>
            <w:noWrap/>
            <w:vAlign w:val="center"/>
            <w:hideMark/>
          </w:tcPr>
          <w:p w14:paraId="3983D7AC" w14:textId="77777777" w:rsidR="00C64021" w:rsidRPr="002F5B7E" w:rsidRDefault="00C64021" w:rsidP="00D849E6">
            <w:pPr>
              <w:spacing w:line="240" w:lineRule="auto"/>
              <w:jc w:val="center"/>
              <w:rPr>
                <w:color w:val="000000"/>
                <w:sz w:val="20"/>
                <w:szCs w:val="20"/>
              </w:rPr>
            </w:pPr>
            <w:r w:rsidRPr="002F5B7E">
              <w:rPr>
                <w:color w:val="000000"/>
                <w:sz w:val="20"/>
                <w:szCs w:val="20"/>
              </w:rPr>
              <w:t>3.13</w:t>
            </w:r>
          </w:p>
        </w:tc>
        <w:tc>
          <w:tcPr>
            <w:tcW w:w="750" w:type="dxa"/>
            <w:tcBorders>
              <w:top w:val="nil"/>
              <w:left w:val="single" w:sz="48" w:space="0" w:color="FFFFFF"/>
              <w:bottom w:val="nil"/>
              <w:right w:val="single" w:sz="48" w:space="0" w:color="FFFFFF"/>
            </w:tcBorders>
            <w:shd w:val="clear" w:color="auto" w:fill="auto"/>
            <w:noWrap/>
            <w:vAlign w:val="center"/>
            <w:hideMark/>
          </w:tcPr>
          <w:p w14:paraId="11F5B8A1" w14:textId="77777777" w:rsidR="00C64021" w:rsidRPr="002F5B7E" w:rsidRDefault="00C64021" w:rsidP="00D849E6">
            <w:pPr>
              <w:spacing w:line="240" w:lineRule="auto"/>
              <w:jc w:val="center"/>
              <w:rPr>
                <w:color w:val="000000"/>
                <w:sz w:val="20"/>
                <w:szCs w:val="20"/>
              </w:rPr>
            </w:pPr>
            <w:r w:rsidRPr="002F5B7E">
              <w:rPr>
                <w:color w:val="000000"/>
                <w:sz w:val="20"/>
                <w:szCs w:val="20"/>
              </w:rPr>
              <w:t>0.117</w:t>
            </w:r>
          </w:p>
        </w:tc>
        <w:tc>
          <w:tcPr>
            <w:tcW w:w="869" w:type="dxa"/>
            <w:tcBorders>
              <w:top w:val="nil"/>
              <w:left w:val="single" w:sz="48" w:space="0" w:color="FFFFFF"/>
              <w:bottom w:val="nil"/>
              <w:right w:val="single" w:sz="48" w:space="0" w:color="FFFFFF"/>
            </w:tcBorders>
            <w:shd w:val="clear" w:color="auto" w:fill="auto"/>
            <w:noWrap/>
            <w:vAlign w:val="center"/>
            <w:hideMark/>
          </w:tcPr>
          <w:p w14:paraId="1AB8B57C" w14:textId="77777777" w:rsidR="00C64021" w:rsidRPr="002F5B7E" w:rsidRDefault="00C64021" w:rsidP="00D849E6">
            <w:pPr>
              <w:spacing w:line="240" w:lineRule="auto"/>
              <w:jc w:val="center"/>
              <w:rPr>
                <w:color w:val="000000"/>
                <w:sz w:val="20"/>
                <w:szCs w:val="20"/>
              </w:rPr>
            </w:pPr>
            <w:r w:rsidRPr="002F5B7E">
              <w:rPr>
                <w:color w:val="000000"/>
                <w:sz w:val="20"/>
                <w:szCs w:val="20"/>
              </w:rPr>
              <w:t>0.88</w:t>
            </w:r>
          </w:p>
        </w:tc>
        <w:tc>
          <w:tcPr>
            <w:tcW w:w="751" w:type="dxa"/>
            <w:tcBorders>
              <w:top w:val="nil"/>
              <w:left w:val="single" w:sz="48" w:space="0" w:color="FFFFFF"/>
              <w:bottom w:val="nil"/>
              <w:right w:val="nil"/>
            </w:tcBorders>
            <w:shd w:val="clear" w:color="auto" w:fill="auto"/>
            <w:noWrap/>
            <w:vAlign w:val="center"/>
            <w:hideMark/>
          </w:tcPr>
          <w:p w14:paraId="3B1703FB" w14:textId="77777777" w:rsidR="00C64021" w:rsidRPr="002F5B7E" w:rsidRDefault="00C64021" w:rsidP="00D849E6">
            <w:pPr>
              <w:spacing w:line="240" w:lineRule="auto"/>
              <w:jc w:val="center"/>
              <w:rPr>
                <w:color w:val="000000"/>
                <w:sz w:val="20"/>
                <w:szCs w:val="20"/>
              </w:rPr>
            </w:pPr>
            <w:r w:rsidRPr="002F5B7E">
              <w:rPr>
                <w:color w:val="000000"/>
                <w:sz w:val="20"/>
                <w:szCs w:val="20"/>
              </w:rPr>
              <w:t>0.435</w:t>
            </w:r>
          </w:p>
        </w:tc>
      </w:tr>
      <w:tr w:rsidR="00C64021" w:rsidRPr="002F5B7E" w14:paraId="0940F914" w14:textId="77777777" w:rsidTr="002F5B7E">
        <w:trPr>
          <w:trHeight w:val="300"/>
        </w:trPr>
        <w:tc>
          <w:tcPr>
            <w:tcW w:w="433" w:type="dxa"/>
            <w:tcBorders>
              <w:top w:val="nil"/>
              <w:left w:val="nil"/>
              <w:bottom w:val="nil"/>
              <w:right w:val="nil"/>
            </w:tcBorders>
            <w:shd w:val="clear" w:color="auto" w:fill="auto"/>
            <w:noWrap/>
            <w:vAlign w:val="center"/>
            <w:hideMark/>
          </w:tcPr>
          <w:p w14:paraId="1592592E" w14:textId="77777777" w:rsidR="00C64021" w:rsidRPr="002F5B7E" w:rsidRDefault="00C64021" w:rsidP="00D849E6">
            <w:pPr>
              <w:spacing w:line="240" w:lineRule="auto"/>
              <w:rPr>
                <w:color w:val="000000"/>
                <w:sz w:val="20"/>
                <w:szCs w:val="20"/>
              </w:rPr>
            </w:pPr>
          </w:p>
        </w:tc>
        <w:tc>
          <w:tcPr>
            <w:tcW w:w="1454" w:type="dxa"/>
            <w:tcBorders>
              <w:top w:val="nil"/>
              <w:left w:val="nil"/>
              <w:bottom w:val="nil"/>
              <w:right w:val="nil"/>
            </w:tcBorders>
            <w:shd w:val="clear" w:color="auto" w:fill="auto"/>
            <w:noWrap/>
            <w:vAlign w:val="center"/>
            <w:hideMark/>
          </w:tcPr>
          <w:p w14:paraId="2A73EC4A" w14:textId="77777777" w:rsidR="00C64021" w:rsidRPr="002F5B7E" w:rsidRDefault="00C64021" w:rsidP="00D849E6">
            <w:pPr>
              <w:spacing w:line="240" w:lineRule="auto"/>
              <w:ind w:left="-105"/>
              <w:rPr>
                <w:color w:val="000000"/>
                <w:sz w:val="20"/>
                <w:szCs w:val="20"/>
              </w:rPr>
            </w:pPr>
            <w:r w:rsidRPr="002F5B7E">
              <w:rPr>
                <w:color w:val="000000"/>
                <w:sz w:val="20"/>
                <w:szCs w:val="20"/>
              </w:rPr>
              <w:t>HARV x RATE</w:t>
            </w:r>
          </w:p>
        </w:tc>
        <w:tc>
          <w:tcPr>
            <w:tcW w:w="989" w:type="dxa"/>
            <w:tcBorders>
              <w:top w:val="nil"/>
              <w:left w:val="nil"/>
              <w:bottom w:val="nil"/>
              <w:right w:val="single" w:sz="48" w:space="0" w:color="FFFFFF"/>
            </w:tcBorders>
            <w:shd w:val="clear" w:color="auto" w:fill="auto"/>
            <w:noWrap/>
            <w:vAlign w:val="center"/>
            <w:hideMark/>
          </w:tcPr>
          <w:p w14:paraId="3C3C9DA9"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720" w:type="dxa"/>
            <w:tcBorders>
              <w:top w:val="nil"/>
              <w:left w:val="single" w:sz="48" w:space="0" w:color="FFFFFF"/>
              <w:bottom w:val="nil"/>
              <w:right w:val="single" w:sz="48" w:space="0" w:color="FFFFFF"/>
            </w:tcBorders>
            <w:shd w:val="clear" w:color="auto" w:fill="auto"/>
            <w:noWrap/>
            <w:vAlign w:val="center"/>
            <w:hideMark/>
          </w:tcPr>
          <w:p w14:paraId="7C7940DF"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872" w:type="dxa"/>
            <w:tcBorders>
              <w:top w:val="nil"/>
              <w:left w:val="single" w:sz="48" w:space="0" w:color="FFFFFF"/>
              <w:bottom w:val="nil"/>
              <w:right w:val="single" w:sz="48" w:space="0" w:color="FFFFFF"/>
            </w:tcBorders>
            <w:shd w:val="clear" w:color="auto" w:fill="auto"/>
            <w:noWrap/>
            <w:vAlign w:val="center"/>
            <w:hideMark/>
          </w:tcPr>
          <w:p w14:paraId="52BA9B1B"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748" w:type="dxa"/>
            <w:tcBorders>
              <w:top w:val="nil"/>
              <w:left w:val="single" w:sz="48" w:space="0" w:color="FFFFFF"/>
              <w:bottom w:val="nil"/>
              <w:right w:val="single" w:sz="48" w:space="0" w:color="FFFFFF"/>
            </w:tcBorders>
            <w:shd w:val="clear" w:color="auto" w:fill="auto"/>
            <w:noWrap/>
            <w:vAlign w:val="center"/>
            <w:hideMark/>
          </w:tcPr>
          <w:p w14:paraId="5BDD2A75" w14:textId="77777777" w:rsidR="00C64021" w:rsidRPr="002F5B7E" w:rsidRDefault="00C64021" w:rsidP="00D849E6">
            <w:pPr>
              <w:spacing w:line="240" w:lineRule="auto"/>
              <w:jc w:val="center"/>
              <w:rPr>
                <w:b/>
                <w:color w:val="000000"/>
                <w:sz w:val="20"/>
                <w:szCs w:val="20"/>
              </w:rPr>
            </w:pPr>
            <w:r w:rsidRPr="002F5B7E">
              <w:rPr>
                <w:color w:val="000000"/>
                <w:sz w:val="20"/>
                <w:szCs w:val="20"/>
              </w:rPr>
              <w:t>-</w:t>
            </w:r>
          </w:p>
        </w:tc>
        <w:tc>
          <w:tcPr>
            <w:tcW w:w="872" w:type="dxa"/>
            <w:tcBorders>
              <w:top w:val="nil"/>
              <w:left w:val="single" w:sz="48" w:space="0" w:color="FFFFFF"/>
              <w:bottom w:val="nil"/>
              <w:right w:val="single" w:sz="48" w:space="0" w:color="FFFFFF"/>
            </w:tcBorders>
            <w:shd w:val="clear" w:color="auto" w:fill="auto"/>
            <w:noWrap/>
            <w:vAlign w:val="center"/>
            <w:hideMark/>
          </w:tcPr>
          <w:p w14:paraId="4EB2A790" w14:textId="77777777" w:rsidR="00C64021" w:rsidRPr="002F5B7E" w:rsidRDefault="00C64021" w:rsidP="00D849E6">
            <w:pPr>
              <w:spacing w:line="240" w:lineRule="auto"/>
              <w:jc w:val="center"/>
              <w:rPr>
                <w:color w:val="000000"/>
                <w:sz w:val="20"/>
                <w:szCs w:val="20"/>
              </w:rPr>
            </w:pPr>
            <w:r w:rsidRPr="002F5B7E">
              <w:rPr>
                <w:color w:val="000000"/>
                <w:sz w:val="20"/>
                <w:szCs w:val="20"/>
              </w:rPr>
              <w:t>0.53</w:t>
            </w:r>
          </w:p>
        </w:tc>
        <w:tc>
          <w:tcPr>
            <w:tcW w:w="748" w:type="dxa"/>
            <w:tcBorders>
              <w:top w:val="nil"/>
              <w:left w:val="single" w:sz="48" w:space="0" w:color="FFFFFF"/>
              <w:bottom w:val="nil"/>
              <w:right w:val="single" w:sz="48" w:space="0" w:color="FFFFFF"/>
            </w:tcBorders>
            <w:shd w:val="clear" w:color="auto" w:fill="auto"/>
            <w:noWrap/>
            <w:vAlign w:val="center"/>
            <w:hideMark/>
          </w:tcPr>
          <w:p w14:paraId="36D33015" w14:textId="77777777" w:rsidR="00C64021" w:rsidRPr="002F5B7E" w:rsidRDefault="00C64021" w:rsidP="00D849E6">
            <w:pPr>
              <w:spacing w:line="240" w:lineRule="auto"/>
              <w:jc w:val="center"/>
              <w:rPr>
                <w:color w:val="000000"/>
                <w:sz w:val="20"/>
                <w:szCs w:val="20"/>
              </w:rPr>
            </w:pPr>
            <w:r w:rsidRPr="002F5B7E">
              <w:rPr>
                <w:color w:val="000000"/>
                <w:sz w:val="20"/>
                <w:szCs w:val="20"/>
              </w:rPr>
              <w:t>0.599</w:t>
            </w:r>
          </w:p>
        </w:tc>
        <w:tc>
          <w:tcPr>
            <w:tcW w:w="842" w:type="dxa"/>
            <w:tcBorders>
              <w:top w:val="nil"/>
              <w:left w:val="single" w:sz="48" w:space="0" w:color="FFFFFF"/>
              <w:bottom w:val="nil"/>
              <w:right w:val="single" w:sz="48" w:space="0" w:color="FFFFFF"/>
            </w:tcBorders>
            <w:shd w:val="clear" w:color="auto" w:fill="auto"/>
            <w:noWrap/>
            <w:vAlign w:val="center"/>
            <w:hideMark/>
          </w:tcPr>
          <w:p w14:paraId="5EE85744"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782" w:type="dxa"/>
            <w:tcBorders>
              <w:top w:val="nil"/>
              <w:left w:val="single" w:sz="48" w:space="0" w:color="FFFFFF"/>
              <w:bottom w:val="nil"/>
              <w:right w:val="single" w:sz="48" w:space="0" w:color="FFFFFF"/>
            </w:tcBorders>
            <w:shd w:val="clear" w:color="auto" w:fill="auto"/>
            <w:noWrap/>
            <w:vAlign w:val="center"/>
            <w:hideMark/>
          </w:tcPr>
          <w:p w14:paraId="1268AA0A"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870" w:type="dxa"/>
            <w:tcBorders>
              <w:top w:val="nil"/>
              <w:left w:val="single" w:sz="48" w:space="0" w:color="FFFFFF"/>
              <w:bottom w:val="nil"/>
              <w:right w:val="single" w:sz="48" w:space="0" w:color="FFFFFF"/>
            </w:tcBorders>
            <w:shd w:val="clear" w:color="auto" w:fill="auto"/>
            <w:noWrap/>
            <w:vAlign w:val="center"/>
            <w:hideMark/>
          </w:tcPr>
          <w:p w14:paraId="54500F68"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750" w:type="dxa"/>
            <w:tcBorders>
              <w:top w:val="nil"/>
              <w:left w:val="single" w:sz="48" w:space="0" w:color="FFFFFF"/>
              <w:bottom w:val="nil"/>
              <w:right w:val="single" w:sz="48" w:space="0" w:color="FFFFFF"/>
            </w:tcBorders>
            <w:shd w:val="clear" w:color="auto" w:fill="auto"/>
            <w:noWrap/>
            <w:vAlign w:val="center"/>
            <w:hideMark/>
          </w:tcPr>
          <w:p w14:paraId="1E6BF774"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869" w:type="dxa"/>
            <w:tcBorders>
              <w:top w:val="nil"/>
              <w:left w:val="single" w:sz="48" w:space="0" w:color="FFFFFF"/>
              <w:bottom w:val="nil"/>
              <w:right w:val="single" w:sz="48" w:space="0" w:color="FFFFFF"/>
            </w:tcBorders>
            <w:shd w:val="clear" w:color="auto" w:fill="auto"/>
            <w:noWrap/>
            <w:vAlign w:val="center"/>
            <w:hideMark/>
          </w:tcPr>
          <w:p w14:paraId="2F00DB7B" w14:textId="77777777" w:rsidR="00C64021" w:rsidRPr="002F5B7E" w:rsidRDefault="00C64021" w:rsidP="00D849E6">
            <w:pPr>
              <w:spacing w:line="240" w:lineRule="auto"/>
              <w:jc w:val="center"/>
              <w:rPr>
                <w:color w:val="000000"/>
                <w:sz w:val="20"/>
                <w:szCs w:val="20"/>
              </w:rPr>
            </w:pPr>
            <w:r w:rsidRPr="002F5B7E">
              <w:rPr>
                <w:color w:val="000000"/>
                <w:sz w:val="20"/>
                <w:szCs w:val="20"/>
              </w:rPr>
              <w:t>0.18</w:t>
            </w:r>
          </w:p>
        </w:tc>
        <w:tc>
          <w:tcPr>
            <w:tcW w:w="751" w:type="dxa"/>
            <w:tcBorders>
              <w:top w:val="nil"/>
              <w:left w:val="single" w:sz="48" w:space="0" w:color="FFFFFF"/>
              <w:bottom w:val="nil"/>
              <w:right w:val="nil"/>
            </w:tcBorders>
            <w:shd w:val="clear" w:color="auto" w:fill="auto"/>
            <w:noWrap/>
            <w:vAlign w:val="center"/>
            <w:hideMark/>
          </w:tcPr>
          <w:p w14:paraId="4EF0DC51" w14:textId="77777777" w:rsidR="00C64021" w:rsidRPr="002F5B7E" w:rsidRDefault="00C64021" w:rsidP="00D849E6">
            <w:pPr>
              <w:spacing w:line="240" w:lineRule="auto"/>
              <w:jc w:val="center"/>
              <w:rPr>
                <w:color w:val="000000"/>
                <w:sz w:val="20"/>
                <w:szCs w:val="20"/>
              </w:rPr>
            </w:pPr>
            <w:r w:rsidRPr="002F5B7E">
              <w:rPr>
                <w:color w:val="000000"/>
                <w:sz w:val="20"/>
                <w:szCs w:val="20"/>
              </w:rPr>
              <w:t>0.835</w:t>
            </w:r>
          </w:p>
        </w:tc>
      </w:tr>
      <w:tr w:rsidR="00C64021" w:rsidRPr="002F5B7E" w14:paraId="55F4AF27" w14:textId="77777777" w:rsidTr="002F5B7E">
        <w:trPr>
          <w:trHeight w:val="300"/>
        </w:trPr>
        <w:tc>
          <w:tcPr>
            <w:tcW w:w="1887" w:type="dxa"/>
            <w:gridSpan w:val="2"/>
            <w:tcBorders>
              <w:top w:val="nil"/>
              <w:left w:val="nil"/>
              <w:bottom w:val="nil"/>
              <w:right w:val="nil"/>
            </w:tcBorders>
            <w:shd w:val="clear" w:color="auto" w:fill="auto"/>
            <w:noWrap/>
            <w:vAlign w:val="center"/>
            <w:hideMark/>
          </w:tcPr>
          <w:p w14:paraId="1CA02C17" w14:textId="77777777" w:rsidR="00C64021" w:rsidRPr="002F5B7E" w:rsidRDefault="00C64021" w:rsidP="00D849E6">
            <w:pPr>
              <w:spacing w:line="240" w:lineRule="auto"/>
              <w:rPr>
                <w:color w:val="000000"/>
                <w:sz w:val="20"/>
                <w:szCs w:val="20"/>
                <w:u w:val="single"/>
              </w:rPr>
            </w:pPr>
            <w:r w:rsidRPr="002F5B7E">
              <w:rPr>
                <w:color w:val="000000"/>
                <w:sz w:val="20"/>
                <w:szCs w:val="20"/>
                <w:u w:val="single"/>
              </w:rPr>
              <w:t>Weeds</w:t>
            </w:r>
          </w:p>
        </w:tc>
        <w:tc>
          <w:tcPr>
            <w:tcW w:w="989" w:type="dxa"/>
            <w:tcBorders>
              <w:right w:val="single" w:sz="48" w:space="0" w:color="FFFFFF"/>
            </w:tcBorders>
            <w:noWrap/>
            <w:vAlign w:val="center"/>
            <w:hideMark/>
          </w:tcPr>
          <w:p w14:paraId="47C82E32" w14:textId="77777777" w:rsidR="00C64021" w:rsidRPr="002F5B7E" w:rsidRDefault="00C64021" w:rsidP="00D849E6">
            <w:pPr>
              <w:spacing w:line="240" w:lineRule="auto"/>
              <w:jc w:val="center"/>
              <w:rPr>
                <w:color w:val="000000"/>
                <w:sz w:val="20"/>
                <w:szCs w:val="20"/>
              </w:rPr>
            </w:pPr>
          </w:p>
        </w:tc>
        <w:tc>
          <w:tcPr>
            <w:tcW w:w="720" w:type="dxa"/>
            <w:tcBorders>
              <w:top w:val="nil"/>
              <w:left w:val="single" w:sz="48" w:space="0" w:color="FFFFFF"/>
              <w:bottom w:val="nil"/>
              <w:right w:val="single" w:sz="48" w:space="0" w:color="FFFFFF"/>
            </w:tcBorders>
            <w:shd w:val="clear" w:color="auto" w:fill="auto"/>
            <w:noWrap/>
            <w:vAlign w:val="center"/>
            <w:hideMark/>
          </w:tcPr>
          <w:p w14:paraId="65A104B6" w14:textId="77777777" w:rsidR="00C64021" w:rsidRPr="002F5B7E" w:rsidRDefault="00C64021" w:rsidP="00D849E6">
            <w:pPr>
              <w:spacing w:line="240" w:lineRule="auto"/>
              <w:jc w:val="center"/>
              <w:rPr>
                <w:sz w:val="20"/>
                <w:szCs w:val="20"/>
              </w:rPr>
            </w:pPr>
          </w:p>
        </w:tc>
        <w:tc>
          <w:tcPr>
            <w:tcW w:w="872" w:type="dxa"/>
            <w:tcBorders>
              <w:top w:val="nil"/>
              <w:left w:val="single" w:sz="48" w:space="0" w:color="FFFFFF"/>
              <w:bottom w:val="nil"/>
              <w:right w:val="single" w:sz="48" w:space="0" w:color="FFFFFF"/>
            </w:tcBorders>
            <w:shd w:val="clear" w:color="auto" w:fill="auto"/>
            <w:noWrap/>
            <w:vAlign w:val="center"/>
            <w:hideMark/>
          </w:tcPr>
          <w:p w14:paraId="6D3E9E12" w14:textId="77777777" w:rsidR="00C64021" w:rsidRPr="002F5B7E" w:rsidRDefault="00C64021" w:rsidP="00D849E6">
            <w:pPr>
              <w:spacing w:line="240" w:lineRule="auto"/>
              <w:jc w:val="center"/>
              <w:rPr>
                <w:sz w:val="20"/>
                <w:szCs w:val="20"/>
              </w:rPr>
            </w:pPr>
          </w:p>
        </w:tc>
        <w:tc>
          <w:tcPr>
            <w:tcW w:w="748" w:type="dxa"/>
            <w:tcBorders>
              <w:top w:val="nil"/>
              <w:left w:val="single" w:sz="48" w:space="0" w:color="FFFFFF"/>
              <w:bottom w:val="nil"/>
              <w:right w:val="single" w:sz="48" w:space="0" w:color="FFFFFF"/>
            </w:tcBorders>
            <w:shd w:val="clear" w:color="auto" w:fill="auto"/>
            <w:noWrap/>
            <w:vAlign w:val="center"/>
            <w:hideMark/>
          </w:tcPr>
          <w:p w14:paraId="1642FE38" w14:textId="77777777" w:rsidR="00C64021" w:rsidRPr="002F5B7E" w:rsidRDefault="00C64021" w:rsidP="00D849E6">
            <w:pPr>
              <w:spacing w:line="240" w:lineRule="auto"/>
              <w:jc w:val="center"/>
              <w:rPr>
                <w:sz w:val="20"/>
                <w:szCs w:val="20"/>
              </w:rPr>
            </w:pPr>
          </w:p>
        </w:tc>
        <w:tc>
          <w:tcPr>
            <w:tcW w:w="872" w:type="dxa"/>
            <w:tcBorders>
              <w:top w:val="nil"/>
              <w:left w:val="single" w:sz="48" w:space="0" w:color="FFFFFF"/>
              <w:bottom w:val="nil"/>
              <w:right w:val="single" w:sz="48" w:space="0" w:color="FFFFFF"/>
            </w:tcBorders>
            <w:shd w:val="clear" w:color="auto" w:fill="auto"/>
            <w:noWrap/>
            <w:vAlign w:val="center"/>
            <w:hideMark/>
          </w:tcPr>
          <w:p w14:paraId="231F708E" w14:textId="77777777" w:rsidR="00C64021" w:rsidRPr="002F5B7E" w:rsidRDefault="00C64021" w:rsidP="00D849E6">
            <w:pPr>
              <w:spacing w:line="240" w:lineRule="auto"/>
              <w:jc w:val="center"/>
              <w:rPr>
                <w:sz w:val="20"/>
                <w:szCs w:val="20"/>
              </w:rPr>
            </w:pPr>
          </w:p>
        </w:tc>
        <w:tc>
          <w:tcPr>
            <w:tcW w:w="748" w:type="dxa"/>
            <w:tcBorders>
              <w:top w:val="nil"/>
              <w:left w:val="single" w:sz="48" w:space="0" w:color="FFFFFF"/>
              <w:bottom w:val="nil"/>
              <w:right w:val="single" w:sz="48" w:space="0" w:color="FFFFFF"/>
            </w:tcBorders>
            <w:shd w:val="clear" w:color="auto" w:fill="auto"/>
            <w:noWrap/>
            <w:vAlign w:val="center"/>
            <w:hideMark/>
          </w:tcPr>
          <w:p w14:paraId="082DB2A2" w14:textId="77777777" w:rsidR="00C64021" w:rsidRPr="002F5B7E" w:rsidRDefault="00C64021" w:rsidP="00D849E6">
            <w:pPr>
              <w:spacing w:line="240" w:lineRule="auto"/>
              <w:jc w:val="center"/>
              <w:rPr>
                <w:sz w:val="20"/>
                <w:szCs w:val="20"/>
              </w:rPr>
            </w:pPr>
          </w:p>
        </w:tc>
        <w:tc>
          <w:tcPr>
            <w:tcW w:w="842" w:type="dxa"/>
            <w:tcBorders>
              <w:top w:val="nil"/>
              <w:left w:val="single" w:sz="48" w:space="0" w:color="FFFFFF"/>
              <w:bottom w:val="nil"/>
              <w:right w:val="single" w:sz="48" w:space="0" w:color="FFFFFF"/>
            </w:tcBorders>
            <w:shd w:val="clear" w:color="auto" w:fill="auto"/>
            <w:noWrap/>
            <w:vAlign w:val="center"/>
            <w:hideMark/>
          </w:tcPr>
          <w:p w14:paraId="5C2AA96C" w14:textId="77777777" w:rsidR="00C64021" w:rsidRPr="002F5B7E" w:rsidRDefault="00C64021" w:rsidP="00D849E6">
            <w:pPr>
              <w:spacing w:line="240" w:lineRule="auto"/>
              <w:jc w:val="center"/>
              <w:rPr>
                <w:sz w:val="20"/>
                <w:szCs w:val="20"/>
              </w:rPr>
            </w:pPr>
          </w:p>
        </w:tc>
        <w:tc>
          <w:tcPr>
            <w:tcW w:w="782" w:type="dxa"/>
            <w:tcBorders>
              <w:top w:val="nil"/>
              <w:left w:val="single" w:sz="48" w:space="0" w:color="FFFFFF"/>
              <w:bottom w:val="nil"/>
              <w:right w:val="single" w:sz="48" w:space="0" w:color="FFFFFF"/>
            </w:tcBorders>
            <w:shd w:val="clear" w:color="auto" w:fill="auto"/>
            <w:noWrap/>
            <w:vAlign w:val="center"/>
            <w:hideMark/>
          </w:tcPr>
          <w:p w14:paraId="6BB27364" w14:textId="77777777" w:rsidR="00C64021" w:rsidRPr="002F5B7E" w:rsidRDefault="00C64021" w:rsidP="00D849E6">
            <w:pPr>
              <w:spacing w:line="240" w:lineRule="auto"/>
              <w:jc w:val="center"/>
              <w:rPr>
                <w:sz w:val="20"/>
                <w:szCs w:val="20"/>
              </w:rPr>
            </w:pPr>
          </w:p>
        </w:tc>
        <w:tc>
          <w:tcPr>
            <w:tcW w:w="870" w:type="dxa"/>
            <w:tcBorders>
              <w:top w:val="nil"/>
              <w:left w:val="single" w:sz="48" w:space="0" w:color="FFFFFF"/>
              <w:bottom w:val="nil"/>
              <w:right w:val="single" w:sz="48" w:space="0" w:color="FFFFFF"/>
            </w:tcBorders>
            <w:shd w:val="clear" w:color="auto" w:fill="auto"/>
            <w:noWrap/>
            <w:vAlign w:val="center"/>
            <w:hideMark/>
          </w:tcPr>
          <w:p w14:paraId="3801B765" w14:textId="77777777" w:rsidR="00C64021" w:rsidRPr="002F5B7E" w:rsidRDefault="00C64021" w:rsidP="00D849E6">
            <w:pPr>
              <w:spacing w:line="240" w:lineRule="auto"/>
              <w:jc w:val="center"/>
              <w:rPr>
                <w:sz w:val="20"/>
                <w:szCs w:val="20"/>
              </w:rPr>
            </w:pPr>
          </w:p>
        </w:tc>
        <w:tc>
          <w:tcPr>
            <w:tcW w:w="750" w:type="dxa"/>
            <w:tcBorders>
              <w:top w:val="nil"/>
              <w:left w:val="single" w:sz="48" w:space="0" w:color="FFFFFF"/>
              <w:bottom w:val="nil"/>
              <w:right w:val="single" w:sz="48" w:space="0" w:color="FFFFFF"/>
            </w:tcBorders>
            <w:shd w:val="clear" w:color="auto" w:fill="auto"/>
            <w:noWrap/>
            <w:vAlign w:val="center"/>
            <w:hideMark/>
          </w:tcPr>
          <w:p w14:paraId="34E55F1B" w14:textId="77777777" w:rsidR="00C64021" w:rsidRPr="002F5B7E" w:rsidRDefault="00C64021" w:rsidP="00D849E6">
            <w:pPr>
              <w:spacing w:line="240" w:lineRule="auto"/>
              <w:jc w:val="center"/>
              <w:rPr>
                <w:sz w:val="20"/>
                <w:szCs w:val="20"/>
              </w:rPr>
            </w:pPr>
          </w:p>
        </w:tc>
        <w:tc>
          <w:tcPr>
            <w:tcW w:w="869" w:type="dxa"/>
            <w:tcBorders>
              <w:top w:val="nil"/>
              <w:left w:val="single" w:sz="48" w:space="0" w:color="FFFFFF"/>
              <w:bottom w:val="nil"/>
              <w:right w:val="single" w:sz="48" w:space="0" w:color="FFFFFF"/>
            </w:tcBorders>
            <w:shd w:val="clear" w:color="auto" w:fill="auto"/>
            <w:noWrap/>
            <w:vAlign w:val="center"/>
            <w:hideMark/>
          </w:tcPr>
          <w:p w14:paraId="5E7E583D" w14:textId="77777777" w:rsidR="00C64021" w:rsidRPr="002F5B7E" w:rsidRDefault="00C64021" w:rsidP="00D849E6">
            <w:pPr>
              <w:spacing w:line="240" w:lineRule="auto"/>
              <w:jc w:val="center"/>
              <w:rPr>
                <w:sz w:val="20"/>
                <w:szCs w:val="20"/>
              </w:rPr>
            </w:pPr>
          </w:p>
        </w:tc>
        <w:tc>
          <w:tcPr>
            <w:tcW w:w="751" w:type="dxa"/>
            <w:tcBorders>
              <w:top w:val="nil"/>
              <w:left w:val="single" w:sz="48" w:space="0" w:color="FFFFFF"/>
              <w:bottom w:val="nil"/>
              <w:right w:val="nil"/>
            </w:tcBorders>
            <w:shd w:val="clear" w:color="auto" w:fill="auto"/>
            <w:noWrap/>
            <w:vAlign w:val="center"/>
            <w:hideMark/>
          </w:tcPr>
          <w:p w14:paraId="300BF64D" w14:textId="77777777" w:rsidR="00C64021" w:rsidRPr="002F5B7E" w:rsidRDefault="00C64021" w:rsidP="00D849E6">
            <w:pPr>
              <w:spacing w:line="240" w:lineRule="auto"/>
              <w:jc w:val="center"/>
              <w:rPr>
                <w:sz w:val="20"/>
                <w:szCs w:val="20"/>
              </w:rPr>
            </w:pPr>
          </w:p>
        </w:tc>
      </w:tr>
      <w:tr w:rsidR="00C64021" w:rsidRPr="002F5B7E" w14:paraId="60B130A3" w14:textId="77777777" w:rsidTr="002F5B7E">
        <w:trPr>
          <w:trHeight w:val="300"/>
        </w:trPr>
        <w:tc>
          <w:tcPr>
            <w:tcW w:w="433" w:type="dxa"/>
            <w:tcBorders>
              <w:top w:val="nil"/>
              <w:left w:val="nil"/>
              <w:bottom w:val="nil"/>
              <w:right w:val="nil"/>
            </w:tcBorders>
            <w:shd w:val="clear" w:color="auto" w:fill="auto"/>
            <w:noWrap/>
            <w:vAlign w:val="center"/>
            <w:hideMark/>
          </w:tcPr>
          <w:p w14:paraId="26F05A70" w14:textId="77777777" w:rsidR="00C64021" w:rsidRPr="002F5B7E" w:rsidRDefault="00C64021" w:rsidP="00D849E6">
            <w:pPr>
              <w:spacing w:line="240" w:lineRule="auto"/>
              <w:rPr>
                <w:color w:val="000000"/>
                <w:sz w:val="20"/>
                <w:szCs w:val="20"/>
              </w:rPr>
            </w:pPr>
          </w:p>
        </w:tc>
        <w:tc>
          <w:tcPr>
            <w:tcW w:w="1454" w:type="dxa"/>
            <w:tcBorders>
              <w:top w:val="nil"/>
              <w:left w:val="nil"/>
              <w:bottom w:val="nil"/>
              <w:right w:val="nil"/>
            </w:tcBorders>
            <w:shd w:val="clear" w:color="auto" w:fill="auto"/>
            <w:noWrap/>
            <w:vAlign w:val="center"/>
            <w:hideMark/>
          </w:tcPr>
          <w:p w14:paraId="6DCA4A69" w14:textId="77777777" w:rsidR="00C64021" w:rsidRPr="002F5B7E" w:rsidRDefault="00C64021" w:rsidP="00D849E6">
            <w:pPr>
              <w:spacing w:line="240" w:lineRule="auto"/>
              <w:ind w:left="-105"/>
              <w:rPr>
                <w:color w:val="000000"/>
                <w:sz w:val="20"/>
                <w:szCs w:val="20"/>
              </w:rPr>
            </w:pPr>
            <w:r w:rsidRPr="002F5B7E">
              <w:rPr>
                <w:color w:val="000000"/>
                <w:sz w:val="20"/>
                <w:szCs w:val="20"/>
              </w:rPr>
              <w:t>RATE</w:t>
            </w:r>
          </w:p>
        </w:tc>
        <w:tc>
          <w:tcPr>
            <w:tcW w:w="989" w:type="dxa"/>
            <w:tcBorders>
              <w:top w:val="nil"/>
              <w:left w:val="nil"/>
              <w:bottom w:val="nil"/>
              <w:right w:val="single" w:sz="48" w:space="0" w:color="FFFFFF"/>
            </w:tcBorders>
            <w:shd w:val="clear" w:color="auto" w:fill="auto"/>
            <w:noWrap/>
            <w:vAlign w:val="center"/>
            <w:hideMark/>
          </w:tcPr>
          <w:p w14:paraId="0495822E" w14:textId="77777777" w:rsidR="00C64021" w:rsidRPr="002F5B7E" w:rsidRDefault="00C64021" w:rsidP="00D849E6">
            <w:pPr>
              <w:spacing w:line="240" w:lineRule="auto"/>
              <w:jc w:val="center"/>
              <w:rPr>
                <w:color w:val="000000"/>
                <w:sz w:val="20"/>
                <w:szCs w:val="20"/>
              </w:rPr>
            </w:pPr>
            <w:r w:rsidRPr="002F5B7E">
              <w:rPr>
                <w:color w:val="000000"/>
                <w:sz w:val="20"/>
                <w:szCs w:val="20"/>
              </w:rPr>
              <w:t>8.48</w:t>
            </w:r>
          </w:p>
        </w:tc>
        <w:tc>
          <w:tcPr>
            <w:tcW w:w="720" w:type="dxa"/>
            <w:tcBorders>
              <w:top w:val="nil"/>
              <w:left w:val="single" w:sz="48" w:space="0" w:color="FFFFFF"/>
              <w:bottom w:val="nil"/>
              <w:right w:val="single" w:sz="48" w:space="0" w:color="FFFFFF"/>
            </w:tcBorders>
            <w:shd w:val="clear" w:color="auto" w:fill="auto"/>
            <w:noWrap/>
            <w:vAlign w:val="center"/>
            <w:hideMark/>
          </w:tcPr>
          <w:p w14:paraId="76AFBEB4" w14:textId="77777777" w:rsidR="00C64021" w:rsidRPr="002F5B7E" w:rsidRDefault="00C64021" w:rsidP="00D849E6">
            <w:pPr>
              <w:spacing w:line="240" w:lineRule="auto"/>
              <w:jc w:val="center"/>
              <w:rPr>
                <w:b/>
                <w:color w:val="000000"/>
                <w:sz w:val="20"/>
                <w:szCs w:val="20"/>
              </w:rPr>
            </w:pPr>
            <w:r w:rsidRPr="002F5B7E">
              <w:rPr>
                <w:b/>
                <w:color w:val="000000"/>
                <w:sz w:val="20"/>
                <w:szCs w:val="20"/>
              </w:rPr>
              <w:t>0.018</w:t>
            </w:r>
          </w:p>
        </w:tc>
        <w:tc>
          <w:tcPr>
            <w:tcW w:w="872" w:type="dxa"/>
            <w:tcBorders>
              <w:top w:val="nil"/>
              <w:left w:val="single" w:sz="48" w:space="0" w:color="FFFFFF"/>
              <w:bottom w:val="nil"/>
              <w:right w:val="single" w:sz="48" w:space="0" w:color="FFFFFF"/>
            </w:tcBorders>
            <w:shd w:val="clear" w:color="auto" w:fill="auto"/>
            <w:noWrap/>
            <w:vAlign w:val="center"/>
            <w:hideMark/>
          </w:tcPr>
          <w:p w14:paraId="4F33EEBC" w14:textId="77777777" w:rsidR="00C64021" w:rsidRPr="002F5B7E" w:rsidRDefault="00C64021" w:rsidP="00D849E6">
            <w:pPr>
              <w:spacing w:line="240" w:lineRule="auto"/>
              <w:jc w:val="center"/>
              <w:rPr>
                <w:color w:val="000000"/>
                <w:sz w:val="20"/>
                <w:szCs w:val="20"/>
              </w:rPr>
            </w:pPr>
            <w:r w:rsidRPr="002F5B7E">
              <w:rPr>
                <w:color w:val="000000"/>
                <w:sz w:val="20"/>
                <w:szCs w:val="20"/>
              </w:rPr>
              <w:t>43.46</w:t>
            </w:r>
          </w:p>
        </w:tc>
        <w:tc>
          <w:tcPr>
            <w:tcW w:w="748" w:type="dxa"/>
            <w:tcBorders>
              <w:top w:val="nil"/>
              <w:left w:val="single" w:sz="48" w:space="0" w:color="FFFFFF"/>
              <w:bottom w:val="nil"/>
              <w:right w:val="single" w:sz="48" w:space="0" w:color="FFFFFF"/>
            </w:tcBorders>
            <w:shd w:val="clear" w:color="auto" w:fill="auto"/>
            <w:noWrap/>
            <w:vAlign w:val="center"/>
            <w:hideMark/>
          </w:tcPr>
          <w:p w14:paraId="165A7924" w14:textId="77777777" w:rsidR="00C64021" w:rsidRPr="002F5B7E" w:rsidRDefault="00C64021" w:rsidP="00D849E6">
            <w:pPr>
              <w:spacing w:line="240" w:lineRule="auto"/>
              <w:ind w:left="-105"/>
              <w:jc w:val="center"/>
              <w:rPr>
                <w:color w:val="000000"/>
                <w:sz w:val="20"/>
                <w:szCs w:val="20"/>
              </w:rPr>
            </w:pPr>
            <w:r w:rsidRPr="002F5B7E">
              <w:rPr>
                <w:b/>
                <w:color w:val="000000"/>
                <w:sz w:val="20"/>
                <w:szCs w:val="20"/>
              </w:rPr>
              <w:t>&lt;0.001</w:t>
            </w:r>
          </w:p>
        </w:tc>
        <w:tc>
          <w:tcPr>
            <w:tcW w:w="872" w:type="dxa"/>
            <w:tcBorders>
              <w:top w:val="nil"/>
              <w:left w:val="single" w:sz="48" w:space="0" w:color="FFFFFF"/>
              <w:bottom w:val="nil"/>
              <w:right w:val="single" w:sz="48" w:space="0" w:color="FFFFFF"/>
            </w:tcBorders>
            <w:shd w:val="clear" w:color="auto" w:fill="auto"/>
            <w:noWrap/>
            <w:vAlign w:val="center"/>
            <w:hideMark/>
          </w:tcPr>
          <w:p w14:paraId="27E62190"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748" w:type="dxa"/>
            <w:tcBorders>
              <w:top w:val="nil"/>
              <w:left w:val="single" w:sz="48" w:space="0" w:color="FFFFFF"/>
              <w:bottom w:val="nil"/>
              <w:right w:val="single" w:sz="48" w:space="0" w:color="FFFFFF"/>
            </w:tcBorders>
            <w:shd w:val="clear" w:color="auto" w:fill="auto"/>
            <w:noWrap/>
            <w:vAlign w:val="center"/>
            <w:hideMark/>
          </w:tcPr>
          <w:p w14:paraId="42A24FBA"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842" w:type="dxa"/>
            <w:tcBorders>
              <w:top w:val="nil"/>
              <w:left w:val="single" w:sz="48" w:space="0" w:color="FFFFFF"/>
              <w:bottom w:val="nil"/>
              <w:right w:val="single" w:sz="48" w:space="0" w:color="FFFFFF"/>
            </w:tcBorders>
            <w:shd w:val="clear" w:color="auto" w:fill="auto"/>
            <w:noWrap/>
            <w:vAlign w:val="center"/>
            <w:hideMark/>
          </w:tcPr>
          <w:p w14:paraId="67D9782C" w14:textId="77777777" w:rsidR="00C64021" w:rsidRPr="002F5B7E" w:rsidRDefault="00C64021" w:rsidP="00D849E6">
            <w:pPr>
              <w:spacing w:line="240" w:lineRule="auto"/>
              <w:jc w:val="center"/>
              <w:rPr>
                <w:color w:val="000000"/>
                <w:sz w:val="20"/>
                <w:szCs w:val="20"/>
              </w:rPr>
            </w:pPr>
            <w:r w:rsidRPr="002F5B7E">
              <w:rPr>
                <w:color w:val="000000"/>
                <w:sz w:val="20"/>
                <w:szCs w:val="20"/>
              </w:rPr>
              <w:t>1.08</w:t>
            </w:r>
          </w:p>
        </w:tc>
        <w:tc>
          <w:tcPr>
            <w:tcW w:w="782" w:type="dxa"/>
            <w:tcBorders>
              <w:top w:val="nil"/>
              <w:left w:val="single" w:sz="48" w:space="0" w:color="FFFFFF"/>
              <w:bottom w:val="nil"/>
              <w:right w:val="single" w:sz="48" w:space="0" w:color="FFFFFF"/>
            </w:tcBorders>
            <w:shd w:val="clear" w:color="auto" w:fill="auto"/>
            <w:noWrap/>
            <w:vAlign w:val="center"/>
            <w:hideMark/>
          </w:tcPr>
          <w:p w14:paraId="1CE41584" w14:textId="77777777" w:rsidR="00C64021" w:rsidRPr="002F5B7E" w:rsidRDefault="00C64021" w:rsidP="00D849E6">
            <w:pPr>
              <w:spacing w:line="240" w:lineRule="auto"/>
              <w:jc w:val="center"/>
              <w:rPr>
                <w:color w:val="000000"/>
                <w:sz w:val="20"/>
                <w:szCs w:val="20"/>
              </w:rPr>
            </w:pPr>
            <w:r w:rsidRPr="002F5B7E">
              <w:rPr>
                <w:color w:val="000000"/>
                <w:sz w:val="20"/>
                <w:szCs w:val="20"/>
              </w:rPr>
              <w:t>0.396</w:t>
            </w:r>
          </w:p>
        </w:tc>
        <w:tc>
          <w:tcPr>
            <w:tcW w:w="870" w:type="dxa"/>
            <w:tcBorders>
              <w:top w:val="nil"/>
              <w:left w:val="single" w:sz="48" w:space="0" w:color="FFFFFF"/>
              <w:bottom w:val="nil"/>
              <w:right w:val="single" w:sz="48" w:space="0" w:color="FFFFFF"/>
            </w:tcBorders>
            <w:shd w:val="clear" w:color="auto" w:fill="auto"/>
            <w:noWrap/>
            <w:vAlign w:val="center"/>
            <w:hideMark/>
          </w:tcPr>
          <w:p w14:paraId="751A2125" w14:textId="77777777" w:rsidR="00C64021" w:rsidRPr="002F5B7E" w:rsidRDefault="00C64021" w:rsidP="00D849E6">
            <w:pPr>
              <w:spacing w:line="240" w:lineRule="auto"/>
              <w:jc w:val="center"/>
              <w:rPr>
                <w:color w:val="000000"/>
                <w:sz w:val="20"/>
                <w:szCs w:val="20"/>
              </w:rPr>
            </w:pPr>
            <w:r w:rsidRPr="002F5B7E">
              <w:rPr>
                <w:color w:val="000000"/>
                <w:sz w:val="20"/>
                <w:szCs w:val="20"/>
              </w:rPr>
              <w:t>1.19</w:t>
            </w:r>
          </w:p>
        </w:tc>
        <w:tc>
          <w:tcPr>
            <w:tcW w:w="750" w:type="dxa"/>
            <w:tcBorders>
              <w:top w:val="nil"/>
              <w:left w:val="single" w:sz="48" w:space="0" w:color="FFFFFF"/>
              <w:bottom w:val="nil"/>
              <w:right w:val="single" w:sz="48" w:space="0" w:color="FFFFFF"/>
            </w:tcBorders>
            <w:shd w:val="clear" w:color="auto" w:fill="auto"/>
            <w:noWrap/>
            <w:vAlign w:val="center"/>
            <w:hideMark/>
          </w:tcPr>
          <w:p w14:paraId="0676917D" w14:textId="77777777" w:rsidR="00C64021" w:rsidRPr="002F5B7E" w:rsidRDefault="00C64021" w:rsidP="00D849E6">
            <w:pPr>
              <w:spacing w:line="240" w:lineRule="auto"/>
              <w:jc w:val="center"/>
              <w:rPr>
                <w:color w:val="000000"/>
                <w:sz w:val="20"/>
                <w:szCs w:val="20"/>
              </w:rPr>
            </w:pPr>
            <w:r w:rsidRPr="002F5B7E">
              <w:rPr>
                <w:color w:val="000000"/>
                <w:sz w:val="20"/>
                <w:szCs w:val="20"/>
              </w:rPr>
              <w:t>0.368</w:t>
            </w:r>
          </w:p>
        </w:tc>
        <w:tc>
          <w:tcPr>
            <w:tcW w:w="869" w:type="dxa"/>
            <w:tcBorders>
              <w:top w:val="nil"/>
              <w:left w:val="single" w:sz="48" w:space="0" w:color="FFFFFF"/>
              <w:bottom w:val="nil"/>
              <w:right w:val="single" w:sz="48" w:space="0" w:color="FFFFFF"/>
            </w:tcBorders>
            <w:shd w:val="clear" w:color="auto" w:fill="auto"/>
            <w:noWrap/>
            <w:vAlign w:val="center"/>
            <w:hideMark/>
          </w:tcPr>
          <w:p w14:paraId="0DB8246E"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751" w:type="dxa"/>
            <w:tcBorders>
              <w:top w:val="nil"/>
              <w:left w:val="single" w:sz="48" w:space="0" w:color="FFFFFF"/>
              <w:bottom w:val="nil"/>
              <w:right w:val="nil"/>
            </w:tcBorders>
            <w:shd w:val="clear" w:color="auto" w:fill="auto"/>
            <w:noWrap/>
            <w:vAlign w:val="center"/>
            <w:hideMark/>
          </w:tcPr>
          <w:p w14:paraId="6C5A5664"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r>
      <w:tr w:rsidR="00C64021" w:rsidRPr="002F5B7E" w14:paraId="3DBA14E9" w14:textId="77777777" w:rsidTr="002F5B7E">
        <w:trPr>
          <w:trHeight w:val="300"/>
        </w:trPr>
        <w:tc>
          <w:tcPr>
            <w:tcW w:w="1887" w:type="dxa"/>
            <w:gridSpan w:val="2"/>
            <w:tcBorders>
              <w:top w:val="nil"/>
              <w:left w:val="nil"/>
              <w:bottom w:val="nil"/>
              <w:right w:val="nil"/>
            </w:tcBorders>
            <w:shd w:val="clear" w:color="auto" w:fill="auto"/>
            <w:noWrap/>
            <w:vAlign w:val="center"/>
            <w:hideMark/>
          </w:tcPr>
          <w:p w14:paraId="08A3D63A" w14:textId="77777777" w:rsidR="00C64021" w:rsidRPr="002F5B7E" w:rsidRDefault="00C64021" w:rsidP="00D849E6">
            <w:pPr>
              <w:spacing w:line="240" w:lineRule="auto"/>
              <w:rPr>
                <w:color w:val="000000"/>
                <w:sz w:val="20"/>
                <w:szCs w:val="20"/>
                <w:u w:val="single"/>
              </w:rPr>
            </w:pPr>
            <w:r w:rsidRPr="002F5B7E">
              <w:rPr>
                <w:color w:val="000000"/>
                <w:sz w:val="20"/>
                <w:szCs w:val="20"/>
                <w:u w:val="single"/>
              </w:rPr>
              <w:t>BTM + Weeds</w:t>
            </w:r>
          </w:p>
        </w:tc>
        <w:tc>
          <w:tcPr>
            <w:tcW w:w="989" w:type="dxa"/>
            <w:tcBorders>
              <w:right w:val="single" w:sz="48" w:space="0" w:color="FFFFFF"/>
            </w:tcBorders>
            <w:noWrap/>
            <w:vAlign w:val="center"/>
            <w:hideMark/>
          </w:tcPr>
          <w:p w14:paraId="105E2FF6" w14:textId="77777777" w:rsidR="00C64021" w:rsidRPr="002F5B7E" w:rsidRDefault="00C64021" w:rsidP="00D849E6">
            <w:pPr>
              <w:spacing w:line="240" w:lineRule="auto"/>
              <w:jc w:val="center"/>
              <w:rPr>
                <w:color w:val="000000"/>
                <w:sz w:val="20"/>
                <w:szCs w:val="20"/>
              </w:rPr>
            </w:pPr>
          </w:p>
        </w:tc>
        <w:tc>
          <w:tcPr>
            <w:tcW w:w="720" w:type="dxa"/>
            <w:tcBorders>
              <w:top w:val="nil"/>
              <w:left w:val="single" w:sz="48" w:space="0" w:color="FFFFFF"/>
              <w:bottom w:val="nil"/>
              <w:right w:val="single" w:sz="48" w:space="0" w:color="FFFFFF"/>
            </w:tcBorders>
            <w:shd w:val="clear" w:color="auto" w:fill="auto"/>
            <w:noWrap/>
            <w:vAlign w:val="center"/>
            <w:hideMark/>
          </w:tcPr>
          <w:p w14:paraId="0862AF63" w14:textId="77777777" w:rsidR="00C64021" w:rsidRPr="002F5B7E" w:rsidRDefault="00C64021" w:rsidP="00D849E6">
            <w:pPr>
              <w:spacing w:line="240" w:lineRule="auto"/>
              <w:jc w:val="center"/>
              <w:rPr>
                <w:sz w:val="20"/>
                <w:szCs w:val="20"/>
              </w:rPr>
            </w:pPr>
          </w:p>
        </w:tc>
        <w:tc>
          <w:tcPr>
            <w:tcW w:w="872" w:type="dxa"/>
            <w:tcBorders>
              <w:top w:val="nil"/>
              <w:left w:val="single" w:sz="48" w:space="0" w:color="FFFFFF"/>
              <w:bottom w:val="nil"/>
              <w:right w:val="single" w:sz="48" w:space="0" w:color="FFFFFF"/>
            </w:tcBorders>
            <w:shd w:val="clear" w:color="auto" w:fill="auto"/>
            <w:noWrap/>
            <w:vAlign w:val="center"/>
            <w:hideMark/>
          </w:tcPr>
          <w:p w14:paraId="4CEF1339" w14:textId="77777777" w:rsidR="00C64021" w:rsidRPr="002F5B7E" w:rsidRDefault="00C64021" w:rsidP="00D849E6">
            <w:pPr>
              <w:spacing w:line="240" w:lineRule="auto"/>
              <w:jc w:val="center"/>
              <w:rPr>
                <w:sz w:val="20"/>
                <w:szCs w:val="20"/>
              </w:rPr>
            </w:pPr>
          </w:p>
        </w:tc>
        <w:tc>
          <w:tcPr>
            <w:tcW w:w="748" w:type="dxa"/>
            <w:tcBorders>
              <w:top w:val="nil"/>
              <w:left w:val="single" w:sz="48" w:space="0" w:color="FFFFFF"/>
              <w:bottom w:val="nil"/>
              <w:right w:val="single" w:sz="48" w:space="0" w:color="FFFFFF"/>
            </w:tcBorders>
            <w:shd w:val="clear" w:color="auto" w:fill="auto"/>
            <w:noWrap/>
            <w:vAlign w:val="center"/>
            <w:hideMark/>
          </w:tcPr>
          <w:p w14:paraId="0AC15CA2" w14:textId="77777777" w:rsidR="00C64021" w:rsidRPr="002F5B7E" w:rsidRDefault="00C64021" w:rsidP="00D849E6">
            <w:pPr>
              <w:spacing w:line="240" w:lineRule="auto"/>
              <w:jc w:val="center"/>
              <w:rPr>
                <w:sz w:val="20"/>
                <w:szCs w:val="20"/>
              </w:rPr>
            </w:pPr>
          </w:p>
        </w:tc>
        <w:tc>
          <w:tcPr>
            <w:tcW w:w="872" w:type="dxa"/>
            <w:tcBorders>
              <w:top w:val="nil"/>
              <w:left w:val="single" w:sz="48" w:space="0" w:color="FFFFFF"/>
              <w:bottom w:val="nil"/>
              <w:right w:val="single" w:sz="48" w:space="0" w:color="FFFFFF"/>
            </w:tcBorders>
            <w:shd w:val="clear" w:color="auto" w:fill="auto"/>
            <w:noWrap/>
            <w:vAlign w:val="center"/>
            <w:hideMark/>
          </w:tcPr>
          <w:p w14:paraId="370B6E0C" w14:textId="77777777" w:rsidR="00C64021" w:rsidRPr="002F5B7E" w:rsidRDefault="00C64021" w:rsidP="00D849E6">
            <w:pPr>
              <w:spacing w:line="240" w:lineRule="auto"/>
              <w:jc w:val="center"/>
              <w:rPr>
                <w:sz w:val="20"/>
                <w:szCs w:val="20"/>
              </w:rPr>
            </w:pPr>
          </w:p>
        </w:tc>
        <w:tc>
          <w:tcPr>
            <w:tcW w:w="748" w:type="dxa"/>
            <w:tcBorders>
              <w:top w:val="nil"/>
              <w:left w:val="single" w:sz="48" w:space="0" w:color="FFFFFF"/>
              <w:bottom w:val="nil"/>
              <w:right w:val="single" w:sz="48" w:space="0" w:color="FFFFFF"/>
            </w:tcBorders>
            <w:shd w:val="clear" w:color="auto" w:fill="auto"/>
            <w:noWrap/>
            <w:vAlign w:val="center"/>
            <w:hideMark/>
          </w:tcPr>
          <w:p w14:paraId="4C8988DE" w14:textId="77777777" w:rsidR="00C64021" w:rsidRPr="002F5B7E" w:rsidRDefault="00C64021" w:rsidP="00D849E6">
            <w:pPr>
              <w:spacing w:line="240" w:lineRule="auto"/>
              <w:jc w:val="center"/>
              <w:rPr>
                <w:sz w:val="20"/>
                <w:szCs w:val="20"/>
              </w:rPr>
            </w:pPr>
          </w:p>
        </w:tc>
        <w:tc>
          <w:tcPr>
            <w:tcW w:w="842" w:type="dxa"/>
            <w:tcBorders>
              <w:top w:val="nil"/>
              <w:left w:val="single" w:sz="48" w:space="0" w:color="FFFFFF"/>
              <w:bottom w:val="nil"/>
              <w:right w:val="single" w:sz="48" w:space="0" w:color="FFFFFF"/>
            </w:tcBorders>
            <w:shd w:val="clear" w:color="auto" w:fill="auto"/>
            <w:noWrap/>
            <w:vAlign w:val="center"/>
            <w:hideMark/>
          </w:tcPr>
          <w:p w14:paraId="53548390" w14:textId="77777777" w:rsidR="00C64021" w:rsidRPr="002F5B7E" w:rsidRDefault="00C64021" w:rsidP="00D849E6">
            <w:pPr>
              <w:spacing w:line="240" w:lineRule="auto"/>
              <w:jc w:val="center"/>
              <w:rPr>
                <w:sz w:val="20"/>
                <w:szCs w:val="20"/>
              </w:rPr>
            </w:pPr>
          </w:p>
        </w:tc>
        <w:tc>
          <w:tcPr>
            <w:tcW w:w="782" w:type="dxa"/>
            <w:tcBorders>
              <w:top w:val="nil"/>
              <w:left w:val="single" w:sz="48" w:space="0" w:color="FFFFFF"/>
              <w:bottom w:val="nil"/>
              <w:right w:val="single" w:sz="48" w:space="0" w:color="FFFFFF"/>
            </w:tcBorders>
            <w:shd w:val="clear" w:color="auto" w:fill="auto"/>
            <w:noWrap/>
            <w:vAlign w:val="center"/>
            <w:hideMark/>
          </w:tcPr>
          <w:p w14:paraId="6C482020" w14:textId="77777777" w:rsidR="00C64021" w:rsidRPr="002F5B7E" w:rsidRDefault="00C64021" w:rsidP="00D849E6">
            <w:pPr>
              <w:spacing w:line="240" w:lineRule="auto"/>
              <w:jc w:val="center"/>
              <w:rPr>
                <w:sz w:val="20"/>
                <w:szCs w:val="20"/>
              </w:rPr>
            </w:pPr>
          </w:p>
        </w:tc>
        <w:tc>
          <w:tcPr>
            <w:tcW w:w="870" w:type="dxa"/>
            <w:tcBorders>
              <w:top w:val="nil"/>
              <w:left w:val="single" w:sz="48" w:space="0" w:color="FFFFFF"/>
              <w:bottom w:val="nil"/>
              <w:right w:val="single" w:sz="48" w:space="0" w:color="FFFFFF"/>
            </w:tcBorders>
            <w:shd w:val="clear" w:color="auto" w:fill="auto"/>
            <w:noWrap/>
            <w:vAlign w:val="center"/>
            <w:hideMark/>
          </w:tcPr>
          <w:p w14:paraId="26054C49" w14:textId="77777777" w:rsidR="00C64021" w:rsidRPr="002F5B7E" w:rsidRDefault="00C64021" w:rsidP="00D849E6">
            <w:pPr>
              <w:spacing w:line="240" w:lineRule="auto"/>
              <w:jc w:val="center"/>
              <w:rPr>
                <w:sz w:val="20"/>
                <w:szCs w:val="20"/>
              </w:rPr>
            </w:pPr>
          </w:p>
        </w:tc>
        <w:tc>
          <w:tcPr>
            <w:tcW w:w="750" w:type="dxa"/>
            <w:tcBorders>
              <w:top w:val="nil"/>
              <w:left w:val="single" w:sz="48" w:space="0" w:color="FFFFFF"/>
              <w:bottom w:val="nil"/>
              <w:right w:val="single" w:sz="48" w:space="0" w:color="FFFFFF"/>
            </w:tcBorders>
            <w:shd w:val="clear" w:color="auto" w:fill="auto"/>
            <w:noWrap/>
            <w:vAlign w:val="center"/>
            <w:hideMark/>
          </w:tcPr>
          <w:p w14:paraId="344C4C49" w14:textId="77777777" w:rsidR="00C64021" w:rsidRPr="002F5B7E" w:rsidRDefault="00C64021" w:rsidP="00D849E6">
            <w:pPr>
              <w:spacing w:line="240" w:lineRule="auto"/>
              <w:jc w:val="center"/>
              <w:rPr>
                <w:sz w:val="20"/>
                <w:szCs w:val="20"/>
              </w:rPr>
            </w:pPr>
          </w:p>
        </w:tc>
        <w:tc>
          <w:tcPr>
            <w:tcW w:w="869" w:type="dxa"/>
            <w:tcBorders>
              <w:top w:val="nil"/>
              <w:left w:val="single" w:sz="48" w:space="0" w:color="FFFFFF"/>
              <w:bottom w:val="nil"/>
              <w:right w:val="single" w:sz="48" w:space="0" w:color="FFFFFF"/>
            </w:tcBorders>
            <w:shd w:val="clear" w:color="auto" w:fill="auto"/>
            <w:noWrap/>
            <w:vAlign w:val="center"/>
            <w:hideMark/>
          </w:tcPr>
          <w:p w14:paraId="6E175619" w14:textId="77777777" w:rsidR="00C64021" w:rsidRPr="002F5B7E" w:rsidRDefault="00C64021" w:rsidP="00D849E6">
            <w:pPr>
              <w:spacing w:line="240" w:lineRule="auto"/>
              <w:jc w:val="center"/>
              <w:rPr>
                <w:sz w:val="20"/>
                <w:szCs w:val="20"/>
              </w:rPr>
            </w:pPr>
          </w:p>
        </w:tc>
        <w:tc>
          <w:tcPr>
            <w:tcW w:w="751" w:type="dxa"/>
            <w:tcBorders>
              <w:top w:val="nil"/>
              <w:left w:val="single" w:sz="48" w:space="0" w:color="FFFFFF"/>
              <w:bottom w:val="nil"/>
              <w:right w:val="nil"/>
            </w:tcBorders>
            <w:shd w:val="clear" w:color="auto" w:fill="auto"/>
            <w:noWrap/>
            <w:vAlign w:val="center"/>
            <w:hideMark/>
          </w:tcPr>
          <w:p w14:paraId="104EE529" w14:textId="77777777" w:rsidR="00C64021" w:rsidRPr="002F5B7E" w:rsidRDefault="00C64021" w:rsidP="00D849E6">
            <w:pPr>
              <w:spacing w:line="240" w:lineRule="auto"/>
              <w:jc w:val="center"/>
              <w:rPr>
                <w:sz w:val="20"/>
                <w:szCs w:val="20"/>
              </w:rPr>
            </w:pPr>
          </w:p>
        </w:tc>
      </w:tr>
      <w:tr w:rsidR="00C64021" w:rsidRPr="002F5B7E" w14:paraId="003DEE09" w14:textId="77777777" w:rsidTr="002F5B7E">
        <w:trPr>
          <w:trHeight w:val="300"/>
        </w:trPr>
        <w:tc>
          <w:tcPr>
            <w:tcW w:w="433" w:type="dxa"/>
            <w:tcBorders>
              <w:top w:val="nil"/>
              <w:left w:val="nil"/>
              <w:bottom w:val="single" w:sz="12" w:space="0" w:color="auto"/>
              <w:right w:val="nil"/>
            </w:tcBorders>
            <w:shd w:val="clear" w:color="auto" w:fill="auto"/>
            <w:noWrap/>
            <w:vAlign w:val="center"/>
            <w:hideMark/>
          </w:tcPr>
          <w:p w14:paraId="26C0FF45" w14:textId="77777777" w:rsidR="00C64021" w:rsidRPr="002F5B7E" w:rsidRDefault="00C64021" w:rsidP="00D849E6">
            <w:pPr>
              <w:spacing w:line="240" w:lineRule="auto"/>
              <w:rPr>
                <w:color w:val="000000"/>
                <w:sz w:val="20"/>
                <w:szCs w:val="20"/>
              </w:rPr>
            </w:pPr>
          </w:p>
        </w:tc>
        <w:tc>
          <w:tcPr>
            <w:tcW w:w="1454" w:type="dxa"/>
            <w:tcBorders>
              <w:top w:val="nil"/>
              <w:left w:val="nil"/>
              <w:bottom w:val="single" w:sz="12" w:space="0" w:color="auto"/>
              <w:right w:val="nil"/>
            </w:tcBorders>
            <w:shd w:val="clear" w:color="auto" w:fill="auto"/>
            <w:noWrap/>
            <w:vAlign w:val="center"/>
            <w:hideMark/>
          </w:tcPr>
          <w:p w14:paraId="550DBEA0" w14:textId="77777777" w:rsidR="00C64021" w:rsidRPr="002F5B7E" w:rsidRDefault="00C64021" w:rsidP="00D849E6">
            <w:pPr>
              <w:spacing w:line="240" w:lineRule="auto"/>
              <w:ind w:left="-105"/>
              <w:rPr>
                <w:color w:val="000000"/>
                <w:sz w:val="20"/>
                <w:szCs w:val="20"/>
              </w:rPr>
            </w:pPr>
            <w:r w:rsidRPr="002F5B7E">
              <w:rPr>
                <w:color w:val="000000"/>
                <w:sz w:val="20"/>
                <w:szCs w:val="20"/>
              </w:rPr>
              <w:t>RATE</w:t>
            </w:r>
          </w:p>
        </w:tc>
        <w:tc>
          <w:tcPr>
            <w:tcW w:w="989" w:type="dxa"/>
            <w:tcBorders>
              <w:top w:val="nil"/>
              <w:left w:val="nil"/>
              <w:bottom w:val="single" w:sz="12" w:space="0" w:color="auto"/>
              <w:right w:val="single" w:sz="48" w:space="0" w:color="FFFFFF"/>
            </w:tcBorders>
            <w:shd w:val="clear" w:color="auto" w:fill="auto"/>
            <w:noWrap/>
            <w:vAlign w:val="center"/>
            <w:hideMark/>
          </w:tcPr>
          <w:p w14:paraId="0B56E1AF" w14:textId="77777777" w:rsidR="00C64021" w:rsidRPr="002F5B7E" w:rsidRDefault="00C64021" w:rsidP="00D849E6">
            <w:pPr>
              <w:spacing w:line="240" w:lineRule="auto"/>
              <w:ind w:left="-75"/>
              <w:jc w:val="center"/>
              <w:rPr>
                <w:color w:val="000000"/>
                <w:sz w:val="20"/>
                <w:szCs w:val="20"/>
              </w:rPr>
            </w:pPr>
            <w:r w:rsidRPr="002F5B7E">
              <w:rPr>
                <w:color w:val="000000"/>
                <w:sz w:val="20"/>
                <w:szCs w:val="20"/>
              </w:rPr>
              <w:t>13.01</w:t>
            </w:r>
          </w:p>
        </w:tc>
        <w:tc>
          <w:tcPr>
            <w:tcW w:w="720" w:type="dxa"/>
            <w:tcBorders>
              <w:top w:val="nil"/>
              <w:left w:val="single" w:sz="48" w:space="0" w:color="FFFFFF"/>
              <w:bottom w:val="single" w:sz="12" w:space="0" w:color="auto"/>
              <w:right w:val="single" w:sz="48" w:space="0" w:color="FFFFFF"/>
            </w:tcBorders>
            <w:shd w:val="clear" w:color="auto" w:fill="auto"/>
            <w:noWrap/>
            <w:vAlign w:val="center"/>
            <w:hideMark/>
          </w:tcPr>
          <w:p w14:paraId="1F1CBD16" w14:textId="77777777" w:rsidR="00C64021" w:rsidRPr="002F5B7E" w:rsidRDefault="00C64021" w:rsidP="00D849E6">
            <w:pPr>
              <w:spacing w:line="240" w:lineRule="auto"/>
              <w:jc w:val="center"/>
              <w:rPr>
                <w:b/>
                <w:color w:val="000000"/>
                <w:sz w:val="20"/>
                <w:szCs w:val="20"/>
              </w:rPr>
            </w:pPr>
            <w:r w:rsidRPr="002F5B7E">
              <w:rPr>
                <w:b/>
                <w:color w:val="000000"/>
                <w:sz w:val="20"/>
                <w:szCs w:val="20"/>
              </w:rPr>
              <w:t>0.007</w:t>
            </w:r>
          </w:p>
        </w:tc>
        <w:tc>
          <w:tcPr>
            <w:tcW w:w="872" w:type="dxa"/>
            <w:tcBorders>
              <w:top w:val="nil"/>
              <w:left w:val="single" w:sz="48" w:space="0" w:color="FFFFFF"/>
              <w:bottom w:val="single" w:sz="12" w:space="0" w:color="auto"/>
              <w:right w:val="single" w:sz="48" w:space="0" w:color="FFFFFF"/>
            </w:tcBorders>
            <w:shd w:val="clear" w:color="auto" w:fill="auto"/>
            <w:noWrap/>
            <w:vAlign w:val="center"/>
            <w:hideMark/>
          </w:tcPr>
          <w:p w14:paraId="2C8EA58C" w14:textId="77777777" w:rsidR="00C64021" w:rsidRPr="002F5B7E" w:rsidRDefault="00C64021" w:rsidP="00D849E6">
            <w:pPr>
              <w:spacing w:line="240" w:lineRule="auto"/>
              <w:jc w:val="center"/>
              <w:rPr>
                <w:color w:val="000000"/>
                <w:sz w:val="20"/>
                <w:szCs w:val="20"/>
              </w:rPr>
            </w:pPr>
            <w:r w:rsidRPr="002F5B7E">
              <w:rPr>
                <w:color w:val="000000"/>
                <w:sz w:val="20"/>
                <w:szCs w:val="20"/>
              </w:rPr>
              <w:t>6.25</w:t>
            </w:r>
          </w:p>
        </w:tc>
        <w:tc>
          <w:tcPr>
            <w:tcW w:w="748" w:type="dxa"/>
            <w:tcBorders>
              <w:top w:val="nil"/>
              <w:left w:val="single" w:sz="48" w:space="0" w:color="FFFFFF"/>
              <w:bottom w:val="single" w:sz="12" w:space="0" w:color="auto"/>
              <w:right w:val="single" w:sz="48" w:space="0" w:color="FFFFFF"/>
            </w:tcBorders>
            <w:shd w:val="clear" w:color="auto" w:fill="auto"/>
            <w:noWrap/>
            <w:vAlign w:val="center"/>
            <w:hideMark/>
          </w:tcPr>
          <w:p w14:paraId="7771BA4E" w14:textId="77777777" w:rsidR="00C64021" w:rsidRPr="002F5B7E" w:rsidRDefault="00C64021" w:rsidP="00D849E6">
            <w:pPr>
              <w:spacing w:line="240" w:lineRule="auto"/>
              <w:jc w:val="center"/>
              <w:rPr>
                <w:color w:val="000000"/>
                <w:sz w:val="20"/>
                <w:szCs w:val="20"/>
              </w:rPr>
            </w:pPr>
            <w:r w:rsidRPr="002F5B7E">
              <w:rPr>
                <w:b/>
                <w:color w:val="000000"/>
                <w:sz w:val="20"/>
                <w:szCs w:val="20"/>
              </w:rPr>
              <w:t>0.034</w:t>
            </w:r>
          </w:p>
        </w:tc>
        <w:tc>
          <w:tcPr>
            <w:tcW w:w="872" w:type="dxa"/>
            <w:tcBorders>
              <w:top w:val="nil"/>
              <w:left w:val="single" w:sz="48" w:space="0" w:color="FFFFFF"/>
              <w:bottom w:val="single" w:sz="12" w:space="0" w:color="auto"/>
              <w:right w:val="single" w:sz="48" w:space="0" w:color="FFFFFF"/>
            </w:tcBorders>
            <w:shd w:val="clear" w:color="auto" w:fill="auto"/>
            <w:noWrap/>
            <w:vAlign w:val="center"/>
            <w:hideMark/>
          </w:tcPr>
          <w:p w14:paraId="6105495B"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748" w:type="dxa"/>
            <w:tcBorders>
              <w:top w:val="nil"/>
              <w:left w:val="single" w:sz="48" w:space="0" w:color="FFFFFF"/>
              <w:bottom w:val="single" w:sz="12" w:space="0" w:color="auto"/>
              <w:right w:val="single" w:sz="48" w:space="0" w:color="FFFFFF"/>
            </w:tcBorders>
            <w:shd w:val="clear" w:color="auto" w:fill="auto"/>
            <w:noWrap/>
            <w:vAlign w:val="center"/>
            <w:hideMark/>
          </w:tcPr>
          <w:p w14:paraId="22DC0E30"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842" w:type="dxa"/>
            <w:tcBorders>
              <w:top w:val="nil"/>
              <w:left w:val="single" w:sz="48" w:space="0" w:color="FFFFFF"/>
              <w:bottom w:val="single" w:sz="12" w:space="0" w:color="auto"/>
              <w:right w:val="single" w:sz="48" w:space="0" w:color="FFFFFF"/>
            </w:tcBorders>
            <w:shd w:val="clear" w:color="auto" w:fill="auto"/>
            <w:noWrap/>
            <w:vAlign w:val="center"/>
            <w:hideMark/>
          </w:tcPr>
          <w:p w14:paraId="6F191104" w14:textId="77777777" w:rsidR="00C64021" w:rsidRPr="002F5B7E" w:rsidRDefault="00C64021" w:rsidP="00D849E6">
            <w:pPr>
              <w:spacing w:line="240" w:lineRule="auto"/>
              <w:ind w:left="-70"/>
              <w:jc w:val="center"/>
              <w:rPr>
                <w:color w:val="000000"/>
                <w:sz w:val="20"/>
                <w:szCs w:val="20"/>
              </w:rPr>
            </w:pPr>
            <w:r w:rsidRPr="002F5B7E">
              <w:rPr>
                <w:color w:val="000000"/>
                <w:sz w:val="20"/>
                <w:szCs w:val="20"/>
              </w:rPr>
              <w:t>12.77</w:t>
            </w:r>
          </w:p>
        </w:tc>
        <w:tc>
          <w:tcPr>
            <w:tcW w:w="782" w:type="dxa"/>
            <w:tcBorders>
              <w:top w:val="nil"/>
              <w:left w:val="single" w:sz="48" w:space="0" w:color="FFFFFF"/>
              <w:bottom w:val="single" w:sz="12" w:space="0" w:color="auto"/>
              <w:right w:val="single" w:sz="48" w:space="0" w:color="FFFFFF"/>
            </w:tcBorders>
            <w:shd w:val="clear" w:color="auto" w:fill="auto"/>
            <w:noWrap/>
            <w:vAlign w:val="center"/>
            <w:hideMark/>
          </w:tcPr>
          <w:p w14:paraId="2FAEAE88" w14:textId="77777777" w:rsidR="00C64021" w:rsidRPr="002F5B7E" w:rsidRDefault="00C64021" w:rsidP="00D849E6">
            <w:pPr>
              <w:spacing w:line="240" w:lineRule="auto"/>
              <w:jc w:val="center"/>
              <w:rPr>
                <w:color w:val="000000"/>
                <w:sz w:val="20"/>
                <w:szCs w:val="20"/>
              </w:rPr>
            </w:pPr>
            <w:r w:rsidRPr="002F5B7E">
              <w:rPr>
                <w:b/>
                <w:color w:val="000000"/>
                <w:sz w:val="20"/>
                <w:szCs w:val="20"/>
              </w:rPr>
              <w:t>0.007</w:t>
            </w:r>
          </w:p>
        </w:tc>
        <w:tc>
          <w:tcPr>
            <w:tcW w:w="870" w:type="dxa"/>
            <w:tcBorders>
              <w:top w:val="nil"/>
              <w:left w:val="single" w:sz="48" w:space="0" w:color="FFFFFF"/>
              <w:bottom w:val="single" w:sz="12" w:space="0" w:color="auto"/>
              <w:right w:val="single" w:sz="48" w:space="0" w:color="FFFFFF"/>
            </w:tcBorders>
            <w:shd w:val="clear" w:color="auto" w:fill="auto"/>
            <w:noWrap/>
            <w:vAlign w:val="center"/>
            <w:hideMark/>
          </w:tcPr>
          <w:p w14:paraId="5B6A566B" w14:textId="77777777" w:rsidR="00C64021" w:rsidRPr="002F5B7E" w:rsidRDefault="00C64021" w:rsidP="00D849E6">
            <w:pPr>
              <w:spacing w:line="240" w:lineRule="auto"/>
              <w:ind w:left="-105"/>
              <w:jc w:val="center"/>
              <w:rPr>
                <w:color w:val="000000"/>
                <w:sz w:val="20"/>
                <w:szCs w:val="20"/>
              </w:rPr>
            </w:pPr>
            <w:r w:rsidRPr="002F5B7E">
              <w:rPr>
                <w:color w:val="000000"/>
                <w:sz w:val="20"/>
                <w:szCs w:val="20"/>
              </w:rPr>
              <w:t>13.95</w:t>
            </w:r>
          </w:p>
        </w:tc>
        <w:tc>
          <w:tcPr>
            <w:tcW w:w="750" w:type="dxa"/>
            <w:tcBorders>
              <w:top w:val="nil"/>
              <w:left w:val="single" w:sz="48" w:space="0" w:color="FFFFFF"/>
              <w:bottom w:val="single" w:sz="12" w:space="0" w:color="auto"/>
              <w:right w:val="single" w:sz="48" w:space="0" w:color="FFFFFF"/>
            </w:tcBorders>
            <w:shd w:val="clear" w:color="auto" w:fill="auto"/>
            <w:noWrap/>
            <w:vAlign w:val="center"/>
            <w:hideMark/>
          </w:tcPr>
          <w:p w14:paraId="19823DDC" w14:textId="77777777" w:rsidR="00C64021" w:rsidRPr="002F5B7E" w:rsidRDefault="00C64021" w:rsidP="00D849E6">
            <w:pPr>
              <w:spacing w:line="240" w:lineRule="auto"/>
              <w:jc w:val="center"/>
              <w:rPr>
                <w:color w:val="000000"/>
                <w:sz w:val="20"/>
                <w:szCs w:val="20"/>
              </w:rPr>
            </w:pPr>
            <w:r w:rsidRPr="002F5B7E">
              <w:rPr>
                <w:b/>
                <w:color w:val="000000"/>
                <w:sz w:val="20"/>
                <w:szCs w:val="20"/>
              </w:rPr>
              <w:t>0.006</w:t>
            </w:r>
          </w:p>
        </w:tc>
        <w:tc>
          <w:tcPr>
            <w:tcW w:w="869" w:type="dxa"/>
            <w:tcBorders>
              <w:top w:val="nil"/>
              <w:left w:val="single" w:sz="48" w:space="0" w:color="FFFFFF"/>
              <w:bottom w:val="single" w:sz="12" w:space="0" w:color="auto"/>
              <w:right w:val="single" w:sz="48" w:space="0" w:color="FFFFFF"/>
            </w:tcBorders>
            <w:shd w:val="clear" w:color="auto" w:fill="auto"/>
            <w:noWrap/>
            <w:vAlign w:val="center"/>
            <w:hideMark/>
          </w:tcPr>
          <w:p w14:paraId="348BE57B"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c>
          <w:tcPr>
            <w:tcW w:w="751" w:type="dxa"/>
            <w:tcBorders>
              <w:top w:val="nil"/>
              <w:left w:val="single" w:sz="48" w:space="0" w:color="FFFFFF"/>
              <w:bottom w:val="single" w:sz="12" w:space="0" w:color="auto"/>
              <w:right w:val="nil"/>
            </w:tcBorders>
            <w:shd w:val="clear" w:color="auto" w:fill="auto"/>
            <w:noWrap/>
            <w:vAlign w:val="center"/>
            <w:hideMark/>
          </w:tcPr>
          <w:p w14:paraId="75EF813D" w14:textId="77777777" w:rsidR="00C64021" w:rsidRPr="002F5B7E" w:rsidRDefault="00C64021" w:rsidP="00D849E6">
            <w:pPr>
              <w:spacing w:line="240" w:lineRule="auto"/>
              <w:jc w:val="center"/>
              <w:rPr>
                <w:color w:val="000000"/>
                <w:sz w:val="20"/>
                <w:szCs w:val="20"/>
              </w:rPr>
            </w:pPr>
            <w:r w:rsidRPr="002F5B7E">
              <w:rPr>
                <w:color w:val="000000"/>
                <w:sz w:val="20"/>
                <w:szCs w:val="20"/>
              </w:rPr>
              <w:t>-</w:t>
            </w:r>
          </w:p>
        </w:tc>
      </w:tr>
    </w:tbl>
    <w:p w14:paraId="62E17FE5" w14:textId="77777777" w:rsidR="00C64021" w:rsidRPr="00C64021" w:rsidRDefault="00C64021" w:rsidP="00C64021">
      <w:pPr>
        <w:spacing w:line="240" w:lineRule="auto"/>
        <w:ind w:left="180" w:hanging="180"/>
        <w:rPr>
          <w:bCs/>
        </w:rPr>
      </w:pPr>
      <w:r w:rsidRPr="00C64021">
        <w:rPr>
          <w:bCs/>
        </w:rPr>
        <w:t xml:space="preserve">† Establishment-year plant density at 30 and 60 days after planting (DAP) of switchgrass and switchgrass plant density during dormancy.  </w:t>
      </w:r>
      <w:bookmarkStart w:id="285" w:name="_Hlk43240477"/>
      <w:r w:rsidRPr="00C64021">
        <w:rPr>
          <w:bCs/>
        </w:rPr>
        <w:t>Since both BTM defoliation strategy treatments had not been conducted prior to 30 and 60 DAP seedling counts, HARV was not incorporated into the model as a dependent variable.</w:t>
      </w:r>
    </w:p>
    <w:bookmarkEnd w:id="285"/>
    <w:p w14:paraId="7FF46FF9" w14:textId="77777777" w:rsidR="00C64021" w:rsidRPr="00C64021" w:rsidRDefault="00C64021" w:rsidP="00C64021">
      <w:pPr>
        <w:spacing w:line="240" w:lineRule="auto"/>
        <w:rPr>
          <w:bCs/>
        </w:rPr>
      </w:pPr>
      <w:r w:rsidRPr="00C64021">
        <w:rPr>
          <w:bCs/>
        </w:rPr>
        <w:t>‡ HARV = BTM defoliation strategy (harvested for hay, harvested for competition control); RATE = BTM seeding rate (0, 11.2, and 22.4 kg PLS ha</w:t>
      </w:r>
      <w:r w:rsidRPr="00C64021">
        <w:rPr>
          <w:bCs/>
          <w:vertAlign w:val="superscript"/>
        </w:rPr>
        <w:t>-1</w:t>
      </w:r>
      <w:r w:rsidRPr="00C64021">
        <w:rPr>
          <w:bCs/>
        </w:rPr>
        <w:t>)</w:t>
      </w:r>
    </w:p>
    <w:p w14:paraId="5F788E61" w14:textId="77777777" w:rsidR="00C64021" w:rsidRPr="00C64021" w:rsidRDefault="00C64021" w:rsidP="00C64021">
      <w:pPr>
        <w:spacing w:line="240" w:lineRule="auto"/>
        <w:rPr>
          <w:bCs/>
        </w:rPr>
      </w:pPr>
      <w:r w:rsidRPr="00C64021">
        <w:rPr>
          <w:rFonts w:cs="Calibri"/>
          <w:bCs/>
        </w:rPr>
        <w:t>§</w:t>
      </w:r>
      <w:r w:rsidRPr="00C64021">
        <w:rPr>
          <w:bCs/>
        </w:rPr>
        <w:t xml:space="preserve"> df num/den = Switchgrass – HARV 1/15, RATE 2/15, HARV x RATE 2/15; Weeds – RATE 2/6; BTM + Weeds – RATE 2/6</w:t>
      </w:r>
    </w:p>
    <w:p w14:paraId="7EF0F6CB" w14:textId="77777777" w:rsidR="003C00F4" w:rsidRPr="003C00F4" w:rsidRDefault="003C00F4" w:rsidP="003C00F4">
      <w:pPr>
        <w:pStyle w:val="Paragraphs"/>
      </w:pPr>
    </w:p>
    <w:p w14:paraId="20A01A1D" w14:textId="77777777" w:rsidR="003C00F4" w:rsidRDefault="003C00F4" w:rsidP="003C00F4">
      <w:pPr>
        <w:ind w:firstLine="720"/>
      </w:pPr>
    </w:p>
    <w:p w14:paraId="73EE9335" w14:textId="7FB01199" w:rsidR="003C00F4" w:rsidRDefault="003C00F4" w:rsidP="003C00F4">
      <w:pPr>
        <w:ind w:firstLine="720"/>
        <w:sectPr w:rsidR="003C00F4" w:rsidSect="00C64021">
          <w:pgSz w:w="15840" w:h="12240" w:orient="landscape"/>
          <w:pgMar w:top="1440" w:right="1800" w:bottom="1872" w:left="1800" w:header="720" w:footer="720" w:gutter="0"/>
          <w:cols w:space="720"/>
          <w:titlePg/>
          <w:docGrid w:linePitch="360"/>
        </w:sectPr>
      </w:pPr>
    </w:p>
    <w:p w14:paraId="046CA3A1" w14:textId="02DDA8FC" w:rsidR="00EA47E2" w:rsidRDefault="002F5B7E" w:rsidP="00CE7AAA">
      <w:pPr>
        <w:pStyle w:val="Paragraphs"/>
        <w:spacing w:line="240" w:lineRule="auto"/>
        <w:ind w:firstLine="0"/>
      </w:pPr>
      <w:r w:rsidRPr="002F5B7E">
        <w:rPr>
          <w:noProof/>
        </w:rPr>
        <w:lastRenderedPageBreak/>
        <mc:AlternateContent>
          <mc:Choice Requires="wps">
            <w:drawing>
              <wp:anchor distT="45720" distB="45720" distL="114300" distR="114300" simplePos="0" relativeHeight="251788288" behindDoc="0" locked="0" layoutInCell="1" allowOverlap="1" wp14:anchorId="6667A1F4" wp14:editId="03DFC882">
                <wp:simplePos x="0" y="0"/>
                <wp:positionH relativeFrom="column">
                  <wp:posOffset>5715</wp:posOffset>
                </wp:positionH>
                <wp:positionV relativeFrom="paragraph">
                  <wp:posOffset>2660345</wp:posOffset>
                </wp:positionV>
                <wp:extent cx="723265" cy="34988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349885"/>
                        </a:xfrm>
                        <a:prstGeom prst="rect">
                          <a:avLst/>
                        </a:prstGeom>
                        <a:noFill/>
                        <a:ln w="9525">
                          <a:noFill/>
                          <a:miter lim="800000"/>
                          <a:headEnd/>
                          <a:tailEnd/>
                        </a:ln>
                      </wps:spPr>
                      <wps:txbx>
                        <w:txbxContent>
                          <w:p w14:paraId="6ED0866A" w14:textId="77777777" w:rsidR="002F5B7E" w:rsidRPr="00970CE7" w:rsidRDefault="002F5B7E" w:rsidP="002F5B7E">
                            <w:pPr>
                              <w:rPr>
                                <w:sz w:val="36"/>
                                <w:szCs w:val="36"/>
                              </w:rPr>
                            </w:pPr>
                            <w:r>
                              <w:rPr>
                                <w:sz w:val="36"/>
                                <w:szCs w:val="36"/>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67A1F4" id="Text Box 7" o:spid="_x0000_s1079" type="#_x0000_t202" style="position:absolute;margin-left:.45pt;margin-top:209.5pt;width:56.95pt;height:27.55pt;z-index:25178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" filled="f" stroked="f">
                <v:textbox>
                  <w:txbxContent>
                    <w:p w14:paraId="6ED0866A" w14:textId="77777777" w:rsidR="002F5B7E" w:rsidRPr="00970CE7" w:rsidRDefault="002F5B7E" w:rsidP="002F5B7E">
                      <w:pPr>
                        <w:rPr>
                          <w:sz w:val="36"/>
                          <w:szCs w:val="36"/>
                        </w:rPr>
                      </w:pPr>
                      <w:r>
                        <w:rPr>
                          <w:sz w:val="36"/>
                          <w:szCs w:val="36"/>
                        </w:rPr>
                        <w:t>a</w:t>
                      </w:r>
                    </w:p>
                  </w:txbxContent>
                </v:textbox>
              </v:shape>
            </w:pict>
          </mc:Fallback>
        </mc:AlternateContent>
      </w:r>
      <w:r>
        <w:rPr>
          <w:noProof/>
        </w:rPr>
        <w:drawing>
          <wp:inline distT="0" distB="0" distL="0" distR="0" wp14:anchorId="37D1A285" wp14:editId="77921D00">
            <wp:extent cx="5486400" cy="3017520"/>
            <wp:effectExtent l="0" t="0" r="0" b="11430"/>
            <wp:docPr id="2" name="Chart 2">
              <a:extLst xmlns:a="http://schemas.openxmlformats.org/drawingml/2006/main">
                <a:ext uri="{FF2B5EF4-FFF2-40B4-BE49-F238E27FC236}">
                  <a16:creationId xmlns:a16="http://schemas.microsoft.com/office/drawing/2014/main" id="{00000000-0008-0000-03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2BF94FF4" w14:textId="160A33E4" w:rsidR="002F5B7E" w:rsidRPr="00EA47E2" w:rsidRDefault="002F5B7E" w:rsidP="00CF049C">
      <w:pPr>
        <w:pStyle w:val="Paragraphs"/>
        <w:spacing w:after="100" w:afterAutospacing="1" w:line="240" w:lineRule="auto"/>
        <w:ind w:firstLine="0"/>
      </w:pPr>
      <w:r w:rsidRPr="002F5B7E">
        <w:rPr>
          <w:noProof/>
        </w:rPr>
        <mc:AlternateContent>
          <mc:Choice Requires="wps">
            <w:drawing>
              <wp:anchor distT="45720" distB="45720" distL="114300" distR="114300" simplePos="0" relativeHeight="251789312" behindDoc="0" locked="0" layoutInCell="1" allowOverlap="1" wp14:anchorId="5A87A5AA" wp14:editId="5738696F">
                <wp:simplePos x="0" y="0"/>
                <wp:positionH relativeFrom="column">
                  <wp:posOffset>7315</wp:posOffset>
                </wp:positionH>
                <wp:positionV relativeFrom="paragraph">
                  <wp:posOffset>2709545</wp:posOffset>
                </wp:positionV>
                <wp:extent cx="723265" cy="349885"/>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349885"/>
                        </a:xfrm>
                        <a:prstGeom prst="rect">
                          <a:avLst/>
                        </a:prstGeom>
                        <a:noFill/>
                        <a:ln w="9525">
                          <a:noFill/>
                          <a:miter lim="800000"/>
                          <a:headEnd/>
                          <a:tailEnd/>
                        </a:ln>
                      </wps:spPr>
                      <wps:txbx>
                        <w:txbxContent>
                          <w:p w14:paraId="29C8AB3F" w14:textId="77777777" w:rsidR="002F5B7E" w:rsidRPr="00970CE7" w:rsidRDefault="002F5B7E" w:rsidP="002F5B7E">
                            <w:pPr>
                              <w:rPr>
                                <w:sz w:val="36"/>
                                <w:szCs w:val="36"/>
                              </w:rPr>
                            </w:pPr>
                            <w:r>
                              <w:rPr>
                                <w:sz w:val="36"/>
                                <w:szCs w:val="36"/>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7A5AA" id="Text Box 12" o:spid="_x0000_s1080" type="#_x0000_t202" style="position:absolute;margin-left:.6pt;margin-top:213.35pt;width:56.95pt;height:27.55pt;z-index:251789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" filled="f" stroked="f">
                <v:textbox>
                  <w:txbxContent>
                    <w:p w14:paraId="29C8AB3F" w14:textId="77777777" w:rsidR="002F5B7E" w:rsidRPr="00970CE7" w:rsidRDefault="002F5B7E" w:rsidP="002F5B7E">
                      <w:pPr>
                        <w:rPr>
                          <w:sz w:val="36"/>
                          <w:szCs w:val="36"/>
                        </w:rPr>
                      </w:pPr>
                      <w:r>
                        <w:rPr>
                          <w:sz w:val="36"/>
                          <w:szCs w:val="36"/>
                        </w:rPr>
                        <w:t>b</w:t>
                      </w:r>
                    </w:p>
                  </w:txbxContent>
                </v:textbox>
              </v:shape>
            </w:pict>
          </mc:Fallback>
        </mc:AlternateContent>
      </w:r>
      <w:r w:rsidRPr="000D6E9A">
        <w:rPr>
          <w:noProof/>
        </w:rPr>
        <w:drawing>
          <wp:inline distT="0" distB="0" distL="0" distR="0" wp14:anchorId="2E6D9D05" wp14:editId="3E46A8EE">
            <wp:extent cx="5486400" cy="3063240"/>
            <wp:effectExtent l="0" t="0" r="0" b="3810"/>
            <wp:docPr id="3" name="Chart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3AABF3B4" w14:textId="433C70D9" w:rsidR="00220A09" w:rsidRPr="005578B5" w:rsidRDefault="00220A09" w:rsidP="00220A09">
      <w:pPr>
        <w:pStyle w:val="Figures"/>
      </w:pPr>
      <w:bookmarkStart w:id="286" w:name="_Toc72300478"/>
      <w:r w:rsidRPr="000D6E9A">
        <w:t>Fig</w:t>
      </w:r>
      <w:r>
        <w:t>ure 3A.</w:t>
      </w:r>
      <w:r w:rsidRPr="000D6E9A">
        <w:t>1. (a) Mean monthly air temperature (°C) and 30-year mean and (b) total monthly precipitation (mm) and 30-year mean for East Ten</w:t>
      </w:r>
      <w:r w:rsidRPr="00136BC7">
        <w:t>nessee AgResearch and E</w:t>
      </w:r>
      <w:r w:rsidRPr="002B6D59">
        <w:t>ducation Center</w:t>
      </w:r>
      <w:r>
        <w:t>-Plant Science Unit</w:t>
      </w:r>
      <w:r w:rsidRPr="002B6D59">
        <w:t>, Knoxville, TN, 2016</w:t>
      </w:r>
      <w:r>
        <w:t>-</w:t>
      </w:r>
      <w:r w:rsidRPr="002B6D59">
        <w:t>2018. †</w:t>
      </w:r>
      <w:r w:rsidRPr="00677DC5">
        <w:t>Some months’ data are missing in overall 30-year mean from 1988-2018. ‡No data were reported in 2016.</w:t>
      </w:r>
      <w:bookmarkEnd w:id="286"/>
    </w:p>
    <w:p w14:paraId="16D51A4C" w14:textId="77777777" w:rsidR="00DB2501" w:rsidRDefault="00DB2501" w:rsidP="00EA47E2">
      <w:pPr>
        <w:pStyle w:val="Paragraphs"/>
        <w:sectPr w:rsidR="00DB2501" w:rsidSect="00CE7AAA">
          <w:pgSz w:w="12240" w:h="15840"/>
          <w:pgMar w:top="1440" w:right="1800" w:bottom="1872" w:left="1800" w:header="720" w:footer="720" w:gutter="0"/>
          <w:cols w:space="720"/>
          <w:titlePg/>
          <w:docGrid w:linePitch="360"/>
        </w:sectPr>
      </w:pPr>
    </w:p>
    <w:p w14:paraId="310C69F8" w14:textId="6BA933F0" w:rsidR="00EA47E2" w:rsidRPr="00EA47E2" w:rsidRDefault="00DB2501" w:rsidP="00A539F2">
      <w:pPr>
        <w:pStyle w:val="Paragraphs"/>
        <w:spacing w:after="100" w:afterAutospacing="1" w:line="240" w:lineRule="auto"/>
        <w:ind w:firstLine="0"/>
      </w:pPr>
      <w:r>
        <w:rPr>
          <w:noProof/>
        </w:rPr>
        <w:lastRenderedPageBreak/>
        <w:drawing>
          <wp:inline distT="0" distB="0" distL="0" distR="0" wp14:anchorId="553A7852" wp14:editId="7737C488">
            <wp:extent cx="5029200" cy="6322668"/>
            <wp:effectExtent l="0" t="0" r="0" b="2540"/>
            <wp:docPr id="276" name="Picture 27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Picture 276" descr="Chart, bar chart&#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029200" cy="6322668"/>
                    </a:xfrm>
                    <a:prstGeom prst="rect">
                      <a:avLst/>
                    </a:prstGeom>
                  </pic:spPr>
                </pic:pic>
              </a:graphicData>
            </a:graphic>
          </wp:inline>
        </w:drawing>
      </w:r>
    </w:p>
    <w:p w14:paraId="1C1ECF0C" w14:textId="39268F96" w:rsidR="00D84C23" w:rsidRDefault="00D84C23" w:rsidP="00D84C23">
      <w:pPr>
        <w:pStyle w:val="Figures"/>
      </w:pPr>
      <w:bookmarkStart w:id="287" w:name="_Toc72300479"/>
      <w:bookmarkEnd w:id="262"/>
      <w:r>
        <w:t>Fig</w:t>
      </w:r>
      <w:r w:rsidR="00CF049C">
        <w:t>ure</w:t>
      </w:r>
      <w:r>
        <w:t xml:space="preserve"> </w:t>
      </w:r>
      <w:r w:rsidR="00CF049C">
        <w:t>3A.</w:t>
      </w:r>
      <w:r>
        <w:t>2. Establishment-year p</w:t>
      </w:r>
      <w:r w:rsidRPr="000D6E9A">
        <w:t>lant density (seedlings m</w:t>
      </w:r>
      <w:r w:rsidRPr="000D6E9A">
        <w:rPr>
          <w:vertAlign w:val="superscript"/>
        </w:rPr>
        <w:t>-2</w:t>
      </w:r>
      <w:r>
        <w:t>) for big bluestem (BB), browntop millet (BTM), and weeds by BTM seeding rate (kg PLS ha</w:t>
      </w:r>
      <w:r w:rsidRPr="001F269D">
        <w:rPr>
          <w:vertAlign w:val="superscript"/>
        </w:rPr>
        <w:t>-1</w:t>
      </w:r>
      <w:r>
        <w:t>) at 30 and 60 days after planting (DAP) BB for Site 1 (top) and Site 2 (bottom) at East Tennessee AgResearch and Education Center-Plant Science Unit, Knoxville, TN.  †Number of BB seedlings per BTM seeding rate</w:t>
      </w:r>
      <w:r w:rsidRPr="007A6B8C">
        <w:t xml:space="preserve"> </w:t>
      </w:r>
      <w:r>
        <w:t>at 30 and 60 DAP.  ‡Different lowercase letters indicate significant differences among weed + BTM seedling totals by BTM seeding rates at 30 and 60 DAP within site.  §Different UPPERCASE letters indicate significant differences for BB seedlings by BTM seeding rate at 30 and 60 DAP within site.</w:t>
      </w:r>
      <w:bookmarkEnd w:id="287"/>
    </w:p>
    <w:p w14:paraId="4A3F7337" w14:textId="77777777" w:rsidR="00A539F2" w:rsidRDefault="00A539F2" w:rsidP="00220A09">
      <w:pPr>
        <w:pStyle w:val="Paragraphs"/>
        <w:ind w:firstLine="0"/>
        <w:sectPr w:rsidR="00A539F2" w:rsidSect="00E77AB6">
          <w:pgSz w:w="12240" w:h="15840"/>
          <w:pgMar w:top="1440" w:right="1800" w:bottom="1872" w:left="1800" w:header="720" w:footer="720" w:gutter="0"/>
          <w:cols w:space="720"/>
          <w:titlePg/>
          <w:docGrid w:linePitch="360"/>
        </w:sectPr>
      </w:pPr>
    </w:p>
    <w:p w14:paraId="796DB112" w14:textId="256CF6E4" w:rsidR="00E77AB6" w:rsidRDefault="00CF049C" w:rsidP="00CF049C">
      <w:pPr>
        <w:pStyle w:val="Paragraphs"/>
        <w:spacing w:after="100" w:afterAutospacing="1" w:line="240" w:lineRule="auto"/>
        <w:ind w:firstLine="0"/>
      </w:pPr>
      <w:r>
        <w:rPr>
          <w:noProof/>
        </w:rPr>
        <w:lastRenderedPageBreak/>
        <mc:AlternateContent>
          <mc:Choice Requires="wps">
            <w:drawing>
              <wp:anchor distT="4294967295" distB="4294967295" distL="114300" distR="114300" simplePos="0" relativeHeight="251832320" behindDoc="0" locked="0" layoutInCell="1" allowOverlap="1" wp14:anchorId="4B92BAC5" wp14:editId="647BFFEC">
                <wp:simplePos x="0" y="0"/>
                <wp:positionH relativeFrom="column">
                  <wp:posOffset>705485</wp:posOffset>
                </wp:positionH>
                <wp:positionV relativeFrom="paragraph">
                  <wp:posOffset>1765148</wp:posOffset>
                </wp:positionV>
                <wp:extent cx="4608195" cy="0"/>
                <wp:effectExtent l="0" t="19050" r="20955" b="19050"/>
                <wp:wrapNone/>
                <wp:docPr id="265"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608195" cy="0"/>
                        </a:xfrm>
                        <a:prstGeom prst="line">
                          <a:avLst/>
                        </a:prstGeom>
                        <a:noFill/>
                        <a:ln w="34925" algn="ctr">
                          <a:solidFill>
                            <a:srgbClr val="B4C7E7"/>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1497AD57" id="Straight Connector 265" o:spid="_x0000_s1026" style="position:absolute;z-index:251832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5.55pt,139pt" to="418.4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" strokecolor="#b4c7e7" strokeweight="2.75pt">
                <v:stroke joinstyle="miter"/>
                <o:lock v:ext="edit" shapetype="f"/>
              </v:line>
            </w:pict>
          </mc:Fallback>
        </mc:AlternateContent>
      </w:r>
      <w:r>
        <w:rPr>
          <w:noProof/>
        </w:rPr>
        <mc:AlternateContent>
          <mc:Choice Requires="wps">
            <w:drawing>
              <wp:anchor distT="0" distB="0" distL="114300" distR="114300" simplePos="0" relativeHeight="251830272" behindDoc="0" locked="0" layoutInCell="1" allowOverlap="1" wp14:anchorId="6448E50E" wp14:editId="04AA267A">
                <wp:simplePos x="0" y="0"/>
                <wp:positionH relativeFrom="column">
                  <wp:posOffset>2993390</wp:posOffset>
                </wp:positionH>
                <wp:positionV relativeFrom="paragraph">
                  <wp:posOffset>1918818</wp:posOffset>
                </wp:positionV>
                <wp:extent cx="485775" cy="295275"/>
                <wp:effectExtent l="0" t="0" r="0" b="0"/>
                <wp:wrapNone/>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295275"/>
                        </a:xfrm>
                        <a:prstGeom prst="rect">
                          <a:avLst/>
                        </a:prstGeom>
                        <a:noFill/>
                        <a:ln w="9525">
                          <a:noFill/>
                          <a:miter lim="800000"/>
                          <a:headEnd/>
                          <a:tailEnd/>
                        </a:ln>
                      </wps:spPr>
                      <wps:txbx>
                        <w:txbxContent>
                          <w:p w14:paraId="2BFD6B3A" w14:textId="77777777" w:rsidR="00B312B5" w:rsidRDefault="00B312B5" w:rsidP="00B312B5">
                            <w:pPr>
                              <w:pStyle w:val="NormalWeb"/>
                              <w:spacing w:before="0" w:beforeAutospacing="0" w:after="160" w:afterAutospacing="0" w:line="256" w:lineRule="auto"/>
                            </w:pPr>
                            <w:r w:rsidRPr="008F269A">
                              <w:rPr>
                                <w:rFonts w:eastAsia="Calibri"/>
                                <w:color w:val="000000"/>
                                <w:kern w:val="24"/>
                                <w:sz w:val="22"/>
                                <w:szCs w:val="22"/>
                              </w:rPr>
                              <w:t xml:space="preserve">b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448E50E" id="Text Box 263" o:spid="_x0000_s1081" type="#_x0000_t202" style="position:absolute;margin-left:235.7pt;margin-top:151.1pt;width:38.25pt;height:23.2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" filled="f" stroked="f">
                <v:textbox>
                  <w:txbxContent>
                    <w:p w14:paraId="2BFD6B3A" w14:textId="77777777" w:rsidR="00B312B5" w:rsidRDefault="00B312B5" w:rsidP="00B312B5">
                      <w:pPr>
                        <w:pStyle w:val="NormalWeb"/>
                        <w:spacing w:before="0" w:beforeAutospacing="0" w:after="160" w:afterAutospacing="0" w:line="256" w:lineRule="auto"/>
                      </w:pPr>
                      <w:r w:rsidRPr="008F269A">
                        <w:rPr>
                          <w:rFonts w:eastAsia="Calibri"/>
                          <w:color w:val="000000"/>
                          <w:kern w:val="24"/>
                          <w:sz w:val="22"/>
                          <w:szCs w:val="22"/>
                        </w:rPr>
                        <w:t xml:space="preserve">b </w:t>
                      </w:r>
                    </w:p>
                  </w:txbxContent>
                </v:textbox>
              </v:shape>
            </w:pict>
          </mc:Fallback>
        </mc:AlternateContent>
      </w:r>
      <w:r>
        <w:rPr>
          <w:noProof/>
        </w:rPr>
        <mc:AlternateContent>
          <mc:Choice Requires="wps">
            <w:drawing>
              <wp:anchor distT="0" distB="0" distL="114300" distR="114300" simplePos="0" relativeHeight="251827200" behindDoc="0" locked="0" layoutInCell="1" allowOverlap="1" wp14:anchorId="5B8840D9" wp14:editId="5A90883E">
                <wp:simplePos x="0" y="0"/>
                <wp:positionH relativeFrom="column">
                  <wp:posOffset>2521433</wp:posOffset>
                </wp:positionH>
                <wp:positionV relativeFrom="paragraph">
                  <wp:posOffset>1715135</wp:posOffset>
                </wp:positionV>
                <wp:extent cx="485775" cy="289560"/>
                <wp:effectExtent l="0" t="0" r="0" b="0"/>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289560"/>
                        </a:xfrm>
                        <a:prstGeom prst="rect">
                          <a:avLst/>
                        </a:prstGeom>
                        <a:noFill/>
                        <a:ln w="9525">
                          <a:noFill/>
                          <a:miter lim="800000"/>
                          <a:headEnd/>
                          <a:tailEnd/>
                        </a:ln>
                      </wps:spPr>
                      <wps:txbx>
                        <w:txbxContent>
                          <w:p w14:paraId="678B6D03" w14:textId="77777777" w:rsidR="00B312B5" w:rsidRDefault="00B312B5" w:rsidP="00B312B5">
                            <w:pPr>
                              <w:pStyle w:val="NormalWeb"/>
                              <w:spacing w:before="0" w:beforeAutospacing="0" w:after="160" w:afterAutospacing="0" w:line="256" w:lineRule="auto"/>
                            </w:pPr>
                            <w:r w:rsidRPr="008F269A">
                              <w:rPr>
                                <w:rFonts w:eastAsia="Calibri"/>
                                <w:color w:val="000000"/>
                                <w:kern w:val="24"/>
                                <w:sz w:val="22"/>
                                <w:szCs w:val="22"/>
                              </w:rPr>
                              <w:t xml:space="preserve">B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5B8840D9" id="Text Box 61" o:spid="_x0000_s1082" type="#_x0000_t202" style="position:absolute;margin-left:198.55pt;margin-top:135.05pt;width:38.25pt;height:22.8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" filled="f" stroked="f">
                <v:textbox>
                  <w:txbxContent>
                    <w:p w14:paraId="678B6D03" w14:textId="77777777" w:rsidR="00B312B5" w:rsidRDefault="00B312B5" w:rsidP="00B312B5">
                      <w:pPr>
                        <w:pStyle w:val="NormalWeb"/>
                        <w:spacing w:before="0" w:beforeAutospacing="0" w:after="160" w:afterAutospacing="0" w:line="256" w:lineRule="auto"/>
                      </w:pPr>
                      <w:r w:rsidRPr="008F269A">
                        <w:rPr>
                          <w:rFonts w:eastAsia="Calibri"/>
                          <w:color w:val="000000"/>
                          <w:kern w:val="24"/>
                          <w:sz w:val="22"/>
                          <w:szCs w:val="22"/>
                        </w:rPr>
                        <w:t xml:space="preserve">B </w:t>
                      </w:r>
                    </w:p>
                  </w:txbxContent>
                </v:textbox>
              </v:shape>
            </w:pict>
          </mc:Fallback>
        </mc:AlternateContent>
      </w:r>
      <w:r w:rsidR="00B312B5">
        <w:rPr>
          <w:noProof/>
        </w:rPr>
        <mc:AlternateContent>
          <mc:Choice Requires="wps">
            <w:drawing>
              <wp:anchor distT="0" distB="0" distL="114300" distR="114300" simplePos="0" relativeHeight="251831296" behindDoc="0" locked="0" layoutInCell="1" allowOverlap="1" wp14:anchorId="776B23CA" wp14:editId="786486EF">
                <wp:simplePos x="0" y="0"/>
                <wp:positionH relativeFrom="column">
                  <wp:posOffset>4534918</wp:posOffset>
                </wp:positionH>
                <wp:positionV relativeFrom="paragraph">
                  <wp:posOffset>1912620</wp:posOffset>
                </wp:positionV>
                <wp:extent cx="485775" cy="295275"/>
                <wp:effectExtent l="0" t="0" r="0" b="0"/>
                <wp:wrapNone/>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295275"/>
                        </a:xfrm>
                        <a:prstGeom prst="rect">
                          <a:avLst/>
                        </a:prstGeom>
                        <a:noFill/>
                        <a:ln w="9525">
                          <a:noFill/>
                          <a:miter lim="800000"/>
                          <a:headEnd/>
                          <a:tailEnd/>
                        </a:ln>
                      </wps:spPr>
                      <wps:txbx>
                        <w:txbxContent>
                          <w:p w14:paraId="34075A07" w14:textId="77777777" w:rsidR="00B312B5" w:rsidRDefault="00B312B5" w:rsidP="00B312B5">
                            <w:pPr>
                              <w:pStyle w:val="NormalWeb"/>
                              <w:spacing w:before="0" w:beforeAutospacing="0" w:after="160" w:afterAutospacing="0" w:line="256" w:lineRule="auto"/>
                            </w:pPr>
                            <w:r w:rsidRPr="008F269A">
                              <w:rPr>
                                <w:rFonts w:eastAsia="Calibri"/>
                                <w:color w:val="000000"/>
                                <w:kern w:val="24"/>
                                <w:sz w:val="22"/>
                                <w:szCs w:val="22"/>
                              </w:rPr>
                              <w:t xml:space="preserve">b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76B23CA" id="Text Box 264" o:spid="_x0000_s1083" type="#_x0000_t202" style="position:absolute;margin-left:357.1pt;margin-top:150.6pt;width:38.25pt;height:23.2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" filled="f" stroked="f">
                <v:textbox>
                  <w:txbxContent>
                    <w:p w14:paraId="34075A07" w14:textId="77777777" w:rsidR="00B312B5" w:rsidRDefault="00B312B5" w:rsidP="00B312B5">
                      <w:pPr>
                        <w:pStyle w:val="NormalWeb"/>
                        <w:spacing w:before="0" w:beforeAutospacing="0" w:after="160" w:afterAutospacing="0" w:line="256" w:lineRule="auto"/>
                      </w:pPr>
                      <w:r w:rsidRPr="008F269A">
                        <w:rPr>
                          <w:rFonts w:eastAsia="Calibri"/>
                          <w:color w:val="000000"/>
                          <w:kern w:val="24"/>
                          <w:sz w:val="22"/>
                          <w:szCs w:val="22"/>
                        </w:rPr>
                        <w:t xml:space="preserve">b </w:t>
                      </w:r>
                    </w:p>
                  </w:txbxContent>
                </v:textbox>
              </v:shape>
            </w:pict>
          </mc:Fallback>
        </mc:AlternateContent>
      </w:r>
      <w:r w:rsidR="00B312B5">
        <w:rPr>
          <w:noProof/>
        </w:rPr>
        <mc:AlternateContent>
          <mc:Choice Requires="wps">
            <w:drawing>
              <wp:anchor distT="0" distB="0" distL="114300" distR="114300" simplePos="0" relativeHeight="251828224" behindDoc="0" locked="0" layoutInCell="1" allowOverlap="1" wp14:anchorId="3EF27B26" wp14:editId="42DDD0F8">
                <wp:simplePos x="0" y="0"/>
                <wp:positionH relativeFrom="column">
                  <wp:posOffset>4059938</wp:posOffset>
                </wp:positionH>
                <wp:positionV relativeFrom="paragraph">
                  <wp:posOffset>1724660</wp:posOffset>
                </wp:positionV>
                <wp:extent cx="485775" cy="295275"/>
                <wp:effectExtent l="0" t="0" r="0" b="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295275"/>
                        </a:xfrm>
                        <a:prstGeom prst="rect">
                          <a:avLst/>
                        </a:prstGeom>
                        <a:noFill/>
                        <a:ln w="9525">
                          <a:noFill/>
                          <a:miter lim="800000"/>
                          <a:headEnd/>
                          <a:tailEnd/>
                        </a:ln>
                      </wps:spPr>
                      <wps:txbx>
                        <w:txbxContent>
                          <w:p w14:paraId="6AE203BF" w14:textId="77777777" w:rsidR="00B312B5" w:rsidRDefault="00B312B5" w:rsidP="00B312B5">
                            <w:pPr>
                              <w:pStyle w:val="NormalWeb"/>
                              <w:spacing w:before="0" w:beforeAutospacing="0" w:after="160" w:afterAutospacing="0" w:line="256" w:lineRule="auto"/>
                            </w:pPr>
                            <w:r w:rsidRPr="008F269A">
                              <w:rPr>
                                <w:rFonts w:eastAsia="Calibri"/>
                                <w:color w:val="000000"/>
                                <w:kern w:val="24"/>
                                <w:sz w:val="22"/>
                                <w:szCs w:val="22"/>
                              </w:rPr>
                              <w:t xml:space="preserve">B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3EF27B26" id="Text Box 60" o:spid="_x0000_s1084" type="#_x0000_t202" style="position:absolute;margin-left:319.7pt;margin-top:135.8pt;width:38.25pt;height:23.2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" filled="f" stroked="f">
                <v:textbox>
                  <w:txbxContent>
                    <w:p w14:paraId="6AE203BF" w14:textId="77777777" w:rsidR="00B312B5" w:rsidRDefault="00B312B5" w:rsidP="00B312B5">
                      <w:pPr>
                        <w:pStyle w:val="NormalWeb"/>
                        <w:spacing w:before="0" w:beforeAutospacing="0" w:after="160" w:afterAutospacing="0" w:line="256" w:lineRule="auto"/>
                      </w:pPr>
                      <w:r w:rsidRPr="008F269A">
                        <w:rPr>
                          <w:rFonts w:eastAsia="Calibri"/>
                          <w:color w:val="000000"/>
                          <w:kern w:val="24"/>
                          <w:sz w:val="22"/>
                          <w:szCs w:val="22"/>
                        </w:rPr>
                        <w:t xml:space="preserve">B </w:t>
                      </w:r>
                    </w:p>
                  </w:txbxContent>
                </v:textbox>
              </v:shape>
            </w:pict>
          </mc:Fallback>
        </mc:AlternateContent>
      </w:r>
      <w:r w:rsidR="00B312B5">
        <w:rPr>
          <w:noProof/>
        </w:rPr>
        <mc:AlternateContent>
          <mc:Choice Requires="wps">
            <w:drawing>
              <wp:anchor distT="0" distB="0" distL="114300" distR="114300" simplePos="0" relativeHeight="251829248" behindDoc="0" locked="0" layoutInCell="1" allowOverlap="1" wp14:anchorId="152C9ADA" wp14:editId="4DB0DA4D">
                <wp:simplePos x="0" y="0"/>
                <wp:positionH relativeFrom="column">
                  <wp:posOffset>1433578</wp:posOffset>
                </wp:positionH>
                <wp:positionV relativeFrom="paragraph">
                  <wp:posOffset>1533525</wp:posOffset>
                </wp:positionV>
                <wp:extent cx="485775" cy="295275"/>
                <wp:effectExtent l="0" t="0" r="0" b="0"/>
                <wp:wrapNone/>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295275"/>
                        </a:xfrm>
                        <a:prstGeom prst="rect">
                          <a:avLst/>
                        </a:prstGeom>
                        <a:noFill/>
                        <a:ln w="9525">
                          <a:noFill/>
                          <a:miter lim="800000"/>
                          <a:headEnd/>
                          <a:tailEnd/>
                        </a:ln>
                      </wps:spPr>
                      <wps:txbx>
                        <w:txbxContent>
                          <w:p w14:paraId="7BB6B9A8" w14:textId="77777777" w:rsidR="00B312B5" w:rsidRDefault="00B312B5" w:rsidP="00B312B5">
                            <w:pPr>
                              <w:pStyle w:val="NormalWeb"/>
                              <w:spacing w:before="0" w:beforeAutospacing="0" w:after="160" w:afterAutospacing="0" w:line="256" w:lineRule="auto"/>
                            </w:pPr>
                            <w:r w:rsidRPr="008F269A">
                              <w:rPr>
                                <w:rFonts w:eastAsia="Calibri"/>
                                <w:color w:val="000000"/>
                                <w:kern w:val="24"/>
                                <w:sz w:val="22"/>
                                <w:szCs w:val="22"/>
                              </w:rPr>
                              <w:t xml:space="preserve">a‡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52C9ADA" id="Text Box 193" o:spid="_x0000_s1085" type="#_x0000_t202" style="position:absolute;margin-left:112.9pt;margin-top:120.75pt;width:38.25pt;height:23.2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" filled="f" stroked="f">
                <v:textbox>
                  <w:txbxContent>
                    <w:p w14:paraId="7BB6B9A8" w14:textId="77777777" w:rsidR="00B312B5" w:rsidRDefault="00B312B5" w:rsidP="00B312B5">
                      <w:pPr>
                        <w:pStyle w:val="NormalWeb"/>
                        <w:spacing w:before="0" w:beforeAutospacing="0" w:after="160" w:afterAutospacing="0" w:line="256" w:lineRule="auto"/>
                      </w:pPr>
                      <w:r w:rsidRPr="008F269A">
                        <w:rPr>
                          <w:rFonts w:eastAsia="Calibri"/>
                          <w:color w:val="000000"/>
                          <w:kern w:val="24"/>
                          <w:sz w:val="22"/>
                          <w:szCs w:val="22"/>
                        </w:rPr>
                        <w:t xml:space="preserve">a‡ </w:t>
                      </w:r>
                    </w:p>
                  </w:txbxContent>
                </v:textbox>
              </v:shape>
            </w:pict>
          </mc:Fallback>
        </mc:AlternateContent>
      </w:r>
      <w:r w:rsidR="00B312B5">
        <w:rPr>
          <w:noProof/>
        </w:rPr>
        <mc:AlternateContent>
          <mc:Choice Requires="wps">
            <w:drawing>
              <wp:anchor distT="0" distB="0" distL="114300" distR="114300" simplePos="0" relativeHeight="251826176" behindDoc="0" locked="0" layoutInCell="1" allowOverlap="1" wp14:anchorId="6B3D64C0" wp14:editId="58C7DDC1">
                <wp:simplePos x="0" y="0"/>
                <wp:positionH relativeFrom="column">
                  <wp:posOffset>967105</wp:posOffset>
                </wp:positionH>
                <wp:positionV relativeFrom="paragraph">
                  <wp:posOffset>1528828</wp:posOffset>
                </wp:positionV>
                <wp:extent cx="485775" cy="295275"/>
                <wp:effectExtent l="0" t="0" r="0" b="0"/>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295275"/>
                        </a:xfrm>
                        <a:prstGeom prst="rect">
                          <a:avLst/>
                        </a:prstGeom>
                        <a:noFill/>
                        <a:ln w="9525">
                          <a:noFill/>
                          <a:miter lim="800000"/>
                          <a:headEnd/>
                          <a:tailEnd/>
                        </a:ln>
                      </wps:spPr>
                      <wps:txbx>
                        <w:txbxContent>
                          <w:p w14:paraId="3BEBFE66" w14:textId="77777777" w:rsidR="00B312B5" w:rsidRDefault="00B312B5" w:rsidP="00B312B5">
                            <w:pPr>
                              <w:pStyle w:val="NormalWeb"/>
                              <w:spacing w:before="0" w:beforeAutospacing="0" w:after="160" w:afterAutospacing="0" w:line="256" w:lineRule="auto"/>
                            </w:pPr>
                            <w:r w:rsidRPr="008F269A">
                              <w:rPr>
                                <w:rFonts w:eastAsia="Calibri"/>
                                <w:color w:val="000000"/>
                                <w:kern w:val="24"/>
                                <w:sz w:val="22"/>
                                <w:szCs w:val="22"/>
                              </w:rPr>
                              <w:t xml:space="preserve">A†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B3D64C0" id="Text Box 192" o:spid="_x0000_s1086" type="#_x0000_t202" style="position:absolute;margin-left:76.15pt;margin-top:120.4pt;width:38.25pt;height:23.2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" filled="f" stroked="f">
                <v:textbox>
                  <w:txbxContent>
                    <w:p w14:paraId="3BEBFE66" w14:textId="77777777" w:rsidR="00B312B5" w:rsidRDefault="00B312B5" w:rsidP="00B312B5">
                      <w:pPr>
                        <w:pStyle w:val="NormalWeb"/>
                        <w:spacing w:before="0" w:beforeAutospacing="0" w:after="160" w:afterAutospacing="0" w:line="256" w:lineRule="auto"/>
                      </w:pPr>
                      <w:r w:rsidRPr="008F269A">
                        <w:rPr>
                          <w:rFonts w:eastAsia="Calibri"/>
                          <w:color w:val="000000"/>
                          <w:kern w:val="24"/>
                          <w:sz w:val="22"/>
                          <w:szCs w:val="22"/>
                        </w:rPr>
                        <w:t xml:space="preserve">A† </w:t>
                      </w:r>
                    </w:p>
                  </w:txbxContent>
                </v:textbox>
              </v:shape>
            </w:pict>
          </mc:Fallback>
        </mc:AlternateContent>
      </w:r>
      <w:r w:rsidR="00B312B5">
        <w:rPr>
          <w:noProof/>
        </w:rPr>
        <mc:AlternateContent>
          <mc:Choice Requires="wps">
            <w:drawing>
              <wp:anchor distT="4294967295" distB="4294967295" distL="114300" distR="114300" simplePos="0" relativeHeight="251833344" behindDoc="0" locked="0" layoutInCell="1" allowOverlap="1" wp14:anchorId="2D4F0580" wp14:editId="60485195">
                <wp:simplePos x="0" y="0"/>
                <wp:positionH relativeFrom="column">
                  <wp:posOffset>708025</wp:posOffset>
                </wp:positionH>
                <wp:positionV relativeFrom="paragraph">
                  <wp:posOffset>816227</wp:posOffset>
                </wp:positionV>
                <wp:extent cx="4608195" cy="0"/>
                <wp:effectExtent l="0" t="19050" r="20955" b="19050"/>
                <wp:wrapNone/>
                <wp:docPr id="266"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4608195" cy="0"/>
                        </a:xfrm>
                        <a:prstGeom prst="line">
                          <a:avLst/>
                        </a:prstGeom>
                        <a:noFill/>
                        <a:ln w="34925" algn="ctr">
                          <a:solidFill>
                            <a:srgbClr val="4472C4"/>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412FDB3C" id="Straight Connector 266" o:spid="_x0000_s1026" style="position:absolute;flip:y;z-index:251833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5.75pt,64.25pt" to="418.6pt,6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" strokecolor="#4472c4" strokeweight="2.75pt">
                <v:stroke joinstyle="miter"/>
                <o:lock v:ext="edit" shapetype="f"/>
              </v:line>
            </w:pict>
          </mc:Fallback>
        </mc:AlternateContent>
      </w:r>
      <w:r w:rsidR="00B312B5">
        <w:rPr>
          <w:noProof/>
        </w:rPr>
        <w:drawing>
          <wp:inline distT="0" distB="0" distL="0" distR="0" wp14:anchorId="30D1902C" wp14:editId="614FEC38">
            <wp:extent cx="5486400" cy="286575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86400" cy="2865755"/>
                    </a:xfrm>
                    <a:prstGeom prst="rect">
                      <a:avLst/>
                    </a:prstGeom>
                    <a:noFill/>
                  </pic:spPr>
                </pic:pic>
              </a:graphicData>
            </a:graphic>
          </wp:inline>
        </w:drawing>
      </w:r>
    </w:p>
    <w:p w14:paraId="313097E3" w14:textId="2C2AD528" w:rsidR="00CF049C" w:rsidRPr="000D6E9A" w:rsidRDefault="00CF049C" w:rsidP="00CF049C">
      <w:pPr>
        <w:pStyle w:val="Figures"/>
      </w:pPr>
      <w:bookmarkStart w:id="288" w:name="_Toc72300480"/>
      <w:r>
        <w:t>Figure 3A.3. Establishment-year p</w:t>
      </w:r>
      <w:r w:rsidRPr="000D6E9A">
        <w:t xml:space="preserve">lant </w:t>
      </w:r>
      <w:r w:rsidRPr="0060629C">
        <w:t>density (seedlings m</w:t>
      </w:r>
      <w:r w:rsidRPr="0060629C">
        <w:rPr>
          <w:vertAlign w:val="superscript"/>
        </w:rPr>
        <w:t>-2</w:t>
      </w:r>
      <w:r w:rsidRPr="000D6E9A">
        <w:t>)</w:t>
      </w:r>
      <w:r>
        <w:t xml:space="preserve"> at dormancy</w:t>
      </w:r>
      <w:r w:rsidRPr="000D6E9A">
        <w:t xml:space="preserve"> for big bluestem (BB) and switchgrass (SG) by browntop millet (BTM) seeding rate (kg PLS </w:t>
      </w:r>
      <w:r>
        <w:t xml:space="preserve">  </w:t>
      </w:r>
      <w:r w:rsidRPr="000D6E9A">
        <w:t>ha</w:t>
      </w:r>
      <w:r w:rsidRPr="000D6E9A">
        <w:rPr>
          <w:vertAlign w:val="superscript"/>
        </w:rPr>
        <w:t>-1</w:t>
      </w:r>
      <w:r w:rsidRPr="000D6E9A">
        <w:t>) compared to using imazapic (Plateau)</w:t>
      </w:r>
      <w:r>
        <w:t xml:space="preserve"> for Site 1 (2016) and Site 2 (2017)</w:t>
      </w:r>
      <w:r w:rsidRPr="000D6E9A">
        <w:t xml:space="preserve"> at East Tennessee AgResearch and Education Center</w:t>
      </w:r>
      <w:r>
        <w:t>-Plant Science Unit</w:t>
      </w:r>
      <w:r w:rsidRPr="000D6E9A">
        <w:t>, Knoxville, TN.  Plant</w:t>
      </w:r>
      <w:r w:rsidRPr="0060629C">
        <w:t xml:space="preserve"> density</w:t>
      </w:r>
      <w:r w:rsidRPr="000D6E9A">
        <w:t xml:space="preserve"> for imazapic treatment (BB only) </w:t>
      </w:r>
      <w:r>
        <w:t xml:space="preserve">are </w:t>
      </w:r>
      <w:r w:rsidRPr="000D6E9A">
        <w:t xml:space="preserve">horizontal lines; not compared statistically to other BB treatments.  †Different UPPERCASE letters indicate significant differences for BB </w:t>
      </w:r>
      <w:r w:rsidRPr="00136BC7">
        <w:t>pl</w:t>
      </w:r>
      <w:r w:rsidRPr="002B6D59">
        <w:t>ant</w:t>
      </w:r>
      <w:r w:rsidRPr="0060629C">
        <w:t xml:space="preserve"> density</w:t>
      </w:r>
      <w:r w:rsidRPr="000D6E9A">
        <w:t xml:space="preserve"> by BTM seeding rate within </w:t>
      </w:r>
      <w:r>
        <w:t>site</w:t>
      </w:r>
      <w:r w:rsidRPr="000D6E9A">
        <w:t>.  ‡Different lowercase letters indicate significant differences for SG plant</w:t>
      </w:r>
      <w:r w:rsidRPr="0060629C">
        <w:t xml:space="preserve"> density</w:t>
      </w:r>
      <w:r w:rsidRPr="000D6E9A">
        <w:t xml:space="preserve"> by BTM seeding rate within </w:t>
      </w:r>
      <w:r>
        <w:t>site</w:t>
      </w:r>
      <w:r w:rsidRPr="000D6E9A">
        <w:t>.</w:t>
      </w:r>
      <w:bookmarkEnd w:id="288"/>
      <w:r w:rsidRPr="000D6E9A">
        <w:t xml:space="preserve">  </w:t>
      </w:r>
    </w:p>
    <w:p w14:paraId="178C0359" w14:textId="77777777" w:rsidR="00CF049C" w:rsidRDefault="00CF049C" w:rsidP="00E77AB6">
      <w:pPr>
        <w:pStyle w:val="Paragraphs"/>
        <w:ind w:firstLine="0"/>
      </w:pPr>
    </w:p>
    <w:p w14:paraId="7A91B58D" w14:textId="77777777" w:rsidR="00E77AB6" w:rsidRDefault="00E77AB6" w:rsidP="00E77AB6">
      <w:pPr>
        <w:pStyle w:val="Paragraphs"/>
        <w:ind w:firstLine="0"/>
      </w:pPr>
    </w:p>
    <w:p w14:paraId="38F38FA9" w14:textId="5D97DB4F" w:rsidR="00B312B5" w:rsidRPr="000D6E9A" w:rsidRDefault="00B312B5" w:rsidP="00E77AB6">
      <w:pPr>
        <w:pStyle w:val="Paragraphs"/>
        <w:ind w:firstLine="0"/>
        <w:sectPr w:rsidR="00B312B5" w:rsidRPr="000D6E9A" w:rsidSect="00E77AB6">
          <w:pgSz w:w="12240" w:h="15840"/>
          <w:pgMar w:top="1440" w:right="1800" w:bottom="1872" w:left="1800" w:header="720" w:footer="720" w:gutter="0"/>
          <w:cols w:space="720"/>
          <w:titlePg/>
          <w:docGrid w:linePitch="360"/>
        </w:sectPr>
      </w:pPr>
    </w:p>
    <w:p w14:paraId="565AC078" w14:textId="2123F2D8" w:rsidR="00220A09" w:rsidRDefault="00BA413D" w:rsidP="00CF049C">
      <w:pPr>
        <w:spacing w:after="100" w:afterAutospacing="1" w:line="240" w:lineRule="auto"/>
        <w:rPr>
          <w:rFonts w:cs="Times New Roman"/>
        </w:rPr>
      </w:pPr>
      <w:r>
        <w:rPr>
          <w:noProof/>
        </w:rPr>
        <w:lastRenderedPageBreak/>
        <mc:AlternateContent>
          <mc:Choice Requires="wps">
            <w:drawing>
              <wp:anchor distT="0" distB="0" distL="114300" distR="114300" simplePos="0" relativeHeight="251846656" behindDoc="0" locked="0" layoutInCell="1" allowOverlap="1" wp14:anchorId="72E49297" wp14:editId="47E823DC">
                <wp:simplePos x="0" y="0"/>
                <wp:positionH relativeFrom="column">
                  <wp:posOffset>1593850</wp:posOffset>
                </wp:positionH>
                <wp:positionV relativeFrom="paragraph">
                  <wp:posOffset>4214495</wp:posOffset>
                </wp:positionV>
                <wp:extent cx="485775" cy="295275"/>
                <wp:effectExtent l="0" t="0" r="0" b="0"/>
                <wp:wrapNone/>
                <wp:docPr id="299" name="Text 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295275"/>
                        </a:xfrm>
                        <a:prstGeom prst="rect">
                          <a:avLst/>
                        </a:prstGeom>
                        <a:noFill/>
                        <a:ln w="9525">
                          <a:noFill/>
                          <a:miter lim="800000"/>
                          <a:headEnd/>
                          <a:tailEnd/>
                        </a:ln>
                      </wps:spPr>
                      <wps:txbx>
                        <w:txbxContent>
                          <w:p w14:paraId="3D1078E0" w14:textId="77777777" w:rsidR="00BA413D" w:rsidRDefault="00BA413D" w:rsidP="00BA413D">
                            <w:pPr>
                              <w:pStyle w:val="NormalWeb"/>
                              <w:spacing w:before="0" w:beforeAutospacing="0" w:after="160" w:afterAutospacing="0" w:line="256" w:lineRule="auto"/>
                            </w:pPr>
                            <w:r w:rsidRPr="008F269A">
                              <w:rPr>
                                <w:rFonts w:eastAsia="Calibri"/>
                                <w:color w:val="000000"/>
                                <w:kern w:val="24"/>
                                <w:sz w:val="22"/>
                                <w:szCs w:val="22"/>
                              </w:rPr>
                              <w:t xml:space="preserve">B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2E49297" id="Text Box 299" o:spid="_x0000_s1087" type="#_x0000_t202" style="position:absolute;margin-left:125.5pt;margin-top:331.85pt;width:38.25pt;height:23.2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" filled="f" stroked="f">
                <v:textbox>
                  <w:txbxContent>
                    <w:p w14:paraId="3D1078E0" w14:textId="77777777" w:rsidR="00BA413D" w:rsidRDefault="00BA413D" w:rsidP="00BA413D">
                      <w:pPr>
                        <w:pStyle w:val="NormalWeb"/>
                        <w:spacing w:before="0" w:beforeAutospacing="0" w:after="160" w:afterAutospacing="0" w:line="256" w:lineRule="auto"/>
                      </w:pPr>
                      <w:r w:rsidRPr="008F269A">
                        <w:rPr>
                          <w:rFonts w:eastAsia="Calibri"/>
                          <w:color w:val="000000"/>
                          <w:kern w:val="24"/>
                          <w:sz w:val="22"/>
                          <w:szCs w:val="22"/>
                        </w:rPr>
                        <w:t xml:space="preserve">B </w:t>
                      </w:r>
                    </w:p>
                  </w:txbxContent>
                </v:textbox>
              </v:shape>
            </w:pict>
          </mc:Fallback>
        </mc:AlternateContent>
      </w:r>
      <w:r>
        <w:rPr>
          <w:noProof/>
        </w:rPr>
        <mc:AlternateContent>
          <mc:Choice Requires="wps">
            <w:drawing>
              <wp:anchor distT="0" distB="0" distL="114300" distR="114300" simplePos="0" relativeHeight="251849728" behindDoc="0" locked="0" layoutInCell="1" allowOverlap="1" wp14:anchorId="19126CCC" wp14:editId="326EC22C">
                <wp:simplePos x="0" y="0"/>
                <wp:positionH relativeFrom="column">
                  <wp:posOffset>1816117</wp:posOffset>
                </wp:positionH>
                <wp:positionV relativeFrom="paragraph">
                  <wp:posOffset>4197350</wp:posOffset>
                </wp:positionV>
                <wp:extent cx="485775" cy="295275"/>
                <wp:effectExtent l="0" t="0" r="0" b="0"/>
                <wp:wrapNone/>
                <wp:docPr id="298"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295275"/>
                        </a:xfrm>
                        <a:prstGeom prst="rect">
                          <a:avLst/>
                        </a:prstGeom>
                        <a:noFill/>
                        <a:ln w="9525">
                          <a:noFill/>
                          <a:miter lim="800000"/>
                          <a:headEnd/>
                          <a:tailEnd/>
                        </a:ln>
                      </wps:spPr>
                      <wps:txbx>
                        <w:txbxContent>
                          <w:p w14:paraId="001F3D25" w14:textId="77777777" w:rsidR="00BA413D" w:rsidRDefault="00BA413D" w:rsidP="00BA413D">
                            <w:pPr>
                              <w:pStyle w:val="NormalWeb"/>
                              <w:spacing w:before="0" w:beforeAutospacing="0" w:after="160" w:afterAutospacing="0" w:line="256" w:lineRule="auto"/>
                            </w:pPr>
                            <w:r w:rsidRPr="008F269A">
                              <w:rPr>
                                <w:rFonts w:eastAsia="Calibri"/>
                                <w:color w:val="000000"/>
                                <w:kern w:val="24"/>
                                <w:sz w:val="22"/>
                                <w:szCs w:val="22"/>
                              </w:rPr>
                              <w:t xml:space="preserve">ab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9126CCC" id="Text Box 298" o:spid="_x0000_s1088" type="#_x0000_t202" style="position:absolute;margin-left:143pt;margin-top:330.5pt;width:38.25pt;height:23.2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" filled="f" stroked="f">
                <v:textbox>
                  <w:txbxContent>
                    <w:p w14:paraId="001F3D25" w14:textId="77777777" w:rsidR="00BA413D" w:rsidRDefault="00BA413D" w:rsidP="00BA413D">
                      <w:pPr>
                        <w:pStyle w:val="NormalWeb"/>
                        <w:spacing w:before="0" w:beforeAutospacing="0" w:after="160" w:afterAutospacing="0" w:line="256" w:lineRule="auto"/>
                      </w:pPr>
                      <w:r w:rsidRPr="008F269A">
                        <w:rPr>
                          <w:rFonts w:eastAsia="Calibri"/>
                          <w:color w:val="000000"/>
                          <w:kern w:val="24"/>
                          <w:sz w:val="22"/>
                          <w:szCs w:val="22"/>
                        </w:rPr>
                        <w:t xml:space="preserve">ab </w:t>
                      </w:r>
                    </w:p>
                  </w:txbxContent>
                </v:textbox>
              </v:shape>
            </w:pict>
          </mc:Fallback>
        </mc:AlternateContent>
      </w:r>
      <w:r>
        <w:rPr>
          <w:noProof/>
        </w:rPr>
        <mc:AlternateContent>
          <mc:Choice Requires="wps">
            <w:drawing>
              <wp:anchor distT="0" distB="0" distL="114300" distR="114300" simplePos="0" relativeHeight="251850752" behindDoc="0" locked="0" layoutInCell="1" allowOverlap="1" wp14:anchorId="7EEC9F91" wp14:editId="11462982">
                <wp:simplePos x="0" y="0"/>
                <wp:positionH relativeFrom="column">
                  <wp:posOffset>2644140</wp:posOffset>
                </wp:positionH>
                <wp:positionV relativeFrom="paragraph">
                  <wp:posOffset>4277343</wp:posOffset>
                </wp:positionV>
                <wp:extent cx="485775" cy="295275"/>
                <wp:effectExtent l="0" t="0" r="0" b="0"/>
                <wp:wrapNone/>
                <wp:docPr id="296"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295275"/>
                        </a:xfrm>
                        <a:prstGeom prst="rect">
                          <a:avLst/>
                        </a:prstGeom>
                        <a:noFill/>
                        <a:ln w="9525">
                          <a:noFill/>
                          <a:miter lim="800000"/>
                          <a:headEnd/>
                          <a:tailEnd/>
                        </a:ln>
                      </wps:spPr>
                      <wps:txbx>
                        <w:txbxContent>
                          <w:p w14:paraId="497976C1" w14:textId="77777777" w:rsidR="00BA413D" w:rsidRDefault="00BA413D" w:rsidP="00BA413D">
                            <w:pPr>
                              <w:pStyle w:val="NormalWeb"/>
                              <w:spacing w:before="0" w:beforeAutospacing="0" w:after="160" w:afterAutospacing="0" w:line="256" w:lineRule="auto"/>
                            </w:pPr>
                            <w:r w:rsidRPr="008F269A">
                              <w:rPr>
                                <w:rFonts w:eastAsia="Calibri"/>
                                <w:color w:val="000000"/>
                                <w:kern w:val="24"/>
                                <w:sz w:val="22"/>
                                <w:szCs w:val="22"/>
                              </w:rPr>
                              <w:t xml:space="preserve">b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EEC9F91" id="Text Box 296" o:spid="_x0000_s1089" type="#_x0000_t202" style="position:absolute;margin-left:208.2pt;margin-top:336.8pt;width:38.25pt;height:23.2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" filled="f" stroked="f">
                <v:textbox>
                  <w:txbxContent>
                    <w:p w14:paraId="497976C1" w14:textId="77777777" w:rsidR="00BA413D" w:rsidRDefault="00BA413D" w:rsidP="00BA413D">
                      <w:pPr>
                        <w:pStyle w:val="NormalWeb"/>
                        <w:spacing w:before="0" w:beforeAutospacing="0" w:after="160" w:afterAutospacing="0" w:line="256" w:lineRule="auto"/>
                      </w:pPr>
                      <w:r w:rsidRPr="008F269A">
                        <w:rPr>
                          <w:rFonts w:eastAsia="Calibri"/>
                          <w:color w:val="000000"/>
                          <w:kern w:val="24"/>
                          <w:sz w:val="22"/>
                          <w:szCs w:val="22"/>
                        </w:rPr>
                        <w:t xml:space="preserve">b </w:t>
                      </w:r>
                    </w:p>
                  </w:txbxContent>
                </v:textbox>
              </v:shape>
            </w:pict>
          </mc:Fallback>
        </mc:AlternateContent>
      </w:r>
      <w:r>
        <w:rPr>
          <w:noProof/>
        </w:rPr>
        <mc:AlternateContent>
          <mc:Choice Requires="wps">
            <w:drawing>
              <wp:anchor distT="0" distB="0" distL="114300" distR="114300" simplePos="0" relativeHeight="251847680" behindDoc="0" locked="0" layoutInCell="1" allowOverlap="1" wp14:anchorId="56B2812D" wp14:editId="7B281A36">
                <wp:simplePos x="0" y="0"/>
                <wp:positionH relativeFrom="column">
                  <wp:posOffset>2390792</wp:posOffset>
                </wp:positionH>
                <wp:positionV relativeFrom="paragraph">
                  <wp:posOffset>4455795</wp:posOffset>
                </wp:positionV>
                <wp:extent cx="485775" cy="295275"/>
                <wp:effectExtent l="0" t="0" r="0" b="0"/>
                <wp:wrapNone/>
                <wp:docPr id="297"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295275"/>
                        </a:xfrm>
                        <a:prstGeom prst="rect">
                          <a:avLst/>
                        </a:prstGeom>
                        <a:noFill/>
                        <a:ln w="9525">
                          <a:noFill/>
                          <a:miter lim="800000"/>
                          <a:headEnd/>
                          <a:tailEnd/>
                        </a:ln>
                      </wps:spPr>
                      <wps:txbx>
                        <w:txbxContent>
                          <w:p w14:paraId="3BFA102D" w14:textId="77777777" w:rsidR="00BA413D" w:rsidRDefault="00BA413D" w:rsidP="00BA413D">
                            <w:pPr>
                              <w:pStyle w:val="NormalWeb"/>
                              <w:spacing w:before="0" w:beforeAutospacing="0" w:after="160" w:afterAutospacing="0" w:line="256" w:lineRule="auto"/>
                            </w:pPr>
                            <w:r w:rsidRPr="008F269A">
                              <w:rPr>
                                <w:rFonts w:eastAsia="Calibri"/>
                                <w:color w:val="000000"/>
                                <w:kern w:val="24"/>
                                <w:sz w:val="22"/>
                                <w:szCs w:val="22"/>
                              </w:rPr>
                              <w:t xml:space="preserve">B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56B2812D" id="Text Box 297" o:spid="_x0000_s1090" type="#_x0000_t202" style="position:absolute;margin-left:188.25pt;margin-top:350.85pt;width:38.25pt;height:23.2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" filled="f" stroked="f">
                <v:textbox>
                  <w:txbxContent>
                    <w:p w14:paraId="3BFA102D" w14:textId="77777777" w:rsidR="00BA413D" w:rsidRDefault="00BA413D" w:rsidP="00BA413D">
                      <w:pPr>
                        <w:pStyle w:val="NormalWeb"/>
                        <w:spacing w:before="0" w:beforeAutospacing="0" w:after="160" w:afterAutospacing="0" w:line="256" w:lineRule="auto"/>
                      </w:pPr>
                      <w:r w:rsidRPr="008F269A">
                        <w:rPr>
                          <w:rFonts w:eastAsia="Calibri"/>
                          <w:color w:val="000000"/>
                          <w:kern w:val="24"/>
                          <w:sz w:val="22"/>
                          <w:szCs w:val="22"/>
                        </w:rPr>
                        <w:t xml:space="preserve">B </w:t>
                      </w:r>
                    </w:p>
                  </w:txbxContent>
                </v:textbox>
              </v:shape>
            </w:pict>
          </mc:Fallback>
        </mc:AlternateContent>
      </w:r>
      <w:r>
        <w:rPr>
          <w:noProof/>
        </w:rPr>
        <mc:AlternateContent>
          <mc:Choice Requires="wps">
            <w:drawing>
              <wp:anchor distT="0" distB="0" distL="114300" distR="114300" simplePos="0" relativeHeight="251848704" behindDoc="0" locked="0" layoutInCell="1" allowOverlap="1" wp14:anchorId="45D8ABCF" wp14:editId="5071518A">
                <wp:simplePos x="0" y="0"/>
                <wp:positionH relativeFrom="column">
                  <wp:posOffset>1019175</wp:posOffset>
                </wp:positionH>
                <wp:positionV relativeFrom="paragraph">
                  <wp:posOffset>4178918</wp:posOffset>
                </wp:positionV>
                <wp:extent cx="485775" cy="295275"/>
                <wp:effectExtent l="0" t="0" r="0" b="0"/>
                <wp:wrapNone/>
                <wp:docPr id="301"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295275"/>
                        </a:xfrm>
                        <a:prstGeom prst="rect">
                          <a:avLst/>
                        </a:prstGeom>
                        <a:noFill/>
                        <a:ln w="9525">
                          <a:noFill/>
                          <a:miter lim="800000"/>
                          <a:headEnd/>
                          <a:tailEnd/>
                        </a:ln>
                      </wps:spPr>
                      <wps:txbx>
                        <w:txbxContent>
                          <w:p w14:paraId="034B7048" w14:textId="77777777" w:rsidR="00BA413D" w:rsidRDefault="00BA413D" w:rsidP="00BA413D">
                            <w:pPr>
                              <w:pStyle w:val="NormalWeb"/>
                              <w:spacing w:before="0" w:beforeAutospacing="0" w:after="160" w:afterAutospacing="0" w:line="256" w:lineRule="auto"/>
                            </w:pPr>
                            <w:r w:rsidRPr="008F269A">
                              <w:rPr>
                                <w:rFonts w:eastAsia="Calibri"/>
                                <w:color w:val="000000"/>
                                <w:kern w:val="24"/>
                                <w:sz w:val="22"/>
                                <w:szCs w:val="22"/>
                              </w:rPr>
                              <w:t xml:space="preserve">a‡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45D8ABCF" id="Text Box 301" o:spid="_x0000_s1091" type="#_x0000_t202" style="position:absolute;margin-left:80.25pt;margin-top:329.05pt;width:38.25pt;height:23.2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" filled="f" stroked="f">
                <v:textbox>
                  <w:txbxContent>
                    <w:p w14:paraId="034B7048" w14:textId="77777777" w:rsidR="00BA413D" w:rsidRDefault="00BA413D" w:rsidP="00BA413D">
                      <w:pPr>
                        <w:pStyle w:val="NormalWeb"/>
                        <w:spacing w:before="0" w:beforeAutospacing="0" w:after="160" w:afterAutospacing="0" w:line="256" w:lineRule="auto"/>
                      </w:pPr>
                      <w:r w:rsidRPr="008F269A">
                        <w:rPr>
                          <w:rFonts w:eastAsia="Calibri"/>
                          <w:color w:val="000000"/>
                          <w:kern w:val="24"/>
                          <w:sz w:val="22"/>
                          <w:szCs w:val="22"/>
                        </w:rPr>
                        <w:t xml:space="preserve">a‡ </w:t>
                      </w:r>
                    </w:p>
                  </w:txbxContent>
                </v:textbox>
              </v:shape>
            </w:pict>
          </mc:Fallback>
        </mc:AlternateContent>
      </w:r>
      <w:r>
        <w:rPr>
          <w:noProof/>
        </w:rPr>
        <mc:AlternateContent>
          <mc:Choice Requires="wps">
            <w:drawing>
              <wp:anchor distT="0" distB="0" distL="114300" distR="114300" simplePos="0" relativeHeight="251845632" behindDoc="0" locked="0" layoutInCell="1" allowOverlap="1" wp14:anchorId="2443EEE8" wp14:editId="14B17BA6">
                <wp:simplePos x="0" y="0"/>
                <wp:positionH relativeFrom="column">
                  <wp:posOffset>788670</wp:posOffset>
                </wp:positionH>
                <wp:positionV relativeFrom="paragraph">
                  <wp:posOffset>3462672</wp:posOffset>
                </wp:positionV>
                <wp:extent cx="485775" cy="295275"/>
                <wp:effectExtent l="0" t="0" r="0" b="0"/>
                <wp:wrapNone/>
                <wp:docPr id="300"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295275"/>
                        </a:xfrm>
                        <a:prstGeom prst="rect">
                          <a:avLst/>
                        </a:prstGeom>
                        <a:noFill/>
                        <a:ln w="9525">
                          <a:noFill/>
                          <a:miter lim="800000"/>
                          <a:headEnd/>
                          <a:tailEnd/>
                        </a:ln>
                      </wps:spPr>
                      <wps:txbx>
                        <w:txbxContent>
                          <w:p w14:paraId="1BDE5FDE" w14:textId="77777777" w:rsidR="00BA413D" w:rsidRDefault="00BA413D" w:rsidP="00BA413D">
                            <w:pPr>
                              <w:pStyle w:val="NormalWeb"/>
                              <w:spacing w:before="0" w:beforeAutospacing="0" w:after="160" w:afterAutospacing="0" w:line="256" w:lineRule="auto"/>
                            </w:pPr>
                            <w:r w:rsidRPr="008F269A">
                              <w:rPr>
                                <w:rFonts w:eastAsia="Calibri"/>
                                <w:color w:val="000000"/>
                                <w:kern w:val="24"/>
                                <w:sz w:val="22"/>
                                <w:szCs w:val="22"/>
                              </w:rPr>
                              <w:t xml:space="preserve">A†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2443EEE8" id="Text Box 300" o:spid="_x0000_s1092" type="#_x0000_t202" style="position:absolute;margin-left:62.1pt;margin-top:272.65pt;width:38.25pt;height:23.2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" filled="f" stroked="f">
                <v:textbox>
                  <w:txbxContent>
                    <w:p w14:paraId="1BDE5FDE" w14:textId="77777777" w:rsidR="00BA413D" w:rsidRDefault="00BA413D" w:rsidP="00BA413D">
                      <w:pPr>
                        <w:pStyle w:val="NormalWeb"/>
                        <w:spacing w:before="0" w:beforeAutospacing="0" w:after="160" w:afterAutospacing="0" w:line="256" w:lineRule="auto"/>
                      </w:pPr>
                      <w:r w:rsidRPr="008F269A">
                        <w:rPr>
                          <w:rFonts w:eastAsia="Calibri"/>
                          <w:color w:val="000000"/>
                          <w:kern w:val="24"/>
                          <w:sz w:val="22"/>
                          <w:szCs w:val="22"/>
                        </w:rPr>
                        <w:t xml:space="preserve">A† </w:t>
                      </w:r>
                    </w:p>
                  </w:txbxContent>
                </v:textbox>
              </v:shape>
            </w:pict>
          </mc:Fallback>
        </mc:AlternateContent>
      </w:r>
      <w:r>
        <w:rPr>
          <w:noProof/>
        </w:rPr>
        <mc:AlternateContent>
          <mc:Choice Requires="wps">
            <w:drawing>
              <wp:anchor distT="0" distB="0" distL="114300" distR="114300" simplePos="0" relativeHeight="251844608" behindDoc="0" locked="0" layoutInCell="1" allowOverlap="1" wp14:anchorId="5D30F16D" wp14:editId="251E9A80">
                <wp:simplePos x="0" y="0"/>
                <wp:positionH relativeFrom="column">
                  <wp:posOffset>2372360</wp:posOffset>
                </wp:positionH>
                <wp:positionV relativeFrom="paragraph">
                  <wp:posOffset>1358282</wp:posOffset>
                </wp:positionV>
                <wp:extent cx="365760" cy="295275"/>
                <wp:effectExtent l="0" t="0" r="0" b="0"/>
                <wp:wrapNone/>
                <wp:docPr id="293" name="Text 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95275"/>
                        </a:xfrm>
                        <a:prstGeom prst="rect">
                          <a:avLst/>
                        </a:prstGeom>
                        <a:noFill/>
                        <a:ln w="9525">
                          <a:noFill/>
                          <a:miter lim="800000"/>
                          <a:headEnd/>
                          <a:tailEnd/>
                        </a:ln>
                      </wps:spPr>
                      <wps:txbx>
                        <w:txbxContent>
                          <w:p w14:paraId="406FCB7D" w14:textId="77777777" w:rsidR="00BA413D" w:rsidRDefault="00BA413D" w:rsidP="00BA413D">
                            <w:pPr>
                              <w:pStyle w:val="NormalWeb"/>
                              <w:spacing w:before="0" w:beforeAutospacing="0" w:after="160" w:afterAutospacing="0" w:line="256" w:lineRule="auto"/>
                            </w:pPr>
                            <w:r w:rsidRPr="008F269A">
                              <w:rPr>
                                <w:rFonts w:eastAsia="Calibri"/>
                                <w:color w:val="000000"/>
                                <w:kern w:val="24"/>
                                <w:sz w:val="22"/>
                                <w:szCs w:val="22"/>
                              </w:rPr>
                              <w:t xml:space="preserve">B </w:t>
                            </w:r>
                          </w:p>
                        </w:txbxContent>
                      </wps:txbx>
                      <wps:bodyPr rot="0" vert="horz" wrap="square" lIns="91440" tIns="45720" rIns="91440" bIns="45720" anchor="t" anchorCtr="0">
                        <a:noAutofit/>
                      </wps:bodyPr>
                    </wps:wsp>
                  </a:graphicData>
                </a:graphic>
                <wp14:sizeRelH relativeFrom="margin">
                  <wp14:pctWidth>0</wp14:pctWidth>
                </wp14:sizeRelH>
                <wp14:sizeRelV relativeFrom="page">
                  <wp14:pctHeight>0</wp14:pctHeight>
                </wp14:sizeRelV>
              </wp:anchor>
            </w:drawing>
          </mc:Choice>
          <mc:Fallback>
            <w:pict>
              <v:shape w14:anchorId="5D30F16D" id="Text Box 293" o:spid="_x0000_s1093" type="#_x0000_t202" style="position:absolute;margin-left:186.8pt;margin-top:106.95pt;width:28.8pt;height:23.2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" filled="f" stroked="f">
                <v:textbox>
                  <w:txbxContent>
                    <w:p w14:paraId="406FCB7D" w14:textId="77777777" w:rsidR="00BA413D" w:rsidRDefault="00BA413D" w:rsidP="00BA413D">
                      <w:pPr>
                        <w:pStyle w:val="NormalWeb"/>
                        <w:spacing w:before="0" w:beforeAutospacing="0" w:after="160" w:afterAutospacing="0" w:line="256" w:lineRule="auto"/>
                      </w:pPr>
                      <w:r w:rsidRPr="008F269A">
                        <w:rPr>
                          <w:rFonts w:eastAsia="Calibri"/>
                          <w:color w:val="000000"/>
                          <w:kern w:val="24"/>
                          <w:sz w:val="22"/>
                          <w:szCs w:val="22"/>
                        </w:rPr>
                        <w:t xml:space="preserve">B </w:t>
                      </w:r>
                    </w:p>
                  </w:txbxContent>
                </v:textbox>
              </v:shape>
            </w:pict>
          </mc:Fallback>
        </mc:AlternateContent>
      </w:r>
      <w:r>
        <w:rPr>
          <w:noProof/>
        </w:rPr>
        <mc:AlternateContent>
          <mc:Choice Requires="wps">
            <w:drawing>
              <wp:anchor distT="0" distB="0" distL="114300" distR="114300" simplePos="0" relativeHeight="251843584" behindDoc="0" locked="0" layoutInCell="1" allowOverlap="1" wp14:anchorId="3146A9CB" wp14:editId="164320DE">
                <wp:simplePos x="0" y="0"/>
                <wp:positionH relativeFrom="column">
                  <wp:posOffset>1561465</wp:posOffset>
                </wp:positionH>
                <wp:positionV relativeFrom="paragraph">
                  <wp:posOffset>1259188</wp:posOffset>
                </wp:positionV>
                <wp:extent cx="365760" cy="295275"/>
                <wp:effectExtent l="0" t="0" r="0" b="0"/>
                <wp:wrapNone/>
                <wp:docPr id="294"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95275"/>
                        </a:xfrm>
                        <a:prstGeom prst="rect">
                          <a:avLst/>
                        </a:prstGeom>
                        <a:noFill/>
                        <a:ln w="9525">
                          <a:noFill/>
                          <a:miter lim="800000"/>
                          <a:headEnd/>
                          <a:tailEnd/>
                        </a:ln>
                      </wps:spPr>
                      <wps:txbx>
                        <w:txbxContent>
                          <w:p w14:paraId="2A740851" w14:textId="77777777" w:rsidR="00BA413D" w:rsidRDefault="00BA413D" w:rsidP="00BA413D">
                            <w:pPr>
                              <w:pStyle w:val="NormalWeb"/>
                              <w:spacing w:before="0" w:beforeAutospacing="0" w:after="160" w:afterAutospacing="0" w:line="256" w:lineRule="auto"/>
                            </w:pPr>
                            <w:r w:rsidRPr="008F269A">
                              <w:rPr>
                                <w:rFonts w:eastAsia="Calibri"/>
                                <w:color w:val="000000"/>
                                <w:kern w:val="24"/>
                                <w:sz w:val="22"/>
                                <w:szCs w:val="22"/>
                              </w:rPr>
                              <w:t xml:space="preserve">B </w:t>
                            </w:r>
                          </w:p>
                        </w:txbxContent>
                      </wps:txbx>
                      <wps:bodyPr rot="0" vert="horz" wrap="square" lIns="91440" tIns="45720" rIns="91440" bIns="45720" anchor="t" anchorCtr="0">
                        <a:noAutofit/>
                      </wps:bodyPr>
                    </wps:wsp>
                  </a:graphicData>
                </a:graphic>
                <wp14:sizeRelH relativeFrom="margin">
                  <wp14:pctWidth>0</wp14:pctWidth>
                </wp14:sizeRelH>
                <wp14:sizeRelV relativeFrom="page">
                  <wp14:pctHeight>0</wp14:pctHeight>
                </wp14:sizeRelV>
              </wp:anchor>
            </w:drawing>
          </mc:Choice>
          <mc:Fallback>
            <w:pict>
              <v:shape w14:anchorId="3146A9CB" id="Text Box 294" o:spid="_x0000_s1094" type="#_x0000_t202" style="position:absolute;margin-left:122.95pt;margin-top:99.15pt;width:28.8pt;height:23.2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" filled="f" stroked="f">
                <v:textbox>
                  <w:txbxContent>
                    <w:p w14:paraId="2A740851" w14:textId="77777777" w:rsidR="00BA413D" w:rsidRDefault="00BA413D" w:rsidP="00BA413D">
                      <w:pPr>
                        <w:pStyle w:val="NormalWeb"/>
                        <w:spacing w:before="0" w:beforeAutospacing="0" w:after="160" w:afterAutospacing="0" w:line="256" w:lineRule="auto"/>
                      </w:pPr>
                      <w:r w:rsidRPr="008F269A">
                        <w:rPr>
                          <w:rFonts w:eastAsia="Calibri"/>
                          <w:color w:val="000000"/>
                          <w:kern w:val="24"/>
                          <w:sz w:val="22"/>
                          <w:szCs w:val="22"/>
                        </w:rPr>
                        <w:t xml:space="preserve">B </w:t>
                      </w:r>
                    </w:p>
                  </w:txbxContent>
                </v:textbox>
              </v:shape>
            </w:pict>
          </mc:Fallback>
        </mc:AlternateContent>
      </w:r>
      <w:r>
        <w:rPr>
          <w:noProof/>
        </w:rPr>
        <mc:AlternateContent>
          <mc:Choice Requires="wps">
            <w:drawing>
              <wp:anchor distT="0" distB="0" distL="114300" distR="114300" simplePos="0" relativeHeight="251842560" behindDoc="0" locked="0" layoutInCell="1" allowOverlap="1" wp14:anchorId="39AAD6D0" wp14:editId="45648C7E">
                <wp:simplePos x="0" y="0"/>
                <wp:positionH relativeFrom="column">
                  <wp:posOffset>753110</wp:posOffset>
                </wp:positionH>
                <wp:positionV relativeFrom="paragraph">
                  <wp:posOffset>881998</wp:posOffset>
                </wp:positionV>
                <wp:extent cx="365760" cy="295275"/>
                <wp:effectExtent l="0" t="0" r="0" b="0"/>
                <wp:wrapNone/>
                <wp:docPr id="292"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95275"/>
                        </a:xfrm>
                        <a:prstGeom prst="rect">
                          <a:avLst/>
                        </a:prstGeom>
                        <a:noFill/>
                        <a:ln w="9525">
                          <a:noFill/>
                          <a:miter lim="800000"/>
                          <a:headEnd/>
                          <a:tailEnd/>
                        </a:ln>
                      </wps:spPr>
                      <wps:txbx>
                        <w:txbxContent>
                          <w:p w14:paraId="7098A161" w14:textId="77777777" w:rsidR="00BA413D" w:rsidRDefault="00BA413D" w:rsidP="00BA413D">
                            <w:pPr>
                              <w:pStyle w:val="NormalWeb"/>
                              <w:spacing w:before="0" w:beforeAutospacing="0" w:after="160" w:afterAutospacing="0" w:line="256" w:lineRule="auto"/>
                            </w:pPr>
                            <w:r w:rsidRPr="008F269A">
                              <w:rPr>
                                <w:rFonts w:eastAsia="Calibri"/>
                                <w:color w:val="000000"/>
                                <w:kern w:val="24"/>
                                <w:sz w:val="22"/>
                                <w:szCs w:val="22"/>
                              </w:rPr>
                              <w:t xml:space="preserve">A† </w:t>
                            </w:r>
                          </w:p>
                        </w:txbxContent>
                      </wps:txbx>
                      <wps:bodyPr rot="0" vert="horz" wrap="square" lIns="91440" tIns="45720" rIns="91440" bIns="45720" anchor="t" anchorCtr="0">
                        <a:noAutofit/>
                      </wps:bodyPr>
                    </wps:wsp>
                  </a:graphicData>
                </a:graphic>
                <wp14:sizeRelH relativeFrom="margin">
                  <wp14:pctWidth>0</wp14:pctWidth>
                </wp14:sizeRelH>
                <wp14:sizeRelV relativeFrom="page">
                  <wp14:pctHeight>0</wp14:pctHeight>
                </wp14:sizeRelV>
              </wp:anchor>
            </w:drawing>
          </mc:Choice>
          <mc:Fallback>
            <w:pict>
              <v:shape w14:anchorId="39AAD6D0" id="Text Box 292" o:spid="_x0000_s1095" type="#_x0000_t202" style="position:absolute;margin-left:59.3pt;margin-top:69.45pt;width:28.8pt;height:23.2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" filled="f" stroked="f">
                <v:textbox>
                  <w:txbxContent>
                    <w:p w14:paraId="7098A161" w14:textId="77777777" w:rsidR="00BA413D" w:rsidRDefault="00BA413D" w:rsidP="00BA413D">
                      <w:pPr>
                        <w:pStyle w:val="NormalWeb"/>
                        <w:spacing w:before="0" w:beforeAutospacing="0" w:after="160" w:afterAutospacing="0" w:line="256" w:lineRule="auto"/>
                      </w:pPr>
                      <w:r w:rsidRPr="008F269A">
                        <w:rPr>
                          <w:rFonts w:eastAsia="Calibri"/>
                          <w:color w:val="000000"/>
                          <w:kern w:val="24"/>
                          <w:sz w:val="22"/>
                          <w:szCs w:val="22"/>
                        </w:rPr>
                        <w:t xml:space="preserve">A† </w:t>
                      </w:r>
                    </w:p>
                  </w:txbxContent>
                </v:textbox>
              </v:shape>
            </w:pict>
          </mc:Fallback>
        </mc:AlternateContent>
      </w:r>
      <w:r w:rsidR="00CF049C">
        <w:rPr>
          <w:noProof/>
        </w:rPr>
        <mc:AlternateContent>
          <mc:Choice Requires="wps">
            <w:drawing>
              <wp:anchor distT="45720" distB="45720" distL="114300" distR="114300" simplePos="0" relativeHeight="251840512" behindDoc="0" locked="0" layoutInCell="1" allowOverlap="1" wp14:anchorId="1262CA54" wp14:editId="2BB3F780">
                <wp:simplePos x="0" y="0"/>
                <wp:positionH relativeFrom="column">
                  <wp:posOffset>7620</wp:posOffset>
                </wp:positionH>
                <wp:positionV relativeFrom="paragraph">
                  <wp:posOffset>2662572</wp:posOffset>
                </wp:positionV>
                <wp:extent cx="722630" cy="349250"/>
                <wp:effectExtent l="0" t="0" r="0" b="0"/>
                <wp:wrapNone/>
                <wp:docPr id="273"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630" cy="349250"/>
                        </a:xfrm>
                        <a:prstGeom prst="rect">
                          <a:avLst/>
                        </a:prstGeom>
                        <a:noFill/>
                        <a:ln w="9525">
                          <a:noFill/>
                          <a:miter lim="800000"/>
                          <a:headEnd/>
                          <a:tailEnd/>
                        </a:ln>
                      </wps:spPr>
                      <wps:txbx>
                        <w:txbxContent>
                          <w:p w14:paraId="4EBC9B07" w14:textId="77777777" w:rsidR="00CF049C" w:rsidRPr="00970CE7" w:rsidRDefault="00CF049C" w:rsidP="00CF049C">
                            <w:pPr>
                              <w:rPr>
                                <w:sz w:val="36"/>
                                <w:szCs w:val="36"/>
                              </w:rPr>
                            </w:pPr>
                            <w:r>
                              <w:rPr>
                                <w:sz w:val="36"/>
                                <w:szCs w:val="36"/>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62CA54" id="Text Box 273" o:spid="_x0000_s1096" type="#_x0000_t202" style="position:absolute;margin-left:.6pt;margin-top:209.65pt;width:56.9pt;height:27.5pt;z-index:251840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" filled="f" stroked="f">
                <v:textbox>
                  <w:txbxContent>
                    <w:p w14:paraId="4EBC9B07" w14:textId="77777777" w:rsidR="00CF049C" w:rsidRPr="00970CE7" w:rsidRDefault="00CF049C" w:rsidP="00CF049C">
                      <w:pPr>
                        <w:rPr>
                          <w:sz w:val="36"/>
                          <w:szCs w:val="36"/>
                        </w:rPr>
                      </w:pPr>
                      <w:r>
                        <w:rPr>
                          <w:sz w:val="36"/>
                          <w:szCs w:val="36"/>
                        </w:rPr>
                        <w:t>a</w:t>
                      </w:r>
                    </w:p>
                  </w:txbxContent>
                </v:textbox>
              </v:shape>
            </w:pict>
          </mc:Fallback>
        </mc:AlternateContent>
      </w:r>
      <w:r w:rsidR="00CF049C">
        <w:rPr>
          <w:noProof/>
        </w:rPr>
        <mc:AlternateContent>
          <mc:Choice Requires="wps">
            <w:drawing>
              <wp:anchor distT="45720" distB="45720" distL="114300" distR="114300" simplePos="0" relativeHeight="251841536" behindDoc="0" locked="0" layoutInCell="1" allowOverlap="1" wp14:anchorId="69FFB8D6" wp14:editId="2C6C4663">
                <wp:simplePos x="0" y="0"/>
                <wp:positionH relativeFrom="column">
                  <wp:posOffset>12717</wp:posOffset>
                </wp:positionH>
                <wp:positionV relativeFrom="paragraph">
                  <wp:posOffset>5670550</wp:posOffset>
                </wp:positionV>
                <wp:extent cx="722630" cy="349250"/>
                <wp:effectExtent l="0" t="0" r="0" b="0"/>
                <wp:wrapNone/>
                <wp:docPr id="274"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630" cy="349250"/>
                        </a:xfrm>
                        <a:prstGeom prst="rect">
                          <a:avLst/>
                        </a:prstGeom>
                        <a:noFill/>
                        <a:ln w="9525">
                          <a:noFill/>
                          <a:miter lim="800000"/>
                          <a:headEnd/>
                          <a:tailEnd/>
                        </a:ln>
                      </wps:spPr>
                      <wps:txbx>
                        <w:txbxContent>
                          <w:p w14:paraId="34943A1A" w14:textId="77777777" w:rsidR="00CF049C" w:rsidRPr="00970CE7" w:rsidRDefault="00CF049C" w:rsidP="00CF049C">
                            <w:pPr>
                              <w:rPr>
                                <w:sz w:val="36"/>
                                <w:szCs w:val="36"/>
                              </w:rPr>
                            </w:pPr>
                            <w:r>
                              <w:rPr>
                                <w:sz w:val="36"/>
                                <w:szCs w:val="36"/>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FB8D6" id="Text Box 274" o:spid="_x0000_s1097" type="#_x0000_t202" style="position:absolute;margin-left:1pt;margin-top:446.5pt;width:56.9pt;height:27.5pt;z-index:251841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" filled="f" stroked="f">
                <v:textbox>
                  <w:txbxContent>
                    <w:p w14:paraId="34943A1A" w14:textId="77777777" w:rsidR="00CF049C" w:rsidRPr="00970CE7" w:rsidRDefault="00CF049C" w:rsidP="00CF049C">
                      <w:pPr>
                        <w:rPr>
                          <w:sz w:val="36"/>
                          <w:szCs w:val="36"/>
                        </w:rPr>
                      </w:pPr>
                      <w:r>
                        <w:rPr>
                          <w:sz w:val="36"/>
                          <w:szCs w:val="36"/>
                        </w:rPr>
                        <w:t>b</w:t>
                      </w:r>
                    </w:p>
                  </w:txbxContent>
                </v:textbox>
              </v:shape>
            </w:pict>
          </mc:Fallback>
        </mc:AlternateContent>
      </w:r>
      <w:r w:rsidR="00CF049C">
        <w:rPr>
          <w:noProof/>
        </w:rPr>
        <w:drawing>
          <wp:inline distT="0" distB="0" distL="0" distR="0" wp14:anchorId="0995CA0E" wp14:editId="536AF1F7">
            <wp:extent cx="3217760" cy="3017520"/>
            <wp:effectExtent l="0" t="0" r="1905"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217760" cy="3017520"/>
                    </a:xfrm>
                    <a:prstGeom prst="rect">
                      <a:avLst/>
                    </a:prstGeom>
                    <a:noFill/>
                  </pic:spPr>
                </pic:pic>
              </a:graphicData>
            </a:graphic>
          </wp:inline>
        </w:drawing>
      </w:r>
      <w:r w:rsidR="00CF049C">
        <w:rPr>
          <w:noProof/>
        </w:rPr>
        <w:drawing>
          <wp:inline distT="0" distB="0" distL="0" distR="0" wp14:anchorId="2AB13D40" wp14:editId="5FA021AD">
            <wp:extent cx="3217761" cy="3017520"/>
            <wp:effectExtent l="0" t="0" r="1905"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217761" cy="3017520"/>
                    </a:xfrm>
                    <a:prstGeom prst="rect">
                      <a:avLst/>
                    </a:prstGeom>
                    <a:noFill/>
                  </pic:spPr>
                </pic:pic>
              </a:graphicData>
            </a:graphic>
          </wp:inline>
        </w:drawing>
      </w:r>
    </w:p>
    <w:p w14:paraId="7002E232" w14:textId="094CA556" w:rsidR="00CF049C" w:rsidRDefault="00CF049C" w:rsidP="00CF049C">
      <w:pPr>
        <w:pStyle w:val="Figures"/>
      </w:pPr>
      <w:bookmarkStart w:id="289" w:name="_Toc72300481"/>
      <w:r>
        <w:t>Figure 3A.</w:t>
      </w:r>
      <w:r w:rsidRPr="000D6E9A">
        <w:t>4. Bio</w:t>
      </w:r>
      <w:r w:rsidRPr="00136BC7">
        <w:t>m</w:t>
      </w:r>
      <w:r w:rsidRPr="002B6D59">
        <w:t>ass</w:t>
      </w:r>
      <w:r w:rsidRPr="00677DC5">
        <w:t xml:space="preserve"> </w:t>
      </w:r>
      <w:r w:rsidRPr="0060629C">
        <w:t>dry matter (DM) yield</w:t>
      </w:r>
      <w:r w:rsidRPr="000D6E9A">
        <w:t xml:space="preserve"> (Mg</w:t>
      </w:r>
      <w:r>
        <w:t xml:space="preserve"> DM ha</w:t>
      </w:r>
      <w:r w:rsidRPr="00450716">
        <w:rPr>
          <w:vertAlign w:val="superscript"/>
        </w:rPr>
        <w:t>-1</w:t>
      </w:r>
      <w:r>
        <w:t>) for (a) big bluestem and (b) switchgrass by browntop millet (BTM) seeding rate (kg PLS ha</w:t>
      </w:r>
      <w:r w:rsidRPr="00B24C69">
        <w:rPr>
          <w:vertAlign w:val="superscript"/>
        </w:rPr>
        <w:t>-1</w:t>
      </w:r>
      <w:r>
        <w:t>) following the second year of each study at Site 1 (2017) and Site 2 (2018) at East Tennessee AgResearch and Education Center-Plant Science Unit, Knoxville, TN.  †Different UPPERCASE letters indicate significant differences among Site 1 (2017) DM biomass yield among BTM seeding rate per species.  ‡Different lowercase letters indicate significant differences among Site 2 (2018) DM biomass yield among BTM seeding rate per species.</w:t>
      </w:r>
      <w:bookmarkEnd w:id="289"/>
    </w:p>
    <w:p w14:paraId="544C7C90" w14:textId="77777777" w:rsidR="00CF049C" w:rsidRDefault="00CF049C" w:rsidP="00BB152B">
      <w:pPr>
        <w:ind w:firstLine="720"/>
        <w:rPr>
          <w:rFonts w:cs="Times New Roman"/>
        </w:rPr>
      </w:pPr>
    </w:p>
    <w:p w14:paraId="2879CB82" w14:textId="4F1E310C" w:rsidR="00CF049C" w:rsidRDefault="00CF049C" w:rsidP="00CF049C">
      <w:pPr>
        <w:rPr>
          <w:rFonts w:cs="Times New Roman"/>
        </w:rPr>
        <w:sectPr w:rsidR="00CF049C" w:rsidSect="00C92DB5">
          <w:pgSz w:w="12240" w:h="15840" w:code="1"/>
          <w:pgMar w:top="1440" w:right="1800" w:bottom="1872" w:left="1800" w:header="720" w:footer="1440" w:gutter="0"/>
          <w:cols w:space="720"/>
          <w:noEndnote/>
          <w:docGrid w:linePitch="360"/>
        </w:sectPr>
      </w:pPr>
    </w:p>
    <w:p w14:paraId="47469287" w14:textId="1068AA67" w:rsidR="00220A09" w:rsidRDefault="00DB2501" w:rsidP="00A539F2">
      <w:pPr>
        <w:spacing w:after="100" w:afterAutospacing="1" w:line="240" w:lineRule="auto"/>
        <w:rPr>
          <w:rFonts w:cs="Times New Roman"/>
        </w:rPr>
      </w:pPr>
      <w:r>
        <w:rPr>
          <w:rFonts w:cs="Times New Roman"/>
          <w:noProof/>
        </w:rPr>
        <w:lastRenderedPageBreak/>
        <w:drawing>
          <wp:inline distT="0" distB="0" distL="0" distR="0" wp14:anchorId="0D63E199" wp14:editId="4304B4AD">
            <wp:extent cx="5029200" cy="6324856"/>
            <wp:effectExtent l="0" t="0" r="0" b="0"/>
            <wp:docPr id="275" name="Picture 275" descr="Chart, ba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Picture 275" descr="Chart, bar chart, waterfall chart&#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5029200" cy="6324856"/>
                    </a:xfrm>
                    <a:prstGeom prst="rect">
                      <a:avLst/>
                    </a:prstGeom>
                  </pic:spPr>
                </pic:pic>
              </a:graphicData>
            </a:graphic>
          </wp:inline>
        </w:drawing>
      </w:r>
    </w:p>
    <w:p w14:paraId="5B04D0CD" w14:textId="74A7CAF9" w:rsidR="00220A09" w:rsidRDefault="00A539F2" w:rsidP="00A539F2">
      <w:pPr>
        <w:pStyle w:val="Figures"/>
      </w:pPr>
      <w:bookmarkStart w:id="290" w:name="_Toc72300482"/>
      <w:r>
        <w:t>Figure 3A.5. Establishment-year p</w:t>
      </w:r>
      <w:r w:rsidRPr="000D6E9A">
        <w:t>lant density (seedlings m</w:t>
      </w:r>
      <w:r w:rsidRPr="000D6E9A">
        <w:rPr>
          <w:vertAlign w:val="superscript"/>
        </w:rPr>
        <w:t>-</w:t>
      </w:r>
      <w:r w:rsidRPr="00EC6870">
        <w:rPr>
          <w:vertAlign w:val="superscript"/>
        </w:rPr>
        <w:t>2</w:t>
      </w:r>
      <w:r>
        <w:t>) for switchgrass (SG), browntop millet (BTM), and weeds by BTM seeding rate (kg PLS ha</w:t>
      </w:r>
      <w:r w:rsidRPr="001F269D">
        <w:rPr>
          <w:vertAlign w:val="superscript"/>
        </w:rPr>
        <w:t>-1</w:t>
      </w:r>
      <w:r>
        <w:t>) at 30 and 60 days after planting (DAP) SG for Site 1 (top) and Site 2 (bottom) at East Tennessee AgResearch and Education Center-Plant Science Unit, Knoxville, TN.  †Number of SG seedlings per BTM seeding rate</w:t>
      </w:r>
      <w:r w:rsidRPr="007A6B8C">
        <w:t xml:space="preserve"> </w:t>
      </w:r>
      <w:r>
        <w:t>at 30 and 60 DAP.  ‡Different lowercase letters indicate significant differences among weed + BTM seedling totals by BTM seeding rate at 30 and 60 DAP within site.  §Different UPPERCASE letters indicate significant differences for SG seedlings by BTM seeding rate at 30 and 60 DAP within site.</w:t>
      </w:r>
      <w:bookmarkEnd w:id="290"/>
    </w:p>
    <w:p w14:paraId="319C986E" w14:textId="79700F38" w:rsidR="00220A09" w:rsidRDefault="00220A09" w:rsidP="00BB152B">
      <w:pPr>
        <w:ind w:firstLine="720"/>
        <w:rPr>
          <w:rFonts w:cs="Times New Roman"/>
        </w:rPr>
        <w:sectPr w:rsidR="00220A09" w:rsidSect="00C92DB5">
          <w:pgSz w:w="12240" w:h="15840" w:code="1"/>
          <w:pgMar w:top="1440" w:right="1800" w:bottom="1872" w:left="1800" w:header="720" w:footer="1440" w:gutter="0"/>
          <w:cols w:space="720"/>
          <w:noEndnote/>
          <w:docGrid w:linePitch="360"/>
        </w:sectPr>
      </w:pPr>
    </w:p>
    <w:p w14:paraId="574662C0" w14:textId="77777777" w:rsidR="00236E6D" w:rsidRPr="004F6C28" w:rsidRDefault="00526151" w:rsidP="005E54E2">
      <w:pPr>
        <w:pStyle w:val="Heading1"/>
        <w:rPr>
          <w:rFonts w:cs="Times New Roman"/>
        </w:rPr>
      </w:pPr>
      <w:bookmarkStart w:id="291" w:name="_Toc289175845"/>
      <w:bookmarkStart w:id="292" w:name="_Toc72026065"/>
      <w:bookmarkStart w:id="293" w:name="_Toc72305450"/>
      <w:r w:rsidRPr="004F6C28">
        <w:rPr>
          <w:rFonts w:cs="Times New Roman"/>
        </w:rPr>
        <w:lastRenderedPageBreak/>
        <w:t>VITA</w:t>
      </w:r>
      <w:bookmarkEnd w:id="291"/>
      <w:bookmarkEnd w:id="292"/>
      <w:bookmarkEnd w:id="293"/>
    </w:p>
    <w:p w14:paraId="4456268D" w14:textId="1F1215A4" w:rsidR="003D63DF" w:rsidRPr="004F6C28" w:rsidRDefault="00C92DB5" w:rsidP="00D30FE6">
      <w:pPr>
        <w:rPr>
          <w:rFonts w:cs="Times New Roman"/>
        </w:rPr>
      </w:pPr>
      <w:r>
        <w:rPr>
          <w:rFonts w:cs="Times New Roman"/>
        </w:rPr>
        <w:t>Jonathan D. Richwine was born</w:t>
      </w:r>
      <w:r w:rsidR="005D37B4">
        <w:rPr>
          <w:rFonts w:cs="Times New Roman"/>
        </w:rPr>
        <w:t xml:space="preserve"> and raised in Martin, TN.  He graduated from Westview High School</w:t>
      </w:r>
      <w:r w:rsidR="00D30FE6">
        <w:rPr>
          <w:rFonts w:cs="Times New Roman"/>
        </w:rPr>
        <w:t xml:space="preserve"> in Martin in</w:t>
      </w:r>
      <w:r w:rsidR="005D37B4">
        <w:rPr>
          <w:rFonts w:cs="Times New Roman"/>
        </w:rPr>
        <w:t xml:space="preserve"> 2004</w:t>
      </w:r>
      <w:r w:rsidR="00D30FE6">
        <w:rPr>
          <w:rFonts w:cs="Times New Roman"/>
        </w:rPr>
        <w:t xml:space="preserve">.  He then attended </w:t>
      </w:r>
      <w:r w:rsidR="005D37B4">
        <w:rPr>
          <w:rFonts w:cs="Times New Roman"/>
        </w:rPr>
        <w:t>the University of Tennessee – Martin,</w:t>
      </w:r>
      <w:r w:rsidR="00D30FE6">
        <w:rPr>
          <w:rFonts w:cs="Times New Roman"/>
        </w:rPr>
        <w:t xml:space="preserve"> where he received a Bachelor of Science in Agriculture in</w:t>
      </w:r>
      <w:r w:rsidR="005D37B4">
        <w:rPr>
          <w:rFonts w:cs="Times New Roman"/>
        </w:rPr>
        <w:t xml:space="preserve"> 2009</w:t>
      </w:r>
      <w:r w:rsidR="00D30FE6">
        <w:rPr>
          <w:rFonts w:cs="Times New Roman"/>
        </w:rPr>
        <w:t>.  He then received his Master of Science in Plant and Soil Science</w:t>
      </w:r>
      <w:r w:rsidR="00D30FE6" w:rsidRPr="00D30FE6">
        <w:rPr>
          <w:rFonts w:cs="Times New Roman"/>
        </w:rPr>
        <w:t xml:space="preserve"> at Mississippi State University in 2016.  During and between both degrees </w:t>
      </w:r>
      <w:r w:rsidR="00D30FE6">
        <w:rPr>
          <w:rFonts w:cs="Times New Roman"/>
        </w:rPr>
        <w:t>he</w:t>
      </w:r>
      <w:r w:rsidR="00D30FE6" w:rsidRPr="00D30FE6">
        <w:rPr>
          <w:rFonts w:cs="Times New Roman"/>
        </w:rPr>
        <w:t xml:space="preserve"> worked </w:t>
      </w:r>
      <w:r w:rsidR="00D30FE6">
        <w:rPr>
          <w:rFonts w:cs="Times New Roman"/>
        </w:rPr>
        <w:t>w</w:t>
      </w:r>
      <w:r w:rsidR="00D30FE6" w:rsidRPr="00D30FE6">
        <w:rPr>
          <w:rFonts w:cs="Times New Roman"/>
        </w:rPr>
        <w:t xml:space="preserve">ith production agricultural.  </w:t>
      </w:r>
      <w:r w:rsidR="00D30FE6">
        <w:rPr>
          <w:rFonts w:cs="Times New Roman"/>
        </w:rPr>
        <w:t>He</w:t>
      </w:r>
      <w:r w:rsidR="00D30FE6" w:rsidRPr="00D30FE6">
        <w:rPr>
          <w:rFonts w:cs="Times New Roman"/>
        </w:rPr>
        <w:t xml:space="preserve"> aided farmers in baling and loading straw and worked part-time/seasonal positions at Helena Chemical Co. and Tennessee Crop Improvement Association, where </w:t>
      </w:r>
      <w:r w:rsidR="00D30FE6">
        <w:rPr>
          <w:rFonts w:cs="Times New Roman"/>
        </w:rPr>
        <w:t>he</w:t>
      </w:r>
      <w:r w:rsidR="00D30FE6" w:rsidRPr="00D30FE6">
        <w:rPr>
          <w:rFonts w:cs="Times New Roman"/>
        </w:rPr>
        <w:t xml:space="preserve"> was introduced to chemicals, fertilizers, and crop traits commonly used in agriculture.  </w:t>
      </w:r>
      <w:r w:rsidR="00D30FE6">
        <w:rPr>
          <w:rFonts w:cs="Times New Roman"/>
        </w:rPr>
        <w:t>His</w:t>
      </w:r>
      <w:r w:rsidR="00D30FE6" w:rsidRPr="00D30FE6">
        <w:rPr>
          <w:rFonts w:cs="Times New Roman"/>
        </w:rPr>
        <w:t xml:space="preserve"> studies and research at Mississippi State focused on native grass breeding, biomass crop production, oil seed production, and forage production for grazing animals and hay; all of which intrigued me.  Working with forages allowed </w:t>
      </w:r>
      <w:r w:rsidR="00D30FE6">
        <w:rPr>
          <w:rFonts w:cs="Times New Roman"/>
        </w:rPr>
        <w:t>him</w:t>
      </w:r>
      <w:r w:rsidR="00D30FE6" w:rsidRPr="00D30FE6">
        <w:rPr>
          <w:rFonts w:cs="Times New Roman"/>
        </w:rPr>
        <w:t xml:space="preserve"> to be exposed to a different side of agriculture that </w:t>
      </w:r>
      <w:r w:rsidR="00D30FE6">
        <w:rPr>
          <w:rFonts w:cs="Times New Roman"/>
        </w:rPr>
        <w:t>he</w:t>
      </w:r>
      <w:r w:rsidR="00D30FE6" w:rsidRPr="00D30FE6">
        <w:rPr>
          <w:rFonts w:cs="Times New Roman"/>
        </w:rPr>
        <w:t xml:space="preserve"> was not accustomed.  </w:t>
      </w:r>
      <w:r w:rsidR="00D30FE6">
        <w:rPr>
          <w:rFonts w:cs="Times New Roman"/>
        </w:rPr>
        <w:t>He</w:t>
      </w:r>
      <w:r w:rsidR="00D30FE6" w:rsidRPr="00D30FE6">
        <w:rPr>
          <w:rFonts w:cs="Times New Roman"/>
        </w:rPr>
        <w:t xml:space="preserve"> began </w:t>
      </w:r>
      <w:r w:rsidR="00D30FE6">
        <w:rPr>
          <w:rFonts w:cs="Times New Roman"/>
        </w:rPr>
        <w:t>his</w:t>
      </w:r>
      <w:r w:rsidR="00D30FE6" w:rsidRPr="00D30FE6">
        <w:rPr>
          <w:rFonts w:cs="Times New Roman"/>
        </w:rPr>
        <w:t xml:space="preserve"> </w:t>
      </w:r>
      <w:r w:rsidR="00D30FE6">
        <w:rPr>
          <w:rFonts w:cs="Times New Roman"/>
        </w:rPr>
        <w:t>Doctor of Philosophy</w:t>
      </w:r>
      <w:r w:rsidR="00D30FE6" w:rsidRPr="00D30FE6">
        <w:rPr>
          <w:rFonts w:cs="Times New Roman"/>
        </w:rPr>
        <w:t xml:space="preserve"> in Natural Resources at U</w:t>
      </w:r>
      <w:r w:rsidR="00D30FE6">
        <w:rPr>
          <w:rFonts w:cs="Times New Roman"/>
        </w:rPr>
        <w:t xml:space="preserve">niversity of </w:t>
      </w:r>
      <w:r w:rsidR="00D30FE6" w:rsidRPr="00D30FE6">
        <w:rPr>
          <w:rFonts w:cs="Times New Roman"/>
        </w:rPr>
        <w:t>T</w:t>
      </w:r>
      <w:r w:rsidR="00D30FE6">
        <w:rPr>
          <w:rFonts w:cs="Times New Roman"/>
        </w:rPr>
        <w:t xml:space="preserve">ennessee – </w:t>
      </w:r>
      <w:r w:rsidR="00D30FE6" w:rsidRPr="00D30FE6">
        <w:rPr>
          <w:rFonts w:cs="Times New Roman"/>
        </w:rPr>
        <w:t xml:space="preserve">Knoxville in 2016.  </w:t>
      </w:r>
      <w:r w:rsidR="00D30FE6">
        <w:rPr>
          <w:rFonts w:cs="Times New Roman"/>
        </w:rPr>
        <w:t xml:space="preserve">His </w:t>
      </w:r>
      <w:r w:rsidR="00D30FE6" w:rsidRPr="00D30FE6">
        <w:rPr>
          <w:rFonts w:cs="Times New Roman"/>
        </w:rPr>
        <w:t xml:space="preserve">research </w:t>
      </w:r>
      <w:r w:rsidR="00D30FE6">
        <w:rPr>
          <w:rFonts w:cs="Times New Roman"/>
        </w:rPr>
        <w:t>concentrated</w:t>
      </w:r>
      <w:r w:rsidR="00D30FE6" w:rsidRPr="00D30FE6">
        <w:rPr>
          <w:rFonts w:cs="Times New Roman"/>
        </w:rPr>
        <w:t xml:space="preserve"> on land management from a forage producer standpoint but also from a wildlife conservationist point of view.  Incorporating multiple flora species within a pasture system </w:t>
      </w:r>
      <w:r w:rsidR="002B2013">
        <w:rPr>
          <w:rFonts w:cs="Times New Roman"/>
        </w:rPr>
        <w:t xml:space="preserve">can </w:t>
      </w:r>
      <w:r w:rsidR="00D30FE6" w:rsidRPr="00D30FE6">
        <w:rPr>
          <w:rFonts w:cs="Times New Roman"/>
        </w:rPr>
        <w:t>suppl</w:t>
      </w:r>
      <w:r w:rsidR="002B2013">
        <w:rPr>
          <w:rFonts w:cs="Times New Roman"/>
        </w:rPr>
        <w:t>y</w:t>
      </w:r>
      <w:r w:rsidR="00D30FE6" w:rsidRPr="00D30FE6">
        <w:rPr>
          <w:rFonts w:cs="Times New Roman"/>
        </w:rPr>
        <w:t xml:space="preserve"> various organisms with ample sustenance, from the bacteria and fungi in the soil profile to pollinators, rabbits, quail, and turkeys feeding and nesting in the same area.</w:t>
      </w:r>
    </w:p>
    <w:sectPr w:rsidR="003D63DF" w:rsidRPr="004F6C28" w:rsidSect="00C92DB5">
      <w:pgSz w:w="12240" w:h="15840" w:code="1"/>
      <w:pgMar w:top="1440" w:right="1800" w:bottom="1872" w:left="1800" w:header="720" w:footer="144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1E545" w14:textId="77777777" w:rsidR="00080DD2" w:rsidRDefault="00080DD2" w:rsidP="005E54E2">
      <w:r>
        <w:separator/>
      </w:r>
    </w:p>
    <w:p w14:paraId="6AF563A0" w14:textId="77777777" w:rsidR="00080DD2" w:rsidRDefault="00080DD2" w:rsidP="005E54E2"/>
    <w:p w14:paraId="62FBEFFA" w14:textId="77777777" w:rsidR="00080DD2" w:rsidRDefault="00080DD2" w:rsidP="005E54E2"/>
    <w:p w14:paraId="76323796" w14:textId="77777777" w:rsidR="00080DD2" w:rsidRDefault="00080DD2" w:rsidP="005E54E2"/>
  </w:endnote>
  <w:endnote w:type="continuationSeparator" w:id="0">
    <w:p w14:paraId="24C7587C" w14:textId="77777777" w:rsidR="00080DD2" w:rsidRDefault="00080DD2" w:rsidP="005E54E2">
      <w:r>
        <w:continuationSeparator/>
      </w:r>
    </w:p>
    <w:p w14:paraId="0E9A4BEA" w14:textId="77777777" w:rsidR="00080DD2" w:rsidRDefault="00080DD2" w:rsidP="005E54E2"/>
    <w:p w14:paraId="505F12B1" w14:textId="77777777" w:rsidR="00080DD2" w:rsidRDefault="00080DD2" w:rsidP="005E54E2"/>
    <w:p w14:paraId="6A5D0377" w14:textId="77777777" w:rsidR="00080DD2" w:rsidRDefault="00080DD2" w:rsidP="005E54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A0002AEF" w:usb1="4000207B" w:usb2="00000000" w:usb3="00000000" w:csb0="000001FF" w:csb1="00000000"/>
  </w:font>
  <w:font w:name="HelveticaNeueLT Std">
    <w:altName w:val="Arial"/>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5719441"/>
      <w:docPartObj>
        <w:docPartGallery w:val="Page Numbers (Bottom of Page)"/>
        <w:docPartUnique/>
      </w:docPartObj>
    </w:sdtPr>
    <w:sdtEndPr>
      <w:rPr>
        <w:noProof/>
      </w:rPr>
    </w:sdtEndPr>
    <w:sdtContent>
      <w:p w14:paraId="746DD4B1" w14:textId="3E63B252" w:rsidR="002503ED" w:rsidRPr="00BE5EA0" w:rsidRDefault="002503ED" w:rsidP="00BE5EA0">
        <w:pPr>
          <w:pStyle w:val="Footer"/>
          <w:jc w:val="right"/>
          <w:rPr>
            <w:rFonts w:ascii="Times New Roman" w:hAnsi="Times New Roman" w:cs="Times New Roman"/>
            <w:noProof/>
          </w:rPr>
        </w:pPr>
        <w:r w:rsidRPr="003A7A7D">
          <w:rPr>
            <w:rFonts w:ascii="Times New Roman" w:hAnsi="Times New Roman" w:cs="Times New Roman"/>
          </w:rPr>
          <w:fldChar w:fldCharType="begin"/>
        </w:r>
        <w:r w:rsidRPr="003A7A7D">
          <w:rPr>
            <w:rFonts w:ascii="Times New Roman" w:hAnsi="Times New Roman" w:cs="Times New Roman"/>
          </w:rPr>
          <w:instrText xml:space="preserve"> PAGE   \* MERGEFORMAT </w:instrText>
        </w:r>
        <w:r w:rsidRPr="003A7A7D">
          <w:rPr>
            <w:rFonts w:ascii="Times New Roman" w:hAnsi="Times New Roman" w:cs="Times New Roman"/>
          </w:rPr>
          <w:fldChar w:fldCharType="separate"/>
        </w:r>
        <w:r>
          <w:rPr>
            <w:rFonts w:ascii="Times New Roman" w:hAnsi="Times New Roman" w:cs="Times New Roman"/>
            <w:noProof/>
          </w:rPr>
          <w:t>56</w:t>
        </w:r>
        <w:r w:rsidRPr="003A7A7D">
          <w:rPr>
            <w:rFonts w:ascii="Times New Roman" w:hAnsi="Times New Roman" w:cs="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5374543"/>
      <w:docPartObj>
        <w:docPartGallery w:val="Page Numbers (Bottom of Page)"/>
        <w:docPartUnique/>
      </w:docPartObj>
    </w:sdtPr>
    <w:sdtEndPr>
      <w:rPr>
        <w:noProof/>
      </w:rPr>
    </w:sdtEndPr>
    <w:sdtContent>
      <w:p w14:paraId="5C053E4A" w14:textId="58600597" w:rsidR="002503ED" w:rsidRPr="00BE5EA0" w:rsidRDefault="002503ED" w:rsidP="00BE5EA0">
        <w:pPr>
          <w:pStyle w:val="Footer"/>
          <w:jc w:val="right"/>
          <w:rPr>
            <w:rFonts w:ascii="Times New Roman" w:hAnsi="Times New Roman" w:cs="Times New Roman"/>
            <w:noProof/>
          </w:rPr>
        </w:pPr>
        <w:r w:rsidRPr="003A7A7D">
          <w:rPr>
            <w:rFonts w:ascii="Times New Roman" w:hAnsi="Times New Roman" w:cs="Times New Roman"/>
          </w:rPr>
          <w:fldChar w:fldCharType="begin"/>
        </w:r>
        <w:r w:rsidRPr="003A7A7D">
          <w:rPr>
            <w:rFonts w:ascii="Times New Roman" w:hAnsi="Times New Roman" w:cs="Times New Roman"/>
          </w:rPr>
          <w:instrText xml:space="preserve"> PAGE   \* MERGEFORMAT </w:instrText>
        </w:r>
        <w:r w:rsidRPr="003A7A7D">
          <w:rPr>
            <w:rFonts w:ascii="Times New Roman" w:hAnsi="Times New Roman" w:cs="Times New Roman"/>
          </w:rPr>
          <w:fldChar w:fldCharType="separate"/>
        </w:r>
        <w:r>
          <w:rPr>
            <w:rFonts w:ascii="Times New Roman" w:hAnsi="Times New Roman" w:cs="Times New Roman"/>
            <w:noProof/>
          </w:rPr>
          <w:t>80</w:t>
        </w:r>
        <w:r w:rsidRPr="003A7A7D">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D607B" w14:textId="77777777" w:rsidR="00080DD2" w:rsidRDefault="00080DD2" w:rsidP="005E54E2">
      <w:r>
        <w:separator/>
      </w:r>
    </w:p>
    <w:p w14:paraId="0F4B4B11" w14:textId="77777777" w:rsidR="00080DD2" w:rsidRDefault="00080DD2" w:rsidP="005E54E2"/>
    <w:p w14:paraId="568B92BB" w14:textId="77777777" w:rsidR="00080DD2" w:rsidRDefault="00080DD2" w:rsidP="005E54E2"/>
    <w:p w14:paraId="4388FBAE" w14:textId="77777777" w:rsidR="00080DD2" w:rsidRDefault="00080DD2" w:rsidP="005E54E2"/>
  </w:footnote>
  <w:footnote w:type="continuationSeparator" w:id="0">
    <w:p w14:paraId="2D622334" w14:textId="77777777" w:rsidR="00080DD2" w:rsidRDefault="00080DD2" w:rsidP="005E54E2">
      <w:r>
        <w:continuationSeparator/>
      </w:r>
    </w:p>
    <w:p w14:paraId="28ED5CEE" w14:textId="77777777" w:rsidR="00080DD2" w:rsidRDefault="00080DD2" w:rsidP="005E54E2"/>
    <w:p w14:paraId="3512E48A" w14:textId="77777777" w:rsidR="00080DD2" w:rsidRDefault="00080DD2" w:rsidP="005E54E2"/>
    <w:p w14:paraId="30D63FF3" w14:textId="77777777" w:rsidR="00080DD2" w:rsidRDefault="00080DD2" w:rsidP="005E54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62199" w14:textId="77777777" w:rsidR="002503ED" w:rsidRDefault="002503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D3784"/>
    <w:multiLevelType w:val="hybridMultilevel"/>
    <w:tmpl w:val="317E1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2F15B9"/>
    <w:multiLevelType w:val="hybridMultilevel"/>
    <w:tmpl w:val="0324EF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attachedTemplate r:id="rId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C28"/>
    <w:rsid w:val="0000007E"/>
    <w:rsid w:val="00001125"/>
    <w:rsid w:val="000017F0"/>
    <w:rsid w:val="00001D3C"/>
    <w:rsid w:val="00002B4F"/>
    <w:rsid w:val="00002C33"/>
    <w:rsid w:val="00002FC2"/>
    <w:rsid w:val="0000324A"/>
    <w:rsid w:val="000033A9"/>
    <w:rsid w:val="00003F6A"/>
    <w:rsid w:val="000044A5"/>
    <w:rsid w:val="0000489B"/>
    <w:rsid w:val="00005219"/>
    <w:rsid w:val="000052D7"/>
    <w:rsid w:val="00005633"/>
    <w:rsid w:val="000058A0"/>
    <w:rsid w:val="00007300"/>
    <w:rsid w:val="000074A0"/>
    <w:rsid w:val="00007A5B"/>
    <w:rsid w:val="00012297"/>
    <w:rsid w:val="000123DE"/>
    <w:rsid w:val="00012515"/>
    <w:rsid w:val="000128C6"/>
    <w:rsid w:val="00012992"/>
    <w:rsid w:val="00014023"/>
    <w:rsid w:val="0001410B"/>
    <w:rsid w:val="00014A3E"/>
    <w:rsid w:val="000156E9"/>
    <w:rsid w:val="00015EB3"/>
    <w:rsid w:val="00015F50"/>
    <w:rsid w:val="000163C0"/>
    <w:rsid w:val="00016498"/>
    <w:rsid w:val="000166A9"/>
    <w:rsid w:val="00016D2E"/>
    <w:rsid w:val="000170B2"/>
    <w:rsid w:val="00020AF0"/>
    <w:rsid w:val="00021133"/>
    <w:rsid w:val="000218C6"/>
    <w:rsid w:val="00021A7E"/>
    <w:rsid w:val="000227A9"/>
    <w:rsid w:val="00023903"/>
    <w:rsid w:val="000243D9"/>
    <w:rsid w:val="00024665"/>
    <w:rsid w:val="00024BAF"/>
    <w:rsid w:val="00024D92"/>
    <w:rsid w:val="00025D73"/>
    <w:rsid w:val="00026A49"/>
    <w:rsid w:val="000271C4"/>
    <w:rsid w:val="000300AE"/>
    <w:rsid w:val="00031324"/>
    <w:rsid w:val="00033104"/>
    <w:rsid w:val="000335FC"/>
    <w:rsid w:val="000345A5"/>
    <w:rsid w:val="00034F14"/>
    <w:rsid w:val="000359FF"/>
    <w:rsid w:val="00035B22"/>
    <w:rsid w:val="00035E7E"/>
    <w:rsid w:val="0003672C"/>
    <w:rsid w:val="00037822"/>
    <w:rsid w:val="00037BE7"/>
    <w:rsid w:val="000422E5"/>
    <w:rsid w:val="00042607"/>
    <w:rsid w:val="00043F67"/>
    <w:rsid w:val="0004525E"/>
    <w:rsid w:val="00045A6E"/>
    <w:rsid w:val="00046EFF"/>
    <w:rsid w:val="00047152"/>
    <w:rsid w:val="00047C4B"/>
    <w:rsid w:val="00050AE3"/>
    <w:rsid w:val="000522C0"/>
    <w:rsid w:val="00052BE1"/>
    <w:rsid w:val="00052FD2"/>
    <w:rsid w:val="00054DC0"/>
    <w:rsid w:val="00057004"/>
    <w:rsid w:val="00057E17"/>
    <w:rsid w:val="000611E0"/>
    <w:rsid w:val="0006270F"/>
    <w:rsid w:val="000656F9"/>
    <w:rsid w:val="00065A6B"/>
    <w:rsid w:val="00065B18"/>
    <w:rsid w:val="00065FF0"/>
    <w:rsid w:val="00066538"/>
    <w:rsid w:val="00066847"/>
    <w:rsid w:val="000670C9"/>
    <w:rsid w:val="00067A5C"/>
    <w:rsid w:val="0007007C"/>
    <w:rsid w:val="000711A9"/>
    <w:rsid w:val="000718A1"/>
    <w:rsid w:val="00071FB8"/>
    <w:rsid w:val="00072AC5"/>
    <w:rsid w:val="0007443A"/>
    <w:rsid w:val="000746C3"/>
    <w:rsid w:val="00075282"/>
    <w:rsid w:val="00075623"/>
    <w:rsid w:val="00076A95"/>
    <w:rsid w:val="00076B38"/>
    <w:rsid w:val="00076F6E"/>
    <w:rsid w:val="00077426"/>
    <w:rsid w:val="000774B3"/>
    <w:rsid w:val="00077679"/>
    <w:rsid w:val="00077BA1"/>
    <w:rsid w:val="00080DD2"/>
    <w:rsid w:val="0008236E"/>
    <w:rsid w:val="00083158"/>
    <w:rsid w:val="00083EBE"/>
    <w:rsid w:val="00084367"/>
    <w:rsid w:val="00087925"/>
    <w:rsid w:val="0009071D"/>
    <w:rsid w:val="000909D4"/>
    <w:rsid w:val="00090B9A"/>
    <w:rsid w:val="000931D5"/>
    <w:rsid w:val="00093BE7"/>
    <w:rsid w:val="00094546"/>
    <w:rsid w:val="00095C27"/>
    <w:rsid w:val="000978A8"/>
    <w:rsid w:val="000A15EF"/>
    <w:rsid w:val="000A34DE"/>
    <w:rsid w:val="000A651C"/>
    <w:rsid w:val="000A7EE3"/>
    <w:rsid w:val="000B3378"/>
    <w:rsid w:val="000B3730"/>
    <w:rsid w:val="000B57BD"/>
    <w:rsid w:val="000B5C42"/>
    <w:rsid w:val="000B6E8E"/>
    <w:rsid w:val="000B75BE"/>
    <w:rsid w:val="000C025F"/>
    <w:rsid w:val="000C17C7"/>
    <w:rsid w:val="000C247A"/>
    <w:rsid w:val="000C2E29"/>
    <w:rsid w:val="000C34A6"/>
    <w:rsid w:val="000C3632"/>
    <w:rsid w:val="000C505E"/>
    <w:rsid w:val="000C5680"/>
    <w:rsid w:val="000C6797"/>
    <w:rsid w:val="000C70D5"/>
    <w:rsid w:val="000D0B9C"/>
    <w:rsid w:val="000D0EE2"/>
    <w:rsid w:val="000D0EE3"/>
    <w:rsid w:val="000D14D0"/>
    <w:rsid w:val="000D286A"/>
    <w:rsid w:val="000D28BC"/>
    <w:rsid w:val="000D2CB4"/>
    <w:rsid w:val="000D3AE3"/>
    <w:rsid w:val="000D5A24"/>
    <w:rsid w:val="000D67C5"/>
    <w:rsid w:val="000D6BC6"/>
    <w:rsid w:val="000D7ABF"/>
    <w:rsid w:val="000D7CB3"/>
    <w:rsid w:val="000E21FF"/>
    <w:rsid w:val="000E48A2"/>
    <w:rsid w:val="000E526D"/>
    <w:rsid w:val="000E5741"/>
    <w:rsid w:val="000E6608"/>
    <w:rsid w:val="000F0D2C"/>
    <w:rsid w:val="000F1CDE"/>
    <w:rsid w:val="000F20CA"/>
    <w:rsid w:val="000F3737"/>
    <w:rsid w:val="000F5931"/>
    <w:rsid w:val="000F5F19"/>
    <w:rsid w:val="000F6DDA"/>
    <w:rsid w:val="000F7139"/>
    <w:rsid w:val="000F73F7"/>
    <w:rsid w:val="001008F2"/>
    <w:rsid w:val="00100B61"/>
    <w:rsid w:val="0010217F"/>
    <w:rsid w:val="00102570"/>
    <w:rsid w:val="001026FC"/>
    <w:rsid w:val="00103094"/>
    <w:rsid w:val="001032E6"/>
    <w:rsid w:val="0010438A"/>
    <w:rsid w:val="0010472E"/>
    <w:rsid w:val="00104770"/>
    <w:rsid w:val="001055EB"/>
    <w:rsid w:val="0010564A"/>
    <w:rsid w:val="00112735"/>
    <w:rsid w:val="00112D85"/>
    <w:rsid w:val="0011338F"/>
    <w:rsid w:val="001157ED"/>
    <w:rsid w:val="00115ECE"/>
    <w:rsid w:val="00115F7D"/>
    <w:rsid w:val="00116812"/>
    <w:rsid w:val="00116887"/>
    <w:rsid w:val="00120512"/>
    <w:rsid w:val="00120E07"/>
    <w:rsid w:val="00121850"/>
    <w:rsid w:val="00123E0B"/>
    <w:rsid w:val="00124C0D"/>
    <w:rsid w:val="0012546E"/>
    <w:rsid w:val="00125930"/>
    <w:rsid w:val="00126061"/>
    <w:rsid w:val="00126991"/>
    <w:rsid w:val="00126FC4"/>
    <w:rsid w:val="00127FD1"/>
    <w:rsid w:val="00131DD3"/>
    <w:rsid w:val="001329BA"/>
    <w:rsid w:val="00133412"/>
    <w:rsid w:val="001342F5"/>
    <w:rsid w:val="00134865"/>
    <w:rsid w:val="00136F6F"/>
    <w:rsid w:val="00137744"/>
    <w:rsid w:val="001408A8"/>
    <w:rsid w:val="00141085"/>
    <w:rsid w:val="001415E6"/>
    <w:rsid w:val="001419E3"/>
    <w:rsid w:val="00142293"/>
    <w:rsid w:val="00143F03"/>
    <w:rsid w:val="0014417C"/>
    <w:rsid w:val="001448B9"/>
    <w:rsid w:val="00146A60"/>
    <w:rsid w:val="00150654"/>
    <w:rsid w:val="00150B22"/>
    <w:rsid w:val="0015217F"/>
    <w:rsid w:val="001539F3"/>
    <w:rsid w:val="0015489A"/>
    <w:rsid w:val="00155E2D"/>
    <w:rsid w:val="00156A20"/>
    <w:rsid w:val="00160114"/>
    <w:rsid w:val="001632A5"/>
    <w:rsid w:val="00164F61"/>
    <w:rsid w:val="00165967"/>
    <w:rsid w:val="00165C4D"/>
    <w:rsid w:val="00166380"/>
    <w:rsid w:val="00170D49"/>
    <w:rsid w:val="00170FD6"/>
    <w:rsid w:val="00171407"/>
    <w:rsid w:val="001717E0"/>
    <w:rsid w:val="00172787"/>
    <w:rsid w:val="0017317B"/>
    <w:rsid w:val="0017609B"/>
    <w:rsid w:val="00177194"/>
    <w:rsid w:val="0017768C"/>
    <w:rsid w:val="00177F75"/>
    <w:rsid w:val="001838B0"/>
    <w:rsid w:val="001854FB"/>
    <w:rsid w:val="001858AA"/>
    <w:rsid w:val="00191CFE"/>
    <w:rsid w:val="00191E70"/>
    <w:rsid w:val="0019206D"/>
    <w:rsid w:val="00193642"/>
    <w:rsid w:val="001937EF"/>
    <w:rsid w:val="00193CFF"/>
    <w:rsid w:val="0019413E"/>
    <w:rsid w:val="00194979"/>
    <w:rsid w:val="001A0C29"/>
    <w:rsid w:val="001A245F"/>
    <w:rsid w:val="001A46C6"/>
    <w:rsid w:val="001A476E"/>
    <w:rsid w:val="001A6789"/>
    <w:rsid w:val="001B1034"/>
    <w:rsid w:val="001B1C6F"/>
    <w:rsid w:val="001B1E4F"/>
    <w:rsid w:val="001B31A5"/>
    <w:rsid w:val="001B49DD"/>
    <w:rsid w:val="001B559F"/>
    <w:rsid w:val="001C164F"/>
    <w:rsid w:val="001C1AF1"/>
    <w:rsid w:val="001C1F6C"/>
    <w:rsid w:val="001C39F6"/>
    <w:rsid w:val="001C4C07"/>
    <w:rsid w:val="001C4E5F"/>
    <w:rsid w:val="001C4FB1"/>
    <w:rsid w:val="001C5654"/>
    <w:rsid w:val="001C5B03"/>
    <w:rsid w:val="001C5C01"/>
    <w:rsid w:val="001C66FE"/>
    <w:rsid w:val="001C6981"/>
    <w:rsid w:val="001D0090"/>
    <w:rsid w:val="001D01B0"/>
    <w:rsid w:val="001D0AA2"/>
    <w:rsid w:val="001D1316"/>
    <w:rsid w:val="001D2422"/>
    <w:rsid w:val="001D3112"/>
    <w:rsid w:val="001D3407"/>
    <w:rsid w:val="001D4908"/>
    <w:rsid w:val="001D586B"/>
    <w:rsid w:val="001D5EC0"/>
    <w:rsid w:val="001D644F"/>
    <w:rsid w:val="001D6904"/>
    <w:rsid w:val="001D6A10"/>
    <w:rsid w:val="001D6A17"/>
    <w:rsid w:val="001D6DD0"/>
    <w:rsid w:val="001D70BE"/>
    <w:rsid w:val="001E0941"/>
    <w:rsid w:val="001E1099"/>
    <w:rsid w:val="001E239B"/>
    <w:rsid w:val="001E4DFD"/>
    <w:rsid w:val="001E53E1"/>
    <w:rsid w:val="001F0690"/>
    <w:rsid w:val="001F0761"/>
    <w:rsid w:val="001F0B29"/>
    <w:rsid w:val="001F1B44"/>
    <w:rsid w:val="001F3A1F"/>
    <w:rsid w:val="001F3C75"/>
    <w:rsid w:val="001F3F90"/>
    <w:rsid w:val="001F43C1"/>
    <w:rsid w:val="001F4D31"/>
    <w:rsid w:val="001F4E4C"/>
    <w:rsid w:val="001F522F"/>
    <w:rsid w:val="001F5F11"/>
    <w:rsid w:val="001F602C"/>
    <w:rsid w:val="001F638F"/>
    <w:rsid w:val="001F6966"/>
    <w:rsid w:val="001F7484"/>
    <w:rsid w:val="00200B39"/>
    <w:rsid w:val="002013A2"/>
    <w:rsid w:val="00203412"/>
    <w:rsid w:val="002045B5"/>
    <w:rsid w:val="00205389"/>
    <w:rsid w:val="002055C9"/>
    <w:rsid w:val="00205A79"/>
    <w:rsid w:val="00212382"/>
    <w:rsid w:val="00212984"/>
    <w:rsid w:val="00212B1D"/>
    <w:rsid w:val="00212ED1"/>
    <w:rsid w:val="00213C22"/>
    <w:rsid w:val="00213FC5"/>
    <w:rsid w:val="002140A4"/>
    <w:rsid w:val="00215159"/>
    <w:rsid w:val="00215C1D"/>
    <w:rsid w:val="002178B8"/>
    <w:rsid w:val="00220029"/>
    <w:rsid w:val="0022011B"/>
    <w:rsid w:val="00220A09"/>
    <w:rsid w:val="002218D3"/>
    <w:rsid w:val="002219FF"/>
    <w:rsid w:val="00221FAE"/>
    <w:rsid w:val="0022210F"/>
    <w:rsid w:val="002223BF"/>
    <w:rsid w:val="00222906"/>
    <w:rsid w:val="00222B93"/>
    <w:rsid w:val="00223E1F"/>
    <w:rsid w:val="00223F54"/>
    <w:rsid w:val="00227063"/>
    <w:rsid w:val="00227F56"/>
    <w:rsid w:val="00230671"/>
    <w:rsid w:val="00230FED"/>
    <w:rsid w:val="0023263C"/>
    <w:rsid w:val="00232F51"/>
    <w:rsid w:val="00234CEF"/>
    <w:rsid w:val="00234FAA"/>
    <w:rsid w:val="002355A8"/>
    <w:rsid w:val="00235AE3"/>
    <w:rsid w:val="00235D0D"/>
    <w:rsid w:val="00236AEE"/>
    <w:rsid w:val="00236E6D"/>
    <w:rsid w:val="00237100"/>
    <w:rsid w:val="00237978"/>
    <w:rsid w:val="00237EDE"/>
    <w:rsid w:val="0024083C"/>
    <w:rsid w:val="002422BB"/>
    <w:rsid w:val="002429E5"/>
    <w:rsid w:val="00244C5D"/>
    <w:rsid w:val="002458A1"/>
    <w:rsid w:val="002458E7"/>
    <w:rsid w:val="00245DF6"/>
    <w:rsid w:val="00246AF3"/>
    <w:rsid w:val="00247B56"/>
    <w:rsid w:val="002503ED"/>
    <w:rsid w:val="00250FB8"/>
    <w:rsid w:val="0025174C"/>
    <w:rsid w:val="00252430"/>
    <w:rsid w:val="002526A7"/>
    <w:rsid w:val="002527FB"/>
    <w:rsid w:val="002528F0"/>
    <w:rsid w:val="00254B1F"/>
    <w:rsid w:val="00257CDC"/>
    <w:rsid w:val="00260189"/>
    <w:rsid w:val="002604DE"/>
    <w:rsid w:val="00261B12"/>
    <w:rsid w:val="00262432"/>
    <w:rsid w:val="002634C2"/>
    <w:rsid w:val="00263B0D"/>
    <w:rsid w:val="002647AC"/>
    <w:rsid w:val="00265368"/>
    <w:rsid w:val="002660EC"/>
    <w:rsid w:val="00266737"/>
    <w:rsid w:val="00270C62"/>
    <w:rsid w:val="00272B8E"/>
    <w:rsid w:val="002741E2"/>
    <w:rsid w:val="002747ED"/>
    <w:rsid w:val="00277591"/>
    <w:rsid w:val="00280578"/>
    <w:rsid w:val="002808D2"/>
    <w:rsid w:val="00280CEF"/>
    <w:rsid w:val="00281333"/>
    <w:rsid w:val="0028430D"/>
    <w:rsid w:val="00285252"/>
    <w:rsid w:val="00286FF1"/>
    <w:rsid w:val="0028757A"/>
    <w:rsid w:val="002877E4"/>
    <w:rsid w:val="002879A1"/>
    <w:rsid w:val="00292483"/>
    <w:rsid w:val="00292804"/>
    <w:rsid w:val="00296250"/>
    <w:rsid w:val="002A000A"/>
    <w:rsid w:val="002A09E0"/>
    <w:rsid w:val="002A0DE2"/>
    <w:rsid w:val="002A12F0"/>
    <w:rsid w:val="002A2BA8"/>
    <w:rsid w:val="002A30DB"/>
    <w:rsid w:val="002A3264"/>
    <w:rsid w:val="002A32EA"/>
    <w:rsid w:val="002A3426"/>
    <w:rsid w:val="002A59E2"/>
    <w:rsid w:val="002A7001"/>
    <w:rsid w:val="002A7E33"/>
    <w:rsid w:val="002B08F4"/>
    <w:rsid w:val="002B2013"/>
    <w:rsid w:val="002B22A8"/>
    <w:rsid w:val="002B2848"/>
    <w:rsid w:val="002B33F6"/>
    <w:rsid w:val="002B49F4"/>
    <w:rsid w:val="002B50EF"/>
    <w:rsid w:val="002B5CE6"/>
    <w:rsid w:val="002B5F79"/>
    <w:rsid w:val="002B6523"/>
    <w:rsid w:val="002B6A76"/>
    <w:rsid w:val="002B6D24"/>
    <w:rsid w:val="002B78F4"/>
    <w:rsid w:val="002C00F6"/>
    <w:rsid w:val="002C02C6"/>
    <w:rsid w:val="002C112C"/>
    <w:rsid w:val="002C358F"/>
    <w:rsid w:val="002C35E3"/>
    <w:rsid w:val="002C3815"/>
    <w:rsid w:val="002C455B"/>
    <w:rsid w:val="002D0222"/>
    <w:rsid w:val="002D1B32"/>
    <w:rsid w:val="002D3129"/>
    <w:rsid w:val="002D363C"/>
    <w:rsid w:val="002D3698"/>
    <w:rsid w:val="002D4422"/>
    <w:rsid w:val="002D4AC3"/>
    <w:rsid w:val="002D4CE3"/>
    <w:rsid w:val="002D671D"/>
    <w:rsid w:val="002D67A2"/>
    <w:rsid w:val="002D6B6E"/>
    <w:rsid w:val="002D6D24"/>
    <w:rsid w:val="002D72E4"/>
    <w:rsid w:val="002D78F0"/>
    <w:rsid w:val="002D78FB"/>
    <w:rsid w:val="002D79FE"/>
    <w:rsid w:val="002E019B"/>
    <w:rsid w:val="002E0C33"/>
    <w:rsid w:val="002E12B2"/>
    <w:rsid w:val="002E2492"/>
    <w:rsid w:val="002E3246"/>
    <w:rsid w:val="002E4E75"/>
    <w:rsid w:val="002E5F14"/>
    <w:rsid w:val="002E6772"/>
    <w:rsid w:val="002E6D13"/>
    <w:rsid w:val="002E6F55"/>
    <w:rsid w:val="002E714D"/>
    <w:rsid w:val="002E787D"/>
    <w:rsid w:val="002E7923"/>
    <w:rsid w:val="002E7A80"/>
    <w:rsid w:val="002F02BB"/>
    <w:rsid w:val="002F0572"/>
    <w:rsid w:val="002F1295"/>
    <w:rsid w:val="002F1979"/>
    <w:rsid w:val="002F3CD3"/>
    <w:rsid w:val="002F528C"/>
    <w:rsid w:val="002F58D1"/>
    <w:rsid w:val="002F5B7E"/>
    <w:rsid w:val="002F691E"/>
    <w:rsid w:val="002F6C76"/>
    <w:rsid w:val="002F7399"/>
    <w:rsid w:val="00300CC0"/>
    <w:rsid w:val="003011C9"/>
    <w:rsid w:val="0030141E"/>
    <w:rsid w:val="00301CF5"/>
    <w:rsid w:val="003021AE"/>
    <w:rsid w:val="0030461F"/>
    <w:rsid w:val="00304773"/>
    <w:rsid w:val="00304BD0"/>
    <w:rsid w:val="003050D2"/>
    <w:rsid w:val="00306109"/>
    <w:rsid w:val="00306608"/>
    <w:rsid w:val="00306841"/>
    <w:rsid w:val="003072D6"/>
    <w:rsid w:val="00307488"/>
    <w:rsid w:val="003075B1"/>
    <w:rsid w:val="00307D46"/>
    <w:rsid w:val="00307D77"/>
    <w:rsid w:val="00310B53"/>
    <w:rsid w:val="00311168"/>
    <w:rsid w:val="00313E9E"/>
    <w:rsid w:val="003150D5"/>
    <w:rsid w:val="0031522C"/>
    <w:rsid w:val="003154D3"/>
    <w:rsid w:val="00320565"/>
    <w:rsid w:val="003206F1"/>
    <w:rsid w:val="00320C4D"/>
    <w:rsid w:val="00320F78"/>
    <w:rsid w:val="00322AFF"/>
    <w:rsid w:val="00322F09"/>
    <w:rsid w:val="00323ED2"/>
    <w:rsid w:val="00324DE7"/>
    <w:rsid w:val="003252F3"/>
    <w:rsid w:val="00325F88"/>
    <w:rsid w:val="00330891"/>
    <w:rsid w:val="00331829"/>
    <w:rsid w:val="00332223"/>
    <w:rsid w:val="00332535"/>
    <w:rsid w:val="0033299F"/>
    <w:rsid w:val="00332CFB"/>
    <w:rsid w:val="00333164"/>
    <w:rsid w:val="00334400"/>
    <w:rsid w:val="003348A6"/>
    <w:rsid w:val="00334958"/>
    <w:rsid w:val="00334D46"/>
    <w:rsid w:val="003350C2"/>
    <w:rsid w:val="00335961"/>
    <w:rsid w:val="003367CD"/>
    <w:rsid w:val="003374AD"/>
    <w:rsid w:val="003418C0"/>
    <w:rsid w:val="003420DF"/>
    <w:rsid w:val="003426E0"/>
    <w:rsid w:val="003426FA"/>
    <w:rsid w:val="00342D7F"/>
    <w:rsid w:val="00343E58"/>
    <w:rsid w:val="003449BE"/>
    <w:rsid w:val="0034526C"/>
    <w:rsid w:val="003470FC"/>
    <w:rsid w:val="00350E93"/>
    <w:rsid w:val="00351531"/>
    <w:rsid w:val="00352189"/>
    <w:rsid w:val="00353402"/>
    <w:rsid w:val="0035768F"/>
    <w:rsid w:val="00357962"/>
    <w:rsid w:val="00360350"/>
    <w:rsid w:val="00360B3C"/>
    <w:rsid w:val="00360DD0"/>
    <w:rsid w:val="00361B53"/>
    <w:rsid w:val="00361DFC"/>
    <w:rsid w:val="0036251E"/>
    <w:rsid w:val="00362D7F"/>
    <w:rsid w:val="00362F25"/>
    <w:rsid w:val="00363A43"/>
    <w:rsid w:val="00363BEF"/>
    <w:rsid w:val="00363C92"/>
    <w:rsid w:val="00365269"/>
    <w:rsid w:val="00365D18"/>
    <w:rsid w:val="00367172"/>
    <w:rsid w:val="00370E2F"/>
    <w:rsid w:val="0037107A"/>
    <w:rsid w:val="00371FEC"/>
    <w:rsid w:val="003728FB"/>
    <w:rsid w:val="003730B7"/>
    <w:rsid w:val="00375F07"/>
    <w:rsid w:val="00376FAD"/>
    <w:rsid w:val="003802AF"/>
    <w:rsid w:val="0038051D"/>
    <w:rsid w:val="0038177C"/>
    <w:rsid w:val="003819DA"/>
    <w:rsid w:val="0038347B"/>
    <w:rsid w:val="003836EB"/>
    <w:rsid w:val="00383CE6"/>
    <w:rsid w:val="0038591A"/>
    <w:rsid w:val="00386487"/>
    <w:rsid w:val="00386544"/>
    <w:rsid w:val="00387024"/>
    <w:rsid w:val="00387462"/>
    <w:rsid w:val="003875D8"/>
    <w:rsid w:val="00387656"/>
    <w:rsid w:val="0038778B"/>
    <w:rsid w:val="00387797"/>
    <w:rsid w:val="003900BD"/>
    <w:rsid w:val="003904C6"/>
    <w:rsid w:val="00390C57"/>
    <w:rsid w:val="00390DD9"/>
    <w:rsid w:val="0039361E"/>
    <w:rsid w:val="00393BE8"/>
    <w:rsid w:val="003942BA"/>
    <w:rsid w:val="0039500F"/>
    <w:rsid w:val="003959F1"/>
    <w:rsid w:val="00396E01"/>
    <w:rsid w:val="003A36A3"/>
    <w:rsid w:val="003A44E9"/>
    <w:rsid w:val="003A46C8"/>
    <w:rsid w:val="003A4ED8"/>
    <w:rsid w:val="003A6B7F"/>
    <w:rsid w:val="003A6C15"/>
    <w:rsid w:val="003A75FE"/>
    <w:rsid w:val="003A77D4"/>
    <w:rsid w:val="003A7A7D"/>
    <w:rsid w:val="003A7E81"/>
    <w:rsid w:val="003B23E6"/>
    <w:rsid w:val="003B34B5"/>
    <w:rsid w:val="003B4DEB"/>
    <w:rsid w:val="003B7DB7"/>
    <w:rsid w:val="003C00F4"/>
    <w:rsid w:val="003C070F"/>
    <w:rsid w:val="003C092B"/>
    <w:rsid w:val="003C0A70"/>
    <w:rsid w:val="003C1133"/>
    <w:rsid w:val="003C1575"/>
    <w:rsid w:val="003C19A9"/>
    <w:rsid w:val="003C3710"/>
    <w:rsid w:val="003C3B45"/>
    <w:rsid w:val="003C4641"/>
    <w:rsid w:val="003C600C"/>
    <w:rsid w:val="003C7FC5"/>
    <w:rsid w:val="003D07F7"/>
    <w:rsid w:val="003D0AAA"/>
    <w:rsid w:val="003D2911"/>
    <w:rsid w:val="003D3A24"/>
    <w:rsid w:val="003D3E68"/>
    <w:rsid w:val="003D4C1A"/>
    <w:rsid w:val="003D5275"/>
    <w:rsid w:val="003D52AC"/>
    <w:rsid w:val="003D5386"/>
    <w:rsid w:val="003D575F"/>
    <w:rsid w:val="003D63DF"/>
    <w:rsid w:val="003D69E1"/>
    <w:rsid w:val="003D737F"/>
    <w:rsid w:val="003E14DA"/>
    <w:rsid w:val="003E36A2"/>
    <w:rsid w:val="003E4675"/>
    <w:rsid w:val="003E5C10"/>
    <w:rsid w:val="003F1736"/>
    <w:rsid w:val="003F1CE2"/>
    <w:rsid w:val="003F33E1"/>
    <w:rsid w:val="003F4331"/>
    <w:rsid w:val="003F4ADF"/>
    <w:rsid w:val="003F5466"/>
    <w:rsid w:val="003F7474"/>
    <w:rsid w:val="00401D64"/>
    <w:rsid w:val="00402C49"/>
    <w:rsid w:val="0040306F"/>
    <w:rsid w:val="00404616"/>
    <w:rsid w:val="0040603C"/>
    <w:rsid w:val="00406268"/>
    <w:rsid w:val="00406F6E"/>
    <w:rsid w:val="00407B6A"/>
    <w:rsid w:val="00410820"/>
    <w:rsid w:val="00411728"/>
    <w:rsid w:val="00412C18"/>
    <w:rsid w:val="004137CE"/>
    <w:rsid w:val="00414400"/>
    <w:rsid w:val="00414E3D"/>
    <w:rsid w:val="00415046"/>
    <w:rsid w:val="00415E4E"/>
    <w:rsid w:val="00416C1E"/>
    <w:rsid w:val="0042093E"/>
    <w:rsid w:val="00421057"/>
    <w:rsid w:val="00421C36"/>
    <w:rsid w:val="00421CD4"/>
    <w:rsid w:val="00422932"/>
    <w:rsid w:val="00422F7D"/>
    <w:rsid w:val="00423AAB"/>
    <w:rsid w:val="00423E1D"/>
    <w:rsid w:val="00423EA7"/>
    <w:rsid w:val="004254D1"/>
    <w:rsid w:val="00426226"/>
    <w:rsid w:val="00427833"/>
    <w:rsid w:val="004335E8"/>
    <w:rsid w:val="00435332"/>
    <w:rsid w:val="00436D0A"/>
    <w:rsid w:val="0044196E"/>
    <w:rsid w:val="00441992"/>
    <w:rsid w:val="004434C7"/>
    <w:rsid w:val="00443E56"/>
    <w:rsid w:val="00443EB9"/>
    <w:rsid w:val="00443FF4"/>
    <w:rsid w:val="004443D3"/>
    <w:rsid w:val="00444682"/>
    <w:rsid w:val="004512BF"/>
    <w:rsid w:val="00451830"/>
    <w:rsid w:val="00451D7F"/>
    <w:rsid w:val="00453021"/>
    <w:rsid w:val="004537E6"/>
    <w:rsid w:val="00455A32"/>
    <w:rsid w:val="004564C6"/>
    <w:rsid w:val="0045685E"/>
    <w:rsid w:val="00456A4F"/>
    <w:rsid w:val="004608C2"/>
    <w:rsid w:val="00460B8B"/>
    <w:rsid w:val="004611E6"/>
    <w:rsid w:val="00461D65"/>
    <w:rsid w:val="00462008"/>
    <w:rsid w:val="00462299"/>
    <w:rsid w:val="00462B8E"/>
    <w:rsid w:val="00462F9B"/>
    <w:rsid w:val="004658F9"/>
    <w:rsid w:val="00466ABE"/>
    <w:rsid w:val="00467CCD"/>
    <w:rsid w:val="00467D02"/>
    <w:rsid w:val="00470891"/>
    <w:rsid w:val="00470BC0"/>
    <w:rsid w:val="00470C79"/>
    <w:rsid w:val="00471146"/>
    <w:rsid w:val="0047136D"/>
    <w:rsid w:val="00471561"/>
    <w:rsid w:val="00473538"/>
    <w:rsid w:val="00474210"/>
    <w:rsid w:val="004742E0"/>
    <w:rsid w:val="00474824"/>
    <w:rsid w:val="00476DAA"/>
    <w:rsid w:val="00476E67"/>
    <w:rsid w:val="00477385"/>
    <w:rsid w:val="0047790C"/>
    <w:rsid w:val="00480B96"/>
    <w:rsid w:val="0048303E"/>
    <w:rsid w:val="00483353"/>
    <w:rsid w:val="00483554"/>
    <w:rsid w:val="0048409F"/>
    <w:rsid w:val="00484FDE"/>
    <w:rsid w:val="004862F5"/>
    <w:rsid w:val="0048678C"/>
    <w:rsid w:val="004867E3"/>
    <w:rsid w:val="004879A6"/>
    <w:rsid w:val="00487CBE"/>
    <w:rsid w:val="0049004B"/>
    <w:rsid w:val="0049145B"/>
    <w:rsid w:val="00491636"/>
    <w:rsid w:val="004919E1"/>
    <w:rsid w:val="00491A78"/>
    <w:rsid w:val="004920F6"/>
    <w:rsid w:val="00492AC0"/>
    <w:rsid w:val="00492B57"/>
    <w:rsid w:val="00495680"/>
    <w:rsid w:val="00497636"/>
    <w:rsid w:val="004A1240"/>
    <w:rsid w:val="004A1B0B"/>
    <w:rsid w:val="004A1D30"/>
    <w:rsid w:val="004A296D"/>
    <w:rsid w:val="004A2B32"/>
    <w:rsid w:val="004A496B"/>
    <w:rsid w:val="004A5829"/>
    <w:rsid w:val="004A5FB6"/>
    <w:rsid w:val="004A6427"/>
    <w:rsid w:val="004A67E8"/>
    <w:rsid w:val="004B222F"/>
    <w:rsid w:val="004B3001"/>
    <w:rsid w:val="004B4279"/>
    <w:rsid w:val="004B5959"/>
    <w:rsid w:val="004B5A9F"/>
    <w:rsid w:val="004B5CB6"/>
    <w:rsid w:val="004C051C"/>
    <w:rsid w:val="004C0EE9"/>
    <w:rsid w:val="004C1872"/>
    <w:rsid w:val="004C1DE3"/>
    <w:rsid w:val="004C2071"/>
    <w:rsid w:val="004C248C"/>
    <w:rsid w:val="004C3075"/>
    <w:rsid w:val="004C30CD"/>
    <w:rsid w:val="004C3D65"/>
    <w:rsid w:val="004C40A4"/>
    <w:rsid w:val="004C54CD"/>
    <w:rsid w:val="004C58ED"/>
    <w:rsid w:val="004C5E0C"/>
    <w:rsid w:val="004C5F9C"/>
    <w:rsid w:val="004C61C9"/>
    <w:rsid w:val="004C69E2"/>
    <w:rsid w:val="004D0A75"/>
    <w:rsid w:val="004D0D8D"/>
    <w:rsid w:val="004D0EBE"/>
    <w:rsid w:val="004D13B5"/>
    <w:rsid w:val="004D2428"/>
    <w:rsid w:val="004D3434"/>
    <w:rsid w:val="004D35BC"/>
    <w:rsid w:val="004D57A3"/>
    <w:rsid w:val="004D5959"/>
    <w:rsid w:val="004D6472"/>
    <w:rsid w:val="004D6698"/>
    <w:rsid w:val="004D6DE1"/>
    <w:rsid w:val="004D78EA"/>
    <w:rsid w:val="004E04D8"/>
    <w:rsid w:val="004E0557"/>
    <w:rsid w:val="004E3619"/>
    <w:rsid w:val="004E45C7"/>
    <w:rsid w:val="004E522A"/>
    <w:rsid w:val="004E5494"/>
    <w:rsid w:val="004E5E23"/>
    <w:rsid w:val="004E6C65"/>
    <w:rsid w:val="004E7763"/>
    <w:rsid w:val="004F084D"/>
    <w:rsid w:val="004F0D30"/>
    <w:rsid w:val="004F1189"/>
    <w:rsid w:val="004F3B47"/>
    <w:rsid w:val="004F43FB"/>
    <w:rsid w:val="004F5AE6"/>
    <w:rsid w:val="004F644B"/>
    <w:rsid w:val="004F6C28"/>
    <w:rsid w:val="004F77F5"/>
    <w:rsid w:val="00500D8E"/>
    <w:rsid w:val="00501207"/>
    <w:rsid w:val="00501624"/>
    <w:rsid w:val="00501C05"/>
    <w:rsid w:val="00501ED5"/>
    <w:rsid w:val="005025A4"/>
    <w:rsid w:val="005049EE"/>
    <w:rsid w:val="00505DF9"/>
    <w:rsid w:val="00505E62"/>
    <w:rsid w:val="005060CE"/>
    <w:rsid w:val="00506E1C"/>
    <w:rsid w:val="00510154"/>
    <w:rsid w:val="00510462"/>
    <w:rsid w:val="00511CD2"/>
    <w:rsid w:val="00512C53"/>
    <w:rsid w:val="00514533"/>
    <w:rsid w:val="005220F0"/>
    <w:rsid w:val="005222E6"/>
    <w:rsid w:val="00523F62"/>
    <w:rsid w:val="00524057"/>
    <w:rsid w:val="00526151"/>
    <w:rsid w:val="00526337"/>
    <w:rsid w:val="00526B04"/>
    <w:rsid w:val="00526CAD"/>
    <w:rsid w:val="00526E0D"/>
    <w:rsid w:val="00527EFC"/>
    <w:rsid w:val="00530AB4"/>
    <w:rsid w:val="00531473"/>
    <w:rsid w:val="00531BE2"/>
    <w:rsid w:val="0053231F"/>
    <w:rsid w:val="00533495"/>
    <w:rsid w:val="00533878"/>
    <w:rsid w:val="005338CD"/>
    <w:rsid w:val="00533F0C"/>
    <w:rsid w:val="005353B6"/>
    <w:rsid w:val="0053578F"/>
    <w:rsid w:val="0053607C"/>
    <w:rsid w:val="00537387"/>
    <w:rsid w:val="0053739A"/>
    <w:rsid w:val="00537978"/>
    <w:rsid w:val="00537F38"/>
    <w:rsid w:val="005407AB"/>
    <w:rsid w:val="00540815"/>
    <w:rsid w:val="00541487"/>
    <w:rsid w:val="00541689"/>
    <w:rsid w:val="0054275A"/>
    <w:rsid w:val="00542C2A"/>
    <w:rsid w:val="00543D0E"/>
    <w:rsid w:val="0054401A"/>
    <w:rsid w:val="005448D3"/>
    <w:rsid w:val="00545803"/>
    <w:rsid w:val="00545E5C"/>
    <w:rsid w:val="00546526"/>
    <w:rsid w:val="00547A76"/>
    <w:rsid w:val="005515D5"/>
    <w:rsid w:val="0055217C"/>
    <w:rsid w:val="00552607"/>
    <w:rsid w:val="00553C2E"/>
    <w:rsid w:val="00554876"/>
    <w:rsid w:val="00554AA1"/>
    <w:rsid w:val="00555013"/>
    <w:rsid w:val="00556169"/>
    <w:rsid w:val="005567D0"/>
    <w:rsid w:val="00556BFE"/>
    <w:rsid w:val="00557BD5"/>
    <w:rsid w:val="005601DE"/>
    <w:rsid w:val="0056068A"/>
    <w:rsid w:val="005607DA"/>
    <w:rsid w:val="00560954"/>
    <w:rsid w:val="00561A06"/>
    <w:rsid w:val="005633A0"/>
    <w:rsid w:val="00563405"/>
    <w:rsid w:val="0056371B"/>
    <w:rsid w:val="00563FFE"/>
    <w:rsid w:val="00564282"/>
    <w:rsid w:val="00564C1C"/>
    <w:rsid w:val="00565016"/>
    <w:rsid w:val="00565194"/>
    <w:rsid w:val="005656B2"/>
    <w:rsid w:val="00565C74"/>
    <w:rsid w:val="00565D59"/>
    <w:rsid w:val="005660B6"/>
    <w:rsid w:val="00566E73"/>
    <w:rsid w:val="00571FA1"/>
    <w:rsid w:val="00572774"/>
    <w:rsid w:val="005736A9"/>
    <w:rsid w:val="00573BF0"/>
    <w:rsid w:val="005758BE"/>
    <w:rsid w:val="00577EB2"/>
    <w:rsid w:val="005816AD"/>
    <w:rsid w:val="00582FC0"/>
    <w:rsid w:val="005836D0"/>
    <w:rsid w:val="00583A04"/>
    <w:rsid w:val="00583BB7"/>
    <w:rsid w:val="00585B77"/>
    <w:rsid w:val="00586486"/>
    <w:rsid w:val="00587920"/>
    <w:rsid w:val="00587B69"/>
    <w:rsid w:val="00590547"/>
    <w:rsid w:val="00590ECC"/>
    <w:rsid w:val="00591406"/>
    <w:rsid w:val="005916F4"/>
    <w:rsid w:val="0059612E"/>
    <w:rsid w:val="0059706F"/>
    <w:rsid w:val="00597A56"/>
    <w:rsid w:val="00597AD2"/>
    <w:rsid w:val="00597D3F"/>
    <w:rsid w:val="005A0D6D"/>
    <w:rsid w:val="005A17C1"/>
    <w:rsid w:val="005A1D44"/>
    <w:rsid w:val="005A27D3"/>
    <w:rsid w:val="005A29A4"/>
    <w:rsid w:val="005A302D"/>
    <w:rsid w:val="005A4CD6"/>
    <w:rsid w:val="005A5A55"/>
    <w:rsid w:val="005A5B0D"/>
    <w:rsid w:val="005A5F7D"/>
    <w:rsid w:val="005A6798"/>
    <w:rsid w:val="005A740F"/>
    <w:rsid w:val="005A74EE"/>
    <w:rsid w:val="005B05EC"/>
    <w:rsid w:val="005B0E77"/>
    <w:rsid w:val="005B15B4"/>
    <w:rsid w:val="005B3EA2"/>
    <w:rsid w:val="005B4E99"/>
    <w:rsid w:val="005B500A"/>
    <w:rsid w:val="005B52B0"/>
    <w:rsid w:val="005B5BFC"/>
    <w:rsid w:val="005B6A2F"/>
    <w:rsid w:val="005B6E0E"/>
    <w:rsid w:val="005B7499"/>
    <w:rsid w:val="005B79E9"/>
    <w:rsid w:val="005B7A7C"/>
    <w:rsid w:val="005B7AF9"/>
    <w:rsid w:val="005C228F"/>
    <w:rsid w:val="005C28C5"/>
    <w:rsid w:val="005C2BD5"/>
    <w:rsid w:val="005C2F3A"/>
    <w:rsid w:val="005C384A"/>
    <w:rsid w:val="005C3ED6"/>
    <w:rsid w:val="005C4595"/>
    <w:rsid w:val="005C45A4"/>
    <w:rsid w:val="005C4A4C"/>
    <w:rsid w:val="005C4B11"/>
    <w:rsid w:val="005C4DFA"/>
    <w:rsid w:val="005C6E85"/>
    <w:rsid w:val="005D37B4"/>
    <w:rsid w:val="005D3C2D"/>
    <w:rsid w:val="005D547F"/>
    <w:rsid w:val="005D54EF"/>
    <w:rsid w:val="005D5D3F"/>
    <w:rsid w:val="005D6403"/>
    <w:rsid w:val="005D64E2"/>
    <w:rsid w:val="005E1F27"/>
    <w:rsid w:val="005E23D9"/>
    <w:rsid w:val="005E356E"/>
    <w:rsid w:val="005E3802"/>
    <w:rsid w:val="005E4082"/>
    <w:rsid w:val="005E42C8"/>
    <w:rsid w:val="005E4912"/>
    <w:rsid w:val="005E4930"/>
    <w:rsid w:val="005E4EAE"/>
    <w:rsid w:val="005E54E2"/>
    <w:rsid w:val="005E5FE5"/>
    <w:rsid w:val="005E6D02"/>
    <w:rsid w:val="005E6E18"/>
    <w:rsid w:val="005E6F1F"/>
    <w:rsid w:val="005E73FA"/>
    <w:rsid w:val="005F0E32"/>
    <w:rsid w:val="005F1EBE"/>
    <w:rsid w:val="005F38F4"/>
    <w:rsid w:val="005F3A92"/>
    <w:rsid w:val="005F4310"/>
    <w:rsid w:val="005F44D1"/>
    <w:rsid w:val="005F50D5"/>
    <w:rsid w:val="005F5B48"/>
    <w:rsid w:val="005F645C"/>
    <w:rsid w:val="005F668C"/>
    <w:rsid w:val="005F6F3D"/>
    <w:rsid w:val="005F6FD0"/>
    <w:rsid w:val="005F7451"/>
    <w:rsid w:val="006002CB"/>
    <w:rsid w:val="00601266"/>
    <w:rsid w:val="006033FE"/>
    <w:rsid w:val="00604D55"/>
    <w:rsid w:val="00606300"/>
    <w:rsid w:val="00606522"/>
    <w:rsid w:val="00606828"/>
    <w:rsid w:val="00606F12"/>
    <w:rsid w:val="00606FC4"/>
    <w:rsid w:val="006109F9"/>
    <w:rsid w:val="00611059"/>
    <w:rsid w:val="00611373"/>
    <w:rsid w:val="00611481"/>
    <w:rsid w:val="00611B90"/>
    <w:rsid w:val="00612211"/>
    <w:rsid w:val="00612735"/>
    <w:rsid w:val="006153A3"/>
    <w:rsid w:val="0061570B"/>
    <w:rsid w:val="00617001"/>
    <w:rsid w:val="00617834"/>
    <w:rsid w:val="00621129"/>
    <w:rsid w:val="00621FE7"/>
    <w:rsid w:val="006228C9"/>
    <w:rsid w:val="00622A34"/>
    <w:rsid w:val="00622F3E"/>
    <w:rsid w:val="00624251"/>
    <w:rsid w:val="00625EBB"/>
    <w:rsid w:val="00625FDF"/>
    <w:rsid w:val="006304BB"/>
    <w:rsid w:val="006307E3"/>
    <w:rsid w:val="00631AA6"/>
    <w:rsid w:val="00631CEF"/>
    <w:rsid w:val="00632003"/>
    <w:rsid w:val="006322A8"/>
    <w:rsid w:val="00632CCA"/>
    <w:rsid w:val="00632F76"/>
    <w:rsid w:val="00633447"/>
    <w:rsid w:val="00633916"/>
    <w:rsid w:val="0063414C"/>
    <w:rsid w:val="006359E5"/>
    <w:rsid w:val="00635AC1"/>
    <w:rsid w:val="00635EE0"/>
    <w:rsid w:val="006403CE"/>
    <w:rsid w:val="00640563"/>
    <w:rsid w:val="0064159D"/>
    <w:rsid w:val="0064199C"/>
    <w:rsid w:val="00641D2B"/>
    <w:rsid w:val="00642492"/>
    <w:rsid w:val="00642ADA"/>
    <w:rsid w:val="00643668"/>
    <w:rsid w:val="00643709"/>
    <w:rsid w:val="006462D0"/>
    <w:rsid w:val="00647A71"/>
    <w:rsid w:val="006512B0"/>
    <w:rsid w:val="0065253E"/>
    <w:rsid w:val="00652687"/>
    <w:rsid w:val="00652CA4"/>
    <w:rsid w:val="00653459"/>
    <w:rsid w:val="006552DA"/>
    <w:rsid w:val="00656C88"/>
    <w:rsid w:val="00657981"/>
    <w:rsid w:val="00657C01"/>
    <w:rsid w:val="00660DD7"/>
    <w:rsid w:val="00661858"/>
    <w:rsid w:val="0066212E"/>
    <w:rsid w:val="0066291D"/>
    <w:rsid w:val="00662D3E"/>
    <w:rsid w:val="0066420A"/>
    <w:rsid w:val="00664595"/>
    <w:rsid w:val="00665A64"/>
    <w:rsid w:val="00665C7E"/>
    <w:rsid w:val="00665CB7"/>
    <w:rsid w:val="00667082"/>
    <w:rsid w:val="006675F4"/>
    <w:rsid w:val="00670CA4"/>
    <w:rsid w:val="006712E9"/>
    <w:rsid w:val="00672DDD"/>
    <w:rsid w:val="00672F34"/>
    <w:rsid w:val="006731CD"/>
    <w:rsid w:val="00675C9D"/>
    <w:rsid w:val="00676C91"/>
    <w:rsid w:val="006812E1"/>
    <w:rsid w:val="00681533"/>
    <w:rsid w:val="00681E7F"/>
    <w:rsid w:val="006822D9"/>
    <w:rsid w:val="00690B77"/>
    <w:rsid w:val="006926C8"/>
    <w:rsid w:val="00692CC7"/>
    <w:rsid w:val="006A1BF1"/>
    <w:rsid w:val="006A2706"/>
    <w:rsid w:val="006A2BF1"/>
    <w:rsid w:val="006A6724"/>
    <w:rsid w:val="006A6A63"/>
    <w:rsid w:val="006B0950"/>
    <w:rsid w:val="006B11D5"/>
    <w:rsid w:val="006B1A2B"/>
    <w:rsid w:val="006B1C1E"/>
    <w:rsid w:val="006B1F6D"/>
    <w:rsid w:val="006B2412"/>
    <w:rsid w:val="006B26BE"/>
    <w:rsid w:val="006B2991"/>
    <w:rsid w:val="006B60AC"/>
    <w:rsid w:val="006B6C16"/>
    <w:rsid w:val="006B6F38"/>
    <w:rsid w:val="006C0C8B"/>
    <w:rsid w:val="006C1515"/>
    <w:rsid w:val="006C1E1F"/>
    <w:rsid w:val="006C3793"/>
    <w:rsid w:val="006C3909"/>
    <w:rsid w:val="006C4000"/>
    <w:rsid w:val="006C40FB"/>
    <w:rsid w:val="006C5226"/>
    <w:rsid w:val="006C621F"/>
    <w:rsid w:val="006C651A"/>
    <w:rsid w:val="006D04DE"/>
    <w:rsid w:val="006D0B2B"/>
    <w:rsid w:val="006D0BF3"/>
    <w:rsid w:val="006D1464"/>
    <w:rsid w:val="006D5933"/>
    <w:rsid w:val="006D5EE8"/>
    <w:rsid w:val="006D5FCD"/>
    <w:rsid w:val="006D74C7"/>
    <w:rsid w:val="006D75AA"/>
    <w:rsid w:val="006E0074"/>
    <w:rsid w:val="006E0873"/>
    <w:rsid w:val="006E0ED8"/>
    <w:rsid w:val="006E29B0"/>
    <w:rsid w:val="006E3013"/>
    <w:rsid w:val="006E34B9"/>
    <w:rsid w:val="006E388D"/>
    <w:rsid w:val="006E56E8"/>
    <w:rsid w:val="006E5B01"/>
    <w:rsid w:val="006E7792"/>
    <w:rsid w:val="006F03E9"/>
    <w:rsid w:val="006F0582"/>
    <w:rsid w:val="006F0787"/>
    <w:rsid w:val="006F08CB"/>
    <w:rsid w:val="006F208A"/>
    <w:rsid w:val="006F30E1"/>
    <w:rsid w:val="006F3836"/>
    <w:rsid w:val="006F5A97"/>
    <w:rsid w:val="006F5AA4"/>
    <w:rsid w:val="006F7874"/>
    <w:rsid w:val="00701913"/>
    <w:rsid w:val="00701B33"/>
    <w:rsid w:val="0070273B"/>
    <w:rsid w:val="007058C7"/>
    <w:rsid w:val="00705F63"/>
    <w:rsid w:val="00706798"/>
    <w:rsid w:val="007068F3"/>
    <w:rsid w:val="0071006E"/>
    <w:rsid w:val="00711200"/>
    <w:rsid w:val="007122C5"/>
    <w:rsid w:val="007127B5"/>
    <w:rsid w:val="00712819"/>
    <w:rsid w:val="007131AB"/>
    <w:rsid w:val="00716709"/>
    <w:rsid w:val="007209F3"/>
    <w:rsid w:val="00721CC9"/>
    <w:rsid w:val="0072397F"/>
    <w:rsid w:val="00723E73"/>
    <w:rsid w:val="00724902"/>
    <w:rsid w:val="00725966"/>
    <w:rsid w:val="0072628D"/>
    <w:rsid w:val="00727250"/>
    <w:rsid w:val="00727581"/>
    <w:rsid w:val="00731922"/>
    <w:rsid w:val="00731ACB"/>
    <w:rsid w:val="0073220C"/>
    <w:rsid w:val="00732495"/>
    <w:rsid w:val="00732A7B"/>
    <w:rsid w:val="007350BC"/>
    <w:rsid w:val="007353B7"/>
    <w:rsid w:val="007368AD"/>
    <w:rsid w:val="0074133D"/>
    <w:rsid w:val="00741B60"/>
    <w:rsid w:val="007441D8"/>
    <w:rsid w:val="00744D32"/>
    <w:rsid w:val="007455D4"/>
    <w:rsid w:val="00745DF6"/>
    <w:rsid w:val="0074608A"/>
    <w:rsid w:val="0074620B"/>
    <w:rsid w:val="0075096B"/>
    <w:rsid w:val="00750B27"/>
    <w:rsid w:val="0075196D"/>
    <w:rsid w:val="0075273C"/>
    <w:rsid w:val="00753F67"/>
    <w:rsid w:val="00754BBB"/>
    <w:rsid w:val="00754C00"/>
    <w:rsid w:val="0075502D"/>
    <w:rsid w:val="0075558C"/>
    <w:rsid w:val="007576E5"/>
    <w:rsid w:val="00760CF3"/>
    <w:rsid w:val="0076174B"/>
    <w:rsid w:val="007617E6"/>
    <w:rsid w:val="00761EFA"/>
    <w:rsid w:val="007624D3"/>
    <w:rsid w:val="00762D14"/>
    <w:rsid w:val="00762FD9"/>
    <w:rsid w:val="00763155"/>
    <w:rsid w:val="007633D2"/>
    <w:rsid w:val="00764248"/>
    <w:rsid w:val="0076432B"/>
    <w:rsid w:val="00764516"/>
    <w:rsid w:val="007647B3"/>
    <w:rsid w:val="00764873"/>
    <w:rsid w:val="00764B16"/>
    <w:rsid w:val="00765B83"/>
    <w:rsid w:val="00767803"/>
    <w:rsid w:val="00767AF1"/>
    <w:rsid w:val="00770766"/>
    <w:rsid w:val="00770BAF"/>
    <w:rsid w:val="00771E1A"/>
    <w:rsid w:val="0077480D"/>
    <w:rsid w:val="0077506B"/>
    <w:rsid w:val="00775808"/>
    <w:rsid w:val="007761A2"/>
    <w:rsid w:val="007778DD"/>
    <w:rsid w:val="00780265"/>
    <w:rsid w:val="0078071A"/>
    <w:rsid w:val="00781055"/>
    <w:rsid w:val="00782CB8"/>
    <w:rsid w:val="00782F7B"/>
    <w:rsid w:val="00783238"/>
    <w:rsid w:val="00784EF7"/>
    <w:rsid w:val="0078619E"/>
    <w:rsid w:val="00787059"/>
    <w:rsid w:val="00787617"/>
    <w:rsid w:val="00787AE7"/>
    <w:rsid w:val="00787B05"/>
    <w:rsid w:val="00787C81"/>
    <w:rsid w:val="007920DF"/>
    <w:rsid w:val="00792A56"/>
    <w:rsid w:val="00793406"/>
    <w:rsid w:val="007943B3"/>
    <w:rsid w:val="0079528A"/>
    <w:rsid w:val="007957C6"/>
    <w:rsid w:val="0079596C"/>
    <w:rsid w:val="00796693"/>
    <w:rsid w:val="00797027"/>
    <w:rsid w:val="00797938"/>
    <w:rsid w:val="007A0395"/>
    <w:rsid w:val="007A0637"/>
    <w:rsid w:val="007A0F41"/>
    <w:rsid w:val="007A19AE"/>
    <w:rsid w:val="007A3385"/>
    <w:rsid w:val="007A3E45"/>
    <w:rsid w:val="007A5AED"/>
    <w:rsid w:val="007A7513"/>
    <w:rsid w:val="007A7C85"/>
    <w:rsid w:val="007B073A"/>
    <w:rsid w:val="007B07F6"/>
    <w:rsid w:val="007B34BC"/>
    <w:rsid w:val="007B39D8"/>
    <w:rsid w:val="007B5DAA"/>
    <w:rsid w:val="007B68B1"/>
    <w:rsid w:val="007B6C00"/>
    <w:rsid w:val="007B6DCE"/>
    <w:rsid w:val="007C0117"/>
    <w:rsid w:val="007C02BC"/>
    <w:rsid w:val="007C333D"/>
    <w:rsid w:val="007C33D7"/>
    <w:rsid w:val="007C39E9"/>
    <w:rsid w:val="007C627E"/>
    <w:rsid w:val="007C631D"/>
    <w:rsid w:val="007C6511"/>
    <w:rsid w:val="007C7591"/>
    <w:rsid w:val="007D02CB"/>
    <w:rsid w:val="007D0F77"/>
    <w:rsid w:val="007D1C7E"/>
    <w:rsid w:val="007D1F76"/>
    <w:rsid w:val="007D3473"/>
    <w:rsid w:val="007D3A4C"/>
    <w:rsid w:val="007D4FBA"/>
    <w:rsid w:val="007D5CD5"/>
    <w:rsid w:val="007D6874"/>
    <w:rsid w:val="007D700E"/>
    <w:rsid w:val="007E09DE"/>
    <w:rsid w:val="007E112C"/>
    <w:rsid w:val="007E16B4"/>
    <w:rsid w:val="007E2995"/>
    <w:rsid w:val="007E3031"/>
    <w:rsid w:val="007E3681"/>
    <w:rsid w:val="007E3705"/>
    <w:rsid w:val="007E413B"/>
    <w:rsid w:val="007E7AF7"/>
    <w:rsid w:val="007F032C"/>
    <w:rsid w:val="007F11CE"/>
    <w:rsid w:val="007F3B9A"/>
    <w:rsid w:val="007F3EC2"/>
    <w:rsid w:val="007F5768"/>
    <w:rsid w:val="007F5A78"/>
    <w:rsid w:val="007F5DB6"/>
    <w:rsid w:val="007F5E5F"/>
    <w:rsid w:val="007F5F68"/>
    <w:rsid w:val="007F6AE9"/>
    <w:rsid w:val="0080012B"/>
    <w:rsid w:val="00800A51"/>
    <w:rsid w:val="0080123E"/>
    <w:rsid w:val="008017D7"/>
    <w:rsid w:val="00801DC0"/>
    <w:rsid w:val="0080288D"/>
    <w:rsid w:val="00804092"/>
    <w:rsid w:val="00804147"/>
    <w:rsid w:val="00804275"/>
    <w:rsid w:val="0080563E"/>
    <w:rsid w:val="00805FC9"/>
    <w:rsid w:val="008073E3"/>
    <w:rsid w:val="008117BD"/>
    <w:rsid w:val="008127ED"/>
    <w:rsid w:val="00813F58"/>
    <w:rsid w:val="0081570D"/>
    <w:rsid w:val="00816111"/>
    <w:rsid w:val="00816343"/>
    <w:rsid w:val="0081684C"/>
    <w:rsid w:val="00820441"/>
    <w:rsid w:val="00820709"/>
    <w:rsid w:val="00820878"/>
    <w:rsid w:val="00820B17"/>
    <w:rsid w:val="00821144"/>
    <w:rsid w:val="00821CB4"/>
    <w:rsid w:val="0082228A"/>
    <w:rsid w:val="008226D4"/>
    <w:rsid w:val="00824544"/>
    <w:rsid w:val="00825043"/>
    <w:rsid w:val="00825933"/>
    <w:rsid w:val="00826D54"/>
    <w:rsid w:val="00827A6E"/>
    <w:rsid w:val="00831494"/>
    <w:rsid w:val="00831769"/>
    <w:rsid w:val="00832581"/>
    <w:rsid w:val="00832A4C"/>
    <w:rsid w:val="00832B2C"/>
    <w:rsid w:val="008330F6"/>
    <w:rsid w:val="00833C82"/>
    <w:rsid w:val="008347A3"/>
    <w:rsid w:val="00834CBF"/>
    <w:rsid w:val="008355AB"/>
    <w:rsid w:val="00836064"/>
    <w:rsid w:val="00836EC2"/>
    <w:rsid w:val="00836F89"/>
    <w:rsid w:val="00837CC5"/>
    <w:rsid w:val="008401EF"/>
    <w:rsid w:val="00840B9A"/>
    <w:rsid w:val="00841E05"/>
    <w:rsid w:val="008420F4"/>
    <w:rsid w:val="00843CFE"/>
    <w:rsid w:val="00845B36"/>
    <w:rsid w:val="00846459"/>
    <w:rsid w:val="008473E3"/>
    <w:rsid w:val="008475B4"/>
    <w:rsid w:val="00851218"/>
    <w:rsid w:val="0085187E"/>
    <w:rsid w:val="00853110"/>
    <w:rsid w:val="0085483D"/>
    <w:rsid w:val="00855026"/>
    <w:rsid w:val="008556AE"/>
    <w:rsid w:val="00855FBA"/>
    <w:rsid w:val="0085757D"/>
    <w:rsid w:val="008602CA"/>
    <w:rsid w:val="008616CC"/>
    <w:rsid w:val="00863435"/>
    <w:rsid w:val="00863789"/>
    <w:rsid w:val="00864664"/>
    <w:rsid w:val="00864954"/>
    <w:rsid w:val="00864D0F"/>
    <w:rsid w:val="00864EDD"/>
    <w:rsid w:val="00867E05"/>
    <w:rsid w:val="00870B98"/>
    <w:rsid w:val="00871063"/>
    <w:rsid w:val="0087204F"/>
    <w:rsid w:val="00872827"/>
    <w:rsid w:val="0087349A"/>
    <w:rsid w:val="0087532D"/>
    <w:rsid w:val="008759EC"/>
    <w:rsid w:val="008761E2"/>
    <w:rsid w:val="00876993"/>
    <w:rsid w:val="00880C64"/>
    <w:rsid w:val="00881998"/>
    <w:rsid w:val="00881FE0"/>
    <w:rsid w:val="008830FD"/>
    <w:rsid w:val="00884185"/>
    <w:rsid w:val="0088427E"/>
    <w:rsid w:val="00884DCE"/>
    <w:rsid w:val="008855C5"/>
    <w:rsid w:val="00885EFF"/>
    <w:rsid w:val="008865B6"/>
    <w:rsid w:val="0088779A"/>
    <w:rsid w:val="008911BE"/>
    <w:rsid w:val="00891781"/>
    <w:rsid w:val="008918E6"/>
    <w:rsid w:val="00892082"/>
    <w:rsid w:val="008922E5"/>
    <w:rsid w:val="00892F63"/>
    <w:rsid w:val="008944E3"/>
    <w:rsid w:val="008949E3"/>
    <w:rsid w:val="00895312"/>
    <w:rsid w:val="00895DF4"/>
    <w:rsid w:val="00896CAD"/>
    <w:rsid w:val="008A0ED0"/>
    <w:rsid w:val="008A23EA"/>
    <w:rsid w:val="008A3356"/>
    <w:rsid w:val="008A56C6"/>
    <w:rsid w:val="008A72AC"/>
    <w:rsid w:val="008A75B2"/>
    <w:rsid w:val="008A7971"/>
    <w:rsid w:val="008B00A0"/>
    <w:rsid w:val="008B01A6"/>
    <w:rsid w:val="008B04ED"/>
    <w:rsid w:val="008B07F3"/>
    <w:rsid w:val="008B0A19"/>
    <w:rsid w:val="008B1A4D"/>
    <w:rsid w:val="008B23A0"/>
    <w:rsid w:val="008B30D9"/>
    <w:rsid w:val="008B3945"/>
    <w:rsid w:val="008B4689"/>
    <w:rsid w:val="008B5542"/>
    <w:rsid w:val="008C0522"/>
    <w:rsid w:val="008C1116"/>
    <w:rsid w:val="008C121C"/>
    <w:rsid w:val="008C299C"/>
    <w:rsid w:val="008C41D2"/>
    <w:rsid w:val="008C4BDF"/>
    <w:rsid w:val="008C74AF"/>
    <w:rsid w:val="008C7790"/>
    <w:rsid w:val="008C78C7"/>
    <w:rsid w:val="008D006D"/>
    <w:rsid w:val="008D0A54"/>
    <w:rsid w:val="008D1016"/>
    <w:rsid w:val="008D1162"/>
    <w:rsid w:val="008D2900"/>
    <w:rsid w:val="008D3B00"/>
    <w:rsid w:val="008D5224"/>
    <w:rsid w:val="008D589C"/>
    <w:rsid w:val="008D5F2C"/>
    <w:rsid w:val="008D68D8"/>
    <w:rsid w:val="008D68E1"/>
    <w:rsid w:val="008D6AE1"/>
    <w:rsid w:val="008E0816"/>
    <w:rsid w:val="008E1909"/>
    <w:rsid w:val="008E2E67"/>
    <w:rsid w:val="008E3C39"/>
    <w:rsid w:val="008E60C5"/>
    <w:rsid w:val="008E7085"/>
    <w:rsid w:val="008F0374"/>
    <w:rsid w:val="008F293A"/>
    <w:rsid w:val="008F3672"/>
    <w:rsid w:val="008F3CBB"/>
    <w:rsid w:val="008F465D"/>
    <w:rsid w:val="008F4ACE"/>
    <w:rsid w:val="008F4D8D"/>
    <w:rsid w:val="008F502B"/>
    <w:rsid w:val="008F5EDD"/>
    <w:rsid w:val="008F60C3"/>
    <w:rsid w:val="008F6AAB"/>
    <w:rsid w:val="008F6C76"/>
    <w:rsid w:val="00900A56"/>
    <w:rsid w:val="00901BDF"/>
    <w:rsid w:val="00903294"/>
    <w:rsid w:val="00904969"/>
    <w:rsid w:val="0090643E"/>
    <w:rsid w:val="00906A91"/>
    <w:rsid w:val="00910BED"/>
    <w:rsid w:val="00910FCF"/>
    <w:rsid w:val="009132BF"/>
    <w:rsid w:val="00914A2B"/>
    <w:rsid w:val="00914F00"/>
    <w:rsid w:val="00915C75"/>
    <w:rsid w:val="00916B6C"/>
    <w:rsid w:val="00917A2B"/>
    <w:rsid w:val="00917DEB"/>
    <w:rsid w:val="00921091"/>
    <w:rsid w:val="00921277"/>
    <w:rsid w:val="00923344"/>
    <w:rsid w:val="00923500"/>
    <w:rsid w:val="00923F0E"/>
    <w:rsid w:val="00923FA9"/>
    <w:rsid w:val="0092428C"/>
    <w:rsid w:val="00924B7C"/>
    <w:rsid w:val="009254D6"/>
    <w:rsid w:val="0092669B"/>
    <w:rsid w:val="0092769F"/>
    <w:rsid w:val="0093163E"/>
    <w:rsid w:val="00932A1B"/>
    <w:rsid w:val="00936436"/>
    <w:rsid w:val="00936E65"/>
    <w:rsid w:val="009412BF"/>
    <w:rsid w:val="009414AD"/>
    <w:rsid w:val="00941937"/>
    <w:rsid w:val="00941FAB"/>
    <w:rsid w:val="00942433"/>
    <w:rsid w:val="009430CF"/>
    <w:rsid w:val="00943234"/>
    <w:rsid w:val="009435AE"/>
    <w:rsid w:val="00943A28"/>
    <w:rsid w:val="00943EDF"/>
    <w:rsid w:val="009444A7"/>
    <w:rsid w:val="0094614A"/>
    <w:rsid w:val="0094779A"/>
    <w:rsid w:val="00952A8B"/>
    <w:rsid w:val="00954E7B"/>
    <w:rsid w:val="009579FB"/>
    <w:rsid w:val="00960FB4"/>
    <w:rsid w:val="009657B2"/>
    <w:rsid w:val="00966A1F"/>
    <w:rsid w:val="00966BAC"/>
    <w:rsid w:val="00966FD0"/>
    <w:rsid w:val="0096744C"/>
    <w:rsid w:val="009712F3"/>
    <w:rsid w:val="00971541"/>
    <w:rsid w:val="009715A2"/>
    <w:rsid w:val="0097176B"/>
    <w:rsid w:val="00971E54"/>
    <w:rsid w:val="00972277"/>
    <w:rsid w:val="00975E37"/>
    <w:rsid w:val="00977D08"/>
    <w:rsid w:val="00981570"/>
    <w:rsid w:val="00982966"/>
    <w:rsid w:val="00982B5C"/>
    <w:rsid w:val="009836F6"/>
    <w:rsid w:val="00983887"/>
    <w:rsid w:val="00984F16"/>
    <w:rsid w:val="00985A78"/>
    <w:rsid w:val="009873D2"/>
    <w:rsid w:val="00987C73"/>
    <w:rsid w:val="00991838"/>
    <w:rsid w:val="00992631"/>
    <w:rsid w:val="009926CC"/>
    <w:rsid w:val="00993BC2"/>
    <w:rsid w:val="00997CE4"/>
    <w:rsid w:val="009A2ABE"/>
    <w:rsid w:val="009A2D4E"/>
    <w:rsid w:val="009A40CA"/>
    <w:rsid w:val="009A4136"/>
    <w:rsid w:val="009A5E3B"/>
    <w:rsid w:val="009A6A2F"/>
    <w:rsid w:val="009B0085"/>
    <w:rsid w:val="009B0481"/>
    <w:rsid w:val="009B0A4E"/>
    <w:rsid w:val="009B1116"/>
    <w:rsid w:val="009B3878"/>
    <w:rsid w:val="009B43B3"/>
    <w:rsid w:val="009C1830"/>
    <w:rsid w:val="009C64EB"/>
    <w:rsid w:val="009C68E7"/>
    <w:rsid w:val="009C747F"/>
    <w:rsid w:val="009C755C"/>
    <w:rsid w:val="009C780F"/>
    <w:rsid w:val="009C7D24"/>
    <w:rsid w:val="009D0850"/>
    <w:rsid w:val="009D0E46"/>
    <w:rsid w:val="009D1779"/>
    <w:rsid w:val="009D1CD7"/>
    <w:rsid w:val="009D313E"/>
    <w:rsid w:val="009D31C8"/>
    <w:rsid w:val="009D3375"/>
    <w:rsid w:val="009D58F2"/>
    <w:rsid w:val="009D6B49"/>
    <w:rsid w:val="009D6B71"/>
    <w:rsid w:val="009D760D"/>
    <w:rsid w:val="009D794C"/>
    <w:rsid w:val="009E11ED"/>
    <w:rsid w:val="009E463B"/>
    <w:rsid w:val="009E5C40"/>
    <w:rsid w:val="009E60F8"/>
    <w:rsid w:val="009E7C7B"/>
    <w:rsid w:val="009F08B0"/>
    <w:rsid w:val="009F1DF0"/>
    <w:rsid w:val="009F37A0"/>
    <w:rsid w:val="009F3C85"/>
    <w:rsid w:val="009F3ECA"/>
    <w:rsid w:val="009F40C7"/>
    <w:rsid w:val="009F786E"/>
    <w:rsid w:val="00A00D73"/>
    <w:rsid w:val="00A012AA"/>
    <w:rsid w:val="00A013F4"/>
    <w:rsid w:val="00A01E34"/>
    <w:rsid w:val="00A03952"/>
    <w:rsid w:val="00A04F28"/>
    <w:rsid w:val="00A05772"/>
    <w:rsid w:val="00A05AA7"/>
    <w:rsid w:val="00A0661E"/>
    <w:rsid w:val="00A068E5"/>
    <w:rsid w:val="00A0793F"/>
    <w:rsid w:val="00A1003D"/>
    <w:rsid w:val="00A1054E"/>
    <w:rsid w:val="00A10772"/>
    <w:rsid w:val="00A10856"/>
    <w:rsid w:val="00A12467"/>
    <w:rsid w:val="00A13577"/>
    <w:rsid w:val="00A13957"/>
    <w:rsid w:val="00A13C54"/>
    <w:rsid w:val="00A15019"/>
    <w:rsid w:val="00A15088"/>
    <w:rsid w:val="00A15B01"/>
    <w:rsid w:val="00A201AB"/>
    <w:rsid w:val="00A21D61"/>
    <w:rsid w:val="00A22069"/>
    <w:rsid w:val="00A23D88"/>
    <w:rsid w:val="00A25353"/>
    <w:rsid w:val="00A260AD"/>
    <w:rsid w:val="00A27E1D"/>
    <w:rsid w:val="00A302D5"/>
    <w:rsid w:val="00A30B0E"/>
    <w:rsid w:val="00A31586"/>
    <w:rsid w:val="00A331C2"/>
    <w:rsid w:val="00A34941"/>
    <w:rsid w:val="00A34B5E"/>
    <w:rsid w:val="00A34F5F"/>
    <w:rsid w:val="00A34FBA"/>
    <w:rsid w:val="00A35114"/>
    <w:rsid w:val="00A35300"/>
    <w:rsid w:val="00A41CAD"/>
    <w:rsid w:val="00A41D7F"/>
    <w:rsid w:val="00A4226A"/>
    <w:rsid w:val="00A4234D"/>
    <w:rsid w:val="00A43ECC"/>
    <w:rsid w:val="00A43F1E"/>
    <w:rsid w:val="00A44A6A"/>
    <w:rsid w:val="00A45150"/>
    <w:rsid w:val="00A4561D"/>
    <w:rsid w:val="00A45877"/>
    <w:rsid w:val="00A45959"/>
    <w:rsid w:val="00A46A68"/>
    <w:rsid w:val="00A473F8"/>
    <w:rsid w:val="00A50EE9"/>
    <w:rsid w:val="00A50F5A"/>
    <w:rsid w:val="00A52709"/>
    <w:rsid w:val="00A52754"/>
    <w:rsid w:val="00A539F2"/>
    <w:rsid w:val="00A55538"/>
    <w:rsid w:val="00A55994"/>
    <w:rsid w:val="00A55A5F"/>
    <w:rsid w:val="00A57171"/>
    <w:rsid w:val="00A57C12"/>
    <w:rsid w:val="00A60E44"/>
    <w:rsid w:val="00A612D9"/>
    <w:rsid w:val="00A61978"/>
    <w:rsid w:val="00A62270"/>
    <w:rsid w:val="00A6317F"/>
    <w:rsid w:val="00A63AA1"/>
    <w:rsid w:val="00A64138"/>
    <w:rsid w:val="00A64C2F"/>
    <w:rsid w:val="00A66853"/>
    <w:rsid w:val="00A7020D"/>
    <w:rsid w:val="00A719F2"/>
    <w:rsid w:val="00A722F8"/>
    <w:rsid w:val="00A746DE"/>
    <w:rsid w:val="00A75640"/>
    <w:rsid w:val="00A76805"/>
    <w:rsid w:val="00A81A84"/>
    <w:rsid w:val="00A81B21"/>
    <w:rsid w:val="00A847CB"/>
    <w:rsid w:val="00A84F68"/>
    <w:rsid w:val="00A86F48"/>
    <w:rsid w:val="00A903E0"/>
    <w:rsid w:val="00A90644"/>
    <w:rsid w:val="00A90F42"/>
    <w:rsid w:val="00A91B2C"/>
    <w:rsid w:val="00A92B90"/>
    <w:rsid w:val="00A94542"/>
    <w:rsid w:val="00A94E07"/>
    <w:rsid w:val="00A94F48"/>
    <w:rsid w:val="00A953E1"/>
    <w:rsid w:val="00A95464"/>
    <w:rsid w:val="00A95996"/>
    <w:rsid w:val="00A97504"/>
    <w:rsid w:val="00AA0C3D"/>
    <w:rsid w:val="00AA3E0C"/>
    <w:rsid w:val="00AA63EE"/>
    <w:rsid w:val="00AA6BFE"/>
    <w:rsid w:val="00AB0158"/>
    <w:rsid w:val="00AB17B4"/>
    <w:rsid w:val="00AB1A4D"/>
    <w:rsid w:val="00AB2010"/>
    <w:rsid w:val="00AB39F4"/>
    <w:rsid w:val="00AB3B9A"/>
    <w:rsid w:val="00AB4098"/>
    <w:rsid w:val="00AB6429"/>
    <w:rsid w:val="00AC066A"/>
    <w:rsid w:val="00AC101C"/>
    <w:rsid w:val="00AC39E8"/>
    <w:rsid w:val="00AC476A"/>
    <w:rsid w:val="00AC553F"/>
    <w:rsid w:val="00AC5D9B"/>
    <w:rsid w:val="00AC6CDC"/>
    <w:rsid w:val="00AC79FF"/>
    <w:rsid w:val="00AC7B3D"/>
    <w:rsid w:val="00AD0A33"/>
    <w:rsid w:val="00AD0A83"/>
    <w:rsid w:val="00AD16D3"/>
    <w:rsid w:val="00AD1C54"/>
    <w:rsid w:val="00AD31BE"/>
    <w:rsid w:val="00AD3758"/>
    <w:rsid w:val="00AD398F"/>
    <w:rsid w:val="00AD50F7"/>
    <w:rsid w:val="00AD5BCB"/>
    <w:rsid w:val="00AD6022"/>
    <w:rsid w:val="00AD72E8"/>
    <w:rsid w:val="00AE0982"/>
    <w:rsid w:val="00AE0FAF"/>
    <w:rsid w:val="00AE3646"/>
    <w:rsid w:val="00AE4155"/>
    <w:rsid w:val="00AE4733"/>
    <w:rsid w:val="00AE57E2"/>
    <w:rsid w:val="00AE5C40"/>
    <w:rsid w:val="00AE5D5C"/>
    <w:rsid w:val="00AE64BF"/>
    <w:rsid w:val="00AF149F"/>
    <w:rsid w:val="00AF19D4"/>
    <w:rsid w:val="00AF27BA"/>
    <w:rsid w:val="00AF2C2A"/>
    <w:rsid w:val="00AF3AC0"/>
    <w:rsid w:val="00AF3C07"/>
    <w:rsid w:val="00AF4771"/>
    <w:rsid w:val="00AF56B7"/>
    <w:rsid w:val="00AF6362"/>
    <w:rsid w:val="00AF6CDB"/>
    <w:rsid w:val="00AF7D56"/>
    <w:rsid w:val="00B0361A"/>
    <w:rsid w:val="00B04455"/>
    <w:rsid w:val="00B05256"/>
    <w:rsid w:val="00B06341"/>
    <w:rsid w:val="00B067BB"/>
    <w:rsid w:val="00B07524"/>
    <w:rsid w:val="00B103CF"/>
    <w:rsid w:val="00B113E7"/>
    <w:rsid w:val="00B118B0"/>
    <w:rsid w:val="00B148EC"/>
    <w:rsid w:val="00B15724"/>
    <w:rsid w:val="00B15A5F"/>
    <w:rsid w:val="00B15B27"/>
    <w:rsid w:val="00B1637A"/>
    <w:rsid w:val="00B17683"/>
    <w:rsid w:val="00B2040F"/>
    <w:rsid w:val="00B204B4"/>
    <w:rsid w:val="00B2079A"/>
    <w:rsid w:val="00B21E7D"/>
    <w:rsid w:val="00B22078"/>
    <w:rsid w:val="00B225AC"/>
    <w:rsid w:val="00B22F39"/>
    <w:rsid w:val="00B238BD"/>
    <w:rsid w:val="00B246CA"/>
    <w:rsid w:val="00B24EF2"/>
    <w:rsid w:val="00B24F43"/>
    <w:rsid w:val="00B2691A"/>
    <w:rsid w:val="00B27181"/>
    <w:rsid w:val="00B27D4A"/>
    <w:rsid w:val="00B312B5"/>
    <w:rsid w:val="00B31EE7"/>
    <w:rsid w:val="00B33797"/>
    <w:rsid w:val="00B33C15"/>
    <w:rsid w:val="00B3456C"/>
    <w:rsid w:val="00B35B7C"/>
    <w:rsid w:val="00B36790"/>
    <w:rsid w:val="00B36B67"/>
    <w:rsid w:val="00B37097"/>
    <w:rsid w:val="00B40FCA"/>
    <w:rsid w:val="00B41AB6"/>
    <w:rsid w:val="00B42FFF"/>
    <w:rsid w:val="00B43070"/>
    <w:rsid w:val="00B43535"/>
    <w:rsid w:val="00B45006"/>
    <w:rsid w:val="00B45A2A"/>
    <w:rsid w:val="00B512A5"/>
    <w:rsid w:val="00B53B71"/>
    <w:rsid w:val="00B53BD3"/>
    <w:rsid w:val="00B53C15"/>
    <w:rsid w:val="00B54964"/>
    <w:rsid w:val="00B54FD7"/>
    <w:rsid w:val="00B559F6"/>
    <w:rsid w:val="00B55BBF"/>
    <w:rsid w:val="00B572F9"/>
    <w:rsid w:val="00B614E5"/>
    <w:rsid w:val="00B623E5"/>
    <w:rsid w:val="00B625DF"/>
    <w:rsid w:val="00B62F0C"/>
    <w:rsid w:val="00B631C8"/>
    <w:rsid w:val="00B6323B"/>
    <w:rsid w:val="00B63E3B"/>
    <w:rsid w:val="00B641DB"/>
    <w:rsid w:val="00B64FEA"/>
    <w:rsid w:val="00B65820"/>
    <w:rsid w:val="00B710D0"/>
    <w:rsid w:val="00B715FB"/>
    <w:rsid w:val="00B71A5C"/>
    <w:rsid w:val="00B735CC"/>
    <w:rsid w:val="00B7746D"/>
    <w:rsid w:val="00B77F4F"/>
    <w:rsid w:val="00B827D0"/>
    <w:rsid w:val="00B84781"/>
    <w:rsid w:val="00B84D03"/>
    <w:rsid w:val="00B86BCA"/>
    <w:rsid w:val="00B90095"/>
    <w:rsid w:val="00B900AE"/>
    <w:rsid w:val="00B90559"/>
    <w:rsid w:val="00B90B17"/>
    <w:rsid w:val="00B94023"/>
    <w:rsid w:val="00B95623"/>
    <w:rsid w:val="00B960D3"/>
    <w:rsid w:val="00B97124"/>
    <w:rsid w:val="00BA0237"/>
    <w:rsid w:val="00BA0C62"/>
    <w:rsid w:val="00BA154B"/>
    <w:rsid w:val="00BA19D1"/>
    <w:rsid w:val="00BA1DA3"/>
    <w:rsid w:val="00BA1E1F"/>
    <w:rsid w:val="00BA386E"/>
    <w:rsid w:val="00BA413D"/>
    <w:rsid w:val="00BA42CA"/>
    <w:rsid w:val="00BA5579"/>
    <w:rsid w:val="00BA5D18"/>
    <w:rsid w:val="00BA60F1"/>
    <w:rsid w:val="00BA7515"/>
    <w:rsid w:val="00BA7929"/>
    <w:rsid w:val="00BB06E9"/>
    <w:rsid w:val="00BB152B"/>
    <w:rsid w:val="00BB25D4"/>
    <w:rsid w:val="00BB51C6"/>
    <w:rsid w:val="00BB6CC2"/>
    <w:rsid w:val="00BC1F82"/>
    <w:rsid w:val="00BC2376"/>
    <w:rsid w:val="00BC29FD"/>
    <w:rsid w:val="00BC2A87"/>
    <w:rsid w:val="00BC37FD"/>
    <w:rsid w:val="00BC45D4"/>
    <w:rsid w:val="00BC6981"/>
    <w:rsid w:val="00BC7962"/>
    <w:rsid w:val="00BC7E04"/>
    <w:rsid w:val="00BD0DC2"/>
    <w:rsid w:val="00BD0DCD"/>
    <w:rsid w:val="00BD2380"/>
    <w:rsid w:val="00BD2603"/>
    <w:rsid w:val="00BD30D8"/>
    <w:rsid w:val="00BD3522"/>
    <w:rsid w:val="00BD3913"/>
    <w:rsid w:val="00BD3AF4"/>
    <w:rsid w:val="00BD428B"/>
    <w:rsid w:val="00BD43E6"/>
    <w:rsid w:val="00BD46C1"/>
    <w:rsid w:val="00BD46D3"/>
    <w:rsid w:val="00BD491A"/>
    <w:rsid w:val="00BD6CF7"/>
    <w:rsid w:val="00BD7382"/>
    <w:rsid w:val="00BD78C1"/>
    <w:rsid w:val="00BE16C1"/>
    <w:rsid w:val="00BE2BD7"/>
    <w:rsid w:val="00BE2DE1"/>
    <w:rsid w:val="00BE3BAD"/>
    <w:rsid w:val="00BE43FB"/>
    <w:rsid w:val="00BE53E1"/>
    <w:rsid w:val="00BE55E4"/>
    <w:rsid w:val="00BE5EA0"/>
    <w:rsid w:val="00BE6C2B"/>
    <w:rsid w:val="00BF1875"/>
    <w:rsid w:val="00BF1927"/>
    <w:rsid w:val="00BF3A59"/>
    <w:rsid w:val="00BF3C6C"/>
    <w:rsid w:val="00BF4173"/>
    <w:rsid w:val="00BF74C2"/>
    <w:rsid w:val="00BF782A"/>
    <w:rsid w:val="00C01198"/>
    <w:rsid w:val="00C01DBE"/>
    <w:rsid w:val="00C020C3"/>
    <w:rsid w:val="00C02A9F"/>
    <w:rsid w:val="00C03C25"/>
    <w:rsid w:val="00C05DD2"/>
    <w:rsid w:val="00C07845"/>
    <w:rsid w:val="00C0799A"/>
    <w:rsid w:val="00C10F93"/>
    <w:rsid w:val="00C11B5F"/>
    <w:rsid w:val="00C11D0D"/>
    <w:rsid w:val="00C12617"/>
    <w:rsid w:val="00C1297F"/>
    <w:rsid w:val="00C142E4"/>
    <w:rsid w:val="00C15EFA"/>
    <w:rsid w:val="00C162E4"/>
    <w:rsid w:val="00C1721A"/>
    <w:rsid w:val="00C210EF"/>
    <w:rsid w:val="00C245B6"/>
    <w:rsid w:val="00C24AF9"/>
    <w:rsid w:val="00C24D3E"/>
    <w:rsid w:val="00C25095"/>
    <w:rsid w:val="00C26544"/>
    <w:rsid w:val="00C26FD5"/>
    <w:rsid w:val="00C30D60"/>
    <w:rsid w:val="00C31BA1"/>
    <w:rsid w:val="00C31FE9"/>
    <w:rsid w:val="00C32E30"/>
    <w:rsid w:val="00C34690"/>
    <w:rsid w:val="00C35455"/>
    <w:rsid w:val="00C35641"/>
    <w:rsid w:val="00C35738"/>
    <w:rsid w:val="00C358B4"/>
    <w:rsid w:val="00C3632F"/>
    <w:rsid w:val="00C3673C"/>
    <w:rsid w:val="00C36B33"/>
    <w:rsid w:val="00C36E7C"/>
    <w:rsid w:val="00C37C21"/>
    <w:rsid w:val="00C405E9"/>
    <w:rsid w:val="00C421D2"/>
    <w:rsid w:val="00C44373"/>
    <w:rsid w:val="00C46B82"/>
    <w:rsid w:val="00C47C5A"/>
    <w:rsid w:val="00C509C3"/>
    <w:rsid w:val="00C50A17"/>
    <w:rsid w:val="00C50F0B"/>
    <w:rsid w:val="00C52640"/>
    <w:rsid w:val="00C52703"/>
    <w:rsid w:val="00C545C9"/>
    <w:rsid w:val="00C55724"/>
    <w:rsid w:val="00C5619D"/>
    <w:rsid w:val="00C56D7E"/>
    <w:rsid w:val="00C609B8"/>
    <w:rsid w:val="00C61664"/>
    <w:rsid w:val="00C64021"/>
    <w:rsid w:val="00C645D7"/>
    <w:rsid w:val="00C64E23"/>
    <w:rsid w:val="00C65104"/>
    <w:rsid w:val="00C65F04"/>
    <w:rsid w:val="00C67861"/>
    <w:rsid w:val="00C70EAE"/>
    <w:rsid w:val="00C7365B"/>
    <w:rsid w:val="00C73844"/>
    <w:rsid w:val="00C73E4F"/>
    <w:rsid w:val="00C7523F"/>
    <w:rsid w:val="00C75449"/>
    <w:rsid w:val="00C75617"/>
    <w:rsid w:val="00C76E62"/>
    <w:rsid w:val="00C77105"/>
    <w:rsid w:val="00C80C3C"/>
    <w:rsid w:val="00C80DFD"/>
    <w:rsid w:val="00C80ECB"/>
    <w:rsid w:val="00C8379A"/>
    <w:rsid w:val="00C83B65"/>
    <w:rsid w:val="00C83DFA"/>
    <w:rsid w:val="00C850E1"/>
    <w:rsid w:val="00C86473"/>
    <w:rsid w:val="00C86B7C"/>
    <w:rsid w:val="00C86E22"/>
    <w:rsid w:val="00C873DD"/>
    <w:rsid w:val="00C87F06"/>
    <w:rsid w:val="00C90872"/>
    <w:rsid w:val="00C91082"/>
    <w:rsid w:val="00C91ACA"/>
    <w:rsid w:val="00C91E1B"/>
    <w:rsid w:val="00C9205B"/>
    <w:rsid w:val="00C9242C"/>
    <w:rsid w:val="00C92690"/>
    <w:rsid w:val="00C92DB5"/>
    <w:rsid w:val="00C934B1"/>
    <w:rsid w:val="00C9722F"/>
    <w:rsid w:val="00C97664"/>
    <w:rsid w:val="00C97F99"/>
    <w:rsid w:val="00CA0488"/>
    <w:rsid w:val="00CA0722"/>
    <w:rsid w:val="00CA25C2"/>
    <w:rsid w:val="00CA4175"/>
    <w:rsid w:val="00CA684B"/>
    <w:rsid w:val="00CA72E4"/>
    <w:rsid w:val="00CA7FE7"/>
    <w:rsid w:val="00CB0AD1"/>
    <w:rsid w:val="00CB1F15"/>
    <w:rsid w:val="00CB3833"/>
    <w:rsid w:val="00CB652E"/>
    <w:rsid w:val="00CB6C06"/>
    <w:rsid w:val="00CB6C29"/>
    <w:rsid w:val="00CB73C9"/>
    <w:rsid w:val="00CC1001"/>
    <w:rsid w:val="00CC2204"/>
    <w:rsid w:val="00CC265D"/>
    <w:rsid w:val="00CC3AD3"/>
    <w:rsid w:val="00CC488C"/>
    <w:rsid w:val="00CC4CAC"/>
    <w:rsid w:val="00CC4FAB"/>
    <w:rsid w:val="00CC5D85"/>
    <w:rsid w:val="00CC5DDF"/>
    <w:rsid w:val="00CC79B6"/>
    <w:rsid w:val="00CD16CE"/>
    <w:rsid w:val="00CD18BC"/>
    <w:rsid w:val="00CD2923"/>
    <w:rsid w:val="00CD29EB"/>
    <w:rsid w:val="00CD2D5A"/>
    <w:rsid w:val="00CD40B1"/>
    <w:rsid w:val="00CD4867"/>
    <w:rsid w:val="00CD4896"/>
    <w:rsid w:val="00CD50B5"/>
    <w:rsid w:val="00CD58B1"/>
    <w:rsid w:val="00CD5D00"/>
    <w:rsid w:val="00CD621C"/>
    <w:rsid w:val="00CD677A"/>
    <w:rsid w:val="00CD73A9"/>
    <w:rsid w:val="00CD7B6F"/>
    <w:rsid w:val="00CE037B"/>
    <w:rsid w:val="00CE09F4"/>
    <w:rsid w:val="00CE0EFD"/>
    <w:rsid w:val="00CE1EB0"/>
    <w:rsid w:val="00CE21C6"/>
    <w:rsid w:val="00CE2B5C"/>
    <w:rsid w:val="00CE2E49"/>
    <w:rsid w:val="00CE3413"/>
    <w:rsid w:val="00CE34FC"/>
    <w:rsid w:val="00CE3A3E"/>
    <w:rsid w:val="00CE44D4"/>
    <w:rsid w:val="00CE4534"/>
    <w:rsid w:val="00CE4D4B"/>
    <w:rsid w:val="00CE5BBE"/>
    <w:rsid w:val="00CE6D78"/>
    <w:rsid w:val="00CE7620"/>
    <w:rsid w:val="00CE77BC"/>
    <w:rsid w:val="00CE7AAA"/>
    <w:rsid w:val="00CE7D17"/>
    <w:rsid w:val="00CE7D8D"/>
    <w:rsid w:val="00CF049C"/>
    <w:rsid w:val="00CF25CC"/>
    <w:rsid w:val="00CF3679"/>
    <w:rsid w:val="00CF449C"/>
    <w:rsid w:val="00CF54B0"/>
    <w:rsid w:val="00CF5A2C"/>
    <w:rsid w:val="00CF64BB"/>
    <w:rsid w:val="00CF67AA"/>
    <w:rsid w:val="00CF6886"/>
    <w:rsid w:val="00CF7A38"/>
    <w:rsid w:val="00D005CD"/>
    <w:rsid w:val="00D011C5"/>
    <w:rsid w:val="00D017A8"/>
    <w:rsid w:val="00D04029"/>
    <w:rsid w:val="00D045A6"/>
    <w:rsid w:val="00D05B13"/>
    <w:rsid w:val="00D06273"/>
    <w:rsid w:val="00D065EA"/>
    <w:rsid w:val="00D06E8F"/>
    <w:rsid w:val="00D06F12"/>
    <w:rsid w:val="00D10A49"/>
    <w:rsid w:val="00D118B3"/>
    <w:rsid w:val="00D128D7"/>
    <w:rsid w:val="00D12D08"/>
    <w:rsid w:val="00D136A9"/>
    <w:rsid w:val="00D13F0B"/>
    <w:rsid w:val="00D1429A"/>
    <w:rsid w:val="00D17266"/>
    <w:rsid w:val="00D17785"/>
    <w:rsid w:val="00D17AB9"/>
    <w:rsid w:val="00D17DB7"/>
    <w:rsid w:val="00D215CC"/>
    <w:rsid w:val="00D21EF3"/>
    <w:rsid w:val="00D22234"/>
    <w:rsid w:val="00D248BE"/>
    <w:rsid w:val="00D24A1B"/>
    <w:rsid w:val="00D2664F"/>
    <w:rsid w:val="00D2701F"/>
    <w:rsid w:val="00D27069"/>
    <w:rsid w:val="00D2712B"/>
    <w:rsid w:val="00D27225"/>
    <w:rsid w:val="00D27D0B"/>
    <w:rsid w:val="00D30EB0"/>
    <w:rsid w:val="00D30FE6"/>
    <w:rsid w:val="00D310C0"/>
    <w:rsid w:val="00D3370F"/>
    <w:rsid w:val="00D3390F"/>
    <w:rsid w:val="00D33FA2"/>
    <w:rsid w:val="00D35256"/>
    <w:rsid w:val="00D35956"/>
    <w:rsid w:val="00D3660E"/>
    <w:rsid w:val="00D4117A"/>
    <w:rsid w:val="00D41205"/>
    <w:rsid w:val="00D417CE"/>
    <w:rsid w:val="00D4219D"/>
    <w:rsid w:val="00D43107"/>
    <w:rsid w:val="00D439BA"/>
    <w:rsid w:val="00D44596"/>
    <w:rsid w:val="00D44DB6"/>
    <w:rsid w:val="00D45150"/>
    <w:rsid w:val="00D455B6"/>
    <w:rsid w:val="00D46052"/>
    <w:rsid w:val="00D46790"/>
    <w:rsid w:val="00D47A8C"/>
    <w:rsid w:val="00D50239"/>
    <w:rsid w:val="00D50F9C"/>
    <w:rsid w:val="00D52CEE"/>
    <w:rsid w:val="00D53673"/>
    <w:rsid w:val="00D56D73"/>
    <w:rsid w:val="00D56FE4"/>
    <w:rsid w:val="00D60B5E"/>
    <w:rsid w:val="00D61934"/>
    <w:rsid w:val="00D632D9"/>
    <w:rsid w:val="00D63889"/>
    <w:rsid w:val="00D63AEA"/>
    <w:rsid w:val="00D6504C"/>
    <w:rsid w:val="00D661D4"/>
    <w:rsid w:val="00D6751C"/>
    <w:rsid w:val="00D677AA"/>
    <w:rsid w:val="00D67916"/>
    <w:rsid w:val="00D67ACD"/>
    <w:rsid w:val="00D67D7B"/>
    <w:rsid w:val="00D67F07"/>
    <w:rsid w:val="00D71B8B"/>
    <w:rsid w:val="00D71EC1"/>
    <w:rsid w:val="00D72A1A"/>
    <w:rsid w:val="00D732A7"/>
    <w:rsid w:val="00D73F4D"/>
    <w:rsid w:val="00D77B29"/>
    <w:rsid w:val="00D80EF5"/>
    <w:rsid w:val="00D811D3"/>
    <w:rsid w:val="00D817F3"/>
    <w:rsid w:val="00D82E57"/>
    <w:rsid w:val="00D83676"/>
    <w:rsid w:val="00D84C23"/>
    <w:rsid w:val="00D85333"/>
    <w:rsid w:val="00D854DA"/>
    <w:rsid w:val="00D85E8D"/>
    <w:rsid w:val="00D86264"/>
    <w:rsid w:val="00D87187"/>
    <w:rsid w:val="00D87AC7"/>
    <w:rsid w:val="00D90397"/>
    <w:rsid w:val="00D90533"/>
    <w:rsid w:val="00D90893"/>
    <w:rsid w:val="00D90908"/>
    <w:rsid w:val="00D90FA5"/>
    <w:rsid w:val="00D914DE"/>
    <w:rsid w:val="00D91C27"/>
    <w:rsid w:val="00D930F6"/>
    <w:rsid w:val="00D93DDF"/>
    <w:rsid w:val="00D946AA"/>
    <w:rsid w:val="00D95C57"/>
    <w:rsid w:val="00D95FBF"/>
    <w:rsid w:val="00D975FD"/>
    <w:rsid w:val="00DA0917"/>
    <w:rsid w:val="00DA4568"/>
    <w:rsid w:val="00DA485E"/>
    <w:rsid w:val="00DB22AC"/>
    <w:rsid w:val="00DB23E2"/>
    <w:rsid w:val="00DB2501"/>
    <w:rsid w:val="00DB2F78"/>
    <w:rsid w:val="00DB3909"/>
    <w:rsid w:val="00DB4E47"/>
    <w:rsid w:val="00DB5E13"/>
    <w:rsid w:val="00DB74CB"/>
    <w:rsid w:val="00DB7768"/>
    <w:rsid w:val="00DC0348"/>
    <w:rsid w:val="00DC0BFC"/>
    <w:rsid w:val="00DC11B8"/>
    <w:rsid w:val="00DC1381"/>
    <w:rsid w:val="00DC16FF"/>
    <w:rsid w:val="00DC2294"/>
    <w:rsid w:val="00DC3702"/>
    <w:rsid w:val="00DC3C38"/>
    <w:rsid w:val="00DC4165"/>
    <w:rsid w:val="00DC44CE"/>
    <w:rsid w:val="00DC50EC"/>
    <w:rsid w:val="00DC5925"/>
    <w:rsid w:val="00DC60FA"/>
    <w:rsid w:val="00DC7BCB"/>
    <w:rsid w:val="00DD00DE"/>
    <w:rsid w:val="00DD16F6"/>
    <w:rsid w:val="00DD1823"/>
    <w:rsid w:val="00DD2190"/>
    <w:rsid w:val="00DD2219"/>
    <w:rsid w:val="00DD22DC"/>
    <w:rsid w:val="00DD3196"/>
    <w:rsid w:val="00DD3872"/>
    <w:rsid w:val="00DD7970"/>
    <w:rsid w:val="00DD7A9B"/>
    <w:rsid w:val="00DE0958"/>
    <w:rsid w:val="00DE23AF"/>
    <w:rsid w:val="00DE3370"/>
    <w:rsid w:val="00DE4868"/>
    <w:rsid w:val="00DE4B1E"/>
    <w:rsid w:val="00DE500A"/>
    <w:rsid w:val="00DF266B"/>
    <w:rsid w:val="00DF2F11"/>
    <w:rsid w:val="00DF3B9A"/>
    <w:rsid w:val="00DF3D0B"/>
    <w:rsid w:val="00DF55EF"/>
    <w:rsid w:val="00DF5E66"/>
    <w:rsid w:val="00DF74A1"/>
    <w:rsid w:val="00E0058E"/>
    <w:rsid w:val="00E032AF"/>
    <w:rsid w:val="00E044F1"/>
    <w:rsid w:val="00E04CA5"/>
    <w:rsid w:val="00E04E54"/>
    <w:rsid w:val="00E054BA"/>
    <w:rsid w:val="00E056AF"/>
    <w:rsid w:val="00E07CC9"/>
    <w:rsid w:val="00E07F56"/>
    <w:rsid w:val="00E10048"/>
    <w:rsid w:val="00E11025"/>
    <w:rsid w:val="00E12E8A"/>
    <w:rsid w:val="00E1345F"/>
    <w:rsid w:val="00E15A5A"/>
    <w:rsid w:val="00E15E90"/>
    <w:rsid w:val="00E16660"/>
    <w:rsid w:val="00E16E8D"/>
    <w:rsid w:val="00E17598"/>
    <w:rsid w:val="00E17765"/>
    <w:rsid w:val="00E17A1E"/>
    <w:rsid w:val="00E21A0A"/>
    <w:rsid w:val="00E21EA2"/>
    <w:rsid w:val="00E223C7"/>
    <w:rsid w:val="00E22E7E"/>
    <w:rsid w:val="00E230B3"/>
    <w:rsid w:val="00E24D58"/>
    <w:rsid w:val="00E26EB1"/>
    <w:rsid w:val="00E279F1"/>
    <w:rsid w:val="00E30DAC"/>
    <w:rsid w:val="00E31AB0"/>
    <w:rsid w:val="00E329E6"/>
    <w:rsid w:val="00E33383"/>
    <w:rsid w:val="00E34393"/>
    <w:rsid w:val="00E356CB"/>
    <w:rsid w:val="00E35D1D"/>
    <w:rsid w:val="00E35EE1"/>
    <w:rsid w:val="00E3734E"/>
    <w:rsid w:val="00E37797"/>
    <w:rsid w:val="00E40C28"/>
    <w:rsid w:val="00E411F2"/>
    <w:rsid w:val="00E41BDE"/>
    <w:rsid w:val="00E42DC2"/>
    <w:rsid w:val="00E43975"/>
    <w:rsid w:val="00E459DC"/>
    <w:rsid w:val="00E466AC"/>
    <w:rsid w:val="00E4763E"/>
    <w:rsid w:val="00E478C4"/>
    <w:rsid w:val="00E47B04"/>
    <w:rsid w:val="00E503CB"/>
    <w:rsid w:val="00E50915"/>
    <w:rsid w:val="00E515F2"/>
    <w:rsid w:val="00E527D4"/>
    <w:rsid w:val="00E52AB2"/>
    <w:rsid w:val="00E54323"/>
    <w:rsid w:val="00E5595B"/>
    <w:rsid w:val="00E56454"/>
    <w:rsid w:val="00E56AD2"/>
    <w:rsid w:val="00E573D7"/>
    <w:rsid w:val="00E57664"/>
    <w:rsid w:val="00E579B9"/>
    <w:rsid w:val="00E60D4B"/>
    <w:rsid w:val="00E61036"/>
    <w:rsid w:val="00E62818"/>
    <w:rsid w:val="00E633BE"/>
    <w:rsid w:val="00E643BE"/>
    <w:rsid w:val="00E71D41"/>
    <w:rsid w:val="00E727D0"/>
    <w:rsid w:val="00E7281D"/>
    <w:rsid w:val="00E735FF"/>
    <w:rsid w:val="00E73F33"/>
    <w:rsid w:val="00E74BE9"/>
    <w:rsid w:val="00E74C39"/>
    <w:rsid w:val="00E76687"/>
    <w:rsid w:val="00E76D2E"/>
    <w:rsid w:val="00E76D93"/>
    <w:rsid w:val="00E77AB6"/>
    <w:rsid w:val="00E801DE"/>
    <w:rsid w:val="00E80392"/>
    <w:rsid w:val="00E80B08"/>
    <w:rsid w:val="00E81204"/>
    <w:rsid w:val="00E817C7"/>
    <w:rsid w:val="00E82289"/>
    <w:rsid w:val="00E823F0"/>
    <w:rsid w:val="00E8339B"/>
    <w:rsid w:val="00E83618"/>
    <w:rsid w:val="00E837FF"/>
    <w:rsid w:val="00E84278"/>
    <w:rsid w:val="00E85F99"/>
    <w:rsid w:val="00E867AB"/>
    <w:rsid w:val="00E91041"/>
    <w:rsid w:val="00E91680"/>
    <w:rsid w:val="00E916A0"/>
    <w:rsid w:val="00E91B86"/>
    <w:rsid w:val="00E9245E"/>
    <w:rsid w:val="00E93A88"/>
    <w:rsid w:val="00E94104"/>
    <w:rsid w:val="00E94276"/>
    <w:rsid w:val="00E94435"/>
    <w:rsid w:val="00E957BC"/>
    <w:rsid w:val="00E95BD9"/>
    <w:rsid w:val="00E95E4B"/>
    <w:rsid w:val="00E97013"/>
    <w:rsid w:val="00E97926"/>
    <w:rsid w:val="00EA0836"/>
    <w:rsid w:val="00EA0D9B"/>
    <w:rsid w:val="00EA17A0"/>
    <w:rsid w:val="00EA28C2"/>
    <w:rsid w:val="00EA398A"/>
    <w:rsid w:val="00EA3A54"/>
    <w:rsid w:val="00EA464C"/>
    <w:rsid w:val="00EA47E2"/>
    <w:rsid w:val="00EA5199"/>
    <w:rsid w:val="00EA54AF"/>
    <w:rsid w:val="00EA6B54"/>
    <w:rsid w:val="00EA754F"/>
    <w:rsid w:val="00EA785C"/>
    <w:rsid w:val="00EB17BB"/>
    <w:rsid w:val="00EB282E"/>
    <w:rsid w:val="00EB303E"/>
    <w:rsid w:val="00EB4964"/>
    <w:rsid w:val="00EB49DD"/>
    <w:rsid w:val="00EB78DB"/>
    <w:rsid w:val="00EC1B53"/>
    <w:rsid w:val="00EC1DB4"/>
    <w:rsid w:val="00EC299A"/>
    <w:rsid w:val="00EC3088"/>
    <w:rsid w:val="00EC3637"/>
    <w:rsid w:val="00EC3DCF"/>
    <w:rsid w:val="00EC4DF6"/>
    <w:rsid w:val="00EC4FD3"/>
    <w:rsid w:val="00EC7372"/>
    <w:rsid w:val="00ED0BB4"/>
    <w:rsid w:val="00ED0E8E"/>
    <w:rsid w:val="00ED165B"/>
    <w:rsid w:val="00ED34E8"/>
    <w:rsid w:val="00ED37BA"/>
    <w:rsid w:val="00ED41CB"/>
    <w:rsid w:val="00ED5619"/>
    <w:rsid w:val="00ED62F0"/>
    <w:rsid w:val="00ED7430"/>
    <w:rsid w:val="00ED77B3"/>
    <w:rsid w:val="00ED7A05"/>
    <w:rsid w:val="00EE0879"/>
    <w:rsid w:val="00EE0BC6"/>
    <w:rsid w:val="00EE1531"/>
    <w:rsid w:val="00EE18AC"/>
    <w:rsid w:val="00EE237E"/>
    <w:rsid w:val="00EE334C"/>
    <w:rsid w:val="00EE5A2B"/>
    <w:rsid w:val="00EE6A6D"/>
    <w:rsid w:val="00EE6AB0"/>
    <w:rsid w:val="00EE6C71"/>
    <w:rsid w:val="00EE715E"/>
    <w:rsid w:val="00EF028E"/>
    <w:rsid w:val="00EF16AA"/>
    <w:rsid w:val="00EF16AD"/>
    <w:rsid w:val="00EF2473"/>
    <w:rsid w:val="00EF26B5"/>
    <w:rsid w:val="00EF2B2A"/>
    <w:rsid w:val="00EF42BC"/>
    <w:rsid w:val="00EF4A4E"/>
    <w:rsid w:val="00EF4B18"/>
    <w:rsid w:val="00EF505B"/>
    <w:rsid w:val="00EF5072"/>
    <w:rsid w:val="00EF5C89"/>
    <w:rsid w:val="00EF5CFF"/>
    <w:rsid w:val="00EF6C62"/>
    <w:rsid w:val="00EF76B0"/>
    <w:rsid w:val="00F002BF"/>
    <w:rsid w:val="00F0174B"/>
    <w:rsid w:val="00F01D47"/>
    <w:rsid w:val="00F02153"/>
    <w:rsid w:val="00F02962"/>
    <w:rsid w:val="00F04B4A"/>
    <w:rsid w:val="00F058DF"/>
    <w:rsid w:val="00F063AE"/>
    <w:rsid w:val="00F06B88"/>
    <w:rsid w:val="00F06B9C"/>
    <w:rsid w:val="00F07128"/>
    <w:rsid w:val="00F07289"/>
    <w:rsid w:val="00F0763A"/>
    <w:rsid w:val="00F11F00"/>
    <w:rsid w:val="00F12510"/>
    <w:rsid w:val="00F136D0"/>
    <w:rsid w:val="00F14896"/>
    <w:rsid w:val="00F15675"/>
    <w:rsid w:val="00F16138"/>
    <w:rsid w:val="00F167F5"/>
    <w:rsid w:val="00F20068"/>
    <w:rsid w:val="00F21250"/>
    <w:rsid w:val="00F22C38"/>
    <w:rsid w:val="00F2398D"/>
    <w:rsid w:val="00F23D7C"/>
    <w:rsid w:val="00F26C23"/>
    <w:rsid w:val="00F26E0A"/>
    <w:rsid w:val="00F271F5"/>
    <w:rsid w:val="00F278AD"/>
    <w:rsid w:val="00F27A0A"/>
    <w:rsid w:val="00F3129E"/>
    <w:rsid w:val="00F328C8"/>
    <w:rsid w:val="00F330B8"/>
    <w:rsid w:val="00F341B1"/>
    <w:rsid w:val="00F342D2"/>
    <w:rsid w:val="00F35B8A"/>
    <w:rsid w:val="00F411F5"/>
    <w:rsid w:val="00F4258C"/>
    <w:rsid w:val="00F43AD6"/>
    <w:rsid w:val="00F43B23"/>
    <w:rsid w:val="00F4407E"/>
    <w:rsid w:val="00F44AA3"/>
    <w:rsid w:val="00F44AB3"/>
    <w:rsid w:val="00F46377"/>
    <w:rsid w:val="00F466EB"/>
    <w:rsid w:val="00F46726"/>
    <w:rsid w:val="00F46B01"/>
    <w:rsid w:val="00F471E1"/>
    <w:rsid w:val="00F476D7"/>
    <w:rsid w:val="00F47A5C"/>
    <w:rsid w:val="00F47E0E"/>
    <w:rsid w:val="00F5019C"/>
    <w:rsid w:val="00F51548"/>
    <w:rsid w:val="00F5249B"/>
    <w:rsid w:val="00F54B96"/>
    <w:rsid w:val="00F55621"/>
    <w:rsid w:val="00F5568D"/>
    <w:rsid w:val="00F56BC8"/>
    <w:rsid w:val="00F57424"/>
    <w:rsid w:val="00F5753A"/>
    <w:rsid w:val="00F576A6"/>
    <w:rsid w:val="00F5778F"/>
    <w:rsid w:val="00F57DA6"/>
    <w:rsid w:val="00F57FED"/>
    <w:rsid w:val="00F60174"/>
    <w:rsid w:val="00F60498"/>
    <w:rsid w:val="00F6144D"/>
    <w:rsid w:val="00F627EC"/>
    <w:rsid w:val="00F62DD4"/>
    <w:rsid w:val="00F634A3"/>
    <w:rsid w:val="00F64D9E"/>
    <w:rsid w:val="00F668D1"/>
    <w:rsid w:val="00F66D9A"/>
    <w:rsid w:val="00F67439"/>
    <w:rsid w:val="00F67A79"/>
    <w:rsid w:val="00F70716"/>
    <w:rsid w:val="00F70C4D"/>
    <w:rsid w:val="00F710F9"/>
    <w:rsid w:val="00F71ADC"/>
    <w:rsid w:val="00F75CA0"/>
    <w:rsid w:val="00F7620F"/>
    <w:rsid w:val="00F777E0"/>
    <w:rsid w:val="00F837DB"/>
    <w:rsid w:val="00F84ACC"/>
    <w:rsid w:val="00F84C04"/>
    <w:rsid w:val="00F84F57"/>
    <w:rsid w:val="00F868AD"/>
    <w:rsid w:val="00F872EE"/>
    <w:rsid w:val="00F87F40"/>
    <w:rsid w:val="00F9014D"/>
    <w:rsid w:val="00F9270C"/>
    <w:rsid w:val="00F929E5"/>
    <w:rsid w:val="00F93E07"/>
    <w:rsid w:val="00F947A7"/>
    <w:rsid w:val="00F94FA8"/>
    <w:rsid w:val="00F961C0"/>
    <w:rsid w:val="00F9655A"/>
    <w:rsid w:val="00F97915"/>
    <w:rsid w:val="00F97B97"/>
    <w:rsid w:val="00FA0A8B"/>
    <w:rsid w:val="00FA0ADB"/>
    <w:rsid w:val="00FA0AE4"/>
    <w:rsid w:val="00FA0DA2"/>
    <w:rsid w:val="00FA2B4A"/>
    <w:rsid w:val="00FA346C"/>
    <w:rsid w:val="00FA3996"/>
    <w:rsid w:val="00FA460A"/>
    <w:rsid w:val="00FA48B5"/>
    <w:rsid w:val="00FA75A5"/>
    <w:rsid w:val="00FB0E47"/>
    <w:rsid w:val="00FB1A7F"/>
    <w:rsid w:val="00FB2544"/>
    <w:rsid w:val="00FB3991"/>
    <w:rsid w:val="00FB4495"/>
    <w:rsid w:val="00FB46B9"/>
    <w:rsid w:val="00FB4DBA"/>
    <w:rsid w:val="00FB5F74"/>
    <w:rsid w:val="00FB662C"/>
    <w:rsid w:val="00FB667E"/>
    <w:rsid w:val="00FB78EE"/>
    <w:rsid w:val="00FC0ABB"/>
    <w:rsid w:val="00FC118D"/>
    <w:rsid w:val="00FC1A39"/>
    <w:rsid w:val="00FC3EFF"/>
    <w:rsid w:val="00FC59E4"/>
    <w:rsid w:val="00FC5A1B"/>
    <w:rsid w:val="00FC5F86"/>
    <w:rsid w:val="00FC71E0"/>
    <w:rsid w:val="00FC77B5"/>
    <w:rsid w:val="00FD04E5"/>
    <w:rsid w:val="00FD0965"/>
    <w:rsid w:val="00FD2A36"/>
    <w:rsid w:val="00FD3F65"/>
    <w:rsid w:val="00FD5014"/>
    <w:rsid w:val="00FD681C"/>
    <w:rsid w:val="00FD6EC7"/>
    <w:rsid w:val="00FD731D"/>
    <w:rsid w:val="00FE004D"/>
    <w:rsid w:val="00FE08E9"/>
    <w:rsid w:val="00FE2F93"/>
    <w:rsid w:val="00FE329E"/>
    <w:rsid w:val="00FE37D4"/>
    <w:rsid w:val="00FE3C0D"/>
    <w:rsid w:val="00FE45D3"/>
    <w:rsid w:val="00FE476C"/>
    <w:rsid w:val="00FE4A62"/>
    <w:rsid w:val="00FE552D"/>
    <w:rsid w:val="00FF1665"/>
    <w:rsid w:val="00FF195C"/>
    <w:rsid w:val="00FF1D63"/>
    <w:rsid w:val="00FF3DEA"/>
    <w:rsid w:val="00FF3E7C"/>
    <w:rsid w:val="00FF5215"/>
    <w:rsid w:val="00FF74A1"/>
    <w:rsid w:val="00FF7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9F4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4B18"/>
    <w:pPr>
      <w:spacing w:line="480" w:lineRule="auto"/>
    </w:pPr>
    <w:rPr>
      <w:rFonts w:cs="Arial"/>
      <w:sz w:val="24"/>
      <w:szCs w:val="24"/>
    </w:rPr>
  </w:style>
  <w:style w:type="paragraph" w:styleId="Heading1">
    <w:name w:val="heading 1"/>
    <w:basedOn w:val="Normal"/>
    <w:next w:val="Normal"/>
    <w:link w:val="Heading1Char"/>
    <w:qFormat/>
    <w:rsid w:val="004F5AE6"/>
    <w:pPr>
      <w:autoSpaceDE w:val="0"/>
      <w:autoSpaceDN w:val="0"/>
      <w:adjustRightInd w:val="0"/>
      <w:jc w:val="center"/>
      <w:outlineLvl w:val="0"/>
    </w:pPr>
    <w:rPr>
      <w:b/>
      <w:bCs/>
      <w:caps/>
      <w:sz w:val="28"/>
    </w:rPr>
  </w:style>
  <w:style w:type="paragraph" w:styleId="Heading2">
    <w:name w:val="heading 2"/>
    <w:basedOn w:val="Normal"/>
    <w:next w:val="Normal"/>
    <w:link w:val="Heading2Char"/>
    <w:qFormat/>
    <w:rsid w:val="00EA47E2"/>
    <w:pPr>
      <w:keepNext/>
      <w:spacing w:before="240" w:after="240" w:line="240" w:lineRule="auto"/>
      <w:jc w:val="center"/>
      <w:outlineLvl w:val="1"/>
    </w:pPr>
    <w:rPr>
      <w:b/>
      <w:bCs/>
      <w:iCs/>
      <w:szCs w:val="28"/>
    </w:rPr>
  </w:style>
  <w:style w:type="paragraph" w:styleId="Heading3">
    <w:name w:val="heading 3"/>
    <w:basedOn w:val="Normal"/>
    <w:next w:val="Normal"/>
    <w:link w:val="Heading3Char"/>
    <w:qFormat/>
    <w:rsid w:val="00E5595B"/>
    <w:pPr>
      <w:keepNext/>
      <w:spacing w:after="100" w:afterAutospacing="1" w:line="240" w:lineRule="auto"/>
      <w:outlineLvl w:val="2"/>
    </w:pPr>
    <w:rPr>
      <w:b/>
      <w:bCs/>
      <w:iCs/>
      <w:szCs w:val="26"/>
    </w:rPr>
  </w:style>
  <w:style w:type="paragraph" w:styleId="Heading4">
    <w:name w:val="heading 4"/>
    <w:basedOn w:val="Normal"/>
    <w:next w:val="Normal"/>
    <w:link w:val="Heading4Char"/>
    <w:semiHidden/>
    <w:unhideWhenUsed/>
    <w:qFormat/>
    <w:rsid w:val="00072AC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spacing w:line="240" w:lineRule="auto"/>
    </w:pPr>
    <w:rPr>
      <w:rFonts w:ascii="Arial" w:hAnsi="Arial"/>
    </w:rPr>
  </w:style>
  <w:style w:type="paragraph" w:styleId="Header">
    <w:name w:val="header"/>
    <w:basedOn w:val="Normal"/>
    <w:link w:val="HeaderChar"/>
    <w:uiPriority w:val="99"/>
    <w:rsid w:val="00665C7E"/>
    <w:pPr>
      <w:tabs>
        <w:tab w:val="center" w:pos="4320"/>
        <w:tab w:val="right" w:pos="8640"/>
      </w:tabs>
      <w:spacing w:line="240" w:lineRule="auto"/>
    </w:pPr>
    <w:rPr>
      <w:rFonts w:ascii="Arial" w:hAnsi="Arial"/>
    </w:rPr>
  </w:style>
  <w:style w:type="paragraph" w:customStyle="1" w:styleId="ETDTitle">
    <w:name w:val="ETD Title"/>
    <w:basedOn w:val="Normal"/>
    <w:qFormat/>
    <w:rsid w:val="00334400"/>
    <w:pPr>
      <w:spacing w:line="240" w:lineRule="auto"/>
      <w:jc w:val="center"/>
    </w:pPr>
    <w:rPr>
      <w:rFonts w:ascii="Arial" w:hAnsi="Arial"/>
      <w:b/>
      <w:lang w:val="en-CA"/>
    </w:rPr>
  </w:style>
  <w:style w:type="character" w:customStyle="1" w:styleId="SYSHYPERTEXT">
    <w:name w:val="SYS_HYPERTEXT"/>
    <w:rsid w:val="00665C7E"/>
    <w:rPr>
      <w:noProof/>
      <w:color w:val="0000FF"/>
      <w:u w:val="single"/>
    </w:rPr>
  </w:style>
  <w:style w:type="character" w:customStyle="1" w:styleId="TitleChar">
    <w:name w:val="Title Char"/>
    <w:link w:val="Title"/>
    <w:rsid w:val="00387656"/>
    <w:rPr>
      <w:rFonts w:ascii="Arial" w:hAnsi="Arial" w:cs="Arial"/>
      <w:b/>
      <w:sz w:val="28"/>
      <w:szCs w:val="24"/>
      <w:lang w:val="en-CA"/>
    </w:rPr>
  </w:style>
  <w:style w:type="character" w:customStyle="1" w:styleId="FooterChar">
    <w:name w:val="Footer Char"/>
    <w:link w:val="Footer"/>
    <w:uiPriority w:val="99"/>
    <w:rsid w:val="00387656"/>
    <w:rPr>
      <w:rFonts w:ascii="Arial" w:hAnsi="Arial" w:cs="Arial"/>
      <w:sz w:val="24"/>
      <w:szCs w:val="24"/>
    </w:rPr>
  </w:style>
  <w:style w:type="paragraph" w:styleId="Title">
    <w:name w:val="Title"/>
    <w:basedOn w:val="ETDTitle"/>
    <w:link w:val="TitleChar"/>
    <w:qFormat/>
    <w:rsid w:val="00387656"/>
    <w:rPr>
      <w:sz w:val="28"/>
    </w:rPr>
  </w:style>
  <w:style w:type="paragraph" w:styleId="TOCHeading">
    <w:name w:val="TOC Heading"/>
    <w:basedOn w:val="Heading1"/>
    <w:next w:val="Normal"/>
    <w:uiPriority w:val="39"/>
    <w:semiHidden/>
    <w:unhideWhenUsed/>
    <w:qFormat/>
    <w:rsid w:val="00387656"/>
    <w:pPr>
      <w:keepNext/>
      <w:keepLines/>
      <w:autoSpaceDE/>
      <w:autoSpaceDN/>
      <w:adjustRightInd/>
      <w:spacing w:before="480" w:line="276" w:lineRule="auto"/>
      <w:jc w:val="left"/>
      <w:outlineLvl w:val="9"/>
    </w:pPr>
    <w:rPr>
      <w:rFonts w:ascii="Cambria" w:eastAsia="MS Gothic" w:hAnsi="Cambria" w:cs="Times New Roman"/>
      <w:caps w:val="0"/>
      <w:color w:val="365F91"/>
      <w:szCs w:val="28"/>
      <w:lang w:eastAsia="ja-JP"/>
    </w:rPr>
  </w:style>
  <w:style w:type="paragraph" w:styleId="Caption">
    <w:name w:val="caption"/>
    <w:basedOn w:val="Normal"/>
    <w:next w:val="Normal"/>
    <w:link w:val="CaptionChar"/>
    <w:qFormat/>
    <w:rsid w:val="004C2071"/>
    <w:pPr>
      <w:keepNext/>
      <w:spacing w:before="120" w:after="120" w:line="240" w:lineRule="auto"/>
    </w:pPr>
    <w:rPr>
      <w:rFonts w:ascii="Arial" w:hAnsi="Arial"/>
      <w:b/>
      <w:bCs/>
    </w:rPr>
  </w:style>
  <w:style w:type="paragraph" w:styleId="TableofFigures">
    <w:name w:val="table of figures"/>
    <w:basedOn w:val="Normal"/>
    <w:next w:val="Normal"/>
    <w:uiPriority w:val="99"/>
    <w:rsid w:val="003900BD"/>
    <w:pPr>
      <w:spacing w:after="240" w:line="240" w:lineRule="auto"/>
      <w:ind w:left="475" w:hanging="475"/>
    </w:pPr>
  </w:style>
  <w:style w:type="character" w:styleId="Hyperlink">
    <w:name w:val="Hyperlink"/>
    <w:uiPriority w:val="99"/>
    <w:rsid w:val="00665C7E"/>
    <w:rPr>
      <w:color w:val="0000FF"/>
      <w:u w:val="single"/>
    </w:rPr>
  </w:style>
  <w:style w:type="paragraph" w:styleId="TOC1">
    <w:name w:val="toc 1"/>
    <w:aliases w:val="List of Tables"/>
    <w:basedOn w:val="Normal"/>
    <w:next w:val="Normal"/>
    <w:uiPriority w:val="39"/>
    <w:rsid w:val="00072AC5"/>
    <w:pPr>
      <w:spacing w:line="240" w:lineRule="auto"/>
    </w:pPr>
  </w:style>
  <w:style w:type="paragraph" w:styleId="TOC2">
    <w:name w:val="toc 2"/>
    <w:basedOn w:val="Normal"/>
    <w:next w:val="Normal"/>
    <w:autoRedefine/>
    <w:uiPriority w:val="39"/>
    <w:rsid w:val="00072AC5"/>
    <w:pPr>
      <w:tabs>
        <w:tab w:val="right" w:leader="dot" w:pos="8630"/>
      </w:tabs>
      <w:spacing w:line="240" w:lineRule="auto"/>
      <w:ind w:left="540"/>
    </w:pPr>
  </w:style>
  <w:style w:type="paragraph" w:styleId="TOC3">
    <w:name w:val="toc 3"/>
    <w:basedOn w:val="Normal"/>
    <w:next w:val="Normal"/>
    <w:autoRedefine/>
    <w:uiPriority w:val="39"/>
    <w:rsid w:val="00BE6C2B"/>
    <w:pPr>
      <w:tabs>
        <w:tab w:val="right" w:leader="dot" w:pos="8630"/>
      </w:tabs>
      <w:spacing w:line="240" w:lineRule="auto"/>
      <w:ind w:left="1080"/>
    </w:pPr>
  </w:style>
  <w:style w:type="paragraph" w:styleId="TOC4">
    <w:name w:val="toc 4"/>
    <w:basedOn w:val="Normal"/>
    <w:next w:val="Normal"/>
    <w:autoRedefine/>
    <w:uiPriority w:val="39"/>
    <w:rsid w:val="00072AC5"/>
    <w:pPr>
      <w:spacing w:line="240" w:lineRule="auto"/>
      <w:ind w:left="720"/>
    </w:pPr>
  </w:style>
  <w:style w:type="paragraph" w:styleId="TOC5">
    <w:name w:val="toc 5"/>
    <w:basedOn w:val="Normal"/>
    <w:next w:val="Normal"/>
    <w:autoRedefine/>
    <w:semiHidden/>
    <w:rsid w:val="00072AC5"/>
    <w:pPr>
      <w:spacing w:line="240" w:lineRule="auto"/>
      <w:ind w:left="960"/>
    </w:pPr>
  </w:style>
  <w:style w:type="paragraph" w:styleId="TOC6">
    <w:name w:val="toc 6"/>
    <w:basedOn w:val="Normal"/>
    <w:next w:val="Normal"/>
    <w:autoRedefine/>
    <w:semiHidden/>
    <w:rsid w:val="00072AC5"/>
    <w:pPr>
      <w:spacing w:line="240" w:lineRule="auto"/>
      <w:ind w:left="1200"/>
    </w:pPr>
  </w:style>
  <w:style w:type="paragraph" w:styleId="TOC7">
    <w:name w:val="toc 7"/>
    <w:basedOn w:val="Normal"/>
    <w:next w:val="Normal"/>
    <w:autoRedefine/>
    <w:uiPriority w:val="39"/>
    <w:rsid w:val="00BE6C2B"/>
    <w:pPr>
      <w:tabs>
        <w:tab w:val="right" w:leader="dot" w:pos="8630"/>
      </w:tabs>
      <w:spacing w:line="240" w:lineRule="auto"/>
      <w:ind w:left="1440"/>
    </w:pPr>
  </w:style>
  <w:style w:type="paragraph" w:styleId="TOC8">
    <w:name w:val="toc 8"/>
    <w:basedOn w:val="Normal"/>
    <w:next w:val="Normal"/>
    <w:autoRedefine/>
    <w:uiPriority w:val="39"/>
    <w:rsid w:val="00942433"/>
    <w:pPr>
      <w:spacing w:line="240" w:lineRule="auto"/>
      <w:ind w:left="1680"/>
    </w:pPr>
    <w:rPr>
      <w:i/>
    </w:rPr>
  </w:style>
  <w:style w:type="paragraph" w:styleId="TOC9">
    <w:name w:val="toc 9"/>
    <w:basedOn w:val="Normal"/>
    <w:next w:val="Normal"/>
    <w:autoRedefine/>
    <w:uiPriority w:val="39"/>
    <w:rsid w:val="00072AC5"/>
    <w:pPr>
      <w:spacing w:line="240" w:lineRule="auto"/>
      <w:ind w:left="1920"/>
    </w:pPr>
  </w:style>
  <w:style w:type="character" w:customStyle="1" w:styleId="Heading1Char">
    <w:name w:val="Heading 1 Char"/>
    <w:link w:val="Heading1"/>
    <w:rsid w:val="004F5AE6"/>
    <w:rPr>
      <w:rFonts w:cs="Arial"/>
      <w:b/>
      <w:bCs/>
      <w:caps/>
      <w:sz w:val="28"/>
      <w:szCs w:val="24"/>
    </w:rPr>
  </w:style>
  <w:style w:type="character" w:customStyle="1" w:styleId="Heading3Char">
    <w:name w:val="Heading 3 Char"/>
    <w:link w:val="Heading3"/>
    <w:rsid w:val="00E5595B"/>
    <w:rPr>
      <w:rFonts w:cs="Arial"/>
      <w:b/>
      <w:bCs/>
      <w:iCs/>
      <w:sz w:val="24"/>
      <w:szCs w:val="26"/>
    </w:rPr>
  </w:style>
  <w:style w:type="table" w:styleId="TableGrid">
    <w:name w:val="Table Grid"/>
    <w:basedOn w:val="TableNormal"/>
    <w:rsid w:val="00975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5C0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5C01"/>
    <w:rPr>
      <w:rFonts w:ascii="Segoe UI" w:hAnsi="Segoe UI" w:cs="Segoe UI"/>
      <w:sz w:val="18"/>
      <w:szCs w:val="18"/>
    </w:rPr>
  </w:style>
  <w:style w:type="paragraph" w:styleId="ListParagraph">
    <w:name w:val="List Paragraph"/>
    <w:aliases w:val="References"/>
    <w:basedOn w:val="Normal"/>
    <w:uiPriority w:val="34"/>
    <w:qFormat/>
    <w:rsid w:val="006322A8"/>
    <w:pPr>
      <w:spacing w:line="240" w:lineRule="auto"/>
      <w:ind w:left="720" w:hanging="720"/>
    </w:pPr>
    <w:rPr>
      <w:rFonts w:cs="Times New Roman"/>
    </w:rPr>
  </w:style>
  <w:style w:type="paragraph" w:customStyle="1" w:styleId="AgronomyJournalSectionTitles">
    <w:name w:val="Agronomy Journal Section Titles"/>
    <w:basedOn w:val="Heading2"/>
    <w:link w:val="AgronomyJournalSectionTitlesChar"/>
    <w:qFormat/>
    <w:rsid w:val="00514533"/>
    <w:rPr>
      <w:caps/>
      <w:szCs w:val="24"/>
    </w:rPr>
  </w:style>
  <w:style w:type="character" w:customStyle="1" w:styleId="Heading2Char">
    <w:name w:val="Heading 2 Char"/>
    <w:basedOn w:val="DefaultParagraphFont"/>
    <w:link w:val="Heading2"/>
    <w:rsid w:val="00EA47E2"/>
    <w:rPr>
      <w:rFonts w:cs="Arial"/>
      <w:b/>
      <w:bCs/>
      <w:iCs/>
      <w:sz w:val="24"/>
      <w:szCs w:val="28"/>
    </w:rPr>
  </w:style>
  <w:style w:type="character" w:customStyle="1" w:styleId="AgronomyJournalSectionTitlesChar">
    <w:name w:val="Agronomy Journal Section Titles Char"/>
    <w:basedOn w:val="Heading2Char"/>
    <w:link w:val="AgronomyJournalSectionTitles"/>
    <w:rsid w:val="00514533"/>
    <w:rPr>
      <w:rFonts w:cs="Arial"/>
      <w:b/>
      <w:bCs/>
      <w:iCs/>
      <w:caps/>
      <w:sz w:val="24"/>
      <w:szCs w:val="24"/>
    </w:rPr>
  </w:style>
  <w:style w:type="character" w:styleId="BookTitle">
    <w:name w:val="Book Title"/>
    <w:basedOn w:val="DefaultParagraphFont"/>
    <w:uiPriority w:val="33"/>
    <w:qFormat/>
    <w:rsid w:val="00E5595B"/>
    <w:rPr>
      <w:b/>
      <w:bCs/>
      <w:i/>
      <w:iCs/>
      <w:spacing w:val="5"/>
    </w:rPr>
  </w:style>
  <w:style w:type="character" w:styleId="CommentReference">
    <w:name w:val="annotation reference"/>
    <w:basedOn w:val="DefaultParagraphFont"/>
    <w:uiPriority w:val="99"/>
    <w:semiHidden/>
    <w:unhideWhenUsed/>
    <w:rsid w:val="00367172"/>
    <w:rPr>
      <w:sz w:val="16"/>
      <w:szCs w:val="16"/>
    </w:rPr>
  </w:style>
  <w:style w:type="paragraph" w:styleId="CommentText">
    <w:name w:val="annotation text"/>
    <w:basedOn w:val="Normal"/>
    <w:link w:val="CommentTextChar"/>
    <w:uiPriority w:val="99"/>
    <w:semiHidden/>
    <w:unhideWhenUsed/>
    <w:rsid w:val="00367172"/>
    <w:pPr>
      <w:spacing w:line="240" w:lineRule="auto"/>
    </w:pPr>
    <w:rPr>
      <w:sz w:val="20"/>
      <w:szCs w:val="20"/>
    </w:rPr>
  </w:style>
  <w:style w:type="character" w:customStyle="1" w:styleId="CommentTextChar">
    <w:name w:val="Comment Text Char"/>
    <w:basedOn w:val="DefaultParagraphFont"/>
    <w:link w:val="CommentText"/>
    <w:uiPriority w:val="99"/>
    <w:semiHidden/>
    <w:rsid w:val="00367172"/>
    <w:rPr>
      <w:rFonts w:cs="Arial"/>
    </w:rPr>
  </w:style>
  <w:style w:type="paragraph" w:customStyle="1" w:styleId="Paragraphs">
    <w:name w:val="Paragraphs"/>
    <w:basedOn w:val="Normal"/>
    <w:link w:val="ParagraphsChar"/>
    <w:uiPriority w:val="3"/>
    <w:qFormat/>
    <w:rsid w:val="007E09DE"/>
    <w:pPr>
      <w:ind w:firstLine="720"/>
    </w:pPr>
    <w:rPr>
      <w:rFonts w:eastAsiaTheme="minorHAnsi" w:cstheme="minorBidi"/>
    </w:rPr>
  </w:style>
  <w:style w:type="character" w:customStyle="1" w:styleId="ParagraphsChar">
    <w:name w:val="Paragraphs Char"/>
    <w:basedOn w:val="DefaultParagraphFont"/>
    <w:link w:val="Paragraphs"/>
    <w:uiPriority w:val="3"/>
    <w:rsid w:val="007E09DE"/>
    <w:rPr>
      <w:rFonts w:eastAsiaTheme="minorHAnsi" w:cstheme="minorBidi"/>
      <w:sz w:val="24"/>
      <w:szCs w:val="24"/>
    </w:rPr>
  </w:style>
  <w:style w:type="paragraph" w:customStyle="1" w:styleId="Equation">
    <w:name w:val="Equation"/>
    <w:next w:val="Paragraphs"/>
    <w:link w:val="EquationChar"/>
    <w:uiPriority w:val="10"/>
    <w:qFormat/>
    <w:rsid w:val="007E09DE"/>
    <w:pPr>
      <w:tabs>
        <w:tab w:val="center" w:pos="4320"/>
        <w:tab w:val="right" w:pos="8640"/>
      </w:tabs>
      <w:spacing w:line="480" w:lineRule="auto"/>
    </w:pPr>
    <w:rPr>
      <w:rFonts w:eastAsiaTheme="minorHAnsi"/>
      <w:sz w:val="24"/>
      <w:szCs w:val="24"/>
    </w:rPr>
  </w:style>
  <w:style w:type="character" w:customStyle="1" w:styleId="EquationChar">
    <w:name w:val="Equation Char"/>
    <w:basedOn w:val="DefaultParagraphFont"/>
    <w:link w:val="Equation"/>
    <w:uiPriority w:val="10"/>
    <w:rsid w:val="007E09DE"/>
    <w:rPr>
      <w:rFonts w:eastAsiaTheme="minorHAnsi"/>
      <w:sz w:val="24"/>
      <w:szCs w:val="24"/>
    </w:rPr>
  </w:style>
  <w:style w:type="character" w:customStyle="1" w:styleId="UnresolvedMention1">
    <w:name w:val="Unresolved Mention1"/>
    <w:basedOn w:val="DefaultParagraphFont"/>
    <w:uiPriority w:val="99"/>
    <w:semiHidden/>
    <w:unhideWhenUsed/>
    <w:rsid w:val="00D61934"/>
    <w:rPr>
      <w:color w:val="605E5C"/>
      <w:shd w:val="clear" w:color="auto" w:fill="E1DFDD"/>
    </w:rPr>
  </w:style>
  <w:style w:type="character" w:styleId="Emphasis">
    <w:name w:val="Emphasis"/>
    <w:basedOn w:val="DefaultParagraphFont"/>
    <w:qFormat/>
    <w:rsid w:val="0076174B"/>
    <w:rPr>
      <w:b/>
      <w:bCs/>
      <w:i/>
      <w:iCs/>
    </w:rPr>
  </w:style>
  <w:style w:type="character" w:styleId="LineNumber">
    <w:name w:val="line number"/>
    <w:basedOn w:val="DefaultParagraphFont"/>
    <w:uiPriority w:val="99"/>
    <w:semiHidden/>
    <w:unhideWhenUsed/>
    <w:rsid w:val="00A612D9"/>
  </w:style>
  <w:style w:type="paragraph" w:styleId="CommentSubject">
    <w:name w:val="annotation subject"/>
    <w:basedOn w:val="CommentText"/>
    <w:next w:val="CommentText"/>
    <w:link w:val="CommentSubjectChar"/>
    <w:uiPriority w:val="99"/>
    <w:semiHidden/>
    <w:unhideWhenUsed/>
    <w:rsid w:val="00A331C2"/>
    <w:rPr>
      <w:b/>
      <w:bCs/>
    </w:rPr>
  </w:style>
  <w:style w:type="character" w:customStyle="1" w:styleId="CommentSubjectChar">
    <w:name w:val="Comment Subject Char"/>
    <w:basedOn w:val="CommentTextChar"/>
    <w:link w:val="CommentSubject"/>
    <w:uiPriority w:val="99"/>
    <w:semiHidden/>
    <w:rsid w:val="00A331C2"/>
    <w:rPr>
      <w:rFonts w:cs="Arial"/>
      <w:b/>
      <w:bCs/>
    </w:rPr>
  </w:style>
  <w:style w:type="character" w:styleId="Strong">
    <w:name w:val="Strong"/>
    <w:basedOn w:val="DefaultParagraphFont"/>
    <w:rsid w:val="008830FD"/>
    <w:rPr>
      <w:b/>
      <w:bCs/>
    </w:rPr>
  </w:style>
  <w:style w:type="paragraph" w:customStyle="1" w:styleId="Tables">
    <w:name w:val="Tables"/>
    <w:basedOn w:val="Caption"/>
    <w:link w:val="TablesChar"/>
    <w:qFormat/>
    <w:rsid w:val="008830FD"/>
    <w:rPr>
      <w:rFonts w:ascii="Times New Roman" w:eastAsia="Calibri" w:hAnsi="Times New Roman"/>
      <w:b w:val="0"/>
    </w:rPr>
  </w:style>
  <w:style w:type="paragraph" w:customStyle="1" w:styleId="Style1">
    <w:name w:val="Style1"/>
    <w:basedOn w:val="Tables"/>
    <w:link w:val="Style1Char"/>
    <w:qFormat/>
    <w:rsid w:val="003900BD"/>
    <w:rPr>
      <w:rFonts w:cs="Times New Roman"/>
    </w:rPr>
  </w:style>
  <w:style w:type="character" w:customStyle="1" w:styleId="CaptionChar">
    <w:name w:val="Caption Char"/>
    <w:basedOn w:val="DefaultParagraphFont"/>
    <w:link w:val="Caption"/>
    <w:rsid w:val="008830FD"/>
    <w:rPr>
      <w:rFonts w:ascii="Arial" w:hAnsi="Arial" w:cs="Arial"/>
      <w:b/>
      <w:bCs/>
      <w:sz w:val="24"/>
      <w:szCs w:val="24"/>
    </w:rPr>
  </w:style>
  <w:style w:type="character" w:customStyle="1" w:styleId="TablesChar">
    <w:name w:val="Tables Char"/>
    <w:basedOn w:val="CaptionChar"/>
    <w:link w:val="Tables"/>
    <w:rsid w:val="008830FD"/>
    <w:rPr>
      <w:rFonts w:ascii="Arial" w:eastAsia="Calibri" w:hAnsi="Arial" w:cs="Arial"/>
      <w:b w:val="0"/>
      <w:bCs/>
      <w:sz w:val="24"/>
      <w:szCs w:val="24"/>
    </w:rPr>
  </w:style>
  <w:style w:type="paragraph" w:customStyle="1" w:styleId="Figures">
    <w:name w:val="Figures"/>
    <w:basedOn w:val="Tables"/>
    <w:link w:val="FiguresChar"/>
    <w:qFormat/>
    <w:rsid w:val="003900BD"/>
    <w:pPr>
      <w:spacing w:after="0"/>
    </w:pPr>
    <w:rPr>
      <w:rFonts w:cs="Times New Roman"/>
      <w:bCs w:val="0"/>
      <w:noProof/>
    </w:rPr>
  </w:style>
  <w:style w:type="character" w:customStyle="1" w:styleId="Style1Char">
    <w:name w:val="Style1 Char"/>
    <w:basedOn w:val="TablesChar"/>
    <w:link w:val="Style1"/>
    <w:rsid w:val="003900BD"/>
    <w:rPr>
      <w:rFonts w:ascii="Arial" w:eastAsia="Calibri" w:hAnsi="Arial" w:cs="Arial"/>
      <w:b w:val="0"/>
      <w:bCs/>
      <w:sz w:val="24"/>
      <w:szCs w:val="24"/>
    </w:rPr>
  </w:style>
  <w:style w:type="character" w:customStyle="1" w:styleId="FiguresChar">
    <w:name w:val="Figures Char"/>
    <w:basedOn w:val="TablesChar"/>
    <w:link w:val="Figures"/>
    <w:rsid w:val="003900BD"/>
    <w:rPr>
      <w:rFonts w:ascii="Arial" w:eastAsia="Calibri" w:hAnsi="Arial" w:cs="Arial"/>
      <w:b w:val="0"/>
      <w:bCs w:val="0"/>
      <w:noProof/>
      <w:sz w:val="24"/>
      <w:szCs w:val="24"/>
    </w:rPr>
  </w:style>
  <w:style w:type="paragraph" w:customStyle="1" w:styleId="Heading41">
    <w:name w:val="Heading 4.1"/>
    <w:basedOn w:val="Heading3"/>
    <w:link w:val="Heading41Char"/>
    <w:qFormat/>
    <w:rsid w:val="00864664"/>
    <w:pPr>
      <w:spacing w:after="0" w:afterAutospacing="0" w:line="480" w:lineRule="auto"/>
      <w:jc w:val="center"/>
    </w:pPr>
    <w:rPr>
      <w:i/>
    </w:rPr>
  </w:style>
  <w:style w:type="character" w:customStyle="1" w:styleId="Heading4Char">
    <w:name w:val="Heading 4 Char"/>
    <w:basedOn w:val="DefaultParagraphFont"/>
    <w:link w:val="Heading4"/>
    <w:semiHidden/>
    <w:rsid w:val="00072AC5"/>
    <w:rPr>
      <w:rFonts w:asciiTheme="majorHAnsi" w:eastAsiaTheme="majorEastAsia" w:hAnsiTheme="majorHAnsi" w:cstheme="majorBidi"/>
      <w:i/>
      <w:iCs/>
      <w:color w:val="365F91" w:themeColor="accent1" w:themeShade="BF"/>
      <w:sz w:val="24"/>
      <w:szCs w:val="24"/>
    </w:rPr>
  </w:style>
  <w:style w:type="character" w:customStyle="1" w:styleId="Heading41Char">
    <w:name w:val="Heading 4.1 Char"/>
    <w:basedOn w:val="Heading3Char"/>
    <w:link w:val="Heading41"/>
    <w:rsid w:val="00864664"/>
    <w:rPr>
      <w:rFonts w:cs="Arial"/>
      <w:b/>
      <w:bCs/>
      <w:i/>
      <w:iCs/>
      <w:sz w:val="24"/>
      <w:szCs w:val="26"/>
    </w:rPr>
  </w:style>
  <w:style w:type="character" w:styleId="FollowedHyperlink">
    <w:name w:val="FollowedHyperlink"/>
    <w:basedOn w:val="DefaultParagraphFont"/>
    <w:semiHidden/>
    <w:unhideWhenUsed/>
    <w:rsid w:val="00DE4B1E"/>
    <w:rPr>
      <w:color w:val="800080" w:themeColor="followedHyperlink"/>
      <w:u w:val="single"/>
    </w:rPr>
  </w:style>
  <w:style w:type="paragraph" w:styleId="Revision">
    <w:name w:val="Revision"/>
    <w:hidden/>
    <w:uiPriority w:val="99"/>
    <w:semiHidden/>
    <w:rsid w:val="00665A64"/>
    <w:rPr>
      <w:rFonts w:cs="Arial"/>
      <w:sz w:val="24"/>
      <w:szCs w:val="24"/>
    </w:rPr>
  </w:style>
  <w:style w:type="character" w:styleId="UnresolvedMention">
    <w:name w:val="Unresolved Mention"/>
    <w:basedOn w:val="DefaultParagraphFont"/>
    <w:uiPriority w:val="99"/>
    <w:semiHidden/>
    <w:unhideWhenUsed/>
    <w:rsid w:val="00D12D08"/>
    <w:rPr>
      <w:color w:val="605E5C"/>
      <w:shd w:val="clear" w:color="auto" w:fill="E1DFDD"/>
    </w:rPr>
  </w:style>
  <w:style w:type="paragraph" w:customStyle="1" w:styleId="Pa0">
    <w:name w:val="Pa0"/>
    <w:basedOn w:val="Normal"/>
    <w:next w:val="Normal"/>
    <w:uiPriority w:val="99"/>
    <w:rsid w:val="00EA47E2"/>
    <w:pPr>
      <w:autoSpaceDE w:val="0"/>
      <w:autoSpaceDN w:val="0"/>
      <w:adjustRightInd w:val="0"/>
      <w:spacing w:line="240" w:lineRule="atLeast"/>
    </w:pPr>
    <w:rPr>
      <w:rFonts w:ascii="HelveticaNeueLT Std" w:eastAsia="Calibri" w:hAnsi="HelveticaNeueLT Std" w:cs="Times New Roman"/>
    </w:rPr>
  </w:style>
  <w:style w:type="character" w:customStyle="1" w:styleId="A1">
    <w:name w:val="A1"/>
    <w:uiPriority w:val="99"/>
    <w:rsid w:val="00EA47E2"/>
    <w:rPr>
      <w:rFonts w:cs="HelveticaNeueLT Std"/>
      <w:color w:val="000000"/>
      <w:sz w:val="16"/>
      <w:szCs w:val="16"/>
    </w:rPr>
  </w:style>
  <w:style w:type="paragraph" w:customStyle="1" w:styleId="Style2">
    <w:name w:val="Style2"/>
    <w:basedOn w:val="Heading2"/>
    <w:link w:val="Style2Char"/>
    <w:qFormat/>
    <w:rsid w:val="00EA47E2"/>
    <w:rPr>
      <w:szCs w:val="24"/>
      <w:shd w:val="clear" w:color="auto" w:fill="FFFFFF"/>
    </w:rPr>
  </w:style>
  <w:style w:type="character" w:customStyle="1" w:styleId="HeaderChar">
    <w:name w:val="Header Char"/>
    <w:basedOn w:val="DefaultParagraphFont"/>
    <w:link w:val="Header"/>
    <w:uiPriority w:val="99"/>
    <w:rsid w:val="003C00F4"/>
    <w:rPr>
      <w:rFonts w:ascii="Arial" w:hAnsi="Arial" w:cs="Arial"/>
      <w:sz w:val="24"/>
      <w:szCs w:val="24"/>
    </w:rPr>
  </w:style>
  <w:style w:type="character" w:customStyle="1" w:styleId="Style2Char">
    <w:name w:val="Style2 Char"/>
    <w:basedOn w:val="Heading2Char"/>
    <w:link w:val="Style2"/>
    <w:rsid w:val="00EA47E2"/>
    <w:rPr>
      <w:rFonts w:cs="Arial"/>
      <w:b/>
      <w:bCs/>
      <w:iCs/>
      <w:sz w:val="24"/>
      <w:szCs w:val="24"/>
    </w:rPr>
  </w:style>
  <w:style w:type="paragraph" w:styleId="NormalWeb">
    <w:name w:val="Normal (Web)"/>
    <w:basedOn w:val="Normal"/>
    <w:uiPriority w:val="99"/>
    <w:semiHidden/>
    <w:unhideWhenUsed/>
    <w:rsid w:val="003C00F4"/>
    <w:pPr>
      <w:spacing w:before="100" w:beforeAutospacing="1" w:after="100" w:afterAutospacing="1" w:line="240" w:lineRule="auto"/>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5868">
      <w:bodyDiv w:val="1"/>
      <w:marLeft w:val="0"/>
      <w:marRight w:val="0"/>
      <w:marTop w:val="0"/>
      <w:marBottom w:val="0"/>
      <w:divBdr>
        <w:top w:val="none" w:sz="0" w:space="0" w:color="auto"/>
        <w:left w:val="none" w:sz="0" w:space="0" w:color="auto"/>
        <w:bottom w:val="none" w:sz="0" w:space="0" w:color="auto"/>
        <w:right w:val="none" w:sz="0" w:space="0" w:color="auto"/>
      </w:divBdr>
    </w:div>
    <w:div w:id="53622999">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669219726">
      <w:bodyDiv w:val="1"/>
      <w:marLeft w:val="0"/>
      <w:marRight w:val="0"/>
      <w:marTop w:val="0"/>
      <w:marBottom w:val="0"/>
      <w:divBdr>
        <w:top w:val="none" w:sz="0" w:space="0" w:color="auto"/>
        <w:left w:val="none" w:sz="0" w:space="0" w:color="auto"/>
        <w:bottom w:val="none" w:sz="0" w:space="0" w:color="auto"/>
        <w:right w:val="none" w:sz="0" w:space="0" w:color="auto"/>
      </w:divBdr>
    </w:div>
    <w:div w:id="690104441">
      <w:bodyDiv w:val="1"/>
      <w:marLeft w:val="0"/>
      <w:marRight w:val="0"/>
      <w:marTop w:val="0"/>
      <w:marBottom w:val="0"/>
      <w:divBdr>
        <w:top w:val="none" w:sz="0" w:space="0" w:color="auto"/>
        <w:left w:val="none" w:sz="0" w:space="0" w:color="auto"/>
        <w:bottom w:val="none" w:sz="0" w:space="0" w:color="auto"/>
        <w:right w:val="none" w:sz="0" w:space="0" w:color="auto"/>
      </w:divBdr>
    </w:div>
    <w:div w:id="804470092">
      <w:bodyDiv w:val="1"/>
      <w:marLeft w:val="0"/>
      <w:marRight w:val="0"/>
      <w:marTop w:val="0"/>
      <w:marBottom w:val="0"/>
      <w:divBdr>
        <w:top w:val="none" w:sz="0" w:space="0" w:color="auto"/>
        <w:left w:val="none" w:sz="0" w:space="0" w:color="auto"/>
        <w:bottom w:val="none" w:sz="0" w:space="0" w:color="auto"/>
        <w:right w:val="none" w:sz="0" w:space="0" w:color="auto"/>
      </w:divBdr>
    </w:div>
    <w:div w:id="953293061">
      <w:bodyDiv w:val="1"/>
      <w:marLeft w:val="0"/>
      <w:marRight w:val="0"/>
      <w:marTop w:val="0"/>
      <w:marBottom w:val="0"/>
      <w:divBdr>
        <w:top w:val="none" w:sz="0" w:space="0" w:color="auto"/>
        <w:left w:val="none" w:sz="0" w:space="0" w:color="auto"/>
        <w:bottom w:val="none" w:sz="0" w:space="0" w:color="auto"/>
        <w:right w:val="none" w:sz="0" w:space="0" w:color="auto"/>
      </w:divBdr>
    </w:div>
    <w:div w:id="1287394723">
      <w:bodyDiv w:val="1"/>
      <w:marLeft w:val="0"/>
      <w:marRight w:val="0"/>
      <w:marTop w:val="0"/>
      <w:marBottom w:val="0"/>
      <w:divBdr>
        <w:top w:val="none" w:sz="0" w:space="0" w:color="auto"/>
        <w:left w:val="none" w:sz="0" w:space="0" w:color="auto"/>
        <w:bottom w:val="none" w:sz="0" w:space="0" w:color="auto"/>
        <w:right w:val="none" w:sz="0" w:space="0" w:color="auto"/>
      </w:divBdr>
    </w:div>
    <w:div w:id="1325624482">
      <w:bodyDiv w:val="1"/>
      <w:marLeft w:val="0"/>
      <w:marRight w:val="0"/>
      <w:marTop w:val="0"/>
      <w:marBottom w:val="0"/>
      <w:divBdr>
        <w:top w:val="none" w:sz="0" w:space="0" w:color="auto"/>
        <w:left w:val="none" w:sz="0" w:space="0" w:color="auto"/>
        <w:bottom w:val="none" w:sz="0" w:space="0" w:color="auto"/>
        <w:right w:val="none" w:sz="0" w:space="0" w:color="auto"/>
      </w:divBdr>
    </w:div>
    <w:div w:id="1582058450">
      <w:bodyDiv w:val="1"/>
      <w:marLeft w:val="0"/>
      <w:marRight w:val="0"/>
      <w:marTop w:val="0"/>
      <w:marBottom w:val="0"/>
      <w:divBdr>
        <w:top w:val="none" w:sz="0" w:space="0" w:color="auto"/>
        <w:left w:val="none" w:sz="0" w:space="0" w:color="auto"/>
        <w:bottom w:val="none" w:sz="0" w:space="0" w:color="auto"/>
        <w:right w:val="none" w:sz="0" w:space="0" w:color="auto"/>
      </w:divBdr>
    </w:div>
    <w:div w:id="1759475056">
      <w:bodyDiv w:val="1"/>
      <w:marLeft w:val="0"/>
      <w:marRight w:val="0"/>
      <w:marTop w:val="0"/>
      <w:marBottom w:val="0"/>
      <w:divBdr>
        <w:top w:val="none" w:sz="0" w:space="0" w:color="auto"/>
        <w:left w:val="none" w:sz="0" w:space="0" w:color="auto"/>
        <w:bottom w:val="none" w:sz="0" w:space="0" w:color="auto"/>
        <w:right w:val="none" w:sz="0" w:space="0" w:color="auto"/>
      </w:divBdr>
    </w:div>
    <w:div w:id="1853179851">
      <w:bodyDiv w:val="1"/>
      <w:marLeft w:val="0"/>
      <w:marRight w:val="0"/>
      <w:marTop w:val="0"/>
      <w:marBottom w:val="0"/>
      <w:divBdr>
        <w:top w:val="none" w:sz="0" w:space="0" w:color="auto"/>
        <w:left w:val="none" w:sz="0" w:space="0" w:color="auto"/>
        <w:bottom w:val="none" w:sz="0" w:space="0" w:color="auto"/>
        <w:right w:val="none" w:sz="0" w:space="0" w:color="auto"/>
      </w:divBdr>
    </w:div>
    <w:div w:id="204979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10.2134/agronj2001.934896x" TargetMode="External"/><Relationship Id="rId18" Type="http://schemas.openxmlformats.org/officeDocument/2006/relationships/hyperlink" Target="https://doi.org/10.1002/agj2.20323" TargetMode="External"/><Relationship Id="rId26" Type="http://schemas.openxmlformats.org/officeDocument/2006/relationships/hyperlink" Target="https://doi.org/10.2134/agronj1984.00021962007600050020x" TargetMode="External"/><Relationship Id="rId39" Type="http://schemas.openxmlformats.org/officeDocument/2006/relationships/chart" Target="charts/chart5.xml"/><Relationship Id="rId21" Type="http://schemas.openxmlformats.org/officeDocument/2006/relationships/chart" Target="charts/chart2.xml"/><Relationship Id="rId34" Type="http://schemas.openxmlformats.org/officeDocument/2006/relationships/header" Target="header1.xml"/><Relationship Id="rId42" Type="http://schemas.openxmlformats.org/officeDocument/2006/relationships/chart" Target="charts/chart7.xml"/><Relationship Id="rId47" Type="http://schemas.openxmlformats.org/officeDocument/2006/relationships/chart" Target="charts/chart12.xml"/><Relationship Id="rId50" Type="http://schemas.openxmlformats.org/officeDocument/2006/relationships/chart" Target="charts/chart15.xml"/><Relationship Id="rId55"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doi:10.2134/agronj2009.0193" TargetMode="External"/><Relationship Id="rId17" Type="http://schemas.openxmlformats.org/officeDocument/2006/relationships/hyperlink" Target="https://doi:10.2134/agronj2002.0413" TargetMode="External"/><Relationship Id="rId25" Type="http://schemas.openxmlformats.org/officeDocument/2006/relationships/hyperlink" Target="https://doi.org/10.2134/agronj2009.0468" TargetMode="External"/><Relationship Id="rId33" Type="http://schemas.openxmlformats.org/officeDocument/2006/relationships/hyperlink" Target="https://plants.sc.egov.usda.gov/plantguide/pdf/pg_ruhi2.pdf" TargetMode="External"/><Relationship Id="rId38" Type="http://schemas.openxmlformats.org/officeDocument/2006/relationships/chart" Target="charts/chart4.xml"/><Relationship Id="rId46" Type="http://schemas.openxmlformats.org/officeDocument/2006/relationships/chart" Target="charts/chart11.xml"/><Relationship Id="rId2" Type="http://schemas.openxmlformats.org/officeDocument/2006/relationships/numbering" Target="numbering.xml"/><Relationship Id="rId16" Type="http://schemas.openxmlformats.org/officeDocument/2006/relationships/hyperlink" Target="https://doi.org/10.1002/agj2.20130" TargetMode="External"/><Relationship Id="rId20" Type="http://schemas.openxmlformats.org/officeDocument/2006/relationships/chart" Target="charts/chart1.xml"/><Relationship Id="rId29" Type="http://schemas.openxmlformats.org/officeDocument/2006/relationships/hyperlink" Target="https://doi.org/10.2134/agronj2012.0384" TargetMode="External"/><Relationship Id="rId41" Type="http://schemas.openxmlformats.org/officeDocument/2006/relationships/image" Target="media/image3.emf"/><Relationship Id="rId54"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agj2.20562" TargetMode="External"/><Relationship Id="rId24" Type="http://schemas.openxmlformats.org/officeDocument/2006/relationships/hyperlink" Target="https://doi.org/10.2134/agronj2009.0468" TargetMode="External"/><Relationship Id="rId32" Type="http://schemas.openxmlformats.org/officeDocument/2006/relationships/hyperlink" Target="https://plants.usda.gov/factsheet/pdf/fs_cola5.pdf" TargetMode="External"/><Relationship Id="rId37" Type="http://schemas.openxmlformats.org/officeDocument/2006/relationships/chart" Target="charts/chart3.xml"/><Relationship Id="rId40" Type="http://schemas.openxmlformats.org/officeDocument/2006/relationships/chart" Target="charts/chart6.xml"/><Relationship Id="rId45" Type="http://schemas.openxmlformats.org/officeDocument/2006/relationships/chart" Target="charts/chart10.xml"/><Relationship Id="rId53" Type="http://schemas.openxmlformats.org/officeDocument/2006/relationships/image" Target="media/image5.pn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ebsoilsurvey.sc.egov.usda.gov/App/WebSoilSurvey.aspx" TargetMode="External"/><Relationship Id="rId23" Type="http://schemas.openxmlformats.org/officeDocument/2006/relationships/hyperlink" Target="https://doi.org/10.2134/agronj2009.0265" TargetMode="External"/><Relationship Id="rId28" Type="http://schemas.openxmlformats.org/officeDocument/2006/relationships/hyperlink" Target="https://doi.org/10.2134/agronj1979.00021962007100030024x" TargetMode="External"/><Relationship Id="rId36" Type="http://schemas.openxmlformats.org/officeDocument/2006/relationships/image" Target="media/image2.emf"/><Relationship Id="rId49" Type="http://schemas.openxmlformats.org/officeDocument/2006/relationships/chart" Target="charts/chart14.xml"/><Relationship Id="rId57" Type="http://schemas.openxmlformats.org/officeDocument/2006/relationships/fontTable" Target="fontTable.xml"/><Relationship Id="rId10" Type="http://schemas.openxmlformats.org/officeDocument/2006/relationships/hyperlink" Target="https://doi.org/10.2527/jas.2006-489" TargetMode="External"/><Relationship Id="rId19" Type="http://schemas.openxmlformats.org/officeDocument/2006/relationships/image" Target="media/image1.jpg"/><Relationship Id="rId31" Type="http://schemas.openxmlformats.org/officeDocument/2006/relationships/hyperlink" Target="https://doi.org/10.1002/agj2.20130" TargetMode="External"/><Relationship Id="rId44" Type="http://schemas.openxmlformats.org/officeDocument/2006/relationships/chart" Target="charts/chart9.xml"/><Relationship Id="rId52"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hyperlink" Target="https://doi:10.1016/j.biombioe.2010.08.042" TargetMode="External"/><Relationship Id="rId14" Type="http://schemas.openxmlformats.org/officeDocument/2006/relationships/hyperlink" Target="https://w2.weather.gov/climate/xmacis.php?wfo=ohx" TargetMode="External"/><Relationship Id="rId22" Type="http://schemas.openxmlformats.org/officeDocument/2006/relationships/hyperlink" Target="https://doi.org/10.1002/agj2.20426" TargetMode="External"/><Relationship Id="rId27" Type="http://schemas.openxmlformats.org/officeDocument/2006/relationships/hyperlink" Target="https://doi.org/10.2111/1551-5028(2004)057%5b0058:GMEOPS%5d2.0.CO;2" TargetMode="External"/><Relationship Id="rId30" Type="http://schemas.openxmlformats.org/officeDocument/2006/relationships/hyperlink" Target="https://w2.weather.gov/climate/xmacis.php?wfo=mrx" TargetMode="External"/><Relationship Id="rId35" Type="http://schemas.openxmlformats.org/officeDocument/2006/relationships/footer" Target="footer2.xml"/><Relationship Id="rId43" Type="http://schemas.openxmlformats.org/officeDocument/2006/relationships/chart" Target="charts/chart8.xml"/><Relationship Id="rId48" Type="http://schemas.openxmlformats.org/officeDocument/2006/relationships/chart" Target="charts/chart13.xml"/><Relationship Id="rId56" Type="http://schemas.openxmlformats.org/officeDocument/2006/relationships/image" Target="media/image8.jpg"/><Relationship Id="rId8" Type="http://schemas.openxmlformats.org/officeDocument/2006/relationships/footer" Target="footer1.xml"/><Relationship Id="rId51" Type="http://schemas.openxmlformats.org/officeDocument/2006/relationships/chart" Target="charts/chart16.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ndr\Downloads\multipart-te%20(2).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1.xlsx"/></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1" Type="http://schemas.openxmlformats.org/officeDocument/2006/relationships/oleObject" Target="file:///G:\UTK\Dissertation\GETTIN%20OUTTA%20HERE\Dissertation%20Tables%20and%20Graphs%20(version%201)%20(version%201).xlsx" TargetMode="Externa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9.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10.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11.xlsx"/></Relationships>
</file>

<file path=word/charts/_rels/chart16.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1"/>
          <c:order val="0"/>
          <c:tx>
            <c:strRef>
              <c:f>'[Chart in Microsoft Word]MTREC - Air Temp and Precip'!$T$74</c:f>
              <c:strCache>
                <c:ptCount val="1"/>
                <c:pt idx="0">
                  <c:v>2018</c:v>
                </c:pt>
              </c:strCache>
            </c:strRef>
          </c:tx>
          <c:spPr>
            <a:solidFill>
              <a:sysClr val="windowText" lastClr="000000">
                <a:lumMod val="50000"/>
                <a:lumOff val="50000"/>
              </a:sysClr>
            </a:solidFill>
            <a:ln>
              <a:solidFill>
                <a:sysClr val="windowText" lastClr="000000"/>
              </a:solidFill>
            </a:ln>
            <a:effectLst/>
          </c:spPr>
          <c:invertIfNegative val="0"/>
          <c:cat>
            <c:strRef>
              <c:f>'[Chart in Microsoft Word]MTREC - Air Temp and Precip'!$U$72:$AF$72</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'[Chart in Microsoft Word]MTREC - Air Temp and Precip'!$U$74:$AF$74</c:f>
              <c:numCache>
                <c:formatCode>General</c:formatCode>
                <c:ptCount val="12"/>
                <c:pt idx="8" formatCode="0.0">
                  <c:v>24.989351851851854</c:v>
                </c:pt>
                <c:pt idx="9" formatCode="0.0">
                  <c:v>17.171743295019152</c:v>
                </c:pt>
                <c:pt idx="10" formatCode="0.0">
                  <c:v>6.3229629629629693</c:v>
                </c:pt>
                <c:pt idx="11" formatCode="0.0">
                  <c:v>5.167741935483865</c:v>
                </c:pt>
              </c:numCache>
            </c:numRef>
          </c:val>
          <c:extLst xmlns:c15="http://schemas.microsoft.com/office/drawing/2012/chart">
            <c:ext xmlns:c16="http://schemas.microsoft.com/office/drawing/2014/chart" uri="{C3380CC4-5D6E-409C-BE32-E72D297353CC}">
              <c16:uniqueId val="{00000000-A5D1-46FF-A978-1188D7E1E2FA}"/>
            </c:ext>
          </c:extLst>
        </c:ser>
        <c:ser>
          <c:idx val="2"/>
          <c:order val="1"/>
          <c:tx>
            <c:strRef>
              <c:f>'[Chart in Microsoft Word]MTREC - Air Temp and Precip'!$T$75</c:f>
              <c:strCache>
                <c:ptCount val="1"/>
                <c:pt idx="0">
                  <c:v>2019</c:v>
                </c:pt>
              </c:strCache>
            </c:strRef>
          </c:tx>
          <c:spPr>
            <a:solidFill>
              <a:srgbClr val="E7E6E6">
                <a:lumMod val="90000"/>
              </a:srgbClr>
            </a:solidFill>
            <a:ln>
              <a:solidFill>
                <a:sysClr val="windowText" lastClr="000000"/>
              </a:solidFill>
            </a:ln>
            <a:effectLst/>
          </c:spPr>
          <c:invertIfNegative val="0"/>
          <c:cat>
            <c:strRef>
              <c:f>'[Chart in Microsoft Word]MTREC - Air Temp and Precip'!$U$72:$AF$72</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'[Chart in Microsoft Word]MTREC - Air Temp and Precip'!$U$75:$AF$75</c:f>
              <c:numCache>
                <c:formatCode>0.0</c:formatCode>
                <c:ptCount val="12"/>
                <c:pt idx="0">
                  <c:v>3.6666666666666674</c:v>
                </c:pt>
                <c:pt idx="1">
                  <c:v>7.5555555555555562</c:v>
                </c:pt>
                <c:pt idx="2">
                  <c:v>8.0055555555555546</c:v>
                </c:pt>
                <c:pt idx="3">
                  <c:v>15.083333333333334</c:v>
                </c:pt>
                <c:pt idx="4">
                  <c:v>21.327777777777779</c:v>
                </c:pt>
                <c:pt idx="5">
                  <c:v>23.588888888888885</c:v>
                </c:pt>
                <c:pt idx="6">
                  <c:v>25.855555555555561</c:v>
                </c:pt>
                <c:pt idx="7">
                  <c:v>25.472222222222221</c:v>
                </c:pt>
                <c:pt idx="8">
                  <c:v>25.191666666666666</c:v>
                </c:pt>
                <c:pt idx="9">
                  <c:v>16.419444444444444</c:v>
                </c:pt>
                <c:pt idx="10">
                  <c:v>6.0383333333333331</c:v>
                </c:pt>
                <c:pt idx="11">
                  <c:v>6.7167222222222227</c:v>
                </c:pt>
              </c:numCache>
            </c:numRef>
          </c:val>
          <c:extLst>
            <c:ext xmlns:c16="http://schemas.microsoft.com/office/drawing/2014/chart" uri="{C3380CC4-5D6E-409C-BE32-E72D297353CC}">
              <c16:uniqueId val="{00000001-A5D1-46FF-A978-1188D7E1E2FA}"/>
            </c:ext>
          </c:extLst>
        </c:ser>
        <c:ser>
          <c:idx val="4"/>
          <c:order val="2"/>
          <c:tx>
            <c:strRef>
              <c:f>'[Chart in Microsoft Word]MTREC - Air Temp and Precip'!$T$76</c:f>
              <c:strCache>
                <c:ptCount val="1"/>
                <c:pt idx="0">
                  <c:v>2020</c:v>
                </c:pt>
              </c:strCache>
            </c:strRef>
          </c:tx>
          <c:spPr>
            <a:solidFill>
              <a:sysClr val="windowText" lastClr="000000"/>
            </a:solidFill>
            <a:ln>
              <a:solidFill>
                <a:sysClr val="windowText" lastClr="000000"/>
              </a:solidFill>
            </a:ln>
            <a:effectLst/>
          </c:spPr>
          <c:invertIfNegative val="0"/>
          <c:cat>
            <c:strRef>
              <c:f>'[Chart in Microsoft Word]MTREC - Air Temp and Precip'!$U$72:$AF$72</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'[Chart in Microsoft Word]MTREC - Air Temp and Precip'!$U$76:$AF$76</c:f>
              <c:numCache>
                <c:formatCode>0.0</c:formatCode>
                <c:ptCount val="12"/>
                <c:pt idx="0">
                  <c:v>5.1555555555555568</c:v>
                </c:pt>
                <c:pt idx="1">
                  <c:v>5.2166666666666668</c:v>
                </c:pt>
                <c:pt idx="2">
                  <c:v>11.959999999999999</c:v>
                </c:pt>
                <c:pt idx="3">
                  <c:v>13.148333333333335</c:v>
                </c:pt>
                <c:pt idx="4">
                  <c:v>17.97111111111111</c:v>
                </c:pt>
                <c:pt idx="5">
                  <c:v>23.322222222222226</c:v>
                </c:pt>
                <c:pt idx="6">
                  <c:v>26.493333333333336</c:v>
                </c:pt>
                <c:pt idx="7">
                  <c:v>24.943333333333332</c:v>
                </c:pt>
                <c:pt idx="8">
                  <c:v>21.1</c:v>
                </c:pt>
              </c:numCache>
            </c:numRef>
          </c:val>
          <c:extLst>
            <c:ext xmlns:c16="http://schemas.microsoft.com/office/drawing/2014/chart" uri="{C3380CC4-5D6E-409C-BE32-E72D297353CC}">
              <c16:uniqueId val="{00000002-A5D1-46FF-A978-1188D7E1E2FA}"/>
            </c:ext>
          </c:extLst>
        </c:ser>
        <c:dLbls>
          <c:showLegendKey val="0"/>
          <c:showVal val="0"/>
          <c:showCatName val="0"/>
          <c:showSerName val="0"/>
          <c:showPercent val="0"/>
          <c:showBubbleSize val="0"/>
        </c:dLbls>
        <c:gapWidth val="150"/>
        <c:axId val="395589712"/>
        <c:axId val="395596840"/>
        <c:extLst/>
      </c:barChart>
      <c:lineChart>
        <c:grouping val="standard"/>
        <c:varyColors val="0"/>
        <c:ser>
          <c:idx val="3"/>
          <c:order val="3"/>
          <c:tx>
            <c:strRef>
              <c:f>'[Chart in Microsoft Word]MTREC - Air Temp and Precip'!$T$77</c:f>
              <c:strCache>
                <c:ptCount val="1"/>
                <c:pt idx="0">
                  <c:v>30-year mean†</c:v>
                </c:pt>
              </c:strCache>
            </c:strRef>
          </c:tx>
          <c:spPr>
            <a:ln w="31750" cap="sq">
              <a:solidFill>
                <a:srgbClr val="FF0000"/>
              </a:solidFill>
              <a:prstDash val="sysDot"/>
              <a:miter lim="800000"/>
            </a:ln>
            <a:effectLst/>
          </c:spPr>
          <c:marker>
            <c:symbol val="none"/>
          </c:marker>
          <c:cat>
            <c:strRef>
              <c:f>'[Chart in Microsoft Word]MTREC - Air Temp and Precip'!$U$72:$AF$72</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'[Chart in Microsoft Word]MTREC - Air Temp and Precip'!$U$77:$AF$77</c:f>
              <c:numCache>
                <c:formatCode>0.0</c:formatCode>
                <c:ptCount val="12"/>
                <c:pt idx="0">
                  <c:v>3.2255555555555562</c:v>
                </c:pt>
                <c:pt idx="1">
                  <c:v>5.2501355820105813</c:v>
                </c:pt>
                <c:pt idx="2">
                  <c:v>9.7342374242986054</c:v>
                </c:pt>
                <c:pt idx="3">
                  <c:v>14.674498722860793</c:v>
                </c:pt>
                <c:pt idx="4">
                  <c:v>19.597665925101964</c:v>
                </c:pt>
                <c:pt idx="5">
                  <c:v>23.846657407407402</c:v>
                </c:pt>
                <c:pt idx="6">
                  <c:v>25.796528076463566</c:v>
                </c:pt>
                <c:pt idx="7">
                  <c:v>25.331898405635897</c:v>
                </c:pt>
                <c:pt idx="8">
                  <c:v>21.724910493827164</c:v>
                </c:pt>
                <c:pt idx="9">
                  <c:v>15.3433584714939</c:v>
                </c:pt>
                <c:pt idx="10">
                  <c:v>9.2668710089399742</c:v>
                </c:pt>
                <c:pt idx="11">
                  <c:v>5.0343487208008897</c:v>
                </c:pt>
              </c:numCache>
            </c:numRef>
          </c:val>
          <c:smooth val="0"/>
          <c:extLst>
            <c:ext xmlns:c16="http://schemas.microsoft.com/office/drawing/2014/chart" uri="{C3380CC4-5D6E-409C-BE32-E72D297353CC}">
              <c16:uniqueId val="{00000003-A5D1-46FF-A978-1188D7E1E2FA}"/>
            </c:ext>
          </c:extLst>
        </c:ser>
        <c:dLbls>
          <c:showLegendKey val="0"/>
          <c:showVal val="0"/>
          <c:showCatName val="0"/>
          <c:showSerName val="0"/>
          <c:showPercent val="0"/>
          <c:showBubbleSize val="0"/>
        </c:dLbls>
        <c:marker val="1"/>
        <c:smooth val="0"/>
        <c:axId val="395589712"/>
        <c:axId val="395596840"/>
      </c:lineChart>
      <c:catAx>
        <c:axId val="395589712"/>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395596840"/>
        <c:crosses val="autoZero"/>
        <c:auto val="1"/>
        <c:lblAlgn val="ctr"/>
        <c:lblOffset val="100"/>
        <c:noMultiLvlLbl val="0"/>
      </c:catAx>
      <c:valAx>
        <c:axId val="395596840"/>
        <c:scaling>
          <c:orientation val="minMax"/>
        </c:scaling>
        <c:delete val="0"/>
        <c:axPos val="l"/>
        <c:majorGridlines>
          <c:spPr>
            <a:ln w="9525" cap="flat" cmpd="sng" algn="ctr">
              <a:solidFill>
                <a:sysClr val="windowText" lastClr="000000"/>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r>
                  <a:rPr lang="en-US"/>
                  <a:t>Monthly air temperature (°C)</a:t>
                </a:r>
              </a:p>
            </c:rich>
          </c:tx>
          <c:layout>
            <c:manualLayout>
              <c:xMode val="edge"/>
              <c:yMode val="edge"/>
              <c:x val="1.8518518518518517E-2"/>
              <c:y val="0.14254619687690553"/>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395589712"/>
        <c:crosses val="autoZero"/>
        <c:crossBetween val="between"/>
      </c:valAx>
      <c:spPr>
        <a:noFill/>
        <a:ln>
          <a:noFill/>
        </a:ln>
        <a:effectLst/>
      </c:spPr>
    </c:plotArea>
    <c:legend>
      <c:legendPos val="b"/>
      <c:layout>
        <c:manualLayout>
          <c:xMode val="edge"/>
          <c:yMode val="edge"/>
          <c:x val="0.24020701927799526"/>
          <c:y val="0.92230399771457128"/>
          <c:w val="0.68938192351679173"/>
          <c:h val="6.1896887283273756E-2"/>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ysClr val="windowText" lastClr="000000"/>
      </a:solidFill>
      <a:round/>
    </a:ln>
    <a:effectLst/>
  </c:spPr>
  <c:txPr>
    <a:bodyPr/>
    <a:lstStyle/>
    <a:p>
      <a:pPr>
        <a:defRPr sz="1200" baseline="0">
          <a:solidFill>
            <a:sysClr val="windowText" lastClr="000000"/>
          </a:solidFill>
          <a:latin typeface="Times New Roman" panose="02020603050405020304" pitchFamily="18" charset="0"/>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1"/>
          <c:order val="0"/>
          <c:tx>
            <c:strRef>
              <c:f>'[Chart in Microsoft Word]MTREC - Air Temp and Precip'!$B$74</c:f>
              <c:strCache>
                <c:ptCount val="1"/>
                <c:pt idx="0">
                  <c:v>2018</c:v>
                </c:pt>
              </c:strCache>
            </c:strRef>
          </c:tx>
          <c:spPr>
            <a:solidFill>
              <a:srgbClr val="E7E6E6">
                <a:lumMod val="50000"/>
              </a:srgbClr>
            </a:solidFill>
            <a:ln>
              <a:solidFill>
                <a:sysClr val="windowText" lastClr="000000"/>
              </a:solidFill>
            </a:ln>
            <a:effectLst/>
          </c:spPr>
          <c:invertIfNegative val="0"/>
          <c:cat>
            <c:strRef>
              <c:f>'[Chart in Microsoft Word]MTREC - Air Temp and Precip'!$C$72:$N$72</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'[Chart in Microsoft Word]MTREC - Air Temp and Precip'!$C$74:$N$74</c:f>
              <c:numCache>
                <c:formatCode>General</c:formatCode>
                <c:ptCount val="12"/>
                <c:pt idx="8" formatCode="0.0">
                  <c:v>234.696</c:v>
                </c:pt>
                <c:pt idx="9" formatCode="0.0">
                  <c:v>96.774000000000001</c:v>
                </c:pt>
                <c:pt idx="10" formatCode="0.0">
                  <c:v>105.41</c:v>
                </c:pt>
                <c:pt idx="11" formatCode="0.0">
                  <c:v>180.33999999999997</c:v>
                </c:pt>
              </c:numCache>
            </c:numRef>
          </c:val>
          <c:extLst xmlns:c15="http://schemas.microsoft.com/office/drawing/2012/chart">
            <c:ext xmlns:c16="http://schemas.microsoft.com/office/drawing/2014/chart" uri="{C3380CC4-5D6E-409C-BE32-E72D297353CC}">
              <c16:uniqueId val="{00000000-58C5-4C6E-9F34-0A6D21AE0CA4}"/>
            </c:ext>
          </c:extLst>
        </c:ser>
        <c:ser>
          <c:idx val="2"/>
          <c:order val="1"/>
          <c:tx>
            <c:strRef>
              <c:f>'[Chart in Microsoft Word]MTREC - Air Temp and Precip'!$B$75</c:f>
              <c:strCache>
                <c:ptCount val="1"/>
                <c:pt idx="0">
                  <c:v>2019</c:v>
                </c:pt>
              </c:strCache>
            </c:strRef>
          </c:tx>
          <c:spPr>
            <a:solidFill>
              <a:srgbClr val="E7E6E6">
                <a:lumMod val="90000"/>
              </a:srgbClr>
            </a:solidFill>
            <a:ln>
              <a:solidFill>
                <a:sysClr val="windowText" lastClr="000000"/>
              </a:solidFill>
            </a:ln>
            <a:effectLst/>
          </c:spPr>
          <c:invertIfNegative val="0"/>
          <c:cat>
            <c:strRef>
              <c:f>'[Chart in Microsoft Word]MTREC - Air Temp and Precip'!$C$72:$N$72</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'[Chart in Microsoft Word]MTREC - Air Temp and Precip'!$C$75:$N$75</c:f>
              <c:numCache>
                <c:formatCode>0.0</c:formatCode>
                <c:ptCount val="12"/>
                <c:pt idx="0">
                  <c:v>162.56</c:v>
                </c:pt>
                <c:pt idx="1">
                  <c:v>267.46199999999999</c:v>
                </c:pt>
                <c:pt idx="2">
                  <c:v>87.63</c:v>
                </c:pt>
                <c:pt idx="3">
                  <c:v>145.79599999999999</c:v>
                </c:pt>
                <c:pt idx="4">
                  <c:v>84.073999999999998</c:v>
                </c:pt>
                <c:pt idx="5">
                  <c:v>110.23599999999999</c:v>
                </c:pt>
                <c:pt idx="6">
                  <c:v>75.945999999999998</c:v>
                </c:pt>
                <c:pt idx="7">
                  <c:v>70.103999999999985</c:v>
                </c:pt>
                <c:pt idx="8">
                  <c:v>1.778</c:v>
                </c:pt>
                <c:pt idx="9">
                  <c:v>195.32599999999999</c:v>
                </c:pt>
                <c:pt idx="10">
                  <c:v>127</c:v>
                </c:pt>
                <c:pt idx="11">
                  <c:v>155.44800000000001</c:v>
                </c:pt>
              </c:numCache>
            </c:numRef>
          </c:val>
          <c:extLst>
            <c:ext xmlns:c16="http://schemas.microsoft.com/office/drawing/2014/chart" uri="{C3380CC4-5D6E-409C-BE32-E72D297353CC}">
              <c16:uniqueId val="{00000001-58C5-4C6E-9F34-0A6D21AE0CA4}"/>
            </c:ext>
          </c:extLst>
        </c:ser>
        <c:ser>
          <c:idx val="3"/>
          <c:order val="2"/>
          <c:tx>
            <c:strRef>
              <c:f>'[Chart in Microsoft Word]MTREC - Air Temp and Precip'!$B$76</c:f>
              <c:strCache>
                <c:ptCount val="1"/>
                <c:pt idx="0">
                  <c:v>2020</c:v>
                </c:pt>
              </c:strCache>
            </c:strRef>
          </c:tx>
          <c:spPr>
            <a:solidFill>
              <a:sysClr val="windowText" lastClr="000000"/>
            </a:solidFill>
            <a:ln>
              <a:solidFill>
                <a:sysClr val="windowText" lastClr="000000"/>
              </a:solidFill>
            </a:ln>
            <a:effectLst/>
          </c:spPr>
          <c:invertIfNegative val="0"/>
          <c:cat>
            <c:strRef>
              <c:f>'[Chart in Microsoft Word]MTREC - Air Temp and Precip'!$C$72:$N$72</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'[Chart in Microsoft Word]MTREC - Air Temp and Precip'!$C$76:$N$76</c:f>
              <c:numCache>
                <c:formatCode>0.0</c:formatCode>
                <c:ptCount val="12"/>
                <c:pt idx="0">
                  <c:v>149.86000000000001</c:v>
                </c:pt>
                <c:pt idx="1">
                  <c:v>235.71199999999996</c:v>
                </c:pt>
                <c:pt idx="2">
                  <c:v>181.35599999999999</c:v>
                </c:pt>
                <c:pt idx="3">
                  <c:v>152.90799999999999</c:v>
                </c:pt>
                <c:pt idx="4">
                  <c:v>103.378</c:v>
                </c:pt>
                <c:pt idx="5">
                  <c:v>67.563999999999993</c:v>
                </c:pt>
                <c:pt idx="6">
                  <c:v>171.70399999999998</c:v>
                </c:pt>
                <c:pt idx="7">
                  <c:v>169.92599999999999</c:v>
                </c:pt>
                <c:pt idx="8">
                  <c:v>150.36799999999999</c:v>
                </c:pt>
              </c:numCache>
            </c:numRef>
          </c:val>
          <c:extLst>
            <c:ext xmlns:c16="http://schemas.microsoft.com/office/drawing/2014/chart" uri="{C3380CC4-5D6E-409C-BE32-E72D297353CC}">
              <c16:uniqueId val="{00000002-58C5-4C6E-9F34-0A6D21AE0CA4}"/>
            </c:ext>
          </c:extLst>
        </c:ser>
        <c:dLbls>
          <c:showLegendKey val="0"/>
          <c:showVal val="0"/>
          <c:showCatName val="0"/>
          <c:showSerName val="0"/>
          <c:showPercent val="0"/>
          <c:showBubbleSize val="0"/>
        </c:dLbls>
        <c:gapWidth val="150"/>
        <c:axId val="395589712"/>
        <c:axId val="395596840"/>
      </c:barChart>
      <c:lineChart>
        <c:grouping val="standard"/>
        <c:varyColors val="0"/>
        <c:ser>
          <c:idx val="4"/>
          <c:order val="3"/>
          <c:tx>
            <c:strRef>
              <c:f>'[Chart in Microsoft Word]MTREC - Air Temp and Precip'!$B$77</c:f>
              <c:strCache>
                <c:ptCount val="1"/>
                <c:pt idx="0">
                  <c:v>30-year mean†</c:v>
                </c:pt>
              </c:strCache>
            </c:strRef>
          </c:tx>
          <c:spPr>
            <a:ln w="31750" cap="sq">
              <a:solidFill>
                <a:srgbClr val="FF0000"/>
              </a:solidFill>
              <a:prstDash val="sysDot"/>
              <a:miter lim="800000"/>
            </a:ln>
            <a:effectLst/>
          </c:spPr>
          <c:marker>
            <c:symbol val="none"/>
          </c:marker>
          <c:cat>
            <c:strRef>
              <c:f>'[Chart in Microsoft Word]MTREC - Air Temp and Precip'!$C$72:$N$72</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'[Chart in Microsoft Word]MTREC - Air Temp and Precip'!$C$77:$N$77</c:f>
              <c:numCache>
                <c:formatCode>0.00</c:formatCode>
                <c:ptCount val="12"/>
                <c:pt idx="0">
                  <c:v>116.89926666666668</c:v>
                </c:pt>
                <c:pt idx="1">
                  <c:v>129.48073333333335</c:v>
                </c:pt>
                <c:pt idx="2">
                  <c:v>134.66535714285709</c:v>
                </c:pt>
                <c:pt idx="3">
                  <c:v>128.66413793103447</c:v>
                </c:pt>
                <c:pt idx="4">
                  <c:v>133.31371428571427</c:v>
                </c:pt>
                <c:pt idx="5">
                  <c:v>110.53535714285717</c:v>
                </c:pt>
                <c:pt idx="6">
                  <c:v>113.05539999999998</c:v>
                </c:pt>
                <c:pt idx="7">
                  <c:v>89.749586206896524</c:v>
                </c:pt>
                <c:pt idx="8">
                  <c:v>112.91613793103447</c:v>
                </c:pt>
                <c:pt idx="9">
                  <c:v>103.90351724137932</c:v>
                </c:pt>
                <c:pt idx="10">
                  <c:v>105.75158620689655</c:v>
                </c:pt>
                <c:pt idx="11">
                  <c:v>155.93906666666669</c:v>
                </c:pt>
              </c:numCache>
            </c:numRef>
          </c:val>
          <c:smooth val="0"/>
          <c:extLst>
            <c:ext xmlns:c16="http://schemas.microsoft.com/office/drawing/2014/chart" uri="{C3380CC4-5D6E-409C-BE32-E72D297353CC}">
              <c16:uniqueId val="{00000003-58C5-4C6E-9F34-0A6D21AE0CA4}"/>
            </c:ext>
          </c:extLst>
        </c:ser>
        <c:dLbls>
          <c:showLegendKey val="0"/>
          <c:showVal val="0"/>
          <c:showCatName val="0"/>
          <c:showSerName val="0"/>
          <c:showPercent val="0"/>
          <c:showBubbleSize val="0"/>
        </c:dLbls>
        <c:marker val="1"/>
        <c:smooth val="0"/>
        <c:axId val="395589712"/>
        <c:axId val="395596840"/>
      </c:lineChart>
      <c:catAx>
        <c:axId val="395589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395596840"/>
        <c:crosses val="autoZero"/>
        <c:auto val="1"/>
        <c:lblAlgn val="ctr"/>
        <c:lblOffset val="100"/>
        <c:noMultiLvlLbl val="0"/>
      </c:catAx>
      <c:valAx>
        <c:axId val="395596840"/>
        <c:scaling>
          <c:orientation val="minMax"/>
        </c:scaling>
        <c:delete val="0"/>
        <c:axPos val="l"/>
        <c:majorGridlines>
          <c:spPr>
            <a:ln w="9525" cap="flat" cmpd="sng" algn="ctr">
              <a:solidFill>
                <a:sysClr val="windowText" lastClr="000000"/>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r>
                  <a:rPr lang="en-US"/>
                  <a:t>Monthly precipitation (mm)</a:t>
                </a:r>
              </a:p>
            </c:rich>
          </c:tx>
          <c:layout>
            <c:manualLayout>
              <c:xMode val="edge"/>
              <c:yMode val="edge"/>
              <c:x val="1.8518518518518517E-2"/>
              <c:y val="0.13188232036151001"/>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395589712"/>
        <c:crosses val="autoZero"/>
        <c:crossBetween val="between"/>
      </c:valAx>
      <c:spPr>
        <a:noFill/>
        <a:ln>
          <a:noFill/>
        </a:ln>
        <a:effectLst/>
      </c:spPr>
    </c:plotArea>
    <c:legend>
      <c:legendPos val="b"/>
      <c:layout>
        <c:manualLayout>
          <c:xMode val="edge"/>
          <c:yMode val="edge"/>
          <c:x val="0.24020701927799526"/>
          <c:y val="0.92230399771457128"/>
          <c:w val="0.68938192351679173"/>
          <c:h val="6.1913552348437192E-2"/>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ysClr val="windowText" lastClr="000000"/>
      </a:solidFill>
      <a:round/>
    </a:ln>
    <a:effectLst/>
  </c:spPr>
  <c:txPr>
    <a:bodyPr/>
    <a:lstStyle/>
    <a:p>
      <a:pPr>
        <a:defRPr sz="1200" baseline="0">
          <a:solidFill>
            <a:sysClr val="windowText" lastClr="000000"/>
          </a:solidFill>
          <a:latin typeface="Times New Roman" panose="02020603050405020304" pitchFamily="18" charset="0"/>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'RECG - Air Temp and Precip'!$Q$40</c:f>
              <c:strCache>
                <c:ptCount val="1"/>
                <c:pt idx="0">
                  <c:v>2017</c:v>
                </c:pt>
              </c:strCache>
            </c:strRef>
          </c:tx>
          <c:spPr>
            <a:solidFill>
              <a:sysClr val="window" lastClr="FFFFFF">
                <a:lumMod val="95000"/>
              </a:sysClr>
            </a:solidFill>
            <a:ln>
              <a:solidFill>
                <a:sysClr val="windowText" lastClr="000000"/>
              </a:solidFill>
            </a:ln>
            <a:effectLst/>
          </c:spPr>
          <c:invertIfNegative val="0"/>
          <c:cat>
            <c:strRef>
              <c:f>'RECG - Air Temp and Precip'!$R$39:$AC$39</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'RECG - Air Temp and Precip'!$R$40:$AC$40</c:f>
              <c:numCache>
                <c:formatCode>General</c:formatCode>
                <c:ptCount val="12"/>
                <c:pt idx="4" formatCode="0.0">
                  <c:v>18.000000000000004</c:v>
                </c:pt>
                <c:pt idx="5" formatCode="0.0">
                  <c:v>21.888888888888893</c:v>
                </c:pt>
                <c:pt idx="6" formatCode="0.0">
                  <c:v>24.833333333333336</c:v>
                </c:pt>
                <c:pt idx="7" formatCode="0.0">
                  <c:v>23.388888888888886</c:v>
                </c:pt>
                <c:pt idx="8" formatCode="0.0">
                  <c:v>19.333333333333332</c:v>
                </c:pt>
                <c:pt idx="9" formatCode="0.0">
                  <c:v>15.722222222222221</c:v>
                </c:pt>
                <c:pt idx="10" formatCode="0.0">
                  <c:v>8.8333333333333321</c:v>
                </c:pt>
                <c:pt idx="11" formatCode="0.0">
                  <c:v>3.6666666666666674</c:v>
                </c:pt>
              </c:numCache>
            </c:numRef>
          </c:val>
          <c:extLst xmlns:c15="http://schemas.microsoft.com/office/drawing/2012/chart">
            <c:ext xmlns:c16="http://schemas.microsoft.com/office/drawing/2014/chart" uri="{C3380CC4-5D6E-409C-BE32-E72D297353CC}">
              <c16:uniqueId val="{00000000-1C7D-4FB2-B62F-6307F84071E5}"/>
            </c:ext>
          </c:extLst>
        </c:ser>
        <c:ser>
          <c:idx val="1"/>
          <c:order val="1"/>
          <c:tx>
            <c:strRef>
              <c:f>'RECG - Air Temp and Precip'!$Q$41</c:f>
              <c:strCache>
                <c:ptCount val="1"/>
                <c:pt idx="0">
                  <c:v>2018</c:v>
                </c:pt>
              </c:strCache>
            </c:strRef>
          </c:tx>
          <c:spPr>
            <a:solidFill>
              <a:sysClr val="window" lastClr="FFFFFF">
                <a:lumMod val="50000"/>
              </a:sysClr>
            </a:solidFill>
            <a:ln>
              <a:solidFill>
                <a:sysClr val="windowText" lastClr="000000"/>
              </a:solidFill>
            </a:ln>
            <a:effectLst/>
          </c:spPr>
          <c:invertIfNegative val="0"/>
          <c:cat>
            <c:strRef>
              <c:f>'RECG - Air Temp and Precip'!$R$39:$AC$39</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'RECG - Air Temp and Precip'!$R$41:$AC$41</c:f>
              <c:numCache>
                <c:formatCode>0.0</c:formatCode>
                <c:ptCount val="12"/>
                <c:pt idx="0">
                  <c:v>-0.44444444444444486</c:v>
                </c:pt>
                <c:pt idx="1">
                  <c:v>9.6666666666666661</c:v>
                </c:pt>
                <c:pt idx="2">
                  <c:v>7.1666666666666661</c:v>
                </c:pt>
                <c:pt idx="3">
                  <c:v>10.722222222222221</c:v>
                </c:pt>
                <c:pt idx="4">
                  <c:v>20.666666666666668</c:v>
                </c:pt>
                <c:pt idx="5">
                  <c:v>23.888888888888889</c:v>
                </c:pt>
                <c:pt idx="6">
                  <c:v>25.166666666666668</c:v>
                </c:pt>
                <c:pt idx="7">
                  <c:v>23.777777777777779</c:v>
                </c:pt>
                <c:pt idx="8">
                  <c:v>23.888888888888889</c:v>
                </c:pt>
                <c:pt idx="9">
                  <c:v>15.5</c:v>
                </c:pt>
                <c:pt idx="10">
                  <c:v>6.7222222222222232</c:v>
                </c:pt>
                <c:pt idx="11">
                  <c:v>5.4444444444444429</c:v>
                </c:pt>
              </c:numCache>
            </c:numRef>
          </c:val>
          <c:extLst xmlns:c15="http://schemas.microsoft.com/office/drawing/2012/chart">
            <c:ext xmlns:c16="http://schemas.microsoft.com/office/drawing/2014/chart" uri="{C3380CC4-5D6E-409C-BE32-E72D297353CC}">
              <c16:uniqueId val="{00000001-1C7D-4FB2-B62F-6307F84071E5}"/>
            </c:ext>
          </c:extLst>
        </c:ser>
        <c:ser>
          <c:idx val="2"/>
          <c:order val="2"/>
          <c:tx>
            <c:strRef>
              <c:f>'RECG - Air Temp and Precip'!$Q$42</c:f>
              <c:strCache>
                <c:ptCount val="1"/>
                <c:pt idx="0">
                  <c:v>2019</c:v>
                </c:pt>
              </c:strCache>
            </c:strRef>
          </c:tx>
          <c:spPr>
            <a:solidFill>
              <a:srgbClr val="E7E6E6">
                <a:lumMod val="90000"/>
              </a:srgbClr>
            </a:solidFill>
            <a:ln>
              <a:solidFill>
                <a:sysClr val="windowText" lastClr="000000"/>
              </a:solidFill>
            </a:ln>
            <a:effectLst/>
          </c:spPr>
          <c:invertIfNegative val="0"/>
          <c:cat>
            <c:strRef>
              <c:f>'RECG - Air Temp and Precip'!$R$39:$AC$39</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'RECG - Air Temp and Precip'!$R$42:$AC$42</c:f>
              <c:numCache>
                <c:formatCode>0.0</c:formatCode>
                <c:ptCount val="12"/>
                <c:pt idx="0">
                  <c:v>3.444444444444446</c:v>
                </c:pt>
                <c:pt idx="1">
                  <c:v>7.4444444444444438</c:v>
                </c:pt>
                <c:pt idx="2">
                  <c:v>7.1111111111111098</c:v>
                </c:pt>
                <c:pt idx="3">
                  <c:v>14.166666666666668</c:v>
                </c:pt>
                <c:pt idx="4">
                  <c:v>20.722222222222221</c:v>
                </c:pt>
                <c:pt idx="5">
                  <c:v>21.777777777777779</c:v>
                </c:pt>
                <c:pt idx="6">
                  <c:v>24.333333333333332</c:v>
                </c:pt>
                <c:pt idx="7">
                  <c:v>23.833333333333339</c:v>
                </c:pt>
                <c:pt idx="8">
                  <c:v>23.388888888888886</c:v>
                </c:pt>
                <c:pt idx="9">
                  <c:v>16.444444444444446</c:v>
                </c:pt>
                <c:pt idx="10">
                  <c:v>6.1111111111111116</c:v>
                </c:pt>
                <c:pt idx="11">
                  <c:v>6.4444444444444455</c:v>
                </c:pt>
              </c:numCache>
            </c:numRef>
          </c:val>
          <c:extLst>
            <c:ext xmlns:c16="http://schemas.microsoft.com/office/drawing/2014/chart" uri="{C3380CC4-5D6E-409C-BE32-E72D297353CC}">
              <c16:uniqueId val="{00000002-1C7D-4FB2-B62F-6307F84071E5}"/>
            </c:ext>
          </c:extLst>
        </c:ser>
        <c:ser>
          <c:idx val="3"/>
          <c:order val="3"/>
          <c:tx>
            <c:strRef>
              <c:f>'RECG - Air Temp and Precip'!$Q$43</c:f>
              <c:strCache>
                <c:ptCount val="1"/>
                <c:pt idx="0">
                  <c:v>2020</c:v>
                </c:pt>
              </c:strCache>
            </c:strRef>
          </c:tx>
          <c:spPr>
            <a:solidFill>
              <a:sysClr val="windowText" lastClr="000000">
                <a:lumMod val="95000"/>
                <a:lumOff val="5000"/>
              </a:sysClr>
            </a:solidFill>
            <a:ln>
              <a:solidFill>
                <a:sysClr val="windowText" lastClr="000000"/>
              </a:solidFill>
            </a:ln>
            <a:effectLst/>
          </c:spPr>
          <c:invertIfNegative val="0"/>
          <c:cat>
            <c:strRef>
              <c:f>'RECG - Air Temp and Precip'!$R$39:$AC$39</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'RECG - Air Temp and Precip'!$R$43:$AC$43</c:f>
              <c:numCache>
                <c:formatCode>0.0</c:formatCode>
                <c:ptCount val="12"/>
                <c:pt idx="0">
                  <c:v>5.2777777777777777</c:v>
                </c:pt>
                <c:pt idx="1">
                  <c:v>5.7222222222222205</c:v>
                </c:pt>
                <c:pt idx="2">
                  <c:v>11.055555555555555</c:v>
                </c:pt>
                <c:pt idx="3">
                  <c:v>11.222222222222225</c:v>
                </c:pt>
                <c:pt idx="4">
                  <c:v>16.277777777777779</c:v>
                </c:pt>
                <c:pt idx="5">
                  <c:v>21.277777777777779</c:v>
                </c:pt>
                <c:pt idx="6">
                  <c:v>25</c:v>
                </c:pt>
                <c:pt idx="7">
                  <c:v>23.666666666666664</c:v>
                </c:pt>
                <c:pt idx="8">
                  <c:v>19.888888888888889</c:v>
                </c:pt>
              </c:numCache>
            </c:numRef>
          </c:val>
          <c:extLst>
            <c:ext xmlns:c16="http://schemas.microsoft.com/office/drawing/2014/chart" uri="{C3380CC4-5D6E-409C-BE32-E72D297353CC}">
              <c16:uniqueId val="{00000003-1C7D-4FB2-B62F-6307F84071E5}"/>
            </c:ext>
          </c:extLst>
        </c:ser>
        <c:dLbls>
          <c:showLegendKey val="0"/>
          <c:showVal val="0"/>
          <c:showCatName val="0"/>
          <c:showSerName val="0"/>
          <c:showPercent val="0"/>
          <c:showBubbleSize val="0"/>
        </c:dLbls>
        <c:gapWidth val="150"/>
        <c:axId val="395589712"/>
        <c:axId val="395596840"/>
      </c:barChart>
      <c:lineChart>
        <c:grouping val="standard"/>
        <c:varyColors val="0"/>
        <c:ser>
          <c:idx val="4"/>
          <c:order val="4"/>
          <c:tx>
            <c:strRef>
              <c:f>'RECG - Air Temp and Precip'!$Q$44</c:f>
              <c:strCache>
                <c:ptCount val="1"/>
                <c:pt idx="0">
                  <c:v>30-year mean†</c:v>
                </c:pt>
              </c:strCache>
            </c:strRef>
          </c:tx>
          <c:spPr>
            <a:ln w="31750" cap="sq">
              <a:solidFill>
                <a:srgbClr val="FF0000"/>
              </a:solidFill>
              <a:prstDash val="sysDot"/>
              <a:miter lim="800000"/>
            </a:ln>
            <a:effectLst/>
          </c:spPr>
          <c:marker>
            <c:symbol val="none"/>
          </c:marker>
          <c:cat>
            <c:strRef>
              <c:f>'RECG - Air Temp and Precip'!$R$39:$AC$39</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'RECG - Air Temp and Precip'!$R$44:$AC$44</c:f>
              <c:numCache>
                <c:formatCode>0.0</c:formatCode>
                <c:ptCount val="12"/>
                <c:pt idx="0">
                  <c:v>2.157407407407411</c:v>
                </c:pt>
                <c:pt idx="1">
                  <c:v>4.1777777777777798</c:v>
                </c:pt>
                <c:pt idx="2">
                  <c:v>8.0981481481481499</c:v>
                </c:pt>
                <c:pt idx="3">
                  <c:v>12.951851851851847</c:v>
                </c:pt>
                <c:pt idx="4">
                  <c:v>17.898148148148149</c:v>
                </c:pt>
                <c:pt idx="5">
                  <c:v>22.185823754789279</c:v>
                </c:pt>
                <c:pt idx="6">
                  <c:v>24.13518518518519</c:v>
                </c:pt>
                <c:pt idx="7">
                  <c:v>23.5</c:v>
                </c:pt>
                <c:pt idx="8">
                  <c:v>20.279629629629628</c:v>
                </c:pt>
                <c:pt idx="9">
                  <c:v>13.890740740740744</c:v>
                </c:pt>
                <c:pt idx="10">
                  <c:v>7.80555555555555</c:v>
                </c:pt>
                <c:pt idx="11">
                  <c:v>3.9148148148148074</c:v>
                </c:pt>
              </c:numCache>
            </c:numRef>
          </c:val>
          <c:smooth val="0"/>
          <c:extLst>
            <c:ext xmlns:c16="http://schemas.microsoft.com/office/drawing/2014/chart" uri="{C3380CC4-5D6E-409C-BE32-E72D297353CC}">
              <c16:uniqueId val="{00000004-1C7D-4FB2-B62F-6307F84071E5}"/>
            </c:ext>
          </c:extLst>
        </c:ser>
        <c:dLbls>
          <c:showLegendKey val="0"/>
          <c:showVal val="0"/>
          <c:showCatName val="0"/>
          <c:showSerName val="0"/>
          <c:showPercent val="0"/>
          <c:showBubbleSize val="0"/>
        </c:dLbls>
        <c:marker val="1"/>
        <c:smooth val="0"/>
        <c:axId val="395589712"/>
        <c:axId val="395596840"/>
      </c:lineChart>
      <c:catAx>
        <c:axId val="395589712"/>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395596840"/>
        <c:crosses val="autoZero"/>
        <c:auto val="1"/>
        <c:lblAlgn val="ctr"/>
        <c:lblOffset val="100"/>
        <c:noMultiLvlLbl val="0"/>
      </c:catAx>
      <c:valAx>
        <c:axId val="395596840"/>
        <c:scaling>
          <c:orientation val="minMax"/>
        </c:scaling>
        <c:delete val="0"/>
        <c:axPos val="l"/>
        <c:majorGridlines>
          <c:spPr>
            <a:ln w="9525" cap="flat" cmpd="sng" algn="ctr">
              <a:solidFill>
                <a:sysClr val="windowText" lastClr="000000"/>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r>
                  <a:rPr lang="en-US"/>
                  <a:t>Monthly air temperature (°C)</a:t>
                </a:r>
              </a:p>
            </c:rich>
          </c:tx>
          <c:layout>
            <c:manualLayout>
              <c:xMode val="edge"/>
              <c:yMode val="edge"/>
              <c:x val="2.0833333333333332E-2"/>
              <c:y val="0.14063500968758358"/>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395589712"/>
        <c:crosses val="autoZero"/>
        <c:crossBetween val="between"/>
      </c:valAx>
      <c:spPr>
        <a:noFill/>
        <a:ln>
          <a:noFill/>
        </a:ln>
        <a:effectLst/>
      </c:spPr>
    </c:plotArea>
    <c:legend>
      <c:legendPos val="b"/>
      <c:layout>
        <c:manualLayout>
          <c:xMode val="edge"/>
          <c:yMode val="edge"/>
          <c:x val="0.11752187226596675"/>
          <c:y val="0.92230399771457128"/>
          <c:w val="0.85322962233887434"/>
          <c:h val="6.0903152485052389E-2"/>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ysClr val="windowText" lastClr="000000"/>
      </a:solidFill>
      <a:round/>
    </a:ln>
    <a:effectLst/>
  </c:spPr>
  <c:txPr>
    <a:bodyPr/>
    <a:lstStyle/>
    <a:p>
      <a:pPr>
        <a:defRPr sz="1200" baseline="0">
          <a:solidFill>
            <a:sysClr val="windowText" lastClr="000000"/>
          </a:solidFill>
          <a:latin typeface="Times New Roman" panose="02020603050405020304" pitchFamily="18" charset="0"/>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'RECG - Air Temp and Precip'!$Q$4</c:f>
              <c:strCache>
                <c:ptCount val="1"/>
                <c:pt idx="0">
                  <c:v>2017</c:v>
                </c:pt>
              </c:strCache>
            </c:strRef>
          </c:tx>
          <c:spPr>
            <a:solidFill>
              <a:sysClr val="window" lastClr="FFFFFF">
                <a:lumMod val="95000"/>
              </a:sysClr>
            </a:solidFill>
            <a:ln>
              <a:solidFill>
                <a:sysClr val="windowText" lastClr="000000"/>
              </a:solidFill>
            </a:ln>
            <a:effectLst/>
          </c:spPr>
          <c:invertIfNegative val="0"/>
          <c:cat>
            <c:strRef>
              <c:f>'RECG - Air Temp and Precip'!$R$3:$AC$3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'RECG - Air Temp and Precip'!$R$4:$AC$4</c:f>
              <c:numCache>
                <c:formatCode>General</c:formatCode>
                <c:ptCount val="12"/>
                <c:pt idx="4" formatCode="0.00">
                  <c:v>127.25399999999999</c:v>
                </c:pt>
                <c:pt idx="5" formatCode="0.00">
                  <c:v>48.767999999999994</c:v>
                </c:pt>
                <c:pt idx="6" formatCode="0.00">
                  <c:v>95.757999999999996</c:v>
                </c:pt>
                <c:pt idx="7" formatCode="0.00">
                  <c:v>76.707999999999998</c:v>
                </c:pt>
                <c:pt idx="8" formatCode="0.00">
                  <c:v>40.131999999999998</c:v>
                </c:pt>
                <c:pt idx="9" formatCode="0.00">
                  <c:v>106.426</c:v>
                </c:pt>
                <c:pt idx="10" formatCode="0.00">
                  <c:v>45.466000000000001</c:v>
                </c:pt>
                <c:pt idx="11" formatCode="0.00">
                  <c:v>68.58</c:v>
                </c:pt>
              </c:numCache>
            </c:numRef>
          </c:val>
          <c:extLst xmlns:c15="http://schemas.microsoft.com/office/drawing/2012/chart">
            <c:ext xmlns:c16="http://schemas.microsoft.com/office/drawing/2014/chart" uri="{C3380CC4-5D6E-409C-BE32-E72D297353CC}">
              <c16:uniqueId val="{00000000-7282-40D7-AF55-856157B07B67}"/>
            </c:ext>
          </c:extLst>
        </c:ser>
        <c:ser>
          <c:idx val="1"/>
          <c:order val="1"/>
          <c:tx>
            <c:strRef>
              <c:f>'RECG - Air Temp and Precip'!$Q$5</c:f>
              <c:strCache>
                <c:ptCount val="1"/>
                <c:pt idx="0">
                  <c:v>2018</c:v>
                </c:pt>
              </c:strCache>
            </c:strRef>
          </c:tx>
          <c:spPr>
            <a:solidFill>
              <a:sysClr val="window" lastClr="FFFFFF">
                <a:lumMod val="50000"/>
              </a:sysClr>
            </a:solidFill>
            <a:ln>
              <a:solidFill>
                <a:sysClr val="windowText" lastClr="000000"/>
              </a:solidFill>
            </a:ln>
            <a:effectLst/>
          </c:spPr>
          <c:invertIfNegative val="0"/>
          <c:cat>
            <c:strRef>
              <c:f>'RECG - Air Temp and Precip'!$R$3:$AC$3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'RECG - Air Temp and Precip'!$R$5:$AC$5</c:f>
              <c:numCache>
                <c:formatCode>0.00</c:formatCode>
                <c:ptCount val="12"/>
                <c:pt idx="0">
                  <c:v>35.305999999999997</c:v>
                </c:pt>
                <c:pt idx="1">
                  <c:v>141.47800000000001</c:v>
                </c:pt>
                <c:pt idx="2">
                  <c:v>122.68199999999999</c:v>
                </c:pt>
                <c:pt idx="3">
                  <c:v>84.835999999999999</c:v>
                </c:pt>
                <c:pt idx="4">
                  <c:v>123.18999999999998</c:v>
                </c:pt>
                <c:pt idx="5">
                  <c:v>224.02799999999999</c:v>
                </c:pt>
                <c:pt idx="6">
                  <c:v>142.494</c:v>
                </c:pt>
                <c:pt idx="7">
                  <c:v>87.63</c:v>
                </c:pt>
                <c:pt idx="8">
                  <c:v>110.744</c:v>
                </c:pt>
                <c:pt idx="9">
                  <c:v>80.772000000000006</c:v>
                </c:pt>
                <c:pt idx="10">
                  <c:v>116.58599999999998</c:v>
                </c:pt>
                <c:pt idx="11">
                  <c:v>161.54400000000001</c:v>
                </c:pt>
              </c:numCache>
            </c:numRef>
          </c:val>
          <c:extLst xmlns:c15="http://schemas.microsoft.com/office/drawing/2012/chart">
            <c:ext xmlns:c16="http://schemas.microsoft.com/office/drawing/2014/chart" uri="{C3380CC4-5D6E-409C-BE32-E72D297353CC}">
              <c16:uniqueId val="{00000001-7282-40D7-AF55-856157B07B67}"/>
            </c:ext>
          </c:extLst>
        </c:ser>
        <c:ser>
          <c:idx val="2"/>
          <c:order val="2"/>
          <c:tx>
            <c:strRef>
              <c:f>'RECG - Air Temp and Precip'!$Q$6</c:f>
              <c:strCache>
                <c:ptCount val="1"/>
                <c:pt idx="0">
                  <c:v>2019</c:v>
                </c:pt>
              </c:strCache>
            </c:strRef>
          </c:tx>
          <c:spPr>
            <a:solidFill>
              <a:srgbClr val="E7E6E6">
                <a:lumMod val="90000"/>
              </a:srgbClr>
            </a:solidFill>
            <a:ln>
              <a:solidFill>
                <a:sysClr val="windowText" lastClr="000000"/>
              </a:solidFill>
            </a:ln>
            <a:effectLst/>
          </c:spPr>
          <c:invertIfNegative val="0"/>
          <c:cat>
            <c:strRef>
              <c:f>'RECG - Air Temp and Precip'!$R$3:$AC$3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'RECG - Air Temp and Precip'!$R$6:$AC$6</c:f>
              <c:numCache>
                <c:formatCode>0.00</c:formatCode>
                <c:ptCount val="12"/>
                <c:pt idx="0">
                  <c:v>105.15599999999999</c:v>
                </c:pt>
                <c:pt idx="1">
                  <c:v>208.53400000000002</c:v>
                </c:pt>
                <c:pt idx="2">
                  <c:v>109.21999999999998</c:v>
                </c:pt>
                <c:pt idx="3">
                  <c:v>139.446</c:v>
                </c:pt>
                <c:pt idx="4">
                  <c:v>103.378</c:v>
                </c:pt>
                <c:pt idx="5">
                  <c:v>169.92599999999999</c:v>
                </c:pt>
                <c:pt idx="6">
                  <c:v>158.49600000000001</c:v>
                </c:pt>
                <c:pt idx="7">
                  <c:v>89.915999999999997</c:v>
                </c:pt>
                <c:pt idx="8">
                  <c:v>6.0959999999999992</c:v>
                </c:pt>
                <c:pt idx="9">
                  <c:v>128.52399999999997</c:v>
                </c:pt>
                <c:pt idx="10">
                  <c:v>105.91799999999999</c:v>
                </c:pt>
                <c:pt idx="11">
                  <c:v>141.98599999999999</c:v>
                </c:pt>
              </c:numCache>
            </c:numRef>
          </c:val>
          <c:extLst>
            <c:ext xmlns:c16="http://schemas.microsoft.com/office/drawing/2014/chart" uri="{C3380CC4-5D6E-409C-BE32-E72D297353CC}">
              <c16:uniqueId val="{00000002-7282-40D7-AF55-856157B07B67}"/>
            </c:ext>
          </c:extLst>
        </c:ser>
        <c:ser>
          <c:idx val="3"/>
          <c:order val="3"/>
          <c:tx>
            <c:strRef>
              <c:f>'RECG - Air Temp and Precip'!$Q$7</c:f>
              <c:strCache>
                <c:ptCount val="1"/>
                <c:pt idx="0">
                  <c:v>2020</c:v>
                </c:pt>
              </c:strCache>
            </c:strRef>
          </c:tx>
          <c:spPr>
            <a:solidFill>
              <a:sysClr val="windowText" lastClr="000000">
                <a:lumMod val="95000"/>
                <a:lumOff val="5000"/>
              </a:sysClr>
            </a:solidFill>
            <a:ln>
              <a:solidFill>
                <a:sysClr val="windowText" lastClr="000000"/>
              </a:solidFill>
            </a:ln>
            <a:effectLst/>
          </c:spPr>
          <c:invertIfNegative val="0"/>
          <c:cat>
            <c:strRef>
              <c:f>'RECG - Air Temp and Precip'!$R$3:$AC$3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'RECG - Air Temp and Precip'!$R$7:$AC$7</c:f>
              <c:numCache>
                <c:formatCode>0.00</c:formatCode>
                <c:ptCount val="12"/>
                <c:pt idx="0">
                  <c:v>122.68199999999999</c:v>
                </c:pt>
                <c:pt idx="1">
                  <c:v>221.488</c:v>
                </c:pt>
                <c:pt idx="2">
                  <c:v>132.58799999999999</c:v>
                </c:pt>
                <c:pt idx="3">
                  <c:v>204.97800000000001</c:v>
                </c:pt>
                <c:pt idx="4">
                  <c:v>86.36</c:v>
                </c:pt>
                <c:pt idx="5">
                  <c:v>77.977999999999994</c:v>
                </c:pt>
                <c:pt idx="6">
                  <c:v>81.787999999999997</c:v>
                </c:pt>
                <c:pt idx="7">
                  <c:v>124.20599999999999</c:v>
                </c:pt>
                <c:pt idx="8">
                  <c:v>117.09400000000001</c:v>
                </c:pt>
              </c:numCache>
            </c:numRef>
          </c:val>
          <c:extLst>
            <c:ext xmlns:c16="http://schemas.microsoft.com/office/drawing/2014/chart" uri="{C3380CC4-5D6E-409C-BE32-E72D297353CC}">
              <c16:uniqueId val="{00000003-7282-40D7-AF55-856157B07B67}"/>
            </c:ext>
          </c:extLst>
        </c:ser>
        <c:dLbls>
          <c:showLegendKey val="0"/>
          <c:showVal val="0"/>
          <c:showCatName val="0"/>
          <c:showSerName val="0"/>
          <c:showPercent val="0"/>
          <c:showBubbleSize val="0"/>
        </c:dLbls>
        <c:gapWidth val="150"/>
        <c:axId val="395589712"/>
        <c:axId val="395596840"/>
      </c:barChart>
      <c:lineChart>
        <c:grouping val="standard"/>
        <c:varyColors val="0"/>
        <c:ser>
          <c:idx val="4"/>
          <c:order val="4"/>
          <c:tx>
            <c:strRef>
              <c:f>'RECG - Air Temp and Precip'!$Q$8</c:f>
              <c:strCache>
                <c:ptCount val="1"/>
                <c:pt idx="0">
                  <c:v>30-year mean†</c:v>
                </c:pt>
              </c:strCache>
            </c:strRef>
          </c:tx>
          <c:spPr>
            <a:ln w="31750" cap="sq">
              <a:solidFill>
                <a:srgbClr val="FF0000"/>
              </a:solidFill>
              <a:prstDash val="sysDot"/>
              <a:miter lim="800000"/>
            </a:ln>
            <a:effectLst/>
          </c:spPr>
          <c:marker>
            <c:symbol val="none"/>
          </c:marker>
          <c:cat>
            <c:strRef>
              <c:f>'RECG - Air Temp and Precip'!$R$3:$AC$3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'RECG - Air Temp and Precip'!$R$8:$AC$8</c:f>
              <c:numCache>
                <c:formatCode>0.00</c:formatCode>
                <c:ptCount val="12"/>
                <c:pt idx="0">
                  <c:v>87.203642857142853</c:v>
                </c:pt>
                <c:pt idx="1">
                  <c:v>95.340714285714284</c:v>
                </c:pt>
                <c:pt idx="2">
                  <c:v>100.30278571428572</c:v>
                </c:pt>
                <c:pt idx="3">
                  <c:v>110.6932</c:v>
                </c:pt>
                <c:pt idx="4">
                  <c:v>106.38220689655172</c:v>
                </c:pt>
                <c:pt idx="5">
                  <c:v>113.6105714285714</c:v>
                </c:pt>
                <c:pt idx="6">
                  <c:v>117.54273333333335</c:v>
                </c:pt>
                <c:pt idx="7">
                  <c:v>106.73442857142857</c:v>
                </c:pt>
                <c:pt idx="8">
                  <c:v>79.414413793103435</c:v>
                </c:pt>
                <c:pt idx="9">
                  <c:v>66.083793103448258</c:v>
                </c:pt>
                <c:pt idx="10">
                  <c:v>73.257103448275871</c:v>
                </c:pt>
                <c:pt idx="11">
                  <c:v>98.839866666666666</c:v>
                </c:pt>
              </c:numCache>
            </c:numRef>
          </c:val>
          <c:smooth val="0"/>
          <c:extLst>
            <c:ext xmlns:c16="http://schemas.microsoft.com/office/drawing/2014/chart" uri="{C3380CC4-5D6E-409C-BE32-E72D297353CC}">
              <c16:uniqueId val="{00000004-7282-40D7-AF55-856157B07B67}"/>
            </c:ext>
          </c:extLst>
        </c:ser>
        <c:dLbls>
          <c:showLegendKey val="0"/>
          <c:showVal val="0"/>
          <c:showCatName val="0"/>
          <c:showSerName val="0"/>
          <c:showPercent val="0"/>
          <c:showBubbleSize val="0"/>
        </c:dLbls>
        <c:marker val="1"/>
        <c:smooth val="0"/>
        <c:axId val="395589712"/>
        <c:axId val="395596840"/>
      </c:lineChart>
      <c:catAx>
        <c:axId val="395589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395596840"/>
        <c:crosses val="autoZero"/>
        <c:auto val="1"/>
        <c:lblAlgn val="ctr"/>
        <c:lblOffset val="100"/>
        <c:noMultiLvlLbl val="0"/>
      </c:catAx>
      <c:valAx>
        <c:axId val="395596840"/>
        <c:scaling>
          <c:orientation val="minMax"/>
        </c:scaling>
        <c:delete val="0"/>
        <c:axPos val="l"/>
        <c:majorGridlines>
          <c:spPr>
            <a:ln w="9525" cap="flat" cmpd="sng" algn="ctr">
              <a:solidFill>
                <a:sysClr val="windowText" lastClr="000000"/>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r>
                  <a:rPr lang="en-US"/>
                  <a:t>Monthly precipitation (mm)</a:t>
                </a:r>
              </a:p>
            </c:rich>
          </c:tx>
          <c:layout>
            <c:manualLayout>
              <c:xMode val="edge"/>
              <c:yMode val="edge"/>
              <c:x val="1.6203703703703703E-2"/>
              <c:y val="0.15337866117304105"/>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395589712"/>
        <c:crosses val="autoZero"/>
        <c:crossBetween val="between"/>
      </c:valAx>
      <c:spPr>
        <a:noFill/>
        <a:ln>
          <a:noFill/>
        </a:ln>
        <a:effectLst/>
      </c:spPr>
    </c:plotArea>
    <c:legend>
      <c:legendPos val="b"/>
      <c:layout>
        <c:manualLayout>
          <c:xMode val="edge"/>
          <c:yMode val="edge"/>
          <c:x val="0.13141076115485564"/>
          <c:y val="0.92230399771457128"/>
          <c:w val="0.83989592446777483"/>
          <c:h val="6.0903152485052389E-2"/>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ysClr val="windowText" lastClr="000000"/>
      </a:solidFill>
      <a:round/>
    </a:ln>
    <a:effectLst/>
  </c:spPr>
  <c:txPr>
    <a:bodyPr/>
    <a:lstStyle/>
    <a:p>
      <a:pPr>
        <a:spcAft>
          <a:spcPts val="0"/>
        </a:spcAft>
        <a:defRPr sz="1200" baseline="0">
          <a:solidFill>
            <a:sysClr val="windowText" lastClr="000000"/>
          </a:solidFill>
          <a:latin typeface="Times New Roman" panose="02020603050405020304" pitchFamily="18" charset="0"/>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bg1">
                <a:lumMod val="85000"/>
              </a:schemeClr>
            </a:solidFill>
            <a:ln>
              <a:solidFill>
                <a:sysClr val="windowText" lastClr="000000"/>
              </a:solidFill>
            </a:ln>
            <a:effectLst/>
          </c:spPr>
          <c:invertIfNegative val="0"/>
          <c:cat>
            <c:strRef>
              <c:f>'SG Plant Density'!$G$5:$G$10</c:f>
              <c:strCache>
                <c:ptCount val="6"/>
                <c:pt idx="0">
                  <c:v>Pre     2018</c:v>
                </c:pt>
                <c:pt idx="1">
                  <c:v>Post    2018</c:v>
                </c:pt>
                <c:pt idx="2">
                  <c:v>Pre     2019</c:v>
                </c:pt>
                <c:pt idx="3">
                  <c:v>Post    2019</c:v>
                </c:pt>
                <c:pt idx="4">
                  <c:v>Pre    2020</c:v>
                </c:pt>
                <c:pt idx="5">
                  <c:v>Post    2020</c:v>
                </c:pt>
              </c:strCache>
            </c:strRef>
          </c:cat>
          <c:val>
            <c:numRef>
              <c:f>'SG Plant Density'!$H$5:$H$10</c:f>
              <c:numCache>
                <c:formatCode>0.00</c:formatCode>
                <c:ptCount val="6"/>
                <c:pt idx="0">
                  <c:v>203.4</c:v>
                </c:pt>
                <c:pt idx="1">
                  <c:v>182.4</c:v>
                </c:pt>
                <c:pt idx="2">
                  <c:v>241.45</c:v>
                </c:pt>
                <c:pt idx="3">
                  <c:v>412.86</c:v>
                </c:pt>
                <c:pt idx="4">
                  <c:v>391.21</c:v>
                </c:pt>
                <c:pt idx="5">
                  <c:v>505.26</c:v>
                </c:pt>
              </c:numCache>
            </c:numRef>
          </c:val>
          <c:extLst>
            <c:ext xmlns:c16="http://schemas.microsoft.com/office/drawing/2014/chart" uri="{C3380CC4-5D6E-409C-BE32-E72D297353CC}">
              <c16:uniqueId val="{00000001-D600-414F-80A8-B1649DBF58CE}"/>
            </c:ext>
          </c:extLst>
        </c:ser>
        <c:dLbls>
          <c:showLegendKey val="0"/>
          <c:showVal val="0"/>
          <c:showCatName val="0"/>
          <c:showSerName val="0"/>
          <c:showPercent val="0"/>
          <c:showBubbleSize val="0"/>
        </c:dLbls>
        <c:gapWidth val="100"/>
        <c:overlap val="-24"/>
        <c:axId val="462455536"/>
        <c:axId val="454823832"/>
      </c:barChart>
      <c:catAx>
        <c:axId val="462455536"/>
        <c:scaling>
          <c:orientation val="minMax"/>
        </c:scaling>
        <c:delete val="0"/>
        <c:axPos val="b"/>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b="0"/>
                  <a:t>Year x Period</a:t>
                </a:r>
              </a:p>
            </c:rich>
          </c:tx>
          <c:layout>
            <c:manualLayout>
              <c:xMode val="edge"/>
              <c:yMode val="edge"/>
              <c:x val="0.47311920482904984"/>
              <c:y val="0.89071365441555261"/>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54823832"/>
        <c:crosses val="autoZero"/>
        <c:auto val="1"/>
        <c:lblAlgn val="ctr"/>
        <c:lblOffset val="100"/>
        <c:noMultiLvlLbl val="0"/>
      </c:catAx>
      <c:valAx>
        <c:axId val="454823832"/>
        <c:scaling>
          <c:orientation val="minMax"/>
        </c:scaling>
        <c:delete val="0"/>
        <c:axPos val="l"/>
        <c:majorGridlines>
          <c:spPr>
            <a:ln w="9525" cap="flat" cmpd="sng" algn="ctr">
              <a:solidFill>
                <a:schemeClr val="tx1">
                  <a:lumMod val="50000"/>
                  <a:lumOff val="50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b="0"/>
                  <a:t>Mean Tiller Density</a:t>
                </a:r>
                <a:r>
                  <a:rPr lang="en-US" b="0" baseline="0"/>
                  <a:t> (tillers m</a:t>
                </a:r>
                <a:r>
                  <a:rPr lang="en-US" b="0" baseline="30000"/>
                  <a:t>-2</a:t>
                </a:r>
                <a:r>
                  <a:rPr lang="en-US" b="0" baseline="0"/>
                  <a:t>)</a:t>
                </a:r>
                <a:endParaRPr lang="en-US" b="0"/>
              </a:p>
            </c:rich>
          </c:tx>
          <c:layout>
            <c:manualLayout>
              <c:xMode val="edge"/>
              <c:yMode val="edge"/>
              <c:x val="1.9076721035679263E-2"/>
              <c:y val="4.0320544576861739E-2"/>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624555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ysClr val="windowText" lastClr="000000"/>
      </a:solidFill>
      <a:round/>
    </a:ln>
    <a:effectLst/>
  </c:spPr>
  <c:txPr>
    <a:bodyPr/>
    <a:lstStyle/>
    <a:p>
      <a:pPr>
        <a:defRPr sz="1200" baseline="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bg1">
                <a:lumMod val="85000"/>
              </a:schemeClr>
            </a:solidFill>
            <a:ln>
              <a:solidFill>
                <a:schemeClr val="tx1"/>
              </a:solidFill>
            </a:ln>
            <a:effectLst/>
          </c:spPr>
          <c:invertIfNegative val="0"/>
          <c:cat>
            <c:strRef>
              <c:f>'BBIG Plant Density'!$G$4:$G$9</c:f>
              <c:strCache>
                <c:ptCount val="6"/>
                <c:pt idx="0">
                  <c:v>Pre     2018</c:v>
                </c:pt>
                <c:pt idx="1">
                  <c:v>Post    2018</c:v>
                </c:pt>
                <c:pt idx="2">
                  <c:v>Pre     2019</c:v>
                </c:pt>
                <c:pt idx="3">
                  <c:v>Post    2019</c:v>
                </c:pt>
                <c:pt idx="4">
                  <c:v>Pre    2020</c:v>
                </c:pt>
                <c:pt idx="5">
                  <c:v>Post    2020</c:v>
                </c:pt>
              </c:strCache>
            </c:strRef>
          </c:cat>
          <c:val>
            <c:numRef>
              <c:f>'BBIG Plant Density'!$H$4:$H$9</c:f>
              <c:numCache>
                <c:formatCode>0.00</c:formatCode>
                <c:ptCount val="6"/>
                <c:pt idx="0">
                  <c:v>326.05</c:v>
                </c:pt>
                <c:pt idx="1">
                  <c:v>341.1</c:v>
                </c:pt>
                <c:pt idx="2">
                  <c:v>581.6</c:v>
                </c:pt>
                <c:pt idx="3">
                  <c:v>391.1</c:v>
                </c:pt>
                <c:pt idx="4">
                  <c:v>604.46</c:v>
                </c:pt>
                <c:pt idx="5">
                  <c:v>465.4</c:v>
                </c:pt>
              </c:numCache>
            </c:numRef>
          </c:val>
          <c:extLst>
            <c:ext xmlns:c16="http://schemas.microsoft.com/office/drawing/2014/chart" uri="{C3380CC4-5D6E-409C-BE32-E72D297353CC}">
              <c16:uniqueId val="{00000001-20A5-4598-8178-F1890EDAC799}"/>
            </c:ext>
          </c:extLst>
        </c:ser>
        <c:dLbls>
          <c:showLegendKey val="0"/>
          <c:showVal val="0"/>
          <c:showCatName val="0"/>
          <c:showSerName val="0"/>
          <c:showPercent val="0"/>
          <c:showBubbleSize val="0"/>
        </c:dLbls>
        <c:gapWidth val="100"/>
        <c:overlap val="-24"/>
        <c:axId val="358787176"/>
        <c:axId val="358787832"/>
      </c:barChart>
      <c:catAx>
        <c:axId val="358787176"/>
        <c:scaling>
          <c:orientation val="minMax"/>
        </c:scaling>
        <c:delete val="0"/>
        <c:axPos val="b"/>
        <c:title>
          <c:tx>
            <c:rich>
              <a:bodyPr rot="0" spcFirstLastPara="1" vertOverflow="ellipsis" vert="horz" wrap="square" anchor="ctr" anchorCtr="1"/>
              <a:lstStyle/>
              <a:p>
                <a:pPr>
                  <a:defRPr sz="1200" b="1" i="0" u="none" strike="noStrike" kern="1200" baseline="0">
                    <a:solidFill>
                      <a:sysClr val="windowText" lastClr="000000"/>
                    </a:solidFill>
                    <a:latin typeface="Times New Roman" panose="02020603050405020304" pitchFamily="18" charset="0"/>
                    <a:ea typeface="+mn-ea"/>
                    <a:cs typeface="+mn-cs"/>
                  </a:defRPr>
                </a:pPr>
                <a:r>
                  <a:rPr lang="en-US" b="0"/>
                  <a:t>Year x Period</a:t>
                </a:r>
              </a:p>
            </c:rich>
          </c:tx>
          <c:overlay val="0"/>
          <c:spPr>
            <a:noFill/>
            <a:ln>
              <a:noFill/>
            </a:ln>
            <a:effectLst/>
          </c:spPr>
          <c:txPr>
            <a:bodyPr rot="0" spcFirstLastPara="1" vertOverflow="ellipsis" vert="horz" wrap="square" anchor="ctr" anchorCtr="1"/>
            <a:lstStyle/>
            <a:p>
              <a:pPr>
                <a:defRPr sz="1200" b="1" i="0" u="none" strike="noStrike" kern="1200" baseline="0">
                  <a:solidFill>
                    <a:sysClr val="windowText" lastClr="000000"/>
                  </a:solidFill>
                  <a:latin typeface="Times New Roman" panose="02020603050405020304" pitchFamily="18" charset="0"/>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358787832"/>
        <c:crosses val="autoZero"/>
        <c:auto val="1"/>
        <c:lblAlgn val="ctr"/>
        <c:lblOffset val="100"/>
        <c:noMultiLvlLbl val="0"/>
      </c:catAx>
      <c:valAx>
        <c:axId val="358787832"/>
        <c:scaling>
          <c:orientation val="minMax"/>
        </c:scaling>
        <c:delete val="0"/>
        <c:axPos val="l"/>
        <c:majorGridlines>
          <c:spPr>
            <a:ln w="9525" cap="flat" cmpd="sng" algn="ctr">
              <a:solidFill>
                <a:schemeClr val="tx1">
                  <a:lumMod val="50000"/>
                  <a:lumOff val="50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r>
                  <a:rPr lang="en-US" b="0"/>
                  <a:t>Mean Tiller Density (tillers m</a:t>
                </a:r>
                <a:r>
                  <a:rPr lang="en-US" b="0" baseline="30000"/>
                  <a:t>-2</a:t>
                </a:r>
                <a:r>
                  <a:rPr lang="en-US" b="0"/>
                  <a:t>)</a:t>
                </a:r>
              </a:p>
            </c:rich>
          </c:tx>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title>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358787176"/>
        <c:crosses val="autoZero"/>
        <c:crossBetween val="between"/>
      </c:valAx>
      <c:spPr>
        <a:noFill/>
        <a:ln>
          <a:noFill/>
        </a:ln>
        <a:effectLst/>
      </c:spPr>
    </c:plotArea>
    <c:plotVisOnly val="1"/>
    <c:dispBlanksAs val="gap"/>
    <c:showDLblsOverMax val="0"/>
  </c:chart>
  <c:spPr>
    <a:solidFill>
      <a:schemeClr val="bg1"/>
    </a:solidFill>
    <a:ln w="9525" cap="flat" cmpd="sng" algn="ctr">
      <a:solidFill>
        <a:sysClr val="windowText" lastClr="000000"/>
      </a:solidFill>
      <a:round/>
    </a:ln>
    <a:effectLst/>
  </c:spPr>
  <c:txPr>
    <a:bodyPr/>
    <a:lstStyle/>
    <a:p>
      <a:pPr>
        <a:defRPr sz="1200" baseline="0">
          <a:solidFill>
            <a:sysClr val="windowText" lastClr="000000"/>
          </a:solidFill>
          <a:latin typeface="Times New Roman" panose="02020603050405020304" pitchFamily="18"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987373737373736"/>
          <c:y val="4.0434164479440073E-2"/>
          <c:w val="0.81234848484848488"/>
          <c:h val="0.74124261811023617"/>
        </c:manualLayout>
      </c:layout>
      <c:barChart>
        <c:barDir val="col"/>
        <c:grouping val="clustered"/>
        <c:varyColors val="0"/>
        <c:ser>
          <c:idx val="1"/>
          <c:order val="0"/>
          <c:tx>
            <c:strRef>
              <c:f>Sheet2!$E$3</c:f>
              <c:strCache>
                <c:ptCount val="1"/>
                <c:pt idx="0">
                  <c:v>EARL</c:v>
                </c:pt>
              </c:strCache>
            </c:strRef>
          </c:tx>
          <c:spPr>
            <a:solidFill>
              <a:schemeClr val="bg1">
                <a:lumMod val="95000"/>
              </a:schemeClr>
            </a:solidFill>
            <a:ln>
              <a:solidFill>
                <a:schemeClr val="tx1"/>
              </a:solidFill>
            </a:ln>
          </c:spPr>
          <c:invertIfNegative val="0"/>
          <c:cat>
            <c:strRef>
              <c:f>Sheet2!$A$4:$A$8</c:f>
              <c:strCache>
                <c:ptCount val="5"/>
                <c:pt idx="0">
                  <c:v>15-May*</c:v>
                </c:pt>
                <c:pt idx="1">
                  <c:v>19-Jun*</c:v>
                </c:pt>
                <c:pt idx="2">
                  <c:v>10-Jul*</c:v>
                </c:pt>
                <c:pt idx="3">
                  <c:v>1-Aug*</c:v>
                </c:pt>
                <c:pt idx="4">
                  <c:v>20-Aug*</c:v>
                </c:pt>
              </c:strCache>
            </c:strRef>
          </c:cat>
          <c:val>
            <c:numRef>
              <c:f>Sheet2!$E$4:$E$8</c:f>
              <c:numCache>
                <c:formatCode>0.00</c:formatCode>
                <c:ptCount val="5"/>
                <c:pt idx="0">
                  <c:v>1.7233333333333334</c:v>
                </c:pt>
                <c:pt idx="1">
                  <c:v>2.813333333333333</c:v>
                </c:pt>
                <c:pt idx="2">
                  <c:v>0</c:v>
                </c:pt>
                <c:pt idx="3">
                  <c:v>0</c:v>
                </c:pt>
                <c:pt idx="4">
                  <c:v>0</c:v>
                </c:pt>
              </c:numCache>
            </c:numRef>
          </c:val>
          <c:extLst>
            <c:ext xmlns:c16="http://schemas.microsoft.com/office/drawing/2014/chart" uri="{C3380CC4-5D6E-409C-BE32-E72D297353CC}">
              <c16:uniqueId val="{00000000-4A80-44D4-BBB0-BCF25592ECA2}"/>
            </c:ext>
          </c:extLst>
        </c:ser>
        <c:ser>
          <c:idx val="3"/>
          <c:order val="1"/>
          <c:tx>
            <c:strRef>
              <c:f>Sheet2!$F$3</c:f>
              <c:strCache>
                <c:ptCount val="1"/>
                <c:pt idx="0">
                  <c:v>MIDD</c:v>
                </c:pt>
              </c:strCache>
            </c:strRef>
          </c:tx>
          <c:spPr>
            <a:solidFill>
              <a:schemeClr val="bg1">
                <a:lumMod val="65000"/>
              </a:schemeClr>
            </a:solidFill>
            <a:ln>
              <a:solidFill>
                <a:schemeClr val="tx1"/>
              </a:solidFill>
            </a:ln>
          </c:spPr>
          <c:invertIfNegative val="0"/>
          <c:cat>
            <c:strRef>
              <c:f>Sheet2!$A$4:$A$8</c:f>
              <c:strCache>
                <c:ptCount val="5"/>
                <c:pt idx="0">
                  <c:v>15-May*</c:v>
                </c:pt>
                <c:pt idx="1">
                  <c:v>19-Jun*</c:v>
                </c:pt>
                <c:pt idx="2">
                  <c:v>10-Jul*</c:v>
                </c:pt>
                <c:pt idx="3">
                  <c:v>1-Aug*</c:v>
                </c:pt>
                <c:pt idx="4">
                  <c:v>20-Aug*</c:v>
                </c:pt>
              </c:strCache>
            </c:strRef>
          </c:cat>
          <c:val>
            <c:numRef>
              <c:f>Sheet2!$F$4:$F$8</c:f>
              <c:numCache>
                <c:formatCode>0.00</c:formatCode>
                <c:ptCount val="5"/>
                <c:pt idx="0">
                  <c:v>1.7166666666666666</c:v>
                </c:pt>
                <c:pt idx="1">
                  <c:v>0</c:v>
                </c:pt>
                <c:pt idx="2">
                  <c:v>1.93</c:v>
                </c:pt>
                <c:pt idx="3">
                  <c:v>0</c:v>
                </c:pt>
                <c:pt idx="4">
                  <c:v>0</c:v>
                </c:pt>
              </c:numCache>
            </c:numRef>
          </c:val>
          <c:extLst>
            <c:ext xmlns:c16="http://schemas.microsoft.com/office/drawing/2014/chart" uri="{C3380CC4-5D6E-409C-BE32-E72D297353CC}">
              <c16:uniqueId val="{00000001-4A80-44D4-BBB0-BCF25592ECA2}"/>
            </c:ext>
          </c:extLst>
        </c:ser>
        <c:ser>
          <c:idx val="0"/>
          <c:order val="2"/>
          <c:tx>
            <c:strRef>
              <c:f>Sheet2!$C$3</c:f>
              <c:strCache>
                <c:ptCount val="1"/>
                <c:pt idx="0">
                  <c:v>LATE</c:v>
                </c:pt>
              </c:strCache>
            </c:strRef>
          </c:tx>
          <c:spPr>
            <a:solidFill>
              <a:schemeClr val="tx1">
                <a:lumMod val="65000"/>
                <a:lumOff val="35000"/>
              </a:schemeClr>
            </a:solidFill>
            <a:ln>
              <a:solidFill>
                <a:schemeClr val="tx1"/>
              </a:solidFill>
            </a:ln>
          </c:spPr>
          <c:invertIfNegative val="0"/>
          <c:cat>
            <c:strRef>
              <c:f>Sheet2!$A$4:$A$8</c:f>
              <c:strCache>
                <c:ptCount val="5"/>
                <c:pt idx="0">
                  <c:v>15-May*</c:v>
                </c:pt>
                <c:pt idx="1">
                  <c:v>19-Jun*</c:v>
                </c:pt>
                <c:pt idx="2">
                  <c:v>10-Jul*</c:v>
                </c:pt>
                <c:pt idx="3">
                  <c:v>1-Aug*</c:v>
                </c:pt>
                <c:pt idx="4">
                  <c:v>20-Aug*</c:v>
                </c:pt>
              </c:strCache>
            </c:strRef>
          </c:cat>
          <c:val>
            <c:numRef>
              <c:f>Sheet2!$C$4:$C$8</c:f>
              <c:numCache>
                <c:formatCode>0.00</c:formatCode>
                <c:ptCount val="5"/>
                <c:pt idx="0">
                  <c:v>1.5822666666666667</c:v>
                </c:pt>
                <c:pt idx="1">
                  <c:v>0</c:v>
                </c:pt>
                <c:pt idx="2">
                  <c:v>0</c:v>
                </c:pt>
                <c:pt idx="3">
                  <c:v>1.5766666666666664</c:v>
                </c:pt>
                <c:pt idx="4">
                  <c:v>0</c:v>
                </c:pt>
              </c:numCache>
            </c:numRef>
          </c:val>
          <c:extLst>
            <c:ext xmlns:c16="http://schemas.microsoft.com/office/drawing/2014/chart" uri="{C3380CC4-5D6E-409C-BE32-E72D297353CC}">
              <c16:uniqueId val="{00000002-4A80-44D4-BBB0-BCF25592ECA2}"/>
            </c:ext>
          </c:extLst>
        </c:ser>
        <c:dLbls>
          <c:showLegendKey val="0"/>
          <c:showVal val="0"/>
          <c:showCatName val="0"/>
          <c:showSerName val="0"/>
          <c:showPercent val="0"/>
          <c:showBubbleSize val="0"/>
        </c:dLbls>
        <c:gapWidth val="150"/>
        <c:axId val="608738144"/>
        <c:axId val="1"/>
      </c:barChart>
      <c:lineChart>
        <c:grouping val="standard"/>
        <c:varyColors val="0"/>
        <c:ser>
          <c:idx val="4"/>
          <c:order val="3"/>
          <c:tx>
            <c:strRef>
              <c:f>Sheet2!$D$3</c:f>
              <c:strCache>
                <c:ptCount val="1"/>
                <c:pt idx="0">
                  <c:v>NORE</c:v>
                </c:pt>
              </c:strCache>
            </c:strRef>
          </c:tx>
          <c:spPr>
            <a:ln w="38100" cap="sq">
              <a:solidFill>
                <a:srgbClr val="FF0000"/>
              </a:solidFill>
              <a:prstDash val="sysDash"/>
              <a:miter lim="800000"/>
            </a:ln>
          </c:spPr>
          <c:marker>
            <c:symbol val="none"/>
          </c:marker>
          <c:cat>
            <c:strRef>
              <c:f>Sheet2!$A$4:$A$8</c:f>
              <c:strCache>
                <c:ptCount val="5"/>
                <c:pt idx="0">
                  <c:v>15-May*</c:v>
                </c:pt>
                <c:pt idx="1">
                  <c:v>19-Jun*</c:v>
                </c:pt>
                <c:pt idx="2">
                  <c:v>10-Jul*</c:v>
                </c:pt>
                <c:pt idx="3">
                  <c:v>1-Aug*</c:v>
                </c:pt>
                <c:pt idx="4">
                  <c:v>20-Aug*</c:v>
                </c:pt>
              </c:strCache>
            </c:strRef>
          </c:cat>
          <c:val>
            <c:numRef>
              <c:f>Sheet2!$D$4:$D$8</c:f>
              <c:numCache>
                <c:formatCode>0.00</c:formatCode>
                <c:ptCount val="5"/>
                <c:pt idx="0">
                  <c:v>1.1233333333333333</c:v>
                </c:pt>
                <c:pt idx="1">
                  <c:v>1.1666666666666667</c:v>
                </c:pt>
                <c:pt idx="2">
                  <c:v>1.5</c:v>
                </c:pt>
                <c:pt idx="3">
                  <c:v>1.1566666666666667</c:v>
                </c:pt>
                <c:pt idx="4">
                  <c:v>1.2366666666666668</c:v>
                </c:pt>
              </c:numCache>
            </c:numRef>
          </c:val>
          <c:smooth val="0"/>
          <c:extLst>
            <c:ext xmlns:c16="http://schemas.microsoft.com/office/drawing/2014/chart" uri="{C3380CC4-5D6E-409C-BE32-E72D297353CC}">
              <c16:uniqueId val="{00000003-4A80-44D4-BBB0-BCF25592ECA2}"/>
            </c:ext>
          </c:extLst>
        </c:ser>
        <c:ser>
          <c:idx val="2"/>
          <c:order val="4"/>
          <c:tx>
            <c:strRef>
              <c:f>Sheet2!$B$3</c:f>
              <c:strCache>
                <c:ptCount val="1"/>
                <c:pt idx="0">
                  <c:v>NOGR</c:v>
                </c:pt>
              </c:strCache>
            </c:strRef>
          </c:tx>
          <c:spPr>
            <a:ln w="38100" cap="sq">
              <a:solidFill>
                <a:schemeClr val="tx1"/>
              </a:solidFill>
              <a:prstDash val="lgDash"/>
              <a:miter lim="800000"/>
            </a:ln>
          </c:spPr>
          <c:marker>
            <c:symbol val="none"/>
          </c:marker>
          <c:cat>
            <c:strRef>
              <c:f>Sheet2!$A$4:$A$8</c:f>
              <c:strCache>
                <c:ptCount val="5"/>
                <c:pt idx="0">
                  <c:v>15-May*</c:v>
                </c:pt>
                <c:pt idx="1">
                  <c:v>19-Jun*</c:v>
                </c:pt>
                <c:pt idx="2">
                  <c:v>10-Jul*</c:v>
                </c:pt>
                <c:pt idx="3">
                  <c:v>1-Aug*</c:v>
                </c:pt>
                <c:pt idx="4">
                  <c:v>20-Aug*</c:v>
                </c:pt>
              </c:strCache>
            </c:strRef>
          </c:cat>
          <c:val>
            <c:numRef>
              <c:f>Sheet2!$B$4:$B$8</c:f>
              <c:numCache>
                <c:formatCode>0.00</c:formatCode>
                <c:ptCount val="5"/>
                <c:pt idx="0">
                  <c:v>3.4633333333333329</c:v>
                </c:pt>
                <c:pt idx="1">
                  <c:v>3.0766666666666671</c:v>
                </c:pt>
                <c:pt idx="2">
                  <c:v>2.8966666666666669</c:v>
                </c:pt>
                <c:pt idx="3">
                  <c:v>3.6333333333333329</c:v>
                </c:pt>
                <c:pt idx="4">
                  <c:v>5.56</c:v>
                </c:pt>
              </c:numCache>
            </c:numRef>
          </c:val>
          <c:smooth val="0"/>
          <c:extLst>
            <c:ext xmlns:c16="http://schemas.microsoft.com/office/drawing/2014/chart" uri="{C3380CC4-5D6E-409C-BE32-E72D297353CC}">
              <c16:uniqueId val="{00000004-4A80-44D4-BBB0-BCF25592ECA2}"/>
            </c:ext>
          </c:extLst>
        </c:ser>
        <c:dLbls>
          <c:showLegendKey val="0"/>
          <c:showVal val="0"/>
          <c:showCatName val="0"/>
          <c:showSerName val="0"/>
          <c:showPercent val="0"/>
          <c:showBubbleSize val="0"/>
        </c:dLbls>
        <c:marker val="1"/>
        <c:smooth val="0"/>
        <c:axId val="608738144"/>
        <c:axId val="1"/>
      </c:lineChart>
      <c:catAx>
        <c:axId val="608738144"/>
        <c:scaling>
          <c:orientation val="minMax"/>
        </c:scaling>
        <c:delete val="0"/>
        <c:axPos val="b"/>
        <c:title>
          <c:tx>
            <c:rich>
              <a:bodyPr/>
              <a:lstStyle/>
              <a:p>
                <a:pPr>
                  <a:defRPr b="0"/>
                </a:pPr>
                <a:r>
                  <a:rPr lang="en-US" b="0"/>
                  <a:t>Sampling Period</a:t>
                </a:r>
              </a:p>
            </c:rich>
          </c:tx>
          <c:layout>
            <c:manualLayout>
              <c:xMode val="edge"/>
              <c:yMode val="edge"/>
              <c:x val="0.46225940507436569"/>
              <c:y val="0.8505148184601925"/>
            </c:manualLayout>
          </c:layout>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1"/>
        <c:crosses val="autoZero"/>
        <c:auto val="0"/>
        <c:lblAlgn val="ctr"/>
        <c:lblOffset val="100"/>
        <c:noMultiLvlLbl val="0"/>
      </c:catAx>
      <c:valAx>
        <c:axId val="1"/>
        <c:scaling>
          <c:orientation val="minMax"/>
          <c:max val="7"/>
          <c:min val="0"/>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b="0"/>
                  <a:t>Big bluestem/Indiangrass</a:t>
                </a:r>
                <a:r>
                  <a:rPr lang="en-US" b="0" baseline="0"/>
                  <a:t> Dry Matter Yield </a:t>
                </a:r>
                <a:r>
                  <a:rPr lang="en-US" b="0"/>
                  <a:t>(Mg ha</a:t>
                </a:r>
                <a:r>
                  <a:rPr lang="en-US" b="0" baseline="30000"/>
                  <a:t>-1</a:t>
                </a:r>
                <a:r>
                  <a:rPr lang="en-US" b="0"/>
                  <a:t>)</a:t>
                </a:r>
              </a:p>
            </c:rich>
          </c:tx>
          <c:layout>
            <c:manualLayout>
              <c:xMode val="edge"/>
              <c:yMode val="edge"/>
              <c:x val="1.3392984967788121E-2"/>
              <c:y val="4.2308344269466315E-2"/>
            </c:manualLayout>
          </c:layout>
          <c:overlay val="0"/>
        </c:title>
        <c:numFmt formatCode="#,##0.0" sourceLinked="0"/>
        <c:majorTickMark val="none"/>
        <c:minorTickMark val="none"/>
        <c:tickLblPos val="nextTo"/>
        <c:spPr>
          <a:ln w="6350">
            <a:noFill/>
          </a:ln>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608738144"/>
        <c:crosses val="autoZero"/>
        <c:crossBetween val="between"/>
        <c:majorUnit val="1"/>
      </c:valAx>
      <c:spPr>
        <a:noFill/>
        <a:ln w="25400">
          <a:noFill/>
        </a:ln>
      </c:spPr>
    </c:plotArea>
    <c:legend>
      <c:legendPos val="b"/>
      <c:layout>
        <c:manualLayout>
          <c:xMode val="edge"/>
          <c:yMode val="edge"/>
          <c:x val="0.10303030303030303"/>
          <c:y val="0.91264900481189848"/>
          <c:w val="0.86717171717171704"/>
          <c:h val="6.6517661854768151E-2"/>
        </c:manualLayout>
      </c:layout>
      <c:overlay val="0"/>
      <c:spPr>
        <a:noFill/>
        <a:ln w="25400">
          <a:noFill/>
        </a:ln>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ysClr val="windowText" lastClr="000000"/>
      </a:solidFill>
      <a:round/>
    </a:ln>
    <a:effectLst/>
  </c:spPr>
  <c:txPr>
    <a:bodyPr/>
    <a:lstStyle/>
    <a:p>
      <a:pPr>
        <a:defRPr sz="1200" baseline="0">
          <a:solidFill>
            <a:sysClr val="windowText" lastClr="000000"/>
          </a:solidFill>
          <a:latin typeface="Times New Roman" panose="02020603050405020304"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502525252525251"/>
          <c:y val="4.0434164479440073E-2"/>
          <c:w val="0.84719696969696989"/>
          <c:h val="0.73777039588801396"/>
        </c:manualLayout>
      </c:layout>
      <c:barChart>
        <c:barDir val="col"/>
        <c:grouping val="clustered"/>
        <c:varyColors val="0"/>
        <c:ser>
          <c:idx val="1"/>
          <c:order val="0"/>
          <c:tx>
            <c:strRef>
              <c:f>Sheet2!$E$41</c:f>
              <c:strCache>
                <c:ptCount val="1"/>
                <c:pt idx="0">
                  <c:v>EARL</c:v>
                </c:pt>
              </c:strCache>
            </c:strRef>
          </c:tx>
          <c:spPr>
            <a:solidFill>
              <a:schemeClr val="bg1">
                <a:lumMod val="95000"/>
              </a:schemeClr>
            </a:solidFill>
            <a:ln>
              <a:solidFill>
                <a:schemeClr val="tx1"/>
              </a:solidFill>
            </a:ln>
          </c:spPr>
          <c:invertIfNegative val="0"/>
          <c:cat>
            <c:strRef>
              <c:f>Sheet2!$A$21:$A$25</c:f>
              <c:strCache>
                <c:ptCount val="5"/>
                <c:pt idx="0">
                  <c:v>15-May</c:v>
                </c:pt>
                <c:pt idx="1">
                  <c:v>19-Jun</c:v>
                </c:pt>
                <c:pt idx="2">
                  <c:v>10-Jul*</c:v>
                </c:pt>
                <c:pt idx="3">
                  <c:v>1-Aug*</c:v>
                </c:pt>
                <c:pt idx="4">
                  <c:v>20-Aug*</c:v>
                </c:pt>
              </c:strCache>
            </c:strRef>
          </c:cat>
          <c:val>
            <c:numRef>
              <c:f>Sheet2!$E$33:$E$37</c:f>
              <c:numCache>
                <c:formatCode>0.00</c:formatCode>
                <c:ptCount val="5"/>
                <c:pt idx="0">
                  <c:v>3.7</c:v>
                </c:pt>
                <c:pt idx="1">
                  <c:v>3.58</c:v>
                </c:pt>
              </c:numCache>
            </c:numRef>
          </c:val>
          <c:extLst>
            <c:ext xmlns:c16="http://schemas.microsoft.com/office/drawing/2014/chart" uri="{C3380CC4-5D6E-409C-BE32-E72D297353CC}">
              <c16:uniqueId val="{00000000-60D2-455F-BE28-9DBCE277460A}"/>
            </c:ext>
          </c:extLst>
        </c:ser>
        <c:ser>
          <c:idx val="3"/>
          <c:order val="1"/>
          <c:tx>
            <c:strRef>
              <c:f>Sheet2!$F$32</c:f>
              <c:strCache>
                <c:ptCount val="1"/>
                <c:pt idx="0">
                  <c:v>MIDD</c:v>
                </c:pt>
              </c:strCache>
            </c:strRef>
          </c:tx>
          <c:spPr>
            <a:solidFill>
              <a:schemeClr val="bg1">
                <a:lumMod val="65000"/>
              </a:schemeClr>
            </a:solidFill>
            <a:ln>
              <a:solidFill>
                <a:schemeClr val="tx1"/>
              </a:solidFill>
            </a:ln>
          </c:spPr>
          <c:invertIfNegative val="0"/>
          <c:cat>
            <c:strRef>
              <c:f>Sheet2!$A$21:$A$25</c:f>
              <c:strCache>
                <c:ptCount val="5"/>
                <c:pt idx="0">
                  <c:v>15-May</c:v>
                </c:pt>
                <c:pt idx="1">
                  <c:v>19-Jun</c:v>
                </c:pt>
                <c:pt idx="2">
                  <c:v>10-Jul*</c:v>
                </c:pt>
                <c:pt idx="3">
                  <c:v>1-Aug*</c:v>
                </c:pt>
                <c:pt idx="4">
                  <c:v>20-Aug*</c:v>
                </c:pt>
              </c:strCache>
            </c:strRef>
          </c:cat>
          <c:val>
            <c:numRef>
              <c:f>Sheet2!$F$33:$F$37</c:f>
              <c:numCache>
                <c:formatCode>General</c:formatCode>
                <c:ptCount val="5"/>
                <c:pt idx="0" formatCode="0.00">
                  <c:v>3.5533333333333332</c:v>
                </c:pt>
                <c:pt idx="2" formatCode="0.00">
                  <c:v>2.4533333333333336</c:v>
                </c:pt>
              </c:numCache>
            </c:numRef>
          </c:val>
          <c:extLst>
            <c:ext xmlns:c16="http://schemas.microsoft.com/office/drawing/2014/chart" uri="{C3380CC4-5D6E-409C-BE32-E72D297353CC}">
              <c16:uniqueId val="{00000001-60D2-455F-BE28-9DBCE277460A}"/>
            </c:ext>
          </c:extLst>
        </c:ser>
        <c:ser>
          <c:idx val="0"/>
          <c:order val="2"/>
          <c:tx>
            <c:strRef>
              <c:f>Sheet2!$C$3</c:f>
              <c:strCache>
                <c:ptCount val="1"/>
                <c:pt idx="0">
                  <c:v>LATE</c:v>
                </c:pt>
              </c:strCache>
            </c:strRef>
          </c:tx>
          <c:spPr>
            <a:solidFill>
              <a:schemeClr val="tx1">
                <a:lumMod val="65000"/>
                <a:lumOff val="35000"/>
              </a:schemeClr>
            </a:solidFill>
            <a:ln>
              <a:solidFill>
                <a:schemeClr val="tx1"/>
              </a:solidFill>
            </a:ln>
          </c:spPr>
          <c:invertIfNegative val="0"/>
          <c:cat>
            <c:strRef>
              <c:f>Sheet2!$A$21:$A$25</c:f>
              <c:strCache>
                <c:ptCount val="5"/>
                <c:pt idx="0">
                  <c:v>15-May</c:v>
                </c:pt>
                <c:pt idx="1">
                  <c:v>19-Jun</c:v>
                </c:pt>
                <c:pt idx="2">
                  <c:v>10-Jul*</c:v>
                </c:pt>
                <c:pt idx="3">
                  <c:v>1-Aug*</c:v>
                </c:pt>
                <c:pt idx="4">
                  <c:v>20-Aug*</c:v>
                </c:pt>
              </c:strCache>
            </c:strRef>
          </c:cat>
          <c:val>
            <c:numRef>
              <c:f>Sheet2!$C$33:$C$37</c:f>
              <c:numCache>
                <c:formatCode>General</c:formatCode>
                <c:ptCount val="5"/>
                <c:pt idx="0" formatCode="0.00">
                  <c:v>3.8622666666666667</c:v>
                </c:pt>
                <c:pt idx="3" formatCode="0.00">
                  <c:v>1.8533333333333335</c:v>
                </c:pt>
              </c:numCache>
            </c:numRef>
          </c:val>
          <c:extLst>
            <c:ext xmlns:c16="http://schemas.microsoft.com/office/drawing/2014/chart" uri="{C3380CC4-5D6E-409C-BE32-E72D297353CC}">
              <c16:uniqueId val="{00000002-60D2-455F-BE28-9DBCE277460A}"/>
            </c:ext>
          </c:extLst>
        </c:ser>
        <c:dLbls>
          <c:showLegendKey val="0"/>
          <c:showVal val="0"/>
          <c:showCatName val="0"/>
          <c:showSerName val="0"/>
          <c:showPercent val="0"/>
          <c:showBubbleSize val="0"/>
        </c:dLbls>
        <c:gapWidth val="150"/>
        <c:axId val="608738144"/>
        <c:axId val="1"/>
      </c:barChart>
      <c:lineChart>
        <c:grouping val="standard"/>
        <c:varyColors val="0"/>
        <c:ser>
          <c:idx val="4"/>
          <c:order val="3"/>
          <c:tx>
            <c:strRef>
              <c:f>Sheet2!$D$32</c:f>
              <c:strCache>
                <c:ptCount val="1"/>
                <c:pt idx="0">
                  <c:v>NORE</c:v>
                </c:pt>
              </c:strCache>
            </c:strRef>
          </c:tx>
          <c:spPr>
            <a:ln w="38100" cap="sq">
              <a:solidFill>
                <a:srgbClr val="FF0000"/>
              </a:solidFill>
              <a:prstDash val="sysDash"/>
              <a:miter lim="800000"/>
            </a:ln>
          </c:spPr>
          <c:marker>
            <c:symbol val="none"/>
          </c:marker>
          <c:cat>
            <c:strRef>
              <c:f>Sheet2!$A$4:$A$8</c:f>
              <c:strCache>
                <c:ptCount val="5"/>
                <c:pt idx="0">
                  <c:v>15-May*</c:v>
                </c:pt>
                <c:pt idx="1">
                  <c:v>19-Jun*</c:v>
                </c:pt>
                <c:pt idx="2">
                  <c:v>10-Jul*</c:v>
                </c:pt>
                <c:pt idx="3">
                  <c:v>1-Aug*</c:v>
                </c:pt>
                <c:pt idx="4">
                  <c:v>20-Aug*</c:v>
                </c:pt>
              </c:strCache>
            </c:strRef>
          </c:cat>
          <c:val>
            <c:numRef>
              <c:f>Sheet2!$D$33:$D$37</c:f>
              <c:numCache>
                <c:formatCode>0.00</c:formatCode>
                <c:ptCount val="5"/>
                <c:pt idx="0">
                  <c:v>3.03</c:v>
                </c:pt>
                <c:pt idx="1">
                  <c:v>2.2766666666666664</c:v>
                </c:pt>
                <c:pt idx="2">
                  <c:v>1.8233333333333335</c:v>
                </c:pt>
                <c:pt idx="3">
                  <c:v>1.5033333333333334</c:v>
                </c:pt>
                <c:pt idx="4">
                  <c:v>1.8233333333333335</c:v>
                </c:pt>
              </c:numCache>
            </c:numRef>
          </c:val>
          <c:smooth val="0"/>
          <c:extLst>
            <c:ext xmlns:c16="http://schemas.microsoft.com/office/drawing/2014/chart" uri="{C3380CC4-5D6E-409C-BE32-E72D297353CC}">
              <c16:uniqueId val="{00000003-60D2-455F-BE28-9DBCE277460A}"/>
            </c:ext>
          </c:extLst>
        </c:ser>
        <c:ser>
          <c:idx val="2"/>
          <c:order val="4"/>
          <c:tx>
            <c:strRef>
              <c:f>Sheet2!$B$3</c:f>
              <c:strCache>
                <c:ptCount val="1"/>
                <c:pt idx="0">
                  <c:v>NOGR</c:v>
                </c:pt>
              </c:strCache>
            </c:strRef>
          </c:tx>
          <c:spPr>
            <a:ln w="38100" cap="sq">
              <a:solidFill>
                <a:schemeClr val="tx1"/>
              </a:solidFill>
              <a:prstDash val="lgDash"/>
              <a:miter lim="800000"/>
            </a:ln>
          </c:spPr>
          <c:marker>
            <c:symbol val="none"/>
          </c:marker>
          <c:cat>
            <c:strRef>
              <c:f>Sheet2!$A$4:$A$8</c:f>
              <c:strCache>
                <c:ptCount val="5"/>
                <c:pt idx="0">
                  <c:v>15-May*</c:v>
                </c:pt>
                <c:pt idx="1">
                  <c:v>19-Jun*</c:v>
                </c:pt>
                <c:pt idx="2">
                  <c:v>10-Jul*</c:v>
                </c:pt>
                <c:pt idx="3">
                  <c:v>1-Aug*</c:v>
                </c:pt>
                <c:pt idx="4">
                  <c:v>20-Aug*</c:v>
                </c:pt>
              </c:strCache>
            </c:strRef>
          </c:cat>
          <c:val>
            <c:numRef>
              <c:f>Sheet2!$B$33:$B$37</c:f>
              <c:numCache>
                <c:formatCode>0.00</c:formatCode>
                <c:ptCount val="5"/>
                <c:pt idx="0">
                  <c:v>4.66</c:v>
                </c:pt>
                <c:pt idx="1">
                  <c:v>4.1333333333333329</c:v>
                </c:pt>
                <c:pt idx="2">
                  <c:v>3.5133333333333332</c:v>
                </c:pt>
                <c:pt idx="3">
                  <c:v>3.8966666666666669</c:v>
                </c:pt>
                <c:pt idx="4">
                  <c:v>6.2333333333333343</c:v>
                </c:pt>
              </c:numCache>
            </c:numRef>
          </c:val>
          <c:smooth val="0"/>
          <c:extLst>
            <c:ext xmlns:c16="http://schemas.microsoft.com/office/drawing/2014/chart" uri="{C3380CC4-5D6E-409C-BE32-E72D297353CC}">
              <c16:uniqueId val="{00000004-60D2-455F-BE28-9DBCE277460A}"/>
            </c:ext>
          </c:extLst>
        </c:ser>
        <c:dLbls>
          <c:showLegendKey val="0"/>
          <c:showVal val="0"/>
          <c:showCatName val="0"/>
          <c:showSerName val="0"/>
          <c:showPercent val="0"/>
          <c:showBubbleSize val="0"/>
        </c:dLbls>
        <c:marker val="1"/>
        <c:smooth val="0"/>
        <c:axId val="608738144"/>
        <c:axId val="1"/>
      </c:lineChart>
      <c:catAx>
        <c:axId val="608738144"/>
        <c:scaling>
          <c:orientation val="minMax"/>
        </c:scaling>
        <c:delete val="0"/>
        <c:axPos val="b"/>
        <c:title>
          <c:tx>
            <c:rich>
              <a:bodyPr/>
              <a:lstStyle/>
              <a:p>
                <a:pPr>
                  <a:defRPr b="0"/>
                </a:pPr>
                <a:r>
                  <a:rPr lang="en-US" b="0"/>
                  <a:t>Sampling Period</a:t>
                </a:r>
              </a:p>
            </c:rich>
          </c:tx>
          <c:layout>
            <c:manualLayout>
              <c:xMode val="edge"/>
              <c:yMode val="edge"/>
              <c:x val="0.46225005965163446"/>
              <c:y val="0.8505148184601925"/>
            </c:manualLayout>
          </c:layout>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1"/>
        <c:crosses val="autoZero"/>
        <c:auto val="0"/>
        <c:lblAlgn val="ctr"/>
        <c:lblOffset val="100"/>
        <c:noMultiLvlLbl val="0"/>
      </c:catAx>
      <c:valAx>
        <c:axId val="1"/>
        <c:scaling>
          <c:orientation val="minMax"/>
          <c:max val="7"/>
          <c:min val="0"/>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US" b="0"/>
                  <a:t>Total </a:t>
                </a:r>
                <a:r>
                  <a:rPr lang="en-US" b="0" baseline="0"/>
                  <a:t>Dry Matter Yield </a:t>
                </a:r>
                <a:r>
                  <a:rPr lang="en-US" b="0"/>
                  <a:t>(Mg ha</a:t>
                </a:r>
                <a:r>
                  <a:rPr lang="en-US" b="0" baseline="30000"/>
                  <a:t>-1</a:t>
                </a:r>
                <a:r>
                  <a:rPr lang="en-US" b="0"/>
                  <a:t>)</a:t>
                </a:r>
              </a:p>
            </c:rich>
          </c:tx>
          <c:layout>
            <c:manualLayout>
              <c:xMode val="edge"/>
              <c:yMode val="edge"/>
              <c:x val="1.3403921100771495E-2"/>
              <c:y val="0.13827236439195101"/>
            </c:manualLayout>
          </c:layout>
          <c:overlay val="0"/>
        </c:title>
        <c:numFmt formatCode="#,##0.0" sourceLinked="0"/>
        <c:majorTickMark val="none"/>
        <c:minorTickMark val="none"/>
        <c:tickLblPos val="nextTo"/>
        <c:spPr>
          <a:ln w="6350">
            <a:noFill/>
          </a:ln>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608738144"/>
        <c:crosses val="autoZero"/>
        <c:crossBetween val="between"/>
      </c:valAx>
      <c:spPr>
        <a:noFill/>
        <a:ln w="25400">
          <a:noFill/>
        </a:ln>
      </c:spPr>
    </c:plotArea>
    <c:legend>
      <c:legendPos val="b"/>
      <c:layout>
        <c:manualLayout>
          <c:xMode val="edge"/>
          <c:yMode val="edge"/>
          <c:x val="8.282828282828282E-2"/>
          <c:y val="0.91264900481189848"/>
          <c:w val="0.88232323232323229"/>
          <c:h val="6.6517661854768151E-2"/>
        </c:manualLayout>
      </c:layout>
      <c:overlay val="0"/>
      <c:spPr>
        <a:noFill/>
        <a:ln w="25400">
          <a:noFill/>
        </a:ln>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ysClr val="windowText" lastClr="000000"/>
      </a:solidFill>
      <a:round/>
    </a:ln>
    <a:effectLst/>
  </c:spPr>
  <c:txPr>
    <a:bodyPr/>
    <a:lstStyle/>
    <a:p>
      <a:pPr>
        <a:defRPr sz="1200" baseline="0">
          <a:solidFill>
            <a:sysClr val="windowText" lastClr="000000"/>
          </a:solidFill>
          <a:latin typeface="Times New Roman" panose="02020603050405020304" pitchFamily="18" charset="0"/>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187127177284658"/>
          <c:y val="5.3912219305920092E-2"/>
          <c:w val="0.79757317267159777"/>
          <c:h val="0.69318460192475939"/>
        </c:manualLayout>
      </c:layout>
      <c:barChart>
        <c:barDir val="col"/>
        <c:grouping val="clustered"/>
        <c:varyColors val="0"/>
        <c:ser>
          <c:idx val="2"/>
          <c:order val="0"/>
          <c:tx>
            <c:strRef>
              <c:f>'NIRS SAS Results - RECG 2019'!$H$501</c:f>
              <c:strCache>
                <c:ptCount val="1"/>
                <c:pt idx="0">
                  <c:v>EARL</c:v>
                </c:pt>
              </c:strCache>
            </c:strRef>
          </c:tx>
          <c:spPr>
            <a:solidFill>
              <a:schemeClr val="bg1">
                <a:lumMod val="95000"/>
              </a:schemeClr>
            </a:solidFill>
            <a:ln w="9525" cap="sq">
              <a:solidFill>
                <a:sysClr val="windowText" lastClr="000000"/>
              </a:solidFill>
              <a:miter lim="800000"/>
            </a:ln>
            <a:effectLst/>
          </c:spPr>
          <c:invertIfNegative val="0"/>
          <c:cat>
            <c:strRef>
              <c:f>('NIRS SAS Results - RECG 2019'!$AE$507,'NIRS SAS Results - RECG 2019'!$AE$509:$AE$512)</c:f>
              <c:strCache>
                <c:ptCount val="5"/>
                <c:pt idx="0">
                  <c:v>15-May</c:v>
                </c:pt>
                <c:pt idx="1">
                  <c:v>19-Jun*</c:v>
                </c:pt>
                <c:pt idx="2">
                  <c:v>10-Jul</c:v>
                </c:pt>
                <c:pt idx="3">
                  <c:v>1-Aug</c:v>
                </c:pt>
                <c:pt idx="4">
                  <c:v>20-Aug</c:v>
                </c:pt>
              </c:strCache>
            </c:strRef>
          </c:cat>
          <c:val>
            <c:numRef>
              <c:f>('NIRS SAS Results - RECG 2019'!$H$502,'NIRS SAS Results - RECG 2019'!$H$504:$H$507)</c:f>
              <c:numCache>
                <c:formatCode>0.00</c:formatCode>
                <c:ptCount val="5"/>
                <c:pt idx="0">
                  <c:v>154.1</c:v>
                </c:pt>
                <c:pt idx="1">
                  <c:v>93.5</c:v>
                </c:pt>
              </c:numCache>
              <c:extLst/>
            </c:numRef>
          </c:val>
          <c:extLst>
            <c:ext xmlns:c16="http://schemas.microsoft.com/office/drawing/2014/chart" uri="{C3380CC4-5D6E-409C-BE32-E72D297353CC}">
              <c16:uniqueId val="{00000000-419A-4606-BA7E-E5826C6E8CAE}"/>
            </c:ext>
          </c:extLst>
        </c:ser>
        <c:ser>
          <c:idx val="0"/>
          <c:order val="1"/>
          <c:tx>
            <c:strRef>
              <c:f>'NIRS SAS Results - RECG 2019'!$I$501</c:f>
              <c:strCache>
                <c:ptCount val="1"/>
                <c:pt idx="0">
                  <c:v>MIDD</c:v>
                </c:pt>
              </c:strCache>
            </c:strRef>
          </c:tx>
          <c:spPr>
            <a:solidFill>
              <a:schemeClr val="bg1">
                <a:lumMod val="65000"/>
              </a:schemeClr>
            </a:solidFill>
            <a:ln w="9525">
              <a:solidFill>
                <a:sysClr val="windowText" lastClr="000000"/>
              </a:solidFill>
            </a:ln>
            <a:effectLst/>
          </c:spPr>
          <c:invertIfNegative val="0"/>
          <c:cat>
            <c:strRef>
              <c:f>('NIRS SAS Results - RECG 2019'!$AE$507,'NIRS SAS Results - RECG 2019'!$AE$509:$AE$512)</c:f>
              <c:strCache>
                <c:ptCount val="5"/>
                <c:pt idx="0">
                  <c:v>15-May</c:v>
                </c:pt>
                <c:pt idx="1">
                  <c:v>19-Jun*</c:v>
                </c:pt>
                <c:pt idx="2">
                  <c:v>10-Jul</c:v>
                </c:pt>
                <c:pt idx="3">
                  <c:v>1-Aug</c:v>
                </c:pt>
                <c:pt idx="4">
                  <c:v>20-Aug</c:v>
                </c:pt>
              </c:strCache>
            </c:strRef>
          </c:cat>
          <c:val>
            <c:numRef>
              <c:f>('NIRS SAS Results - RECG 2019'!$I$502,'NIRS SAS Results - RECG 2019'!$I$504:$I$507)</c:f>
              <c:numCache>
                <c:formatCode>General</c:formatCode>
                <c:ptCount val="5"/>
                <c:pt idx="0" formatCode="0.00">
                  <c:v>152</c:v>
                </c:pt>
                <c:pt idx="2" formatCode="0.00">
                  <c:v>99.7</c:v>
                </c:pt>
              </c:numCache>
              <c:extLst/>
            </c:numRef>
          </c:val>
          <c:extLst>
            <c:ext xmlns:c16="http://schemas.microsoft.com/office/drawing/2014/chart" uri="{C3380CC4-5D6E-409C-BE32-E72D297353CC}">
              <c16:uniqueId val="{00000001-419A-4606-BA7E-E5826C6E8CAE}"/>
            </c:ext>
          </c:extLst>
        </c:ser>
        <c:ser>
          <c:idx val="4"/>
          <c:order val="2"/>
          <c:tx>
            <c:strRef>
              <c:f>'NIRS SAS Results - RECG 2019'!$F$501</c:f>
              <c:strCache>
                <c:ptCount val="1"/>
                <c:pt idx="0">
                  <c:v>LATE</c:v>
                </c:pt>
              </c:strCache>
            </c:strRef>
          </c:tx>
          <c:spPr>
            <a:solidFill>
              <a:schemeClr val="tx1">
                <a:lumMod val="65000"/>
                <a:lumOff val="35000"/>
              </a:schemeClr>
            </a:solidFill>
            <a:ln w="9525">
              <a:solidFill>
                <a:sysClr val="windowText" lastClr="000000"/>
              </a:solidFill>
            </a:ln>
            <a:effectLst/>
          </c:spPr>
          <c:invertIfNegative val="0"/>
          <c:cat>
            <c:strRef>
              <c:f>('NIRS SAS Results - RECG 2019'!$AE$507,'NIRS SAS Results - RECG 2019'!$AE$509:$AE$512)</c:f>
              <c:strCache>
                <c:ptCount val="5"/>
                <c:pt idx="0">
                  <c:v>15-May</c:v>
                </c:pt>
                <c:pt idx="1">
                  <c:v>19-Jun*</c:v>
                </c:pt>
                <c:pt idx="2">
                  <c:v>10-Jul</c:v>
                </c:pt>
                <c:pt idx="3">
                  <c:v>1-Aug</c:v>
                </c:pt>
                <c:pt idx="4">
                  <c:v>20-Aug</c:v>
                </c:pt>
              </c:strCache>
            </c:strRef>
          </c:cat>
          <c:val>
            <c:numRef>
              <c:f>('NIRS SAS Results - RECG 2019'!$F$502,'NIRS SAS Results - RECG 2019'!$F$504:$F$507)</c:f>
              <c:numCache>
                <c:formatCode>General</c:formatCode>
                <c:ptCount val="5"/>
                <c:pt idx="0" formatCode="0.00">
                  <c:v>151.69999999999999</c:v>
                </c:pt>
                <c:pt idx="3" formatCode="0.00">
                  <c:v>134.80000000000001</c:v>
                </c:pt>
              </c:numCache>
              <c:extLst/>
            </c:numRef>
          </c:val>
          <c:extLst>
            <c:ext xmlns:c16="http://schemas.microsoft.com/office/drawing/2014/chart" uri="{C3380CC4-5D6E-409C-BE32-E72D297353CC}">
              <c16:uniqueId val="{00000002-419A-4606-BA7E-E5826C6E8CAE}"/>
            </c:ext>
          </c:extLst>
        </c:ser>
        <c:dLbls>
          <c:showLegendKey val="0"/>
          <c:showVal val="0"/>
          <c:showCatName val="0"/>
          <c:showSerName val="0"/>
          <c:showPercent val="0"/>
          <c:showBubbleSize val="0"/>
        </c:dLbls>
        <c:gapWidth val="150"/>
        <c:axId val="608738144"/>
        <c:axId val="1"/>
      </c:barChart>
      <c:lineChart>
        <c:grouping val="standard"/>
        <c:varyColors val="0"/>
        <c:ser>
          <c:idx val="1"/>
          <c:order val="3"/>
          <c:tx>
            <c:strRef>
              <c:f>'NIRS SAS Results - RECG 2019'!$G$501</c:f>
              <c:strCache>
                <c:ptCount val="1"/>
                <c:pt idx="0">
                  <c:v>NORE</c:v>
                </c:pt>
              </c:strCache>
            </c:strRef>
          </c:tx>
          <c:spPr>
            <a:ln w="38100" cap="sq">
              <a:solidFill>
                <a:srgbClr val="FF0000"/>
              </a:solidFill>
              <a:prstDash val="sysDash"/>
              <a:miter lim="800000"/>
            </a:ln>
            <a:effectLst/>
          </c:spPr>
          <c:marker>
            <c:symbol val="none"/>
          </c:marker>
          <c:cat>
            <c:strRef>
              <c:f>('NIRS SAS Results - RECG 2019'!$AE$507,'NIRS SAS Results - RECG 2019'!$AE$509:$AE$512)</c:f>
              <c:strCache>
                <c:ptCount val="5"/>
                <c:pt idx="0">
                  <c:v>15-May</c:v>
                </c:pt>
                <c:pt idx="1">
                  <c:v>19-Jun*</c:v>
                </c:pt>
                <c:pt idx="2">
                  <c:v>10-Jul</c:v>
                </c:pt>
                <c:pt idx="3">
                  <c:v>1-Aug</c:v>
                </c:pt>
                <c:pt idx="4">
                  <c:v>20-Aug</c:v>
                </c:pt>
              </c:strCache>
            </c:strRef>
          </c:cat>
          <c:val>
            <c:numRef>
              <c:f>('NIRS SAS Results - RECG 2019'!$G$502,'NIRS SAS Results - RECG 2019'!$G$504:$G$507)</c:f>
              <c:numCache>
                <c:formatCode>0.00</c:formatCode>
                <c:ptCount val="5"/>
                <c:pt idx="0">
                  <c:v>163.1</c:v>
                </c:pt>
                <c:pt idx="1">
                  <c:v>99.1</c:v>
                </c:pt>
                <c:pt idx="2">
                  <c:v>101.5</c:v>
                </c:pt>
                <c:pt idx="3">
                  <c:v>116</c:v>
                </c:pt>
                <c:pt idx="4">
                  <c:v>136.5</c:v>
                </c:pt>
              </c:numCache>
              <c:extLst/>
            </c:numRef>
          </c:val>
          <c:smooth val="0"/>
          <c:extLst>
            <c:ext xmlns:c16="http://schemas.microsoft.com/office/drawing/2014/chart" uri="{C3380CC4-5D6E-409C-BE32-E72D297353CC}">
              <c16:uniqueId val="{00000003-419A-4606-BA7E-E5826C6E8CAE}"/>
            </c:ext>
          </c:extLst>
        </c:ser>
        <c:ser>
          <c:idx val="3"/>
          <c:order val="4"/>
          <c:tx>
            <c:strRef>
              <c:f>'NIRS SAS Results - RECG 2019'!$E$501</c:f>
              <c:strCache>
                <c:ptCount val="1"/>
                <c:pt idx="0">
                  <c:v>NOGR</c:v>
                </c:pt>
              </c:strCache>
            </c:strRef>
          </c:tx>
          <c:spPr>
            <a:ln w="38100" cap="sq">
              <a:solidFill>
                <a:schemeClr val="tx1"/>
              </a:solidFill>
              <a:prstDash val="sysDash"/>
              <a:miter lim="800000"/>
            </a:ln>
            <a:effectLst/>
          </c:spPr>
          <c:marker>
            <c:symbol val="none"/>
          </c:marker>
          <c:cat>
            <c:strRef>
              <c:f>('NIRS SAS Results - RECG 2019'!$AE$507,'NIRS SAS Results - RECG 2019'!$AE$509:$AE$512)</c:f>
              <c:strCache>
                <c:ptCount val="5"/>
                <c:pt idx="0">
                  <c:v>15-May</c:v>
                </c:pt>
                <c:pt idx="1">
                  <c:v>19-Jun*</c:v>
                </c:pt>
                <c:pt idx="2">
                  <c:v>10-Jul</c:v>
                </c:pt>
                <c:pt idx="3">
                  <c:v>1-Aug</c:v>
                </c:pt>
                <c:pt idx="4">
                  <c:v>20-Aug</c:v>
                </c:pt>
              </c:strCache>
            </c:strRef>
          </c:cat>
          <c:val>
            <c:numRef>
              <c:f>('NIRS SAS Results - RECG 2019'!$E$502,'NIRS SAS Results - RECG 2019'!$E$504:$E$507)</c:f>
              <c:numCache>
                <c:formatCode>0.00</c:formatCode>
                <c:ptCount val="5"/>
                <c:pt idx="0">
                  <c:v>158</c:v>
                </c:pt>
                <c:pt idx="1">
                  <c:v>83.7</c:v>
                </c:pt>
                <c:pt idx="2">
                  <c:v>91.6</c:v>
                </c:pt>
                <c:pt idx="3">
                  <c:v>95.9</c:v>
                </c:pt>
                <c:pt idx="4">
                  <c:v>86.1</c:v>
                </c:pt>
              </c:numCache>
              <c:extLst/>
            </c:numRef>
          </c:val>
          <c:smooth val="0"/>
          <c:extLst>
            <c:ext xmlns:c16="http://schemas.microsoft.com/office/drawing/2014/chart" uri="{C3380CC4-5D6E-409C-BE32-E72D297353CC}">
              <c16:uniqueId val="{00000004-419A-4606-BA7E-E5826C6E8CAE}"/>
            </c:ext>
          </c:extLst>
        </c:ser>
        <c:dLbls>
          <c:showLegendKey val="0"/>
          <c:showVal val="0"/>
          <c:showCatName val="0"/>
          <c:showSerName val="0"/>
          <c:showPercent val="0"/>
          <c:showBubbleSize val="0"/>
        </c:dLbls>
        <c:marker val="1"/>
        <c:smooth val="0"/>
        <c:axId val="608738144"/>
        <c:axId val="1"/>
      </c:lineChart>
      <c:catAx>
        <c:axId val="608738144"/>
        <c:scaling>
          <c:orientation val="minMax"/>
        </c:scaling>
        <c:delete val="0"/>
        <c:axPos val="b"/>
        <c:title>
          <c:tx>
            <c:rich>
              <a:bodyPr/>
              <a:lstStyle/>
              <a:p>
                <a:pPr>
                  <a:defRPr b="0"/>
                </a:pPr>
                <a:r>
                  <a:rPr lang="en-US" b="0"/>
                  <a:t>Sampling</a:t>
                </a:r>
                <a:r>
                  <a:rPr lang="en-US" b="0" baseline="0"/>
                  <a:t> Period</a:t>
                </a:r>
                <a:endParaRPr lang="en-US" b="0"/>
              </a:p>
            </c:rich>
          </c:tx>
          <c:layout>
            <c:manualLayout>
              <c:xMode val="edge"/>
              <c:yMode val="edge"/>
              <c:x val="0.47186331822158595"/>
              <c:y val="0.829185531496063"/>
            </c:manualLayout>
          </c:layout>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1"/>
        <c:crosses val="autoZero"/>
        <c:auto val="0"/>
        <c:lblAlgn val="ctr"/>
        <c:lblOffset val="100"/>
        <c:noMultiLvlLbl val="0"/>
      </c:catAx>
      <c:valAx>
        <c:axId val="1"/>
        <c:scaling>
          <c:orientation val="minMax"/>
          <c:max val="180"/>
          <c:min val="60"/>
        </c:scaling>
        <c:delete val="0"/>
        <c:axPos val="l"/>
        <c:majorGridlines>
          <c:spPr>
            <a:ln w="9525" cap="flat" cmpd="sng" algn="ctr">
              <a:solidFill>
                <a:schemeClr val="tx1">
                  <a:lumMod val="50000"/>
                  <a:lumOff val="50000"/>
                </a:schemeClr>
              </a:solidFill>
              <a:round/>
            </a:ln>
            <a:effectLst/>
          </c:spPr>
        </c:majorGridlines>
        <c:title>
          <c:tx>
            <c:rich>
              <a:bodyPr/>
              <a:lstStyle/>
              <a:p>
                <a:pPr>
                  <a:defRPr/>
                </a:pPr>
                <a:r>
                  <a:rPr lang="en-US" b="0"/>
                  <a:t>Crude Protein (g kg</a:t>
                </a:r>
                <a:r>
                  <a:rPr lang="en-US" b="0" baseline="30000"/>
                  <a:t>-1</a:t>
                </a:r>
                <a:r>
                  <a:rPr lang="en-US" b="0"/>
                  <a:t>)</a:t>
                </a:r>
              </a:p>
            </c:rich>
          </c:tx>
          <c:layout>
            <c:manualLayout>
              <c:xMode val="edge"/>
              <c:yMode val="edge"/>
              <c:x val="2.2222222222222223E-2"/>
              <c:y val="0.19452345800524934"/>
            </c:manualLayout>
          </c:layout>
          <c:overlay val="0"/>
        </c:title>
        <c:numFmt formatCode="#,##0.0" sourceLinked="0"/>
        <c:majorTickMark val="none"/>
        <c:minorTickMark val="none"/>
        <c:tickLblPos val="nextTo"/>
        <c:spPr>
          <a:ln w="6350">
            <a:noFill/>
          </a:ln>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608738144"/>
        <c:crosses val="autoZero"/>
        <c:crossBetween val="between"/>
      </c:valAx>
      <c:spPr>
        <a:noFill/>
        <a:ln w="25400">
          <a:noFill/>
        </a:ln>
      </c:spPr>
    </c:plotArea>
    <c:legend>
      <c:legendPos val="b"/>
      <c:layout>
        <c:manualLayout>
          <c:xMode val="edge"/>
          <c:yMode val="edge"/>
          <c:x val="5.8333333333333334E-2"/>
          <c:y val="0.90223233814523185"/>
          <c:w val="0.9"/>
          <c:h val="6.6517661854768151E-2"/>
        </c:manualLayout>
      </c:layout>
      <c:overlay val="0"/>
      <c:spPr>
        <a:noFill/>
        <a:ln w="25400">
          <a:noFill/>
        </a:ln>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ysClr val="windowText" lastClr="000000"/>
      </a:solidFill>
      <a:round/>
    </a:ln>
    <a:effectLst/>
  </c:spPr>
  <c:txPr>
    <a:bodyPr/>
    <a:lstStyle/>
    <a:p>
      <a:pPr>
        <a:defRPr sz="1200" baseline="0">
          <a:solidFill>
            <a:sysClr val="windowText" lastClr="000000"/>
          </a:solidFill>
          <a:latin typeface="Times New Roman" panose="02020603050405020304" pitchFamily="18" charset="0"/>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785353535353536"/>
          <c:y val="4.0434164479440073E-2"/>
          <c:w val="0.81436868686868691"/>
          <c:h val="0.73429817366579175"/>
        </c:manualLayout>
      </c:layout>
      <c:barChart>
        <c:barDir val="col"/>
        <c:grouping val="clustered"/>
        <c:varyColors val="0"/>
        <c:ser>
          <c:idx val="2"/>
          <c:order val="0"/>
          <c:tx>
            <c:strRef>
              <c:f>'NIRS SAS Results - RECG 2019'!$H$556</c:f>
              <c:strCache>
                <c:ptCount val="1"/>
                <c:pt idx="0">
                  <c:v>EARL</c:v>
                </c:pt>
              </c:strCache>
            </c:strRef>
          </c:tx>
          <c:spPr>
            <a:solidFill>
              <a:schemeClr val="bg1">
                <a:lumMod val="95000"/>
              </a:schemeClr>
            </a:solidFill>
            <a:ln w="9525" cap="sq">
              <a:solidFill>
                <a:sysClr val="windowText" lastClr="000000"/>
              </a:solidFill>
              <a:prstDash val="solid"/>
              <a:miter lim="800000"/>
            </a:ln>
            <a:effectLst/>
          </c:spPr>
          <c:invertIfNegative val="0"/>
          <c:cat>
            <c:strRef>
              <c:f>('NIRS SAS Results - RECG 2019'!$AE$562,'NIRS SAS Results - RECG 2019'!$AE$564:$AE$567)</c:f>
              <c:strCache>
                <c:ptCount val="5"/>
                <c:pt idx="0">
                  <c:v>15-May</c:v>
                </c:pt>
                <c:pt idx="1">
                  <c:v>19-Jun*</c:v>
                </c:pt>
                <c:pt idx="2">
                  <c:v>10-Jul</c:v>
                </c:pt>
                <c:pt idx="3">
                  <c:v>1-Aug</c:v>
                </c:pt>
                <c:pt idx="4">
                  <c:v>20-Aug</c:v>
                </c:pt>
              </c:strCache>
              <c:extLst/>
            </c:strRef>
          </c:cat>
          <c:val>
            <c:numRef>
              <c:f>('NIRS SAS Results - RECG 2019'!$H$557,'NIRS SAS Results - RECG 2019'!$H$559:$H$562)</c:f>
              <c:numCache>
                <c:formatCode>0.00</c:formatCode>
                <c:ptCount val="5"/>
                <c:pt idx="0">
                  <c:v>467.7</c:v>
                </c:pt>
                <c:pt idx="1">
                  <c:v>658.05</c:v>
                </c:pt>
              </c:numCache>
              <c:extLst/>
            </c:numRef>
          </c:val>
          <c:extLst>
            <c:ext xmlns:c16="http://schemas.microsoft.com/office/drawing/2014/chart" uri="{C3380CC4-5D6E-409C-BE32-E72D297353CC}">
              <c16:uniqueId val="{00000000-8158-459B-BF79-AE7167F3A29A}"/>
            </c:ext>
          </c:extLst>
        </c:ser>
        <c:ser>
          <c:idx val="0"/>
          <c:order val="1"/>
          <c:tx>
            <c:strRef>
              <c:f>'NIRS SAS Results - RECG 2019'!$I$556</c:f>
              <c:strCache>
                <c:ptCount val="1"/>
                <c:pt idx="0">
                  <c:v>MIDD</c:v>
                </c:pt>
              </c:strCache>
            </c:strRef>
          </c:tx>
          <c:spPr>
            <a:solidFill>
              <a:schemeClr val="bg1">
                <a:lumMod val="65000"/>
              </a:schemeClr>
            </a:solidFill>
            <a:ln w="9525">
              <a:solidFill>
                <a:sysClr val="windowText" lastClr="000000"/>
              </a:solidFill>
            </a:ln>
            <a:effectLst/>
          </c:spPr>
          <c:invertIfNegative val="0"/>
          <c:cat>
            <c:strRef>
              <c:f>('NIRS SAS Results - RECG 2019'!$AE$562,'NIRS SAS Results - RECG 2019'!$AE$564:$AE$567)</c:f>
              <c:strCache>
                <c:ptCount val="5"/>
                <c:pt idx="0">
                  <c:v>15-May</c:v>
                </c:pt>
                <c:pt idx="1">
                  <c:v>19-Jun*</c:v>
                </c:pt>
                <c:pt idx="2">
                  <c:v>10-Jul</c:v>
                </c:pt>
                <c:pt idx="3">
                  <c:v>1-Aug</c:v>
                </c:pt>
                <c:pt idx="4">
                  <c:v>20-Aug</c:v>
                </c:pt>
              </c:strCache>
              <c:extLst/>
            </c:strRef>
          </c:cat>
          <c:val>
            <c:numRef>
              <c:f>('NIRS SAS Results - RECG 2019'!$I$557,'NIRS SAS Results - RECG 2019'!$I$559:$I$562)</c:f>
              <c:numCache>
                <c:formatCode>General</c:formatCode>
                <c:ptCount val="5"/>
                <c:pt idx="0" formatCode="0.00">
                  <c:v>465</c:v>
                </c:pt>
                <c:pt idx="2" formatCode="0.00">
                  <c:v>610.74</c:v>
                </c:pt>
              </c:numCache>
              <c:extLst/>
            </c:numRef>
          </c:val>
          <c:extLst>
            <c:ext xmlns:c16="http://schemas.microsoft.com/office/drawing/2014/chart" uri="{C3380CC4-5D6E-409C-BE32-E72D297353CC}">
              <c16:uniqueId val="{00000001-8158-459B-BF79-AE7167F3A29A}"/>
            </c:ext>
          </c:extLst>
        </c:ser>
        <c:ser>
          <c:idx val="4"/>
          <c:order val="2"/>
          <c:tx>
            <c:strRef>
              <c:f>'NIRS SAS Results - RECG 2019'!$F$556</c:f>
              <c:strCache>
                <c:ptCount val="1"/>
                <c:pt idx="0">
                  <c:v>LATE</c:v>
                </c:pt>
              </c:strCache>
            </c:strRef>
          </c:tx>
          <c:spPr>
            <a:solidFill>
              <a:schemeClr val="tx1">
                <a:lumMod val="65000"/>
                <a:lumOff val="35000"/>
              </a:schemeClr>
            </a:solidFill>
            <a:ln w="9525">
              <a:solidFill>
                <a:sysClr val="windowText" lastClr="000000"/>
              </a:solidFill>
            </a:ln>
            <a:effectLst/>
          </c:spPr>
          <c:invertIfNegative val="0"/>
          <c:cat>
            <c:strLit>
              <c:ptCount val="5"/>
              <c:pt idx="0">
                <c:v>15-May</c:v>
              </c:pt>
              <c:pt idx="1">
                <c:v>19-Jun*</c:v>
              </c:pt>
              <c:pt idx="2">
                <c:v>10-Jul</c:v>
              </c:pt>
              <c:pt idx="3">
                <c:v>1-Aug</c:v>
              </c:pt>
              <c:pt idx="4">
                <c:v>20-Aug</c:v>
              </c:pt>
              <c:extLst>
                <c:ext xmlns:c15="http://schemas.microsoft.com/office/drawing/2012/chart" uri="{02D57815-91ED-43cb-92C2-25804820EDAC}">
                  <c15:autoCat val="1"/>
                </c:ext>
              </c:extLst>
            </c:strLit>
          </c:cat>
          <c:val>
            <c:numRef>
              <c:f>('NIRS SAS Results - RECG 2019'!$F$557,'NIRS SAS Results - RECG 2019'!$F$559:$F$562)</c:f>
              <c:numCache>
                <c:formatCode>General</c:formatCode>
                <c:ptCount val="5"/>
                <c:pt idx="0" formatCode="0.00">
                  <c:v>461.5</c:v>
                </c:pt>
                <c:pt idx="3" formatCode="0.00">
                  <c:v>615.96500000000003</c:v>
                </c:pt>
              </c:numCache>
              <c:extLst/>
            </c:numRef>
          </c:val>
          <c:extLst>
            <c:ext xmlns:c16="http://schemas.microsoft.com/office/drawing/2014/chart" uri="{C3380CC4-5D6E-409C-BE32-E72D297353CC}">
              <c16:uniqueId val="{00000002-8158-459B-BF79-AE7167F3A29A}"/>
            </c:ext>
          </c:extLst>
        </c:ser>
        <c:dLbls>
          <c:showLegendKey val="0"/>
          <c:showVal val="0"/>
          <c:showCatName val="0"/>
          <c:showSerName val="0"/>
          <c:showPercent val="0"/>
          <c:showBubbleSize val="0"/>
        </c:dLbls>
        <c:gapWidth val="150"/>
        <c:axId val="608736504"/>
        <c:axId val="1"/>
      </c:barChart>
      <c:lineChart>
        <c:grouping val="standard"/>
        <c:varyColors val="0"/>
        <c:ser>
          <c:idx val="1"/>
          <c:order val="3"/>
          <c:tx>
            <c:strRef>
              <c:f>'NIRS SAS Results - RECG 2019'!$G$556</c:f>
              <c:strCache>
                <c:ptCount val="1"/>
                <c:pt idx="0">
                  <c:v>NORE</c:v>
                </c:pt>
              </c:strCache>
            </c:strRef>
          </c:tx>
          <c:spPr>
            <a:ln w="38100" cap="sq">
              <a:solidFill>
                <a:srgbClr val="FF0000"/>
              </a:solidFill>
              <a:prstDash val="sysDash"/>
              <a:miter lim="800000"/>
            </a:ln>
            <a:effectLst/>
          </c:spPr>
          <c:marker>
            <c:symbol val="none"/>
          </c:marker>
          <c:cat>
            <c:strLit>
              <c:ptCount val="5"/>
              <c:pt idx="0">
                <c:v>15-May</c:v>
              </c:pt>
              <c:pt idx="1">
                <c:v>19-Jun*</c:v>
              </c:pt>
              <c:pt idx="2">
                <c:v>10-Jul</c:v>
              </c:pt>
              <c:pt idx="3">
                <c:v>1-Aug</c:v>
              </c:pt>
              <c:pt idx="4">
                <c:v>20-Aug</c:v>
              </c:pt>
              <c:extLst>
                <c:ext xmlns:c15="http://schemas.microsoft.com/office/drawing/2012/chart" uri="{02D57815-91ED-43cb-92C2-25804820EDAC}">
                  <c15:autoCat val="1"/>
                </c:ext>
              </c:extLst>
            </c:strLit>
          </c:cat>
          <c:val>
            <c:numRef>
              <c:f>('NIRS SAS Results - RECG 2019'!$G$557,'NIRS SAS Results - RECG 2019'!$G$559:$G$562)</c:f>
              <c:numCache>
                <c:formatCode>0.00</c:formatCode>
                <c:ptCount val="5"/>
                <c:pt idx="0">
                  <c:v>446.52499999999998</c:v>
                </c:pt>
                <c:pt idx="1">
                  <c:v>607.41250000000002</c:v>
                </c:pt>
                <c:pt idx="2">
                  <c:v>630.02333333333297</c:v>
                </c:pt>
                <c:pt idx="3">
                  <c:v>612.87249999999995</c:v>
                </c:pt>
                <c:pt idx="4">
                  <c:v>602.11666666666702</c:v>
                </c:pt>
              </c:numCache>
              <c:extLst/>
            </c:numRef>
          </c:val>
          <c:smooth val="0"/>
          <c:extLst>
            <c:ext xmlns:c16="http://schemas.microsoft.com/office/drawing/2014/chart" uri="{C3380CC4-5D6E-409C-BE32-E72D297353CC}">
              <c16:uniqueId val="{00000003-8158-459B-BF79-AE7167F3A29A}"/>
            </c:ext>
          </c:extLst>
        </c:ser>
        <c:ser>
          <c:idx val="3"/>
          <c:order val="4"/>
          <c:tx>
            <c:strRef>
              <c:f>'NIRS SAS Results - RECG 2019'!$E$556</c:f>
              <c:strCache>
                <c:ptCount val="1"/>
                <c:pt idx="0">
                  <c:v>NOGR</c:v>
                </c:pt>
              </c:strCache>
            </c:strRef>
          </c:tx>
          <c:spPr>
            <a:ln w="38100" cap="sq">
              <a:solidFill>
                <a:schemeClr val="tx1"/>
              </a:solidFill>
              <a:prstDash val="sysDash"/>
              <a:miter lim="800000"/>
            </a:ln>
            <a:effectLst/>
          </c:spPr>
          <c:marker>
            <c:symbol val="none"/>
          </c:marker>
          <c:cat>
            <c:strLit>
              <c:ptCount val="5"/>
              <c:pt idx="0">
                <c:v>15-May</c:v>
              </c:pt>
              <c:pt idx="1">
                <c:v>19-Jun*</c:v>
              </c:pt>
              <c:pt idx="2">
                <c:v>10-Jul</c:v>
              </c:pt>
              <c:pt idx="3">
                <c:v>1-Aug</c:v>
              </c:pt>
              <c:pt idx="4">
                <c:v>20-Aug</c:v>
              </c:pt>
              <c:extLst>
                <c:ext xmlns:c15="http://schemas.microsoft.com/office/drawing/2012/chart" uri="{02D57815-91ED-43cb-92C2-25804820EDAC}">
                  <c15:autoCat val="1"/>
                </c:ext>
              </c:extLst>
            </c:strLit>
          </c:cat>
          <c:val>
            <c:numRef>
              <c:f>('NIRS SAS Results - RECG 2019'!$E$557,'NIRS SAS Results - RECG 2019'!$E$559:$E$562)</c:f>
              <c:numCache>
                <c:formatCode>0.00</c:formatCode>
                <c:ptCount val="5"/>
                <c:pt idx="0">
                  <c:v>516</c:v>
                </c:pt>
                <c:pt idx="1">
                  <c:v>655.26</c:v>
                </c:pt>
                <c:pt idx="2">
                  <c:v>648.84</c:v>
                </c:pt>
                <c:pt idx="3">
                  <c:v>665.79250000000002</c:v>
                </c:pt>
                <c:pt idx="4">
                  <c:v>694.61</c:v>
                </c:pt>
              </c:numCache>
              <c:extLst/>
            </c:numRef>
          </c:val>
          <c:smooth val="0"/>
          <c:extLst>
            <c:ext xmlns:c16="http://schemas.microsoft.com/office/drawing/2014/chart" uri="{C3380CC4-5D6E-409C-BE32-E72D297353CC}">
              <c16:uniqueId val="{00000004-8158-459B-BF79-AE7167F3A29A}"/>
            </c:ext>
          </c:extLst>
        </c:ser>
        <c:dLbls>
          <c:showLegendKey val="0"/>
          <c:showVal val="0"/>
          <c:showCatName val="0"/>
          <c:showSerName val="0"/>
          <c:showPercent val="0"/>
          <c:showBubbleSize val="0"/>
        </c:dLbls>
        <c:marker val="1"/>
        <c:smooth val="0"/>
        <c:axId val="608736504"/>
        <c:axId val="1"/>
      </c:lineChart>
      <c:catAx>
        <c:axId val="608736504"/>
        <c:scaling>
          <c:orientation val="minMax"/>
        </c:scaling>
        <c:delete val="0"/>
        <c:axPos val="b"/>
        <c:title>
          <c:tx>
            <c:rich>
              <a:bodyPr/>
              <a:lstStyle/>
              <a:p>
                <a:pPr>
                  <a:defRPr/>
                </a:pPr>
                <a:r>
                  <a:rPr lang="en-US" b="0"/>
                  <a:t>Sampling</a:t>
                </a:r>
                <a:r>
                  <a:rPr lang="en-US" b="0" baseline="0"/>
                  <a:t> Period</a:t>
                </a:r>
                <a:endParaRPr lang="en-US" b="0"/>
              </a:p>
            </c:rich>
          </c:tx>
          <c:layout>
            <c:manualLayout>
              <c:xMode val="edge"/>
              <c:yMode val="edge"/>
              <c:x val="0.46214308438717888"/>
              <c:y val="0.84708388013998248"/>
            </c:manualLayout>
          </c:layout>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1"/>
        <c:crosses val="autoZero"/>
        <c:auto val="0"/>
        <c:lblAlgn val="ctr"/>
        <c:lblOffset val="100"/>
        <c:noMultiLvlLbl val="0"/>
      </c:catAx>
      <c:valAx>
        <c:axId val="1"/>
        <c:scaling>
          <c:orientation val="minMax"/>
          <c:min val="400"/>
        </c:scaling>
        <c:delete val="0"/>
        <c:axPos val="l"/>
        <c:majorGridlines>
          <c:spPr>
            <a:ln w="9525" cap="flat" cmpd="sng" algn="ctr">
              <a:solidFill>
                <a:schemeClr val="tx1">
                  <a:lumMod val="15000"/>
                  <a:lumOff val="85000"/>
                </a:schemeClr>
              </a:solidFill>
              <a:round/>
            </a:ln>
            <a:effectLst/>
          </c:spPr>
        </c:majorGridlines>
        <c:title>
          <c:tx>
            <c:rich>
              <a:bodyPr/>
              <a:lstStyle/>
              <a:p>
                <a:pPr>
                  <a:defRPr b="0"/>
                </a:pPr>
                <a:r>
                  <a:rPr lang="en-US" b="0"/>
                  <a:t>Amylase Neutral</a:t>
                </a:r>
                <a:r>
                  <a:rPr lang="en-US" b="0" baseline="0"/>
                  <a:t> Detergent Fiber (g kg</a:t>
                </a:r>
                <a:r>
                  <a:rPr lang="en-US" b="0" baseline="30000"/>
                  <a:t>-1</a:t>
                </a:r>
                <a:r>
                  <a:rPr lang="en-US" b="0" baseline="0"/>
                  <a:t>)</a:t>
                </a:r>
                <a:endParaRPr lang="en-US" b="0"/>
              </a:p>
            </c:rich>
          </c:tx>
          <c:layout>
            <c:manualLayout>
              <c:xMode val="edge"/>
              <c:yMode val="edge"/>
              <c:x val="1.3353813727829476E-2"/>
              <c:y val="5.7723370516185479E-2"/>
            </c:manualLayout>
          </c:layout>
          <c:overlay val="0"/>
        </c:title>
        <c:numFmt formatCode="0.0" sourceLinked="0"/>
        <c:majorTickMark val="none"/>
        <c:minorTickMark val="none"/>
        <c:tickLblPos val="nextTo"/>
        <c:spPr>
          <a:ln w="6350">
            <a:noFill/>
          </a:ln>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608736504"/>
        <c:crosses val="autoZero"/>
        <c:crossBetween val="between"/>
      </c:valAx>
      <c:spPr>
        <a:noFill/>
        <a:ln w="25400">
          <a:noFill/>
        </a:ln>
      </c:spPr>
    </c:plotArea>
    <c:legend>
      <c:legendPos val="b"/>
      <c:overlay val="0"/>
      <c:spPr>
        <a:noFill/>
        <a:ln w="25400">
          <a:noFill/>
        </a:ln>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ysClr val="windowText" lastClr="000000"/>
      </a:solidFill>
      <a:round/>
    </a:ln>
    <a:effectLst/>
  </c:spPr>
  <c:txPr>
    <a:bodyPr/>
    <a:lstStyle/>
    <a:p>
      <a:pPr>
        <a:defRPr sz="1200" baseline="0">
          <a:solidFill>
            <a:sysClr val="windowText" lastClr="000000"/>
          </a:solidFill>
          <a:latin typeface="Times New Roman" panose="02020603050405020304" pitchFamily="18" charset="0"/>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027777777777779"/>
          <c:y val="4.0434164479440073E-2"/>
          <c:w val="0.82194444444444448"/>
          <c:h val="0.74124261811023617"/>
        </c:manualLayout>
      </c:layout>
      <c:barChart>
        <c:barDir val="col"/>
        <c:grouping val="clustered"/>
        <c:varyColors val="0"/>
        <c:ser>
          <c:idx val="1"/>
          <c:order val="0"/>
          <c:tx>
            <c:strRef>
              <c:f>'NIRS SAS Results - RECG 2019'!$H$528</c:f>
              <c:strCache>
                <c:ptCount val="1"/>
                <c:pt idx="0">
                  <c:v>EARL</c:v>
                </c:pt>
              </c:strCache>
            </c:strRef>
          </c:tx>
          <c:spPr>
            <a:solidFill>
              <a:schemeClr val="bg1">
                <a:lumMod val="95000"/>
              </a:schemeClr>
            </a:solidFill>
            <a:ln w="9525" cap="sq">
              <a:solidFill>
                <a:sysClr val="windowText" lastClr="000000"/>
              </a:solidFill>
              <a:prstDash val="solid"/>
              <a:miter lim="800000"/>
            </a:ln>
            <a:effectLst/>
          </c:spPr>
          <c:invertIfNegative val="0"/>
          <c:cat>
            <c:strRef>
              <c:f>('NIRS SAS Results - RECG 2019'!$AE$529,'NIRS SAS Results - RECG 2019'!$AE$531:$AE$534)</c:f>
              <c:strCache>
                <c:ptCount val="5"/>
                <c:pt idx="0">
                  <c:v>15-May</c:v>
                </c:pt>
                <c:pt idx="1">
                  <c:v>19-Jun</c:v>
                </c:pt>
                <c:pt idx="2">
                  <c:v>10-Jul</c:v>
                </c:pt>
                <c:pt idx="3">
                  <c:v>1-Aug</c:v>
                </c:pt>
                <c:pt idx="4">
                  <c:v>20-Aug*</c:v>
                </c:pt>
              </c:strCache>
              <c:extLst/>
            </c:strRef>
          </c:cat>
          <c:val>
            <c:numRef>
              <c:f>('NIRS SAS Results - RECG 2019'!$H$529,'NIRS SAS Results - RECG 2019'!$H$531:$H$534)</c:f>
              <c:numCache>
                <c:formatCode>0.00</c:formatCode>
                <c:ptCount val="5"/>
                <c:pt idx="0">
                  <c:v>331.3</c:v>
                </c:pt>
                <c:pt idx="1">
                  <c:v>404.46499999999997</c:v>
                </c:pt>
              </c:numCache>
              <c:extLst/>
            </c:numRef>
          </c:val>
          <c:extLst>
            <c:ext xmlns:c16="http://schemas.microsoft.com/office/drawing/2014/chart" uri="{C3380CC4-5D6E-409C-BE32-E72D297353CC}">
              <c16:uniqueId val="{00000000-F232-46F6-863B-B420CE673743}"/>
            </c:ext>
          </c:extLst>
        </c:ser>
        <c:ser>
          <c:idx val="3"/>
          <c:order val="1"/>
          <c:tx>
            <c:strRef>
              <c:f>'NIRS SAS Results - RECG 2019'!$I$528</c:f>
              <c:strCache>
                <c:ptCount val="1"/>
                <c:pt idx="0">
                  <c:v>MIDD</c:v>
                </c:pt>
              </c:strCache>
            </c:strRef>
          </c:tx>
          <c:spPr>
            <a:solidFill>
              <a:schemeClr val="bg1">
                <a:lumMod val="65000"/>
              </a:schemeClr>
            </a:solidFill>
            <a:ln w="9525" cap="sq">
              <a:solidFill>
                <a:sysClr val="windowText" lastClr="000000"/>
              </a:solidFill>
              <a:prstDash val="solid"/>
              <a:miter lim="800000"/>
            </a:ln>
            <a:effectLst/>
          </c:spPr>
          <c:invertIfNegative val="0"/>
          <c:cat>
            <c:strRef>
              <c:f>('NIRS SAS Results - RECG 2019'!$AE$529,'NIRS SAS Results - RECG 2019'!$AE$531:$AE$534)</c:f>
              <c:strCache>
                <c:ptCount val="5"/>
                <c:pt idx="0">
                  <c:v>15-May</c:v>
                </c:pt>
                <c:pt idx="1">
                  <c:v>19-Jun</c:v>
                </c:pt>
                <c:pt idx="2">
                  <c:v>10-Jul</c:v>
                </c:pt>
                <c:pt idx="3">
                  <c:v>1-Aug</c:v>
                </c:pt>
                <c:pt idx="4">
                  <c:v>20-Aug*</c:v>
                </c:pt>
              </c:strCache>
              <c:extLst/>
            </c:strRef>
          </c:cat>
          <c:val>
            <c:numRef>
              <c:f>('NIRS SAS Results - RECG 2019'!$I$529,'NIRS SAS Results - RECG 2019'!$I$531:$I$534)</c:f>
              <c:numCache>
                <c:formatCode>General</c:formatCode>
                <c:ptCount val="5"/>
                <c:pt idx="0" formatCode="0.00">
                  <c:v>328.42500000000001</c:v>
                </c:pt>
                <c:pt idx="2" formatCode="0.00">
                  <c:v>382.50333333333299</c:v>
                </c:pt>
              </c:numCache>
              <c:extLst/>
            </c:numRef>
          </c:val>
          <c:extLst>
            <c:ext xmlns:c16="http://schemas.microsoft.com/office/drawing/2014/chart" uri="{C3380CC4-5D6E-409C-BE32-E72D297353CC}">
              <c16:uniqueId val="{00000001-F232-46F6-863B-B420CE673743}"/>
            </c:ext>
          </c:extLst>
        </c:ser>
        <c:ser>
          <c:idx val="0"/>
          <c:order val="2"/>
          <c:tx>
            <c:strRef>
              <c:f>'NIRS SAS Results - RECG 2019'!$F$528</c:f>
              <c:strCache>
                <c:ptCount val="1"/>
                <c:pt idx="0">
                  <c:v>LATE</c:v>
                </c:pt>
              </c:strCache>
            </c:strRef>
          </c:tx>
          <c:spPr>
            <a:solidFill>
              <a:schemeClr val="tx1">
                <a:lumMod val="65000"/>
                <a:lumOff val="35000"/>
              </a:schemeClr>
            </a:solidFill>
            <a:ln w="9525">
              <a:solidFill>
                <a:sysClr val="windowText" lastClr="000000"/>
              </a:solidFill>
              <a:prstDash val="solid"/>
            </a:ln>
            <a:effectLst/>
          </c:spPr>
          <c:invertIfNegative val="0"/>
          <c:cat>
            <c:strRef>
              <c:f>('NIRS SAS Results - RECG 2019'!$AE$529,'NIRS SAS Results - RECG 2019'!$AE$531:$AE$534)</c:f>
              <c:strCache>
                <c:ptCount val="5"/>
                <c:pt idx="0">
                  <c:v>15-May</c:v>
                </c:pt>
                <c:pt idx="1">
                  <c:v>19-Jun</c:v>
                </c:pt>
                <c:pt idx="2">
                  <c:v>10-Jul</c:v>
                </c:pt>
                <c:pt idx="3">
                  <c:v>1-Aug</c:v>
                </c:pt>
                <c:pt idx="4">
                  <c:v>20-Aug*</c:v>
                </c:pt>
              </c:strCache>
              <c:extLst/>
            </c:strRef>
          </c:cat>
          <c:val>
            <c:numRef>
              <c:f>('NIRS SAS Results - RECG 2019'!$F$529,'NIRS SAS Results - RECG 2019'!$F$531:$F$534)</c:f>
              <c:numCache>
                <c:formatCode>General</c:formatCode>
                <c:ptCount val="5"/>
                <c:pt idx="0" formatCode="0.00">
                  <c:v>332.6</c:v>
                </c:pt>
                <c:pt idx="3" formatCode="0.00">
                  <c:v>361.1</c:v>
                </c:pt>
              </c:numCache>
              <c:extLst/>
            </c:numRef>
          </c:val>
          <c:extLst>
            <c:ext xmlns:c16="http://schemas.microsoft.com/office/drawing/2014/chart" uri="{C3380CC4-5D6E-409C-BE32-E72D297353CC}">
              <c16:uniqueId val="{00000002-F232-46F6-863B-B420CE673743}"/>
            </c:ext>
          </c:extLst>
        </c:ser>
        <c:dLbls>
          <c:showLegendKey val="0"/>
          <c:showVal val="0"/>
          <c:showCatName val="0"/>
          <c:showSerName val="0"/>
          <c:showPercent val="0"/>
          <c:showBubbleSize val="0"/>
        </c:dLbls>
        <c:gapWidth val="150"/>
        <c:axId val="608741424"/>
        <c:axId val="1"/>
      </c:barChart>
      <c:lineChart>
        <c:grouping val="standard"/>
        <c:varyColors val="0"/>
        <c:ser>
          <c:idx val="4"/>
          <c:order val="3"/>
          <c:tx>
            <c:strRef>
              <c:f>'NIRS SAS Results - RECG 2019'!$G$528</c:f>
              <c:strCache>
                <c:ptCount val="1"/>
                <c:pt idx="0">
                  <c:v>NORE</c:v>
                </c:pt>
              </c:strCache>
            </c:strRef>
          </c:tx>
          <c:spPr>
            <a:ln w="38100" cap="sq">
              <a:solidFill>
                <a:srgbClr val="FF0000"/>
              </a:solidFill>
              <a:prstDash val="sysDash"/>
              <a:miter lim="800000"/>
            </a:ln>
            <a:effectLst/>
          </c:spPr>
          <c:marker>
            <c:symbol val="none"/>
          </c:marker>
          <c:cat>
            <c:strLit>
              <c:ptCount val="5"/>
              <c:pt idx="0">
                <c:v>15-May</c:v>
              </c:pt>
              <c:pt idx="1">
                <c:v>19-Jun</c:v>
              </c:pt>
              <c:pt idx="2">
                <c:v>10-Jul</c:v>
              </c:pt>
              <c:pt idx="3">
                <c:v>1-Aug</c:v>
              </c:pt>
              <c:pt idx="4">
                <c:v>20-Aug*</c:v>
              </c:pt>
              <c:extLst>
                <c:ext xmlns:c15="http://schemas.microsoft.com/office/drawing/2012/chart" uri="{02D57815-91ED-43cb-92C2-25804820EDAC}">
                  <c15:autoCat val="1"/>
                </c:ext>
              </c:extLst>
            </c:strLit>
          </c:cat>
          <c:val>
            <c:numRef>
              <c:f>('NIRS SAS Results - RECG 2019'!$G$529,'NIRS SAS Results - RECG 2019'!$G$531:$G$534)</c:f>
              <c:numCache>
                <c:formatCode>0.00</c:formatCode>
                <c:ptCount val="5"/>
                <c:pt idx="0">
                  <c:v>321.2</c:v>
                </c:pt>
                <c:pt idx="1">
                  <c:v>417.1925</c:v>
                </c:pt>
                <c:pt idx="2">
                  <c:v>377.95333333333298</c:v>
                </c:pt>
                <c:pt idx="3">
                  <c:v>372.20499999999998</c:v>
                </c:pt>
                <c:pt idx="4">
                  <c:v>356.7</c:v>
                </c:pt>
              </c:numCache>
              <c:extLst/>
            </c:numRef>
          </c:val>
          <c:smooth val="0"/>
          <c:extLst>
            <c:ext xmlns:c16="http://schemas.microsoft.com/office/drawing/2014/chart" uri="{C3380CC4-5D6E-409C-BE32-E72D297353CC}">
              <c16:uniqueId val="{00000003-F232-46F6-863B-B420CE673743}"/>
            </c:ext>
          </c:extLst>
        </c:ser>
        <c:ser>
          <c:idx val="2"/>
          <c:order val="4"/>
          <c:tx>
            <c:strRef>
              <c:f>'NIRS SAS Results - RECG 2019'!$E$528</c:f>
              <c:strCache>
                <c:ptCount val="1"/>
                <c:pt idx="0">
                  <c:v>NOGR</c:v>
                </c:pt>
              </c:strCache>
            </c:strRef>
          </c:tx>
          <c:spPr>
            <a:ln w="38100" cap="sq">
              <a:solidFill>
                <a:schemeClr val="tx1"/>
              </a:solidFill>
              <a:prstDash val="sysDash"/>
              <a:miter lim="800000"/>
            </a:ln>
            <a:effectLst/>
          </c:spPr>
          <c:marker>
            <c:symbol val="none"/>
          </c:marker>
          <c:cat>
            <c:strLit>
              <c:ptCount val="5"/>
              <c:pt idx="0">
                <c:v>15-May</c:v>
              </c:pt>
              <c:pt idx="1">
                <c:v>19-Jun</c:v>
              </c:pt>
              <c:pt idx="2">
                <c:v>10-Jul</c:v>
              </c:pt>
              <c:pt idx="3">
                <c:v>1-Aug</c:v>
              </c:pt>
              <c:pt idx="4">
                <c:v>20-Aug*</c:v>
              </c:pt>
              <c:extLst>
                <c:ext xmlns:c15="http://schemas.microsoft.com/office/drawing/2012/chart" uri="{02D57815-91ED-43cb-92C2-25804820EDAC}">
                  <c15:autoCat val="1"/>
                </c:ext>
              </c:extLst>
            </c:strLit>
          </c:cat>
          <c:val>
            <c:numRef>
              <c:f>('NIRS SAS Results - RECG 2019'!$E$529,'NIRS SAS Results - RECG 2019'!$E$531:$E$534)</c:f>
              <c:numCache>
                <c:formatCode>0.00</c:formatCode>
                <c:ptCount val="5"/>
                <c:pt idx="0">
                  <c:v>329.6</c:v>
                </c:pt>
                <c:pt idx="1">
                  <c:v>401.4</c:v>
                </c:pt>
                <c:pt idx="2">
                  <c:v>395.8</c:v>
                </c:pt>
                <c:pt idx="3">
                  <c:v>398.9</c:v>
                </c:pt>
                <c:pt idx="4">
                  <c:v>418.3</c:v>
                </c:pt>
              </c:numCache>
              <c:extLst/>
            </c:numRef>
          </c:val>
          <c:smooth val="0"/>
          <c:extLst>
            <c:ext xmlns:c16="http://schemas.microsoft.com/office/drawing/2014/chart" uri="{C3380CC4-5D6E-409C-BE32-E72D297353CC}">
              <c16:uniqueId val="{00000004-F232-46F6-863B-B420CE673743}"/>
            </c:ext>
          </c:extLst>
        </c:ser>
        <c:dLbls>
          <c:showLegendKey val="0"/>
          <c:showVal val="0"/>
          <c:showCatName val="0"/>
          <c:showSerName val="0"/>
          <c:showPercent val="0"/>
          <c:showBubbleSize val="0"/>
        </c:dLbls>
        <c:marker val="1"/>
        <c:smooth val="0"/>
        <c:axId val="608741424"/>
        <c:axId val="1"/>
      </c:lineChart>
      <c:catAx>
        <c:axId val="608741424"/>
        <c:scaling>
          <c:orientation val="minMax"/>
        </c:scaling>
        <c:delete val="0"/>
        <c:axPos val="b"/>
        <c:title>
          <c:tx>
            <c:rich>
              <a:bodyPr/>
              <a:lstStyle/>
              <a:p>
                <a:pPr>
                  <a:defRPr b="0"/>
                </a:pPr>
                <a:r>
                  <a:rPr lang="en-US" b="0"/>
                  <a:t>Sampling</a:t>
                </a:r>
                <a:r>
                  <a:rPr lang="en-US" b="0" baseline="0"/>
                  <a:t> Period</a:t>
                </a:r>
                <a:endParaRPr lang="en-US" b="0"/>
              </a:p>
            </c:rich>
          </c:tx>
          <c:layout>
            <c:manualLayout>
              <c:xMode val="edge"/>
              <c:yMode val="edge"/>
              <c:x val="0.46214308438717888"/>
              <c:y val="0.85084563648293965"/>
            </c:manualLayout>
          </c:layout>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1"/>
        <c:crosses val="autoZero"/>
        <c:auto val="0"/>
        <c:lblAlgn val="ctr"/>
        <c:lblOffset val="100"/>
        <c:noMultiLvlLbl val="0"/>
      </c:catAx>
      <c:valAx>
        <c:axId val="1"/>
        <c:scaling>
          <c:orientation val="minMax"/>
          <c:min val="200"/>
        </c:scaling>
        <c:delete val="0"/>
        <c:axPos val="l"/>
        <c:majorGridlines>
          <c:spPr>
            <a:ln w="9525" cap="flat" cmpd="sng" algn="ctr">
              <a:solidFill>
                <a:schemeClr val="tx1">
                  <a:lumMod val="15000"/>
                  <a:lumOff val="85000"/>
                </a:schemeClr>
              </a:solidFill>
              <a:round/>
            </a:ln>
            <a:effectLst/>
          </c:spPr>
        </c:majorGridlines>
        <c:title>
          <c:tx>
            <c:rich>
              <a:bodyPr/>
              <a:lstStyle/>
              <a:p>
                <a:pPr>
                  <a:defRPr b="0"/>
                </a:pPr>
                <a:r>
                  <a:rPr lang="en-US" b="0"/>
                  <a:t>Acid Detergent Fiber (g kg</a:t>
                </a:r>
                <a:r>
                  <a:rPr lang="en-US" b="0" baseline="30000"/>
                  <a:t>-1</a:t>
                </a:r>
                <a:r>
                  <a:rPr lang="en-US" b="0"/>
                  <a:t>)</a:t>
                </a:r>
              </a:p>
            </c:rich>
          </c:tx>
          <c:layout>
            <c:manualLayout>
              <c:xMode val="edge"/>
              <c:yMode val="edge"/>
              <c:x val="1.1085262069514039E-2"/>
              <c:y val="0.15682824803149609"/>
            </c:manualLayout>
          </c:layout>
          <c:overlay val="0"/>
        </c:title>
        <c:numFmt formatCode="0.0" sourceLinked="0"/>
        <c:majorTickMark val="none"/>
        <c:minorTickMark val="none"/>
        <c:tickLblPos val="nextTo"/>
        <c:spPr>
          <a:ln w="6350">
            <a:noFill/>
          </a:ln>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608741424"/>
        <c:crosses val="autoZero"/>
        <c:crossBetween val="between"/>
      </c:valAx>
      <c:spPr>
        <a:noFill/>
        <a:ln w="25400">
          <a:noFill/>
        </a:ln>
      </c:spPr>
    </c:plotArea>
    <c:legend>
      <c:legendPos val="b"/>
      <c:overlay val="0"/>
      <c:spPr>
        <a:noFill/>
        <a:ln w="25400">
          <a:noFill/>
        </a:ln>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ysClr val="windowText" lastClr="000000"/>
      </a:solidFill>
      <a:round/>
    </a:ln>
    <a:effectLst/>
  </c:spPr>
  <c:txPr>
    <a:bodyPr/>
    <a:lstStyle/>
    <a:p>
      <a:pPr>
        <a:defRPr sz="1200" baseline="0">
          <a:solidFill>
            <a:sysClr val="windowText" lastClr="000000"/>
          </a:solidFill>
          <a:latin typeface="Times New Roman" panose="02020603050405020304" pitchFamily="18" charset="0"/>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512626262626264"/>
          <c:y val="4.0434164479440073E-2"/>
          <c:w val="0.78709595959595968"/>
          <c:h val="0.73777039588801396"/>
        </c:manualLayout>
      </c:layout>
      <c:barChart>
        <c:barDir val="col"/>
        <c:grouping val="clustered"/>
        <c:varyColors val="0"/>
        <c:ser>
          <c:idx val="2"/>
          <c:order val="0"/>
          <c:tx>
            <c:strRef>
              <c:f>'NIRS SAS Results - RECG 2019'!$H$584</c:f>
              <c:strCache>
                <c:ptCount val="1"/>
                <c:pt idx="0">
                  <c:v>EARL</c:v>
                </c:pt>
              </c:strCache>
            </c:strRef>
          </c:tx>
          <c:spPr>
            <a:solidFill>
              <a:schemeClr val="bg1">
                <a:lumMod val="95000"/>
              </a:schemeClr>
            </a:solidFill>
            <a:ln w="9525" cap="sq">
              <a:solidFill>
                <a:sysClr val="windowText" lastClr="000000"/>
              </a:solidFill>
              <a:prstDash val="solid"/>
              <a:miter lim="800000"/>
            </a:ln>
            <a:effectLst/>
          </c:spPr>
          <c:invertIfNegative val="0"/>
          <c:cat>
            <c:strRef>
              <c:f>('NIRS SAS Results - RECG 2019'!$AE$589,'NIRS SAS Results - RECG 2019'!$AE$591:$AE$594)</c:f>
              <c:strCache>
                <c:ptCount val="5"/>
                <c:pt idx="0">
                  <c:v>15-May</c:v>
                </c:pt>
                <c:pt idx="1">
                  <c:v>19-Jun</c:v>
                </c:pt>
                <c:pt idx="2">
                  <c:v>10-Jul</c:v>
                </c:pt>
                <c:pt idx="3">
                  <c:v>1-Aug</c:v>
                </c:pt>
                <c:pt idx="4">
                  <c:v>20-Aug*</c:v>
                </c:pt>
              </c:strCache>
              <c:extLst/>
            </c:strRef>
          </c:cat>
          <c:val>
            <c:numRef>
              <c:f>('NIRS SAS Results - RECG 2019'!$H$585,'NIRS SAS Results - RECG 2019'!$H$587:$H$590)</c:f>
              <c:numCache>
                <c:formatCode>0.00</c:formatCode>
                <c:ptCount val="5"/>
                <c:pt idx="0">
                  <c:v>748.5</c:v>
                </c:pt>
                <c:pt idx="1">
                  <c:v>659.9</c:v>
                </c:pt>
              </c:numCache>
              <c:extLst/>
            </c:numRef>
          </c:val>
          <c:extLst>
            <c:ext xmlns:c16="http://schemas.microsoft.com/office/drawing/2014/chart" uri="{C3380CC4-5D6E-409C-BE32-E72D297353CC}">
              <c16:uniqueId val="{00000000-E116-42BA-BCE5-FF09B5646AE5}"/>
            </c:ext>
          </c:extLst>
        </c:ser>
        <c:ser>
          <c:idx val="0"/>
          <c:order val="1"/>
          <c:tx>
            <c:strRef>
              <c:f>'NIRS SAS Results - RECG 2019'!$I$584</c:f>
              <c:strCache>
                <c:ptCount val="1"/>
                <c:pt idx="0">
                  <c:v>MIDD</c:v>
                </c:pt>
              </c:strCache>
            </c:strRef>
          </c:tx>
          <c:spPr>
            <a:solidFill>
              <a:schemeClr val="bg1">
                <a:lumMod val="65000"/>
              </a:schemeClr>
            </a:solidFill>
            <a:ln w="9525">
              <a:solidFill>
                <a:sysClr val="windowText" lastClr="000000"/>
              </a:solidFill>
              <a:prstDash val="solid"/>
            </a:ln>
            <a:effectLst/>
          </c:spPr>
          <c:invertIfNegative val="0"/>
          <c:cat>
            <c:strRef>
              <c:f>('NIRS SAS Results - RECG 2019'!$AE$589,'NIRS SAS Results - RECG 2019'!$AE$591:$AE$594)</c:f>
              <c:strCache>
                <c:ptCount val="5"/>
                <c:pt idx="0">
                  <c:v>15-May</c:v>
                </c:pt>
                <c:pt idx="1">
                  <c:v>19-Jun</c:v>
                </c:pt>
                <c:pt idx="2">
                  <c:v>10-Jul</c:v>
                </c:pt>
                <c:pt idx="3">
                  <c:v>1-Aug</c:v>
                </c:pt>
                <c:pt idx="4">
                  <c:v>20-Aug*</c:v>
                </c:pt>
              </c:strCache>
              <c:extLst/>
            </c:strRef>
          </c:cat>
          <c:val>
            <c:numRef>
              <c:f>('NIRS SAS Results - RECG 2019'!$I$585,'NIRS SAS Results - RECG 2019'!$I$587:$I$590)</c:f>
              <c:numCache>
                <c:formatCode>General</c:formatCode>
                <c:ptCount val="5"/>
                <c:pt idx="0" formatCode="0.00">
                  <c:v>757.17499999999995</c:v>
                </c:pt>
                <c:pt idx="2" formatCode="0.00">
                  <c:v>705.19333333333304</c:v>
                </c:pt>
              </c:numCache>
              <c:extLst/>
            </c:numRef>
          </c:val>
          <c:extLst>
            <c:ext xmlns:c16="http://schemas.microsoft.com/office/drawing/2014/chart" uri="{C3380CC4-5D6E-409C-BE32-E72D297353CC}">
              <c16:uniqueId val="{00000001-E116-42BA-BCE5-FF09B5646AE5}"/>
            </c:ext>
          </c:extLst>
        </c:ser>
        <c:ser>
          <c:idx val="4"/>
          <c:order val="2"/>
          <c:tx>
            <c:strRef>
              <c:f>'NIRS SAS Results - RECG 2019'!$F$584</c:f>
              <c:strCache>
                <c:ptCount val="1"/>
                <c:pt idx="0">
                  <c:v>LATE</c:v>
                </c:pt>
              </c:strCache>
            </c:strRef>
          </c:tx>
          <c:spPr>
            <a:solidFill>
              <a:schemeClr val="tx1">
                <a:lumMod val="65000"/>
                <a:lumOff val="35000"/>
              </a:schemeClr>
            </a:solidFill>
            <a:ln w="9525">
              <a:solidFill>
                <a:sysClr val="windowText" lastClr="000000"/>
              </a:solidFill>
              <a:prstDash val="solid"/>
            </a:ln>
            <a:effectLst/>
          </c:spPr>
          <c:invertIfNegative val="0"/>
          <c:cat>
            <c:strRef>
              <c:f>('NIRS SAS Results - RECG 2019'!$AE$589,'NIRS SAS Results - RECG 2019'!$AE$591:$AE$594)</c:f>
              <c:strCache>
                <c:ptCount val="5"/>
                <c:pt idx="0">
                  <c:v>15-May</c:v>
                </c:pt>
                <c:pt idx="1">
                  <c:v>19-Jun</c:v>
                </c:pt>
                <c:pt idx="2">
                  <c:v>10-Jul</c:v>
                </c:pt>
                <c:pt idx="3">
                  <c:v>1-Aug</c:v>
                </c:pt>
                <c:pt idx="4">
                  <c:v>20-Aug*</c:v>
                </c:pt>
              </c:strCache>
              <c:extLst/>
            </c:strRef>
          </c:cat>
          <c:val>
            <c:numRef>
              <c:f>('NIRS SAS Results - RECG 2019'!$F$585,'NIRS SAS Results - RECG 2019'!$F$587:$F$590)</c:f>
              <c:numCache>
                <c:formatCode>General</c:formatCode>
                <c:ptCount val="5"/>
                <c:pt idx="0" formatCode="0.00">
                  <c:v>742.67499999999995</c:v>
                </c:pt>
                <c:pt idx="3" formatCode="0.00">
                  <c:v>740.35</c:v>
                </c:pt>
              </c:numCache>
              <c:extLst/>
            </c:numRef>
          </c:val>
          <c:extLst>
            <c:ext xmlns:c16="http://schemas.microsoft.com/office/drawing/2014/chart" uri="{C3380CC4-5D6E-409C-BE32-E72D297353CC}">
              <c16:uniqueId val="{00000002-E116-42BA-BCE5-FF09B5646AE5}"/>
            </c:ext>
          </c:extLst>
        </c:ser>
        <c:dLbls>
          <c:showLegendKey val="0"/>
          <c:showVal val="0"/>
          <c:showCatName val="0"/>
          <c:showSerName val="0"/>
          <c:showPercent val="0"/>
          <c:showBubbleSize val="0"/>
        </c:dLbls>
        <c:gapWidth val="150"/>
        <c:axId val="608747984"/>
        <c:axId val="1"/>
      </c:barChart>
      <c:lineChart>
        <c:grouping val="standard"/>
        <c:varyColors val="0"/>
        <c:ser>
          <c:idx val="1"/>
          <c:order val="3"/>
          <c:tx>
            <c:strRef>
              <c:f>'NIRS SAS Results - RECG 2019'!$G$584</c:f>
              <c:strCache>
                <c:ptCount val="1"/>
                <c:pt idx="0">
                  <c:v>NORE</c:v>
                </c:pt>
              </c:strCache>
            </c:strRef>
          </c:tx>
          <c:spPr>
            <a:ln w="38100" cap="sq">
              <a:solidFill>
                <a:srgbClr val="FF0000"/>
              </a:solidFill>
              <a:prstDash val="sysDash"/>
              <a:miter lim="800000"/>
            </a:ln>
            <a:effectLst/>
          </c:spPr>
          <c:marker>
            <c:symbol val="none"/>
          </c:marker>
          <c:cat>
            <c:strRef>
              <c:f>('NIRS SAS Results - RECG 2019'!$AE$562,'NIRS SAS Results - RECG 2019'!$AE$564:$AE$567)</c:f>
              <c:strCache>
                <c:ptCount val="5"/>
                <c:pt idx="0">
                  <c:v>15-May</c:v>
                </c:pt>
                <c:pt idx="1">
                  <c:v>19-Jun*</c:v>
                </c:pt>
                <c:pt idx="2">
                  <c:v>10-Jul</c:v>
                </c:pt>
                <c:pt idx="3">
                  <c:v>1-Aug</c:v>
                </c:pt>
                <c:pt idx="4">
                  <c:v>20-Aug</c:v>
                </c:pt>
              </c:strCache>
              <c:extLst/>
            </c:strRef>
          </c:cat>
          <c:val>
            <c:numRef>
              <c:f>('NIRS SAS Results - RECG 2019'!$G$585,'NIRS SAS Results - RECG 2019'!$G$587:$G$590)</c:f>
              <c:numCache>
                <c:formatCode>0.00</c:formatCode>
                <c:ptCount val="5"/>
                <c:pt idx="0">
                  <c:v>775.52499999999998</c:v>
                </c:pt>
                <c:pt idx="1">
                  <c:v>633.65250000000003</c:v>
                </c:pt>
                <c:pt idx="2">
                  <c:v>697.52333333333297</c:v>
                </c:pt>
                <c:pt idx="3">
                  <c:v>739.88750000000005</c:v>
                </c:pt>
                <c:pt idx="4">
                  <c:v>756.60666666666702</c:v>
                </c:pt>
              </c:numCache>
              <c:extLst/>
            </c:numRef>
          </c:val>
          <c:smooth val="0"/>
          <c:extLst>
            <c:ext xmlns:c16="http://schemas.microsoft.com/office/drawing/2014/chart" uri="{C3380CC4-5D6E-409C-BE32-E72D297353CC}">
              <c16:uniqueId val="{00000003-E116-42BA-BCE5-FF09B5646AE5}"/>
            </c:ext>
          </c:extLst>
        </c:ser>
        <c:ser>
          <c:idx val="3"/>
          <c:order val="4"/>
          <c:tx>
            <c:strRef>
              <c:f>'NIRS SAS Results - RECG 2019'!$E$584</c:f>
              <c:strCache>
                <c:ptCount val="1"/>
                <c:pt idx="0">
                  <c:v>NOGR</c:v>
                </c:pt>
              </c:strCache>
            </c:strRef>
          </c:tx>
          <c:spPr>
            <a:ln w="38100" cap="sq">
              <a:solidFill>
                <a:schemeClr val="tx1"/>
              </a:solidFill>
              <a:prstDash val="sysDash"/>
              <a:miter lim="800000"/>
            </a:ln>
            <a:effectLst/>
          </c:spPr>
          <c:marker>
            <c:symbol val="none"/>
          </c:marker>
          <c:cat>
            <c:strRef>
              <c:f>('NIRS SAS Results - RECG 2019'!$AE$562,'NIRS SAS Results - RECG 2019'!$AE$564:$AE$567)</c:f>
              <c:strCache>
                <c:ptCount val="5"/>
                <c:pt idx="0">
                  <c:v>15-May</c:v>
                </c:pt>
                <c:pt idx="1">
                  <c:v>19-Jun*</c:v>
                </c:pt>
                <c:pt idx="2">
                  <c:v>10-Jul</c:v>
                </c:pt>
                <c:pt idx="3">
                  <c:v>1-Aug</c:v>
                </c:pt>
                <c:pt idx="4">
                  <c:v>20-Aug</c:v>
                </c:pt>
              </c:strCache>
              <c:extLst/>
            </c:strRef>
          </c:cat>
          <c:val>
            <c:numRef>
              <c:f>('NIRS SAS Results - RECG 2019'!$E$585,'NIRS SAS Results - RECG 2019'!$E$587:$E$590)</c:f>
              <c:numCache>
                <c:formatCode>0.00</c:formatCode>
                <c:ptCount val="5"/>
                <c:pt idx="0">
                  <c:v>771.07500000000005</c:v>
                </c:pt>
                <c:pt idx="1">
                  <c:v>658.72</c:v>
                </c:pt>
                <c:pt idx="2">
                  <c:v>666.26250000000005</c:v>
                </c:pt>
                <c:pt idx="3">
                  <c:v>692.97249999999997</c:v>
                </c:pt>
                <c:pt idx="4">
                  <c:v>636.13333333333003</c:v>
                </c:pt>
              </c:numCache>
              <c:extLst/>
            </c:numRef>
          </c:val>
          <c:smooth val="0"/>
          <c:extLst>
            <c:ext xmlns:c16="http://schemas.microsoft.com/office/drawing/2014/chart" uri="{C3380CC4-5D6E-409C-BE32-E72D297353CC}">
              <c16:uniqueId val="{00000004-E116-42BA-BCE5-FF09B5646AE5}"/>
            </c:ext>
          </c:extLst>
        </c:ser>
        <c:dLbls>
          <c:showLegendKey val="0"/>
          <c:showVal val="0"/>
          <c:showCatName val="0"/>
          <c:showSerName val="0"/>
          <c:showPercent val="0"/>
          <c:showBubbleSize val="0"/>
        </c:dLbls>
        <c:marker val="1"/>
        <c:smooth val="0"/>
        <c:axId val="608747984"/>
        <c:axId val="1"/>
      </c:lineChart>
      <c:catAx>
        <c:axId val="608747984"/>
        <c:scaling>
          <c:orientation val="minMax"/>
        </c:scaling>
        <c:delete val="0"/>
        <c:axPos val="b"/>
        <c:title>
          <c:tx>
            <c:rich>
              <a:bodyPr/>
              <a:lstStyle/>
              <a:p>
                <a:pPr>
                  <a:defRPr b="0"/>
                </a:pPr>
                <a:r>
                  <a:rPr lang="en-US" b="0"/>
                  <a:t>Sampling Period</a:t>
                </a:r>
              </a:p>
            </c:rich>
          </c:tx>
          <c:layout>
            <c:manualLayout>
              <c:xMode val="edge"/>
              <c:yMode val="edge"/>
              <c:x val="0.48007655293088364"/>
              <c:y val="0.85026547462817148"/>
            </c:manualLayout>
          </c:layout>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1"/>
        <c:crosses val="autoZero"/>
        <c:auto val="0"/>
        <c:lblAlgn val="ctr"/>
        <c:lblOffset val="100"/>
        <c:noMultiLvlLbl val="0"/>
      </c:catAx>
      <c:valAx>
        <c:axId val="1"/>
        <c:scaling>
          <c:orientation val="minMax"/>
          <c:min val="400"/>
        </c:scaling>
        <c:delete val="0"/>
        <c:axPos val="l"/>
        <c:majorGridlines>
          <c:spPr>
            <a:ln w="9525" cap="flat" cmpd="sng" algn="ctr">
              <a:solidFill>
                <a:schemeClr val="tx1">
                  <a:lumMod val="15000"/>
                  <a:lumOff val="85000"/>
                </a:schemeClr>
              </a:solidFill>
              <a:round/>
            </a:ln>
            <a:effectLst/>
          </c:spPr>
        </c:majorGridlines>
        <c:title>
          <c:tx>
            <c:rich>
              <a:bodyPr/>
              <a:lstStyle/>
              <a:p>
                <a:pPr>
                  <a:defRPr b="0"/>
                </a:pPr>
                <a:r>
                  <a:rPr lang="en-US" b="0" i="1"/>
                  <a:t>In Vitro </a:t>
                </a:r>
                <a:r>
                  <a:rPr lang="en-US" b="0"/>
                  <a:t>True Dry Matter Digestibility</a:t>
                </a:r>
              </a:p>
              <a:p>
                <a:pPr>
                  <a:defRPr b="0"/>
                </a:pPr>
                <a:r>
                  <a:rPr lang="en-US" b="0"/>
                  <a:t>48 hours (g kg</a:t>
                </a:r>
                <a:r>
                  <a:rPr lang="en-US" b="0" baseline="30000"/>
                  <a:t>-1</a:t>
                </a:r>
                <a:r>
                  <a:rPr lang="en-US" b="0"/>
                  <a:t>)</a:t>
                </a:r>
              </a:p>
            </c:rich>
          </c:tx>
          <c:layout>
            <c:manualLayout>
              <c:xMode val="edge"/>
              <c:yMode val="edge"/>
              <c:x val="8.560009544261513E-3"/>
              <c:y val="7.2217574365704293E-2"/>
            </c:manualLayout>
          </c:layout>
          <c:overlay val="0"/>
        </c:title>
        <c:numFmt formatCode="0.0" sourceLinked="0"/>
        <c:majorTickMark val="none"/>
        <c:minorTickMark val="none"/>
        <c:tickLblPos val="nextTo"/>
        <c:spPr>
          <a:ln w="6350">
            <a:noFill/>
          </a:ln>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608747984"/>
        <c:crosses val="autoZero"/>
        <c:crossBetween val="between"/>
      </c:valAx>
      <c:spPr>
        <a:noFill/>
        <a:ln w="25400">
          <a:noFill/>
        </a:ln>
      </c:spPr>
    </c:plotArea>
    <c:legend>
      <c:legendPos val="b"/>
      <c:overlay val="0"/>
      <c:spPr>
        <a:noFill/>
        <a:ln w="25400">
          <a:noFill/>
        </a:ln>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ysClr val="windowText" lastClr="000000"/>
      </a:solidFill>
      <a:round/>
    </a:ln>
    <a:effectLst/>
  </c:spPr>
  <c:txPr>
    <a:bodyPr/>
    <a:lstStyle/>
    <a:p>
      <a:pPr>
        <a:defRPr sz="1200" baseline="0">
          <a:solidFill>
            <a:sysClr val="windowText" lastClr="000000"/>
          </a:solidFill>
          <a:latin typeface="Times New Roman" panose="02020603050405020304" pitchFamily="18" charset="0"/>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'Chi-Square with 1 and 2'!$V$702</c:f>
              <c:strCache>
                <c:ptCount val="1"/>
                <c:pt idx="0">
                  <c:v>No Graze</c:v>
                </c:pt>
              </c:strCache>
            </c:strRef>
          </c:tx>
          <c:spPr>
            <a:ln w="38100" cap="rnd">
              <a:solidFill>
                <a:schemeClr val="tx1">
                  <a:lumMod val="50000"/>
                  <a:lumOff val="50000"/>
                </a:schemeClr>
              </a:solidFill>
              <a:round/>
            </a:ln>
            <a:effectLst/>
          </c:spPr>
          <c:marker>
            <c:symbol val="none"/>
          </c:marker>
          <c:cat>
            <c:strRef>
              <c:f>'Chi-Square with 1 and 2'!$W$700:$AA$700</c:f>
              <c:strCache>
                <c:ptCount val="5"/>
                <c:pt idx="0">
                  <c:v>May</c:v>
                </c:pt>
                <c:pt idx="1">
                  <c:v>June</c:v>
                </c:pt>
                <c:pt idx="2">
                  <c:v>July</c:v>
                </c:pt>
                <c:pt idx="3">
                  <c:v>July/Aug </c:v>
                </c:pt>
                <c:pt idx="4">
                  <c:v>Aug/Sept</c:v>
                </c:pt>
              </c:strCache>
            </c:strRef>
          </c:cat>
          <c:val>
            <c:numRef>
              <c:f>'Chi-Square with 1 and 2'!$W$702:$AA$702</c:f>
              <c:numCache>
                <c:formatCode>0.0000</c:formatCode>
                <c:ptCount val="5"/>
                <c:pt idx="0">
                  <c:v>2.0408163265306121E-2</c:v>
                </c:pt>
                <c:pt idx="1">
                  <c:v>0.44444444444444442</c:v>
                </c:pt>
                <c:pt idx="2">
                  <c:v>0.55319148936170215</c:v>
                </c:pt>
                <c:pt idx="3">
                  <c:v>0.5625</c:v>
                </c:pt>
                <c:pt idx="4">
                  <c:v>0.65116279069767447</c:v>
                </c:pt>
              </c:numCache>
            </c:numRef>
          </c:val>
          <c:smooth val="0"/>
          <c:extLst>
            <c:ext xmlns:c16="http://schemas.microsoft.com/office/drawing/2014/chart" uri="{C3380CC4-5D6E-409C-BE32-E72D297353CC}">
              <c16:uniqueId val="{00000000-C514-45AD-A126-3FC2F7592BFB}"/>
            </c:ext>
          </c:extLst>
        </c:ser>
        <c:ser>
          <c:idx val="1"/>
          <c:order val="1"/>
          <c:tx>
            <c:strRef>
              <c:f>'Chi-Square with 1 and 2'!$V$703</c:f>
              <c:strCache>
                <c:ptCount val="1"/>
                <c:pt idx="0">
                  <c:v>No Rest</c:v>
                </c:pt>
              </c:strCache>
            </c:strRef>
          </c:tx>
          <c:spPr>
            <a:ln w="38100" cap="rnd">
              <a:solidFill>
                <a:schemeClr val="accent4"/>
              </a:solidFill>
              <a:round/>
            </a:ln>
            <a:effectLst/>
          </c:spPr>
          <c:marker>
            <c:symbol val="none"/>
          </c:marker>
          <c:val>
            <c:numRef>
              <c:f>'Chi-Square with 1 and 2'!$W$703:$AA$703</c:f>
              <c:numCache>
                <c:formatCode>0.0000</c:formatCode>
                <c:ptCount val="5"/>
                <c:pt idx="0">
                  <c:v>6.8181818181818177E-2</c:v>
                </c:pt>
                <c:pt idx="1">
                  <c:v>0.33333333333333331</c:v>
                </c:pt>
                <c:pt idx="2">
                  <c:v>0.48837209302325579</c:v>
                </c:pt>
                <c:pt idx="3">
                  <c:v>0.21621621621621623</c:v>
                </c:pt>
                <c:pt idx="4">
                  <c:v>0.625</c:v>
                </c:pt>
              </c:numCache>
            </c:numRef>
          </c:val>
          <c:smooth val="0"/>
          <c:extLst>
            <c:ext xmlns:c16="http://schemas.microsoft.com/office/drawing/2014/chart" uri="{C3380CC4-5D6E-409C-BE32-E72D297353CC}">
              <c16:uniqueId val="{00000001-C514-45AD-A126-3FC2F7592BFB}"/>
            </c:ext>
          </c:extLst>
        </c:ser>
        <c:dLbls>
          <c:showLegendKey val="0"/>
          <c:showVal val="0"/>
          <c:showCatName val="0"/>
          <c:showSerName val="0"/>
          <c:showPercent val="0"/>
          <c:showBubbleSize val="0"/>
        </c:dLbls>
        <c:marker val="1"/>
        <c:smooth val="0"/>
        <c:axId val="608767992"/>
        <c:axId val="608770944"/>
      </c:lineChart>
      <c:scatterChart>
        <c:scatterStyle val="lineMarker"/>
        <c:varyColors val="0"/>
        <c:ser>
          <c:idx val="2"/>
          <c:order val="2"/>
          <c:tx>
            <c:strRef>
              <c:f>'Chi-Square with 1 and 2'!$V$701</c:f>
              <c:strCache>
                <c:ptCount val="1"/>
                <c:pt idx="0">
                  <c:v>Early Rest</c:v>
                </c:pt>
              </c:strCache>
            </c:strRef>
          </c:tx>
          <c:spPr>
            <a:ln w="25400" cap="rnd">
              <a:noFill/>
              <a:round/>
            </a:ln>
            <a:effectLst/>
          </c:spPr>
          <c:marker>
            <c:symbol val="square"/>
            <c:size val="8"/>
            <c:spPr>
              <a:solidFill>
                <a:srgbClr val="00B050"/>
              </a:solidFill>
              <a:ln w="12700" cap="sq">
                <a:solidFill>
                  <a:sysClr val="windowText" lastClr="000000"/>
                </a:solidFill>
                <a:miter lim="800000"/>
              </a:ln>
              <a:effectLst/>
            </c:spPr>
          </c:marker>
          <c:yVal>
            <c:numRef>
              <c:f>'Chi-Square with 1 and 2'!$W$701:$AA$701</c:f>
              <c:numCache>
                <c:formatCode>0.0000</c:formatCode>
                <c:ptCount val="5"/>
                <c:pt idx="0">
                  <c:v>1.9607843137254902E-2</c:v>
                </c:pt>
                <c:pt idx="1">
                  <c:v>0.51063829787234039</c:v>
                </c:pt>
                <c:pt idx="4">
                  <c:v>0.72499999999999998</c:v>
                </c:pt>
              </c:numCache>
            </c:numRef>
          </c:yVal>
          <c:smooth val="0"/>
          <c:extLst>
            <c:ext xmlns:c16="http://schemas.microsoft.com/office/drawing/2014/chart" uri="{C3380CC4-5D6E-409C-BE32-E72D297353CC}">
              <c16:uniqueId val="{00000002-C514-45AD-A126-3FC2F7592BFB}"/>
            </c:ext>
          </c:extLst>
        </c:ser>
        <c:ser>
          <c:idx val="3"/>
          <c:order val="3"/>
          <c:tx>
            <c:strRef>
              <c:f>'Chi-Square with 1 and 2'!$V$704</c:f>
              <c:strCache>
                <c:ptCount val="1"/>
                <c:pt idx="0">
                  <c:v>Middle Rest</c:v>
                </c:pt>
              </c:strCache>
            </c:strRef>
          </c:tx>
          <c:spPr>
            <a:ln w="25400" cap="rnd">
              <a:noFill/>
              <a:round/>
            </a:ln>
            <a:effectLst/>
          </c:spPr>
          <c:marker>
            <c:symbol val="square"/>
            <c:size val="8"/>
            <c:spPr>
              <a:solidFill>
                <a:srgbClr val="C00000"/>
              </a:solidFill>
              <a:ln w="12700" cap="sq">
                <a:solidFill>
                  <a:sysClr val="windowText" lastClr="000000"/>
                </a:solidFill>
                <a:miter lim="800000"/>
              </a:ln>
              <a:effectLst/>
            </c:spPr>
          </c:marker>
          <c:yVal>
            <c:numRef>
              <c:f>'Chi-Square with 1 and 2'!$W$704:$AA$704</c:f>
              <c:numCache>
                <c:formatCode>General</c:formatCode>
                <c:ptCount val="5"/>
                <c:pt idx="0" formatCode="0.0000">
                  <c:v>4.1666666666666664E-2</c:v>
                </c:pt>
                <c:pt idx="2" formatCode="0.0000">
                  <c:v>0.46511627906976744</c:v>
                </c:pt>
                <c:pt idx="4" formatCode="0.0000">
                  <c:v>0.76923076923076927</c:v>
                </c:pt>
              </c:numCache>
            </c:numRef>
          </c:yVal>
          <c:smooth val="0"/>
          <c:extLst>
            <c:ext xmlns:c16="http://schemas.microsoft.com/office/drawing/2014/chart" uri="{C3380CC4-5D6E-409C-BE32-E72D297353CC}">
              <c16:uniqueId val="{00000003-C514-45AD-A126-3FC2F7592BFB}"/>
            </c:ext>
          </c:extLst>
        </c:ser>
        <c:ser>
          <c:idx val="4"/>
          <c:order val="4"/>
          <c:tx>
            <c:strRef>
              <c:f>'Chi-Square with 1 and 2'!$V$705</c:f>
              <c:strCache>
                <c:ptCount val="1"/>
                <c:pt idx="0">
                  <c:v>Late Rest</c:v>
                </c:pt>
              </c:strCache>
            </c:strRef>
          </c:tx>
          <c:spPr>
            <a:ln w="25400" cap="rnd">
              <a:noFill/>
              <a:round/>
            </a:ln>
            <a:effectLst/>
          </c:spPr>
          <c:marker>
            <c:symbol val="square"/>
            <c:size val="8"/>
            <c:spPr>
              <a:solidFill>
                <a:srgbClr val="00B0F0"/>
              </a:solidFill>
              <a:ln w="12700" cap="sq">
                <a:solidFill>
                  <a:sysClr val="windowText" lastClr="000000"/>
                </a:solidFill>
                <a:miter lim="800000"/>
              </a:ln>
              <a:effectLst/>
            </c:spPr>
          </c:marker>
          <c:xVal>
            <c:strRef>
              <c:f>'Chi-Square with 1 and 2'!$W$700:$AA$700</c:f>
              <c:strCache>
                <c:ptCount val="5"/>
                <c:pt idx="0">
                  <c:v>May</c:v>
                </c:pt>
                <c:pt idx="1">
                  <c:v>June</c:v>
                </c:pt>
                <c:pt idx="2">
                  <c:v>July</c:v>
                </c:pt>
                <c:pt idx="3">
                  <c:v>July/Aug </c:v>
                </c:pt>
                <c:pt idx="4">
                  <c:v>Aug/Sept</c:v>
                </c:pt>
              </c:strCache>
            </c:strRef>
          </c:xVal>
          <c:yVal>
            <c:numRef>
              <c:f>'Chi-Square with 1 and 2'!$W$705:$AA$705</c:f>
              <c:numCache>
                <c:formatCode>General</c:formatCode>
                <c:ptCount val="5"/>
                <c:pt idx="0" formatCode="0.0000">
                  <c:v>2.5000000000000001E-2</c:v>
                </c:pt>
                <c:pt idx="3" formatCode="0.0000">
                  <c:v>0.63888888888888884</c:v>
                </c:pt>
                <c:pt idx="4" formatCode="0.0000">
                  <c:v>0.61290322580645162</c:v>
                </c:pt>
              </c:numCache>
            </c:numRef>
          </c:yVal>
          <c:smooth val="0"/>
          <c:extLst>
            <c:ext xmlns:c16="http://schemas.microsoft.com/office/drawing/2014/chart" uri="{C3380CC4-5D6E-409C-BE32-E72D297353CC}">
              <c16:uniqueId val="{00000004-C514-45AD-A126-3FC2F7592BFB}"/>
            </c:ext>
          </c:extLst>
        </c:ser>
        <c:dLbls>
          <c:showLegendKey val="0"/>
          <c:showVal val="0"/>
          <c:showCatName val="0"/>
          <c:showSerName val="0"/>
          <c:showPercent val="0"/>
          <c:showBubbleSize val="0"/>
        </c:dLbls>
        <c:axId val="608767992"/>
        <c:axId val="608770944"/>
      </c:scatterChart>
      <c:catAx>
        <c:axId val="608767992"/>
        <c:scaling>
          <c:orientation val="minMax"/>
        </c:scaling>
        <c:delete val="0"/>
        <c:axPos val="b"/>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Sampling Period</a:t>
                </a:r>
              </a:p>
            </c:rich>
          </c:tx>
          <c:layout>
            <c:manualLayout>
              <c:xMode val="edge"/>
              <c:yMode val="edge"/>
              <c:x val="0.46547444590259551"/>
              <c:y val="0.83371329190647281"/>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608770944"/>
        <c:crosses val="autoZero"/>
        <c:auto val="1"/>
        <c:lblAlgn val="ctr"/>
        <c:lblOffset val="100"/>
        <c:noMultiLvlLbl val="0"/>
      </c:catAx>
      <c:valAx>
        <c:axId val="608770944"/>
        <c:scaling>
          <c:orientation val="minMax"/>
          <c:max val="1"/>
        </c:scaling>
        <c:delete val="0"/>
        <c:axPos val="l"/>
        <c:majorGridlines>
          <c:spPr>
            <a:ln w="9525" cap="flat" cmpd="sng" algn="ctr">
              <a:solidFill>
                <a:schemeClr val="tx1">
                  <a:lumMod val="50000"/>
                  <a:lumOff val="50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Flowering Percentage</a:t>
                </a:r>
              </a:p>
            </c:rich>
          </c:tx>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6087679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'Chi-Square with 1 and 2'!$AF$702</c:f>
              <c:strCache>
                <c:ptCount val="1"/>
                <c:pt idx="0">
                  <c:v>No Graze</c:v>
                </c:pt>
              </c:strCache>
            </c:strRef>
          </c:tx>
          <c:spPr>
            <a:ln w="28575" cap="rnd">
              <a:solidFill>
                <a:schemeClr val="tx1">
                  <a:lumMod val="50000"/>
                  <a:lumOff val="50000"/>
                </a:schemeClr>
              </a:solidFill>
              <a:round/>
            </a:ln>
            <a:effectLst/>
          </c:spPr>
          <c:marker>
            <c:symbol val="none"/>
          </c:marker>
          <c:cat>
            <c:strRef>
              <c:f>'Chi-Square with 1 and 2'!$AG$700:$AK$700</c:f>
              <c:strCache>
                <c:ptCount val="5"/>
                <c:pt idx="0">
                  <c:v>May</c:v>
                </c:pt>
                <c:pt idx="1">
                  <c:v>June</c:v>
                </c:pt>
                <c:pt idx="2">
                  <c:v>July</c:v>
                </c:pt>
                <c:pt idx="3">
                  <c:v>July/Aug</c:v>
                </c:pt>
                <c:pt idx="4">
                  <c:v>Aug/Sept</c:v>
                </c:pt>
              </c:strCache>
            </c:strRef>
          </c:cat>
          <c:val>
            <c:numRef>
              <c:f>'Chi-Square with 1 and 2'!$AG$702:$AK$702</c:f>
              <c:numCache>
                <c:formatCode>0.0000</c:formatCode>
                <c:ptCount val="5"/>
                <c:pt idx="0">
                  <c:v>4.5454545454545456E-2</c:v>
                </c:pt>
                <c:pt idx="1">
                  <c:v>0.40384615384615385</c:v>
                </c:pt>
                <c:pt idx="2">
                  <c:v>0.63461538461538458</c:v>
                </c:pt>
                <c:pt idx="3">
                  <c:v>0.68</c:v>
                </c:pt>
                <c:pt idx="4">
                  <c:v>0.81395348837209303</c:v>
                </c:pt>
              </c:numCache>
            </c:numRef>
          </c:val>
          <c:smooth val="0"/>
          <c:extLst>
            <c:ext xmlns:c16="http://schemas.microsoft.com/office/drawing/2014/chart" uri="{C3380CC4-5D6E-409C-BE32-E72D297353CC}">
              <c16:uniqueId val="{00000000-DD96-47D1-A53E-227C2BE70E06}"/>
            </c:ext>
          </c:extLst>
        </c:ser>
        <c:ser>
          <c:idx val="1"/>
          <c:order val="1"/>
          <c:tx>
            <c:strRef>
              <c:f>'Chi-Square with 1 and 2'!$AF$703</c:f>
              <c:strCache>
                <c:ptCount val="1"/>
                <c:pt idx="0">
                  <c:v>No Rest</c:v>
                </c:pt>
              </c:strCache>
            </c:strRef>
          </c:tx>
          <c:spPr>
            <a:ln w="28575" cap="rnd">
              <a:solidFill>
                <a:srgbClr val="FFCC00"/>
              </a:solidFill>
              <a:round/>
            </a:ln>
            <a:effectLst/>
          </c:spPr>
          <c:marker>
            <c:symbol val="none"/>
          </c:marker>
          <c:cat>
            <c:strRef>
              <c:f>'Chi-Square with 1 and 2'!$AG$700:$AK$700</c:f>
              <c:strCache>
                <c:ptCount val="5"/>
                <c:pt idx="0">
                  <c:v>May</c:v>
                </c:pt>
                <c:pt idx="1">
                  <c:v>June</c:v>
                </c:pt>
                <c:pt idx="2">
                  <c:v>July</c:v>
                </c:pt>
                <c:pt idx="3">
                  <c:v>July/Aug</c:v>
                </c:pt>
                <c:pt idx="4">
                  <c:v>Aug/Sept</c:v>
                </c:pt>
              </c:strCache>
            </c:strRef>
          </c:cat>
          <c:val>
            <c:numRef>
              <c:f>'Chi-Square with 1 and 2'!$AG$703:$AK$703</c:f>
              <c:numCache>
                <c:formatCode>0.0000</c:formatCode>
                <c:ptCount val="5"/>
                <c:pt idx="0">
                  <c:v>1.7543859649122806E-2</c:v>
                </c:pt>
                <c:pt idx="1">
                  <c:v>0.48275862068965519</c:v>
                </c:pt>
                <c:pt idx="2">
                  <c:v>0.64150943396226412</c:v>
                </c:pt>
                <c:pt idx="3">
                  <c:v>0.67346938775510201</c:v>
                </c:pt>
                <c:pt idx="4">
                  <c:v>0.82978723404255317</c:v>
                </c:pt>
              </c:numCache>
            </c:numRef>
          </c:val>
          <c:smooth val="0"/>
          <c:extLst>
            <c:ext xmlns:c16="http://schemas.microsoft.com/office/drawing/2014/chart" uri="{C3380CC4-5D6E-409C-BE32-E72D297353CC}">
              <c16:uniqueId val="{00000001-DD96-47D1-A53E-227C2BE70E06}"/>
            </c:ext>
          </c:extLst>
        </c:ser>
        <c:dLbls>
          <c:showLegendKey val="0"/>
          <c:showVal val="0"/>
          <c:showCatName val="0"/>
          <c:showSerName val="0"/>
          <c:showPercent val="0"/>
          <c:showBubbleSize val="0"/>
        </c:dLbls>
        <c:marker val="1"/>
        <c:smooth val="0"/>
        <c:axId val="608767992"/>
        <c:axId val="608770944"/>
      </c:lineChart>
      <c:scatterChart>
        <c:scatterStyle val="lineMarker"/>
        <c:varyColors val="0"/>
        <c:ser>
          <c:idx val="2"/>
          <c:order val="2"/>
          <c:tx>
            <c:strRef>
              <c:f>'Chi-Square with 1 and 2'!$AF$701</c:f>
              <c:strCache>
                <c:ptCount val="1"/>
                <c:pt idx="0">
                  <c:v>Early Rest</c:v>
                </c:pt>
              </c:strCache>
            </c:strRef>
          </c:tx>
          <c:spPr>
            <a:ln w="25400" cap="rnd">
              <a:noFill/>
              <a:round/>
            </a:ln>
            <a:effectLst/>
          </c:spPr>
          <c:marker>
            <c:symbol val="square"/>
            <c:size val="8"/>
            <c:spPr>
              <a:solidFill>
                <a:srgbClr val="00B050"/>
              </a:solidFill>
              <a:ln w="12700" cap="sq">
                <a:solidFill>
                  <a:sysClr val="windowText" lastClr="000000"/>
                </a:solidFill>
                <a:miter lim="800000"/>
              </a:ln>
              <a:effectLst/>
            </c:spPr>
          </c:marker>
          <c:yVal>
            <c:numRef>
              <c:f>'Chi-Square with 1 and 2'!$AG$701:$AK$701</c:f>
              <c:numCache>
                <c:formatCode>0.0000</c:formatCode>
                <c:ptCount val="5"/>
                <c:pt idx="0">
                  <c:v>4.1666666666666664E-2</c:v>
                </c:pt>
                <c:pt idx="1">
                  <c:v>0.5357142857142857</c:v>
                </c:pt>
                <c:pt idx="4">
                  <c:v>0.88888888888888884</c:v>
                </c:pt>
              </c:numCache>
            </c:numRef>
          </c:yVal>
          <c:smooth val="0"/>
          <c:extLst>
            <c:ext xmlns:c16="http://schemas.microsoft.com/office/drawing/2014/chart" uri="{C3380CC4-5D6E-409C-BE32-E72D297353CC}">
              <c16:uniqueId val="{00000002-DD96-47D1-A53E-227C2BE70E06}"/>
            </c:ext>
          </c:extLst>
        </c:ser>
        <c:ser>
          <c:idx val="3"/>
          <c:order val="3"/>
          <c:tx>
            <c:strRef>
              <c:f>'Chi-Square with 1 and 2'!$AF$704</c:f>
              <c:strCache>
                <c:ptCount val="1"/>
                <c:pt idx="0">
                  <c:v>Middle Rest</c:v>
                </c:pt>
              </c:strCache>
            </c:strRef>
          </c:tx>
          <c:spPr>
            <a:ln w="25400" cap="rnd">
              <a:noFill/>
              <a:round/>
            </a:ln>
            <a:effectLst/>
          </c:spPr>
          <c:marker>
            <c:symbol val="square"/>
            <c:size val="8"/>
            <c:spPr>
              <a:solidFill>
                <a:srgbClr val="C00000"/>
              </a:solidFill>
              <a:ln w="12700" cap="sq">
                <a:solidFill>
                  <a:sysClr val="windowText" lastClr="000000"/>
                </a:solidFill>
                <a:miter lim="800000"/>
              </a:ln>
              <a:effectLst/>
            </c:spPr>
          </c:marker>
          <c:yVal>
            <c:numRef>
              <c:f>'Chi-Square with 1 and 2'!$AG$704:$AK$704</c:f>
              <c:numCache>
                <c:formatCode>General</c:formatCode>
                <c:ptCount val="5"/>
                <c:pt idx="0" formatCode="0.0000">
                  <c:v>5.6603773584905662E-2</c:v>
                </c:pt>
                <c:pt idx="2" formatCode="0.0000">
                  <c:v>0.66101694915254239</c:v>
                </c:pt>
                <c:pt idx="4" formatCode="0.0000">
                  <c:v>0.71153846153846156</c:v>
                </c:pt>
              </c:numCache>
            </c:numRef>
          </c:yVal>
          <c:smooth val="0"/>
          <c:extLst>
            <c:ext xmlns:c16="http://schemas.microsoft.com/office/drawing/2014/chart" uri="{C3380CC4-5D6E-409C-BE32-E72D297353CC}">
              <c16:uniqueId val="{00000003-DD96-47D1-A53E-227C2BE70E06}"/>
            </c:ext>
          </c:extLst>
        </c:ser>
        <c:ser>
          <c:idx val="4"/>
          <c:order val="4"/>
          <c:tx>
            <c:strRef>
              <c:f>'Chi-Square with 1 and 2'!$AF$705</c:f>
              <c:strCache>
                <c:ptCount val="1"/>
                <c:pt idx="0">
                  <c:v>Late Rest</c:v>
                </c:pt>
              </c:strCache>
            </c:strRef>
          </c:tx>
          <c:spPr>
            <a:ln w="25400" cap="rnd">
              <a:noFill/>
              <a:round/>
            </a:ln>
            <a:effectLst/>
          </c:spPr>
          <c:marker>
            <c:symbol val="square"/>
            <c:size val="8"/>
            <c:spPr>
              <a:solidFill>
                <a:srgbClr val="00B0F0"/>
              </a:solidFill>
              <a:ln w="12700" cap="sq">
                <a:solidFill>
                  <a:sysClr val="windowText" lastClr="000000"/>
                </a:solidFill>
                <a:miter lim="800000"/>
              </a:ln>
              <a:effectLst/>
            </c:spPr>
          </c:marker>
          <c:yVal>
            <c:numRef>
              <c:f>'Chi-Square with 1 and 2'!$AG$705:$AK$705</c:f>
              <c:numCache>
                <c:formatCode>General</c:formatCode>
                <c:ptCount val="5"/>
                <c:pt idx="0" formatCode="0.0000">
                  <c:v>2.2222222222222223E-2</c:v>
                </c:pt>
                <c:pt idx="3" formatCode="0.0000">
                  <c:v>0.77358490566037741</c:v>
                </c:pt>
                <c:pt idx="4" formatCode="0.0000">
                  <c:v>0.85106382978723405</c:v>
                </c:pt>
              </c:numCache>
            </c:numRef>
          </c:yVal>
          <c:smooth val="0"/>
          <c:extLst>
            <c:ext xmlns:c16="http://schemas.microsoft.com/office/drawing/2014/chart" uri="{C3380CC4-5D6E-409C-BE32-E72D297353CC}">
              <c16:uniqueId val="{00000004-DD96-47D1-A53E-227C2BE70E06}"/>
            </c:ext>
          </c:extLst>
        </c:ser>
        <c:dLbls>
          <c:showLegendKey val="0"/>
          <c:showVal val="0"/>
          <c:showCatName val="0"/>
          <c:showSerName val="0"/>
          <c:showPercent val="0"/>
          <c:showBubbleSize val="0"/>
        </c:dLbls>
        <c:axId val="608767992"/>
        <c:axId val="608770944"/>
      </c:scatterChart>
      <c:catAx>
        <c:axId val="608767992"/>
        <c:scaling>
          <c:orientation val="minMax"/>
        </c:scaling>
        <c:delete val="0"/>
        <c:axPos val="b"/>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Sampling Period</a:t>
                </a:r>
              </a:p>
            </c:rich>
          </c:tx>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608770944"/>
        <c:crosses val="autoZero"/>
        <c:auto val="1"/>
        <c:lblAlgn val="ctr"/>
        <c:lblOffset val="100"/>
        <c:noMultiLvlLbl val="0"/>
      </c:catAx>
      <c:valAx>
        <c:axId val="608770944"/>
        <c:scaling>
          <c:orientation val="minMax"/>
        </c:scaling>
        <c:delete val="0"/>
        <c:axPos val="l"/>
        <c:majorGridlines>
          <c:spPr>
            <a:ln w="9525" cap="flat" cmpd="sng" algn="ctr">
              <a:solidFill>
                <a:schemeClr val="tx1">
                  <a:lumMod val="50000"/>
                  <a:lumOff val="50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Flowering Percentage</a:t>
                </a:r>
              </a:p>
            </c:rich>
          </c:tx>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6087679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081018518518519"/>
          <c:y val="6.1111111111111109E-2"/>
          <c:w val="0.84553915135608049"/>
          <c:h val="0.7191657387523529"/>
        </c:manualLayout>
      </c:layout>
      <c:barChart>
        <c:barDir val="col"/>
        <c:grouping val="clustered"/>
        <c:varyColors val="0"/>
        <c:ser>
          <c:idx val="0"/>
          <c:order val="0"/>
          <c:tx>
            <c:strRef>
              <c:f>'Precipitation Data'!$Q$40</c:f>
              <c:strCache>
                <c:ptCount val="1"/>
                <c:pt idx="0">
                  <c:v>2016</c:v>
                </c:pt>
              </c:strCache>
            </c:strRef>
          </c:tx>
          <c:spPr>
            <a:solidFill>
              <a:sysClr val="window" lastClr="FFFFFF">
                <a:lumMod val="95000"/>
              </a:sysClr>
            </a:solidFill>
            <a:ln>
              <a:solidFill>
                <a:sysClr val="windowText" lastClr="000000"/>
              </a:solidFill>
            </a:ln>
            <a:effectLst/>
          </c:spPr>
          <c:invertIfNegative val="0"/>
          <c:cat>
            <c:strRef>
              <c:f>'Precipitation Data'!$U$39:$AC$39</c:f>
              <c:strCache>
                <c:ptCount val="9"/>
                <c:pt idx="0">
                  <c:v>Apr</c:v>
                </c:pt>
                <c:pt idx="1">
                  <c:v>May</c:v>
                </c:pt>
                <c:pt idx="2">
                  <c:v>Jun</c:v>
                </c:pt>
                <c:pt idx="3">
                  <c:v>Jul</c:v>
                </c:pt>
                <c:pt idx="4">
                  <c:v>Aug</c:v>
                </c:pt>
                <c:pt idx="5">
                  <c:v>Sep</c:v>
                </c:pt>
                <c:pt idx="6">
                  <c:v>Oct‡</c:v>
                </c:pt>
                <c:pt idx="7">
                  <c:v>Nov</c:v>
                </c:pt>
                <c:pt idx="8">
                  <c:v>Dec</c:v>
                </c:pt>
              </c:strCache>
              <c:extLst/>
            </c:strRef>
          </c:cat>
          <c:val>
            <c:numRef>
              <c:f>'Precipitation Data'!$U$40:$AC$40</c:f>
              <c:numCache>
                <c:formatCode>0.0</c:formatCode>
                <c:ptCount val="9"/>
                <c:pt idx="0">
                  <c:v>14.833333333333336</c:v>
                </c:pt>
                <c:pt idx="1">
                  <c:v>19.222222222222221</c:v>
                </c:pt>
                <c:pt idx="2">
                  <c:v>25.333333333333332</c:v>
                </c:pt>
                <c:pt idx="3">
                  <c:v>27.055555555555557</c:v>
                </c:pt>
                <c:pt idx="4">
                  <c:v>28.055555555555557</c:v>
                </c:pt>
                <c:pt idx="5">
                  <c:v>25.166666666666668</c:v>
                </c:pt>
                <c:pt idx="6">
                  <c:v>0</c:v>
                </c:pt>
                <c:pt idx="7">
                  <c:v>11.444444444444446</c:v>
                </c:pt>
                <c:pt idx="8">
                  <c:v>5.7777777777777777</c:v>
                </c:pt>
              </c:numCache>
              <c:extLst/>
            </c:numRef>
          </c:val>
          <c:extLst xmlns:c15="http://schemas.microsoft.com/office/drawing/2012/chart">
            <c:ext xmlns:c16="http://schemas.microsoft.com/office/drawing/2014/chart" uri="{C3380CC4-5D6E-409C-BE32-E72D297353CC}">
              <c16:uniqueId val="{00000000-836F-480F-85DE-0776F0CD9997}"/>
            </c:ext>
          </c:extLst>
        </c:ser>
        <c:ser>
          <c:idx val="1"/>
          <c:order val="1"/>
          <c:tx>
            <c:strRef>
              <c:f>'Precipitation Data'!$Q$41</c:f>
              <c:strCache>
                <c:ptCount val="1"/>
                <c:pt idx="0">
                  <c:v>2017</c:v>
                </c:pt>
              </c:strCache>
            </c:strRef>
          </c:tx>
          <c:spPr>
            <a:solidFill>
              <a:sysClr val="window" lastClr="FFFFFF">
                <a:lumMod val="50000"/>
              </a:sysClr>
            </a:solidFill>
            <a:ln>
              <a:solidFill>
                <a:sysClr val="windowText" lastClr="000000"/>
              </a:solidFill>
            </a:ln>
            <a:effectLst/>
          </c:spPr>
          <c:invertIfNegative val="0"/>
          <c:cat>
            <c:strRef>
              <c:f>'Precipitation Data'!$U$39:$AC$39</c:f>
              <c:strCache>
                <c:ptCount val="9"/>
                <c:pt idx="0">
                  <c:v>Apr</c:v>
                </c:pt>
                <c:pt idx="1">
                  <c:v>May</c:v>
                </c:pt>
                <c:pt idx="2">
                  <c:v>Jun</c:v>
                </c:pt>
                <c:pt idx="3">
                  <c:v>Jul</c:v>
                </c:pt>
                <c:pt idx="4">
                  <c:v>Aug</c:v>
                </c:pt>
                <c:pt idx="5">
                  <c:v>Sep</c:v>
                </c:pt>
                <c:pt idx="6">
                  <c:v>Oct‡</c:v>
                </c:pt>
                <c:pt idx="7">
                  <c:v>Nov</c:v>
                </c:pt>
                <c:pt idx="8">
                  <c:v>Dec</c:v>
                </c:pt>
              </c:strCache>
              <c:extLst/>
            </c:strRef>
          </c:cat>
          <c:val>
            <c:numRef>
              <c:f>'Precipitation Data'!$U$41:$AC$41</c:f>
              <c:numCache>
                <c:formatCode>0.0</c:formatCode>
                <c:ptCount val="9"/>
                <c:pt idx="0">
                  <c:v>17.777777777777779</c:v>
                </c:pt>
                <c:pt idx="1">
                  <c:v>20.055555555555554</c:v>
                </c:pt>
                <c:pt idx="2">
                  <c:v>23.388888888888886</c:v>
                </c:pt>
                <c:pt idx="3">
                  <c:v>26.333333333333339</c:v>
                </c:pt>
                <c:pt idx="4">
                  <c:v>24.333333333333332</c:v>
                </c:pt>
                <c:pt idx="5">
                  <c:v>20.666666666666668</c:v>
                </c:pt>
                <c:pt idx="6">
                  <c:v>16.722222222222225</c:v>
                </c:pt>
                <c:pt idx="7">
                  <c:v>10</c:v>
                </c:pt>
                <c:pt idx="8">
                  <c:v>4.5000000000000009</c:v>
                </c:pt>
              </c:numCache>
              <c:extLst/>
            </c:numRef>
          </c:val>
          <c:extLst xmlns:c15="http://schemas.microsoft.com/office/drawing/2012/chart">
            <c:ext xmlns:c16="http://schemas.microsoft.com/office/drawing/2014/chart" uri="{C3380CC4-5D6E-409C-BE32-E72D297353CC}">
              <c16:uniqueId val="{00000001-836F-480F-85DE-0776F0CD9997}"/>
            </c:ext>
          </c:extLst>
        </c:ser>
        <c:ser>
          <c:idx val="2"/>
          <c:order val="2"/>
          <c:tx>
            <c:strRef>
              <c:f>'Precipitation Data'!$Q$42</c:f>
              <c:strCache>
                <c:ptCount val="1"/>
                <c:pt idx="0">
                  <c:v>2018</c:v>
                </c:pt>
              </c:strCache>
            </c:strRef>
          </c:tx>
          <c:spPr>
            <a:solidFill>
              <a:srgbClr val="E7E6E6">
                <a:lumMod val="25000"/>
              </a:srgbClr>
            </a:solidFill>
            <a:ln>
              <a:solidFill>
                <a:sysClr val="windowText" lastClr="000000"/>
              </a:solidFill>
            </a:ln>
            <a:effectLst/>
          </c:spPr>
          <c:invertIfNegative val="0"/>
          <c:cat>
            <c:strRef>
              <c:f>'Precipitation Data'!$U$39:$AC$39</c:f>
              <c:strCache>
                <c:ptCount val="9"/>
                <c:pt idx="0">
                  <c:v>Apr</c:v>
                </c:pt>
                <c:pt idx="1">
                  <c:v>May</c:v>
                </c:pt>
                <c:pt idx="2">
                  <c:v>Jun</c:v>
                </c:pt>
                <c:pt idx="3">
                  <c:v>Jul</c:v>
                </c:pt>
                <c:pt idx="4">
                  <c:v>Aug</c:v>
                </c:pt>
                <c:pt idx="5">
                  <c:v>Sep</c:v>
                </c:pt>
                <c:pt idx="6">
                  <c:v>Oct‡</c:v>
                </c:pt>
                <c:pt idx="7">
                  <c:v>Nov</c:v>
                </c:pt>
                <c:pt idx="8">
                  <c:v>Dec</c:v>
                </c:pt>
              </c:strCache>
              <c:extLst/>
            </c:strRef>
          </c:cat>
          <c:val>
            <c:numRef>
              <c:f>'Precipitation Data'!$U$42:$AC$42</c:f>
              <c:numCache>
                <c:formatCode>0.0</c:formatCode>
                <c:ptCount val="9"/>
                <c:pt idx="0">
                  <c:v>12.555555555555557</c:v>
                </c:pt>
                <c:pt idx="1">
                  <c:v>23.055555555555557</c:v>
                </c:pt>
                <c:pt idx="2">
                  <c:v>25.555555555555557</c:v>
                </c:pt>
                <c:pt idx="3">
                  <c:v>26.388888888888889</c:v>
                </c:pt>
                <c:pt idx="4">
                  <c:v>24.888888888888889</c:v>
                </c:pt>
                <c:pt idx="5">
                  <c:v>24.722222222222225</c:v>
                </c:pt>
                <c:pt idx="6">
                  <c:v>16.500000000000004</c:v>
                </c:pt>
                <c:pt idx="7">
                  <c:v>6.7777777777777795</c:v>
                </c:pt>
                <c:pt idx="8">
                  <c:v>5.8888888888888902</c:v>
                </c:pt>
              </c:numCache>
              <c:extLst/>
            </c:numRef>
          </c:val>
          <c:extLst>
            <c:ext xmlns:c16="http://schemas.microsoft.com/office/drawing/2014/chart" uri="{C3380CC4-5D6E-409C-BE32-E72D297353CC}">
              <c16:uniqueId val="{00000002-836F-480F-85DE-0776F0CD9997}"/>
            </c:ext>
          </c:extLst>
        </c:ser>
        <c:dLbls>
          <c:showLegendKey val="0"/>
          <c:showVal val="0"/>
          <c:showCatName val="0"/>
          <c:showSerName val="0"/>
          <c:showPercent val="0"/>
          <c:showBubbleSize val="0"/>
        </c:dLbls>
        <c:gapWidth val="150"/>
        <c:axId val="395589712"/>
        <c:axId val="395596840"/>
      </c:barChart>
      <c:lineChart>
        <c:grouping val="standard"/>
        <c:varyColors val="0"/>
        <c:ser>
          <c:idx val="3"/>
          <c:order val="3"/>
          <c:tx>
            <c:strRef>
              <c:f>'Precipitation Data'!$Q$43</c:f>
              <c:strCache>
                <c:ptCount val="1"/>
                <c:pt idx="0">
                  <c:v>30-year mean†</c:v>
                </c:pt>
              </c:strCache>
            </c:strRef>
          </c:tx>
          <c:spPr>
            <a:ln w="28575" cap="rnd">
              <a:solidFill>
                <a:srgbClr val="FF0000"/>
              </a:solidFill>
              <a:prstDash val="sysDot"/>
              <a:round/>
            </a:ln>
            <a:effectLst/>
          </c:spPr>
          <c:marker>
            <c:symbol val="none"/>
          </c:marker>
          <c:cat>
            <c:strRef>
              <c:f>'Precipitation Data'!$U$39:$AC$39</c:f>
              <c:strCache>
                <c:ptCount val="9"/>
                <c:pt idx="0">
                  <c:v>Apr</c:v>
                </c:pt>
                <c:pt idx="1">
                  <c:v>May</c:v>
                </c:pt>
                <c:pt idx="2">
                  <c:v>Jun</c:v>
                </c:pt>
                <c:pt idx="3">
                  <c:v>Jul</c:v>
                </c:pt>
                <c:pt idx="4">
                  <c:v>Aug</c:v>
                </c:pt>
                <c:pt idx="5">
                  <c:v>Sep</c:v>
                </c:pt>
                <c:pt idx="6">
                  <c:v>Oct‡</c:v>
                </c:pt>
                <c:pt idx="7">
                  <c:v>Nov</c:v>
                </c:pt>
                <c:pt idx="8">
                  <c:v>Dec</c:v>
                </c:pt>
              </c:strCache>
              <c:extLst/>
            </c:strRef>
          </c:cat>
          <c:val>
            <c:numRef>
              <c:f>'Precipitation Data'!$U$43:$AC$43</c:f>
              <c:numCache>
                <c:formatCode>0.0</c:formatCode>
                <c:ptCount val="9"/>
                <c:pt idx="0">
                  <c:v>14.222222222222223</c:v>
                </c:pt>
                <c:pt idx="1">
                  <c:v>19.055555555555554</c:v>
                </c:pt>
                <c:pt idx="2">
                  <c:v>23.277777777777782</c:v>
                </c:pt>
                <c:pt idx="3">
                  <c:v>25.222222222222225</c:v>
                </c:pt>
                <c:pt idx="4">
                  <c:v>24.777777777777775</c:v>
                </c:pt>
                <c:pt idx="5">
                  <c:v>21.444444444444443</c:v>
                </c:pt>
                <c:pt idx="6">
                  <c:v>14.777777777777779</c:v>
                </c:pt>
                <c:pt idx="7">
                  <c:v>8.8888888888888893</c:v>
                </c:pt>
                <c:pt idx="8">
                  <c:v>4.5000000000000009</c:v>
                </c:pt>
              </c:numCache>
              <c:extLst/>
            </c:numRef>
          </c:val>
          <c:smooth val="0"/>
          <c:extLst>
            <c:ext xmlns:c16="http://schemas.microsoft.com/office/drawing/2014/chart" uri="{C3380CC4-5D6E-409C-BE32-E72D297353CC}">
              <c16:uniqueId val="{00000003-836F-480F-85DE-0776F0CD9997}"/>
            </c:ext>
          </c:extLst>
        </c:ser>
        <c:dLbls>
          <c:showLegendKey val="0"/>
          <c:showVal val="0"/>
          <c:showCatName val="0"/>
          <c:showSerName val="0"/>
          <c:showPercent val="0"/>
          <c:showBubbleSize val="0"/>
        </c:dLbls>
        <c:marker val="1"/>
        <c:smooth val="0"/>
        <c:axId val="395589712"/>
        <c:axId val="395596840"/>
      </c:lineChart>
      <c:catAx>
        <c:axId val="395589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395596840"/>
        <c:crosses val="autoZero"/>
        <c:auto val="1"/>
        <c:lblAlgn val="ctr"/>
        <c:lblOffset val="100"/>
        <c:noMultiLvlLbl val="0"/>
      </c:catAx>
      <c:valAx>
        <c:axId val="395596840"/>
        <c:scaling>
          <c:orientation val="minMax"/>
        </c:scaling>
        <c:delete val="0"/>
        <c:axPos val="l"/>
        <c:majorGridlines>
          <c:spPr>
            <a:ln w="9525" cap="flat" cmpd="sng" algn="ctr">
              <a:solidFill>
                <a:sysClr val="windowText" lastClr="000000"/>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r>
                  <a:rPr lang="en-US"/>
                  <a:t>Monthly air</a:t>
                </a:r>
                <a:r>
                  <a:rPr lang="en-US" baseline="0"/>
                  <a:t> </a:t>
                </a:r>
                <a:r>
                  <a:rPr lang="en-US"/>
                  <a:t>temperature (°C)</a:t>
                </a:r>
              </a:p>
            </c:rich>
          </c:tx>
          <c:layout>
            <c:manualLayout>
              <c:xMode val="edge"/>
              <c:yMode val="edge"/>
              <c:x val="1.7195793234179062E-2"/>
              <c:y val="0.13678650017232694"/>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395589712"/>
        <c:crosses val="autoZero"/>
        <c:crossBetween val="between"/>
      </c:valAx>
      <c:spPr>
        <a:noFill/>
        <a:ln>
          <a:noFill/>
        </a:ln>
        <a:effectLst/>
      </c:spPr>
    </c:plotArea>
    <c:legend>
      <c:legendPos val="b"/>
      <c:layout>
        <c:manualLayout>
          <c:xMode val="edge"/>
          <c:yMode val="edge"/>
          <c:x val="0.13176673228346458"/>
          <c:y val="0.87767239322357449"/>
          <c:w val="0.79551290463692059"/>
          <c:h val="0.11868066491688539"/>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ysClr val="windowText" lastClr="000000"/>
      </a:solidFill>
      <a:round/>
    </a:ln>
    <a:effectLst/>
  </c:spPr>
  <c:txPr>
    <a:bodyPr/>
    <a:lstStyle/>
    <a:p>
      <a:pPr>
        <a:defRPr sz="1200" baseline="0">
          <a:solidFill>
            <a:sysClr val="windowText" lastClr="000000"/>
          </a:solidFill>
          <a:latin typeface="Times New Roman" panose="02020603050405020304" pitchFamily="18" charset="0"/>
        </a:defRPr>
      </a:pPr>
      <a:endParaRPr lang="en-US"/>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569171041119861"/>
          <c:y val="6.1111111111111109E-2"/>
          <c:w val="0.85305847185768424"/>
          <c:h val="0.72985074626865676"/>
        </c:manualLayout>
      </c:layout>
      <c:barChart>
        <c:barDir val="col"/>
        <c:grouping val="clustered"/>
        <c:varyColors val="0"/>
        <c:ser>
          <c:idx val="2"/>
          <c:order val="0"/>
          <c:tx>
            <c:strRef>
              <c:f>'Precipitation Data'!$Q$6</c:f>
              <c:strCache>
                <c:ptCount val="1"/>
                <c:pt idx="0">
                  <c:v>2016</c:v>
                </c:pt>
              </c:strCache>
            </c:strRef>
          </c:tx>
          <c:spPr>
            <a:solidFill>
              <a:sysClr val="window" lastClr="FFFFFF">
                <a:lumMod val="95000"/>
              </a:sysClr>
            </a:solidFill>
            <a:ln>
              <a:solidFill>
                <a:sysClr val="windowText" lastClr="000000"/>
              </a:solidFill>
            </a:ln>
            <a:effectLst/>
          </c:spPr>
          <c:invertIfNegative val="0"/>
          <c:cat>
            <c:strRef>
              <c:f>'Precipitation Data'!$U$3:$AC$3</c:f>
              <c:strCache>
                <c:ptCount val="9"/>
                <c:pt idx="0">
                  <c:v>Apr</c:v>
                </c:pt>
                <c:pt idx="1">
                  <c:v>May</c:v>
                </c:pt>
                <c:pt idx="2">
                  <c:v>Jun</c:v>
                </c:pt>
                <c:pt idx="3">
                  <c:v>Jul</c:v>
                </c:pt>
                <c:pt idx="4">
                  <c:v>Aug</c:v>
                </c:pt>
                <c:pt idx="5">
                  <c:v>Sep</c:v>
                </c:pt>
                <c:pt idx="6">
                  <c:v>Oct</c:v>
                </c:pt>
                <c:pt idx="7">
                  <c:v>Nov</c:v>
                </c:pt>
                <c:pt idx="8">
                  <c:v>Dec</c:v>
                </c:pt>
              </c:strCache>
            </c:strRef>
          </c:cat>
          <c:val>
            <c:numRef>
              <c:f>'Precipitation Data'!$U$6:$AC$6</c:f>
              <c:numCache>
                <c:formatCode>0.00</c:formatCode>
                <c:ptCount val="9"/>
                <c:pt idx="0">
                  <c:v>85.597999999999999</c:v>
                </c:pt>
                <c:pt idx="1">
                  <c:v>110.744</c:v>
                </c:pt>
                <c:pt idx="2">
                  <c:v>117.60199999999999</c:v>
                </c:pt>
                <c:pt idx="3">
                  <c:v>115.57</c:v>
                </c:pt>
                <c:pt idx="4">
                  <c:v>15.493999999999998</c:v>
                </c:pt>
                <c:pt idx="5">
                  <c:v>34.798000000000002</c:v>
                </c:pt>
                <c:pt idx="6">
                  <c:v>2.2859999999999996</c:v>
                </c:pt>
                <c:pt idx="7">
                  <c:v>15.239999999999998</c:v>
                </c:pt>
                <c:pt idx="8">
                  <c:v>318.77</c:v>
                </c:pt>
              </c:numCache>
            </c:numRef>
          </c:val>
          <c:extLst>
            <c:ext xmlns:c16="http://schemas.microsoft.com/office/drawing/2014/chart" uri="{C3380CC4-5D6E-409C-BE32-E72D297353CC}">
              <c16:uniqueId val="{00000000-5141-4F56-93CF-99C8D1165A95}"/>
            </c:ext>
          </c:extLst>
        </c:ser>
        <c:ser>
          <c:idx val="3"/>
          <c:order val="1"/>
          <c:tx>
            <c:strRef>
              <c:f>'Precipitation Data'!$Q$7</c:f>
              <c:strCache>
                <c:ptCount val="1"/>
                <c:pt idx="0">
                  <c:v>2017</c:v>
                </c:pt>
              </c:strCache>
            </c:strRef>
          </c:tx>
          <c:spPr>
            <a:solidFill>
              <a:sysClr val="window" lastClr="FFFFFF">
                <a:lumMod val="50000"/>
              </a:sysClr>
            </a:solidFill>
            <a:ln>
              <a:solidFill>
                <a:sysClr val="windowText" lastClr="000000"/>
              </a:solidFill>
            </a:ln>
            <a:effectLst/>
          </c:spPr>
          <c:invertIfNegative val="0"/>
          <c:cat>
            <c:strRef>
              <c:f>'Precipitation Data'!$U$3:$AC$3</c:f>
              <c:strCache>
                <c:ptCount val="9"/>
                <c:pt idx="0">
                  <c:v>Apr</c:v>
                </c:pt>
                <c:pt idx="1">
                  <c:v>May</c:v>
                </c:pt>
                <c:pt idx="2">
                  <c:v>Jun</c:v>
                </c:pt>
                <c:pt idx="3">
                  <c:v>Jul</c:v>
                </c:pt>
                <c:pt idx="4">
                  <c:v>Aug</c:v>
                </c:pt>
                <c:pt idx="5">
                  <c:v>Sep</c:v>
                </c:pt>
                <c:pt idx="6">
                  <c:v>Oct</c:v>
                </c:pt>
                <c:pt idx="7">
                  <c:v>Nov</c:v>
                </c:pt>
                <c:pt idx="8">
                  <c:v>Dec</c:v>
                </c:pt>
              </c:strCache>
            </c:strRef>
          </c:cat>
          <c:val>
            <c:numRef>
              <c:f>'Precipitation Data'!$U$7:$AC$7</c:f>
              <c:numCache>
                <c:formatCode>0.00</c:formatCode>
                <c:ptCount val="9"/>
                <c:pt idx="0">
                  <c:v>220.72599999999997</c:v>
                </c:pt>
                <c:pt idx="1">
                  <c:v>130.55599999999998</c:v>
                </c:pt>
                <c:pt idx="2">
                  <c:v>105.664</c:v>
                </c:pt>
                <c:pt idx="3">
                  <c:v>121.15799999999999</c:v>
                </c:pt>
                <c:pt idx="4">
                  <c:v>155.19399999999999</c:v>
                </c:pt>
                <c:pt idx="5">
                  <c:v>55.625999999999998</c:v>
                </c:pt>
                <c:pt idx="6">
                  <c:v>159.76599999999999</c:v>
                </c:pt>
                <c:pt idx="7">
                  <c:v>82.042000000000002</c:v>
                </c:pt>
                <c:pt idx="8">
                  <c:v>92.456000000000003</c:v>
                </c:pt>
              </c:numCache>
            </c:numRef>
          </c:val>
          <c:extLst>
            <c:ext xmlns:c16="http://schemas.microsoft.com/office/drawing/2014/chart" uri="{C3380CC4-5D6E-409C-BE32-E72D297353CC}">
              <c16:uniqueId val="{00000001-5141-4F56-93CF-99C8D1165A95}"/>
            </c:ext>
          </c:extLst>
        </c:ser>
        <c:ser>
          <c:idx val="4"/>
          <c:order val="2"/>
          <c:tx>
            <c:strRef>
              <c:f>'Precipitation Data'!$Q$8</c:f>
              <c:strCache>
                <c:ptCount val="1"/>
                <c:pt idx="0">
                  <c:v>2018</c:v>
                </c:pt>
              </c:strCache>
            </c:strRef>
          </c:tx>
          <c:spPr>
            <a:solidFill>
              <a:srgbClr val="E7E6E6">
                <a:lumMod val="25000"/>
              </a:srgbClr>
            </a:solidFill>
            <a:ln>
              <a:solidFill>
                <a:sysClr val="windowText" lastClr="000000"/>
              </a:solidFill>
            </a:ln>
            <a:effectLst/>
          </c:spPr>
          <c:invertIfNegative val="0"/>
          <c:cat>
            <c:strRef>
              <c:f>'Precipitation Data'!$U$3:$AC$3</c:f>
              <c:strCache>
                <c:ptCount val="9"/>
                <c:pt idx="0">
                  <c:v>Apr</c:v>
                </c:pt>
                <c:pt idx="1">
                  <c:v>May</c:v>
                </c:pt>
                <c:pt idx="2">
                  <c:v>Jun</c:v>
                </c:pt>
                <c:pt idx="3">
                  <c:v>Jul</c:v>
                </c:pt>
                <c:pt idx="4">
                  <c:v>Aug</c:v>
                </c:pt>
                <c:pt idx="5">
                  <c:v>Sep</c:v>
                </c:pt>
                <c:pt idx="6">
                  <c:v>Oct</c:v>
                </c:pt>
                <c:pt idx="7">
                  <c:v>Nov</c:v>
                </c:pt>
                <c:pt idx="8">
                  <c:v>Dec</c:v>
                </c:pt>
              </c:strCache>
            </c:strRef>
          </c:cat>
          <c:val>
            <c:numRef>
              <c:f>'Precipitation Data'!$U$8:$AC$8</c:f>
              <c:numCache>
                <c:formatCode>0.00</c:formatCode>
                <c:ptCount val="9"/>
                <c:pt idx="0">
                  <c:v>131.57199999999997</c:v>
                </c:pt>
                <c:pt idx="1">
                  <c:v>118.11</c:v>
                </c:pt>
                <c:pt idx="2">
                  <c:v>114.80799999999998</c:v>
                </c:pt>
                <c:pt idx="3">
                  <c:v>151.892</c:v>
                </c:pt>
                <c:pt idx="4">
                  <c:v>146.30399999999997</c:v>
                </c:pt>
                <c:pt idx="5">
                  <c:v>239.52199999999999</c:v>
                </c:pt>
                <c:pt idx="6">
                  <c:v>93.471999999999994</c:v>
                </c:pt>
                <c:pt idx="7">
                  <c:v>175.768</c:v>
                </c:pt>
                <c:pt idx="8">
                  <c:v>225.55200000000002</c:v>
                </c:pt>
              </c:numCache>
            </c:numRef>
          </c:val>
          <c:extLst>
            <c:ext xmlns:c16="http://schemas.microsoft.com/office/drawing/2014/chart" uri="{C3380CC4-5D6E-409C-BE32-E72D297353CC}">
              <c16:uniqueId val="{00000002-5141-4F56-93CF-99C8D1165A95}"/>
            </c:ext>
          </c:extLst>
        </c:ser>
        <c:dLbls>
          <c:showLegendKey val="0"/>
          <c:showVal val="0"/>
          <c:showCatName val="0"/>
          <c:showSerName val="0"/>
          <c:showPercent val="0"/>
          <c:showBubbleSize val="0"/>
        </c:dLbls>
        <c:gapWidth val="150"/>
        <c:axId val="159718960"/>
        <c:axId val="1"/>
      </c:barChart>
      <c:lineChart>
        <c:grouping val="standard"/>
        <c:varyColors val="0"/>
        <c:ser>
          <c:idx val="5"/>
          <c:order val="3"/>
          <c:tx>
            <c:strRef>
              <c:f>'Precipitation Data'!$Q$9</c:f>
              <c:strCache>
                <c:ptCount val="1"/>
                <c:pt idx="0">
                  <c:v>30-year mean†</c:v>
                </c:pt>
              </c:strCache>
            </c:strRef>
          </c:tx>
          <c:spPr>
            <a:ln w="28571" cap="rnd">
              <a:solidFill>
                <a:srgbClr val="FF0000"/>
              </a:solidFill>
              <a:prstDash val="sysDot"/>
              <a:round/>
            </a:ln>
            <a:effectLst/>
          </c:spPr>
          <c:marker>
            <c:symbol val="none"/>
          </c:marker>
          <c:cat>
            <c:strRef>
              <c:f>'Precipitation Data'!$U$3:$AC$3</c:f>
              <c:strCache>
                <c:ptCount val="9"/>
                <c:pt idx="0">
                  <c:v>Apr</c:v>
                </c:pt>
                <c:pt idx="1">
                  <c:v>May</c:v>
                </c:pt>
                <c:pt idx="2">
                  <c:v>Jun</c:v>
                </c:pt>
                <c:pt idx="3">
                  <c:v>Jul</c:v>
                </c:pt>
                <c:pt idx="4">
                  <c:v>Aug</c:v>
                </c:pt>
                <c:pt idx="5">
                  <c:v>Sep</c:v>
                </c:pt>
                <c:pt idx="6">
                  <c:v>Oct</c:v>
                </c:pt>
                <c:pt idx="7">
                  <c:v>Nov</c:v>
                </c:pt>
                <c:pt idx="8">
                  <c:v>Dec</c:v>
                </c:pt>
              </c:strCache>
            </c:strRef>
          </c:cat>
          <c:val>
            <c:numRef>
              <c:f>'Precipitation Data'!$U$9:$AC$9</c:f>
              <c:numCache>
                <c:formatCode>0.00</c:formatCode>
                <c:ptCount val="9"/>
                <c:pt idx="0">
                  <c:v>125.98399999999999</c:v>
                </c:pt>
                <c:pt idx="1">
                  <c:v>118.11</c:v>
                </c:pt>
                <c:pt idx="2">
                  <c:v>100.33</c:v>
                </c:pt>
                <c:pt idx="3">
                  <c:v>149.60599999999999</c:v>
                </c:pt>
                <c:pt idx="4">
                  <c:v>84.327999999999989</c:v>
                </c:pt>
                <c:pt idx="5">
                  <c:v>110.744</c:v>
                </c:pt>
                <c:pt idx="6">
                  <c:v>75.183999999999997</c:v>
                </c:pt>
                <c:pt idx="7">
                  <c:v>108.45799999999998</c:v>
                </c:pt>
                <c:pt idx="8">
                  <c:v>146.30399999999997</c:v>
                </c:pt>
              </c:numCache>
            </c:numRef>
          </c:val>
          <c:smooth val="0"/>
          <c:extLst>
            <c:ext xmlns:c16="http://schemas.microsoft.com/office/drawing/2014/chart" uri="{C3380CC4-5D6E-409C-BE32-E72D297353CC}">
              <c16:uniqueId val="{00000003-5141-4F56-93CF-99C8D1165A95}"/>
            </c:ext>
          </c:extLst>
        </c:ser>
        <c:dLbls>
          <c:showLegendKey val="0"/>
          <c:showVal val="0"/>
          <c:showCatName val="0"/>
          <c:showSerName val="0"/>
          <c:showPercent val="0"/>
          <c:showBubbleSize val="0"/>
        </c:dLbls>
        <c:marker val="1"/>
        <c:smooth val="0"/>
        <c:axId val="159718960"/>
        <c:axId val="1"/>
      </c:lineChart>
      <c:catAx>
        <c:axId val="159718960"/>
        <c:scaling>
          <c:orientation val="minMax"/>
        </c:scaling>
        <c:delete val="0"/>
        <c:axPos val="b"/>
        <c:numFmt formatCode="General" sourceLinked="1"/>
        <c:majorTickMark val="none"/>
        <c:minorTickMark val="none"/>
        <c:tickLblPos val="nextTo"/>
        <c:spPr>
          <a:noFill/>
          <a:ln w="9524"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4" cap="flat" cmpd="sng" algn="ctr">
              <a:solidFill>
                <a:sysClr val="windowText" lastClr="000000"/>
              </a:solidFill>
              <a:round/>
            </a:ln>
            <a:effectLst/>
          </c:spPr>
        </c:majorGridlines>
        <c:title>
          <c:tx>
            <c:rich>
              <a:bodyPr/>
              <a:lstStyle/>
              <a:p>
                <a:pPr>
                  <a:defRPr sz="1200" b="0" i="0" u="none" strike="noStrike" baseline="0">
                    <a:solidFill>
                      <a:srgbClr val="000000"/>
                    </a:solidFill>
                    <a:latin typeface="Times New Roman"/>
                    <a:ea typeface="Times New Roman"/>
                    <a:cs typeface="Times New Roman"/>
                  </a:defRPr>
                </a:pPr>
                <a:r>
                  <a:rPr lang="en-US" sz="1200"/>
                  <a:t>Monthly precipitation (mm)</a:t>
                </a:r>
              </a:p>
            </c:rich>
          </c:tx>
          <c:layout>
            <c:manualLayout>
              <c:xMode val="edge"/>
              <c:yMode val="edge"/>
              <c:x val="9.9205307669874617E-3"/>
              <c:y val="0.12603648424543948"/>
            </c:manualLayout>
          </c:layout>
          <c:overlay val="0"/>
          <c:spPr>
            <a:noFill/>
            <a:ln>
              <a:noFill/>
            </a:ln>
            <a:effectLst/>
          </c:sp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crossAx val="159718960"/>
        <c:crosses val="autoZero"/>
        <c:crossBetween val="between"/>
      </c:valAx>
      <c:spPr>
        <a:noFill/>
        <a:ln w="25396">
          <a:noFill/>
        </a:ln>
      </c:spPr>
    </c:plotArea>
    <c:legend>
      <c:legendPos val="b"/>
      <c:layout>
        <c:manualLayout>
          <c:xMode val="edge"/>
          <c:yMode val="edge"/>
          <c:x val="0.14318788276465438"/>
          <c:y val="0.86666568731147409"/>
          <c:w val="0.79778452172645087"/>
          <c:h val="0.12943603788656854"/>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12698" cap="flat" cmpd="sng" algn="ctr">
      <a:solidFill>
        <a:sysClr val="windowText" lastClr="000000"/>
      </a:solidFill>
      <a:round/>
    </a:ln>
    <a:effectLst/>
  </c:spPr>
  <c:txPr>
    <a:bodyPr/>
    <a:lstStyle/>
    <a:p>
      <a:pPr>
        <a:defRPr sz="1200" baseline="0">
          <a:solidFill>
            <a:sysClr val="windowText" lastClr="000000"/>
          </a:solidFill>
          <a:latin typeface="Times New Roman" panose="02020603050405020304" pitchFamily="18" charset="0"/>
        </a:defRPr>
      </a:pPr>
      <a:endParaRPr lang="en-US"/>
    </a:p>
  </c:tx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C52DC-36ED-4AE2-9A6D-FCE44715D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multipart-te (2)</Template>
  <TotalTime>0</TotalTime>
  <Pages>148</Pages>
  <Words>33898</Words>
  <Characters>193224</Characters>
  <Application>Microsoft Office Word</Application>
  <DocSecurity>0</DocSecurity>
  <Lines>1610</Lines>
  <Paragraphs>453</Paragraphs>
  <ScaleCrop>false</ScaleCrop>
  <HeadingPairs>
    <vt:vector size="2" baseType="variant">
      <vt:variant>
        <vt:lpstr>Title</vt:lpstr>
      </vt:variant>
      <vt:variant>
        <vt:i4>1</vt:i4>
      </vt:variant>
    </vt:vector>
  </HeadingPairs>
  <TitlesOfParts>
    <vt:vector size="1" baseType="lpstr">
      <vt:lpstr>UTK Multipart Thesis Template</vt:lpstr>
    </vt:vector>
  </TitlesOfParts>
  <LinksUpToDate>false</LinksUpToDate>
  <CharactersWithSpaces>226669</CharactersWithSpaces>
  <SharedDoc>false</SharedDoc>
  <HLinks>
    <vt:vector size="186" baseType="variant">
      <vt:variant>
        <vt:i4>3473510</vt:i4>
      </vt:variant>
      <vt:variant>
        <vt:i4>189</vt:i4>
      </vt:variant>
      <vt:variant>
        <vt:i4>0</vt:i4>
      </vt:variant>
      <vt:variant>
        <vt:i4>5</vt:i4>
      </vt:variant>
      <vt:variant>
        <vt:lpwstr>http://gradschool.utk.edu/ddategraduation.shtml</vt:lpwstr>
      </vt:variant>
      <vt:variant>
        <vt:lpwstr/>
      </vt:variant>
      <vt:variant>
        <vt:i4>1441853</vt:i4>
      </vt:variant>
      <vt:variant>
        <vt:i4>182</vt:i4>
      </vt:variant>
      <vt:variant>
        <vt:i4>0</vt:i4>
      </vt:variant>
      <vt:variant>
        <vt:i4>5</vt:i4>
      </vt:variant>
      <vt:variant>
        <vt:lpwstr/>
      </vt:variant>
      <vt:variant>
        <vt:lpwstr>_Toc414285579</vt:lpwstr>
      </vt:variant>
      <vt:variant>
        <vt:i4>1441853</vt:i4>
      </vt:variant>
      <vt:variant>
        <vt:i4>173</vt:i4>
      </vt:variant>
      <vt:variant>
        <vt:i4>0</vt:i4>
      </vt:variant>
      <vt:variant>
        <vt:i4>5</vt:i4>
      </vt:variant>
      <vt:variant>
        <vt:lpwstr/>
      </vt:variant>
      <vt:variant>
        <vt:lpwstr>_Toc414285578</vt:lpwstr>
      </vt:variant>
      <vt:variant>
        <vt:i4>1441853</vt:i4>
      </vt:variant>
      <vt:variant>
        <vt:i4>167</vt:i4>
      </vt:variant>
      <vt:variant>
        <vt:i4>0</vt:i4>
      </vt:variant>
      <vt:variant>
        <vt:i4>5</vt:i4>
      </vt:variant>
      <vt:variant>
        <vt:lpwstr/>
      </vt:variant>
      <vt:variant>
        <vt:lpwstr>_Toc414285577</vt:lpwstr>
      </vt:variant>
      <vt:variant>
        <vt:i4>1441853</vt:i4>
      </vt:variant>
      <vt:variant>
        <vt:i4>158</vt:i4>
      </vt:variant>
      <vt:variant>
        <vt:i4>0</vt:i4>
      </vt:variant>
      <vt:variant>
        <vt:i4>5</vt:i4>
      </vt:variant>
      <vt:variant>
        <vt:lpwstr/>
      </vt:variant>
      <vt:variant>
        <vt:lpwstr>_Toc414285576</vt:lpwstr>
      </vt:variant>
      <vt:variant>
        <vt:i4>1441853</vt:i4>
      </vt:variant>
      <vt:variant>
        <vt:i4>152</vt:i4>
      </vt:variant>
      <vt:variant>
        <vt:i4>0</vt:i4>
      </vt:variant>
      <vt:variant>
        <vt:i4>5</vt:i4>
      </vt:variant>
      <vt:variant>
        <vt:lpwstr/>
      </vt:variant>
      <vt:variant>
        <vt:lpwstr>_Toc414285575</vt:lpwstr>
      </vt:variant>
      <vt:variant>
        <vt:i4>1441853</vt:i4>
      </vt:variant>
      <vt:variant>
        <vt:i4>146</vt:i4>
      </vt:variant>
      <vt:variant>
        <vt:i4>0</vt:i4>
      </vt:variant>
      <vt:variant>
        <vt:i4>5</vt:i4>
      </vt:variant>
      <vt:variant>
        <vt:lpwstr/>
      </vt:variant>
      <vt:variant>
        <vt:lpwstr>_Toc414285574</vt:lpwstr>
      </vt:variant>
      <vt:variant>
        <vt:i4>1441853</vt:i4>
      </vt:variant>
      <vt:variant>
        <vt:i4>140</vt:i4>
      </vt:variant>
      <vt:variant>
        <vt:i4>0</vt:i4>
      </vt:variant>
      <vt:variant>
        <vt:i4>5</vt:i4>
      </vt:variant>
      <vt:variant>
        <vt:lpwstr/>
      </vt:variant>
      <vt:variant>
        <vt:lpwstr>_Toc414285573</vt:lpwstr>
      </vt:variant>
      <vt:variant>
        <vt:i4>1441853</vt:i4>
      </vt:variant>
      <vt:variant>
        <vt:i4>134</vt:i4>
      </vt:variant>
      <vt:variant>
        <vt:i4>0</vt:i4>
      </vt:variant>
      <vt:variant>
        <vt:i4>5</vt:i4>
      </vt:variant>
      <vt:variant>
        <vt:lpwstr/>
      </vt:variant>
      <vt:variant>
        <vt:lpwstr>_Toc414285572</vt:lpwstr>
      </vt:variant>
      <vt:variant>
        <vt:i4>1441853</vt:i4>
      </vt:variant>
      <vt:variant>
        <vt:i4>128</vt:i4>
      </vt:variant>
      <vt:variant>
        <vt:i4>0</vt:i4>
      </vt:variant>
      <vt:variant>
        <vt:i4>5</vt:i4>
      </vt:variant>
      <vt:variant>
        <vt:lpwstr/>
      </vt:variant>
      <vt:variant>
        <vt:lpwstr>_Toc414285571</vt:lpwstr>
      </vt:variant>
      <vt:variant>
        <vt:i4>1441853</vt:i4>
      </vt:variant>
      <vt:variant>
        <vt:i4>122</vt:i4>
      </vt:variant>
      <vt:variant>
        <vt:i4>0</vt:i4>
      </vt:variant>
      <vt:variant>
        <vt:i4>5</vt:i4>
      </vt:variant>
      <vt:variant>
        <vt:lpwstr/>
      </vt:variant>
      <vt:variant>
        <vt:lpwstr>_Toc414285570</vt:lpwstr>
      </vt:variant>
      <vt:variant>
        <vt:i4>1507389</vt:i4>
      </vt:variant>
      <vt:variant>
        <vt:i4>116</vt:i4>
      </vt:variant>
      <vt:variant>
        <vt:i4>0</vt:i4>
      </vt:variant>
      <vt:variant>
        <vt:i4>5</vt:i4>
      </vt:variant>
      <vt:variant>
        <vt:lpwstr/>
      </vt:variant>
      <vt:variant>
        <vt:lpwstr>_Toc414285569</vt:lpwstr>
      </vt:variant>
      <vt:variant>
        <vt:i4>1507389</vt:i4>
      </vt:variant>
      <vt:variant>
        <vt:i4>110</vt:i4>
      </vt:variant>
      <vt:variant>
        <vt:i4>0</vt:i4>
      </vt:variant>
      <vt:variant>
        <vt:i4>5</vt:i4>
      </vt:variant>
      <vt:variant>
        <vt:lpwstr/>
      </vt:variant>
      <vt:variant>
        <vt:lpwstr>_Toc414285568</vt:lpwstr>
      </vt:variant>
      <vt:variant>
        <vt:i4>1507389</vt:i4>
      </vt:variant>
      <vt:variant>
        <vt:i4>104</vt:i4>
      </vt:variant>
      <vt:variant>
        <vt:i4>0</vt:i4>
      </vt:variant>
      <vt:variant>
        <vt:i4>5</vt:i4>
      </vt:variant>
      <vt:variant>
        <vt:lpwstr/>
      </vt:variant>
      <vt:variant>
        <vt:lpwstr>_Toc414285567</vt:lpwstr>
      </vt:variant>
      <vt:variant>
        <vt:i4>1507389</vt:i4>
      </vt:variant>
      <vt:variant>
        <vt:i4>98</vt:i4>
      </vt:variant>
      <vt:variant>
        <vt:i4>0</vt:i4>
      </vt:variant>
      <vt:variant>
        <vt:i4>5</vt:i4>
      </vt:variant>
      <vt:variant>
        <vt:lpwstr/>
      </vt:variant>
      <vt:variant>
        <vt:lpwstr>_Toc414285566</vt:lpwstr>
      </vt:variant>
      <vt:variant>
        <vt:i4>1507389</vt:i4>
      </vt:variant>
      <vt:variant>
        <vt:i4>92</vt:i4>
      </vt:variant>
      <vt:variant>
        <vt:i4>0</vt:i4>
      </vt:variant>
      <vt:variant>
        <vt:i4>5</vt:i4>
      </vt:variant>
      <vt:variant>
        <vt:lpwstr/>
      </vt:variant>
      <vt:variant>
        <vt:lpwstr>_Toc414285565</vt:lpwstr>
      </vt:variant>
      <vt:variant>
        <vt:i4>1507389</vt:i4>
      </vt:variant>
      <vt:variant>
        <vt:i4>86</vt:i4>
      </vt:variant>
      <vt:variant>
        <vt:i4>0</vt:i4>
      </vt:variant>
      <vt:variant>
        <vt:i4>5</vt:i4>
      </vt:variant>
      <vt:variant>
        <vt:lpwstr/>
      </vt:variant>
      <vt:variant>
        <vt:lpwstr>_Toc414285564</vt:lpwstr>
      </vt:variant>
      <vt:variant>
        <vt:i4>1507389</vt:i4>
      </vt:variant>
      <vt:variant>
        <vt:i4>80</vt:i4>
      </vt:variant>
      <vt:variant>
        <vt:i4>0</vt:i4>
      </vt:variant>
      <vt:variant>
        <vt:i4>5</vt:i4>
      </vt:variant>
      <vt:variant>
        <vt:lpwstr/>
      </vt:variant>
      <vt:variant>
        <vt:lpwstr>_Toc414285563</vt:lpwstr>
      </vt:variant>
      <vt:variant>
        <vt:i4>1507389</vt:i4>
      </vt:variant>
      <vt:variant>
        <vt:i4>74</vt:i4>
      </vt:variant>
      <vt:variant>
        <vt:i4>0</vt:i4>
      </vt:variant>
      <vt:variant>
        <vt:i4>5</vt:i4>
      </vt:variant>
      <vt:variant>
        <vt:lpwstr/>
      </vt:variant>
      <vt:variant>
        <vt:lpwstr>_Toc414285562</vt:lpwstr>
      </vt:variant>
      <vt:variant>
        <vt:i4>1507389</vt:i4>
      </vt:variant>
      <vt:variant>
        <vt:i4>68</vt:i4>
      </vt:variant>
      <vt:variant>
        <vt:i4>0</vt:i4>
      </vt:variant>
      <vt:variant>
        <vt:i4>5</vt:i4>
      </vt:variant>
      <vt:variant>
        <vt:lpwstr/>
      </vt:variant>
      <vt:variant>
        <vt:lpwstr>_Toc414285561</vt:lpwstr>
      </vt:variant>
      <vt:variant>
        <vt:i4>1507389</vt:i4>
      </vt:variant>
      <vt:variant>
        <vt:i4>62</vt:i4>
      </vt:variant>
      <vt:variant>
        <vt:i4>0</vt:i4>
      </vt:variant>
      <vt:variant>
        <vt:i4>5</vt:i4>
      </vt:variant>
      <vt:variant>
        <vt:lpwstr/>
      </vt:variant>
      <vt:variant>
        <vt:lpwstr>_Toc414285560</vt:lpwstr>
      </vt:variant>
      <vt:variant>
        <vt:i4>1310781</vt:i4>
      </vt:variant>
      <vt:variant>
        <vt:i4>56</vt:i4>
      </vt:variant>
      <vt:variant>
        <vt:i4>0</vt:i4>
      </vt:variant>
      <vt:variant>
        <vt:i4>5</vt:i4>
      </vt:variant>
      <vt:variant>
        <vt:lpwstr/>
      </vt:variant>
      <vt:variant>
        <vt:lpwstr>_Toc414285559</vt:lpwstr>
      </vt:variant>
      <vt:variant>
        <vt:i4>1310781</vt:i4>
      </vt:variant>
      <vt:variant>
        <vt:i4>50</vt:i4>
      </vt:variant>
      <vt:variant>
        <vt:i4>0</vt:i4>
      </vt:variant>
      <vt:variant>
        <vt:i4>5</vt:i4>
      </vt:variant>
      <vt:variant>
        <vt:lpwstr/>
      </vt:variant>
      <vt:variant>
        <vt:lpwstr>_Toc414285558</vt:lpwstr>
      </vt:variant>
      <vt:variant>
        <vt:i4>1310781</vt:i4>
      </vt:variant>
      <vt:variant>
        <vt:i4>44</vt:i4>
      </vt:variant>
      <vt:variant>
        <vt:i4>0</vt:i4>
      </vt:variant>
      <vt:variant>
        <vt:i4>5</vt:i4>
      </vt:variant>
      <vt:variant>
        <vt:lpwstr/>
      </vt:variant>
      <vt:variant>
        <vt:lpwstr>_Toc414285557</vt:lpwstr>
      </vt:variant>
      <vt:variant>
        <vt:i4>1310781</vt:i4>
      </vt:variant>
      <vt:variant>
        <vt:i4>38</vt:i4>
      </vt:variant>
      <vt:variant>
        <vt:i4>0</vt:i4>
      </vt:variant>
      <vt:variant>
        <vt:i4>5</vt:i4>
      </vt:variant>
      <vt:variant>
        <vt:lpwstr/>
      </vt:variant>
      <vt:variant>
        <vt:lpwstr>_Toc414285556</vt:lpwstr>
      </vt:variant>
      <vt:variant>
        <vt:i4>1310781</vt:i4>
      </vt:variant>
      <vt:variant>
        <vt:i4>32</vt:i4>
      </vt:variant>
      <vt:variant>
        <vt:i4>0</vt:i4>
      </vt:variant>
      <vt:variant>
        <vt:i4>5</vt:i4>
      </vt:variant>
      <vt:variant>
        <vt:lpwstr/>
      </vt:variant>
      <vt:variant>
        <vt:lpwstr>_Toc414285555</vt:lpwstr>
      </vt:variant>
      <vt:variant>
        <vt:i4>1310781</vt:i4>
      </vt:variant>
      <vt:variant>
        <vt:i4>26</vt:i4>
      </vt:variant>
      <vt:variant>
        <vt:i4>0</vt:i4>
      </vt:variant>
      <vt:variant>
        <vt:i4>5</vt:i4>
      </vt:variant>
      <vt:variant>
        <vt:lpwstr/>
      </vt:variant>
      <vt:variant>
        <vt:lpwstr>_Toc414285554</vt:lpwstr>
      </vt:variant>
      <vt:variant>
        <vt:i4>1310781</vt:i4>
      </vt:variant>
      <vt:variant>
        <vt:i4>20</vt:i4>
      </vt:variant>
      <vt:variant>
        <vt:i4>0</vt:i4>
      </vt:variant>
      <vt:variant>
        <vt:i4>5</vt:i4>
      </vt:variant>
      <vt:variant>
        <vt:lpwstr/>
      </vt:variant>
      <vt:variant>
        <vt:lpwstr>_Toc414285553</vt:lpwstr>
      </vt:variant>
      <vt:variant>
        <vt:i4>1310781</vt:i4>
      </vt:variant>
      <vt:variant>
        <vt:i4>14</vt:i4>
      </vt:variant>
      <vt:variant>
        <vt:i4>0</vt:i4>
      </vt:variant>
      <vt:variant>
        <vt:i4>5</vt:i4>
      </vt:variant>
      <vt:variant>
        <vt:lpwstr/>
      </vt:variant>
      <vt:variant>
        <vt:lpwstr>_Toc414285552</vt:lpwstr>
      </vt:variant>
      <vt:variant>
        <vt:i4>1310781</vt:i4>
      </vt:variant>
      <vt:variant>
        <vt:i4>8</vt:i4>
      </vt:variant>
      <vt:variant>
        <vt:i4>0</vt:i4>
      </vt:variant>
      <vt:variant>
        <vt:i4>5</vt:i4>
      </vt:variant>
      <vt:variant>
        <vt:lpwstr/>
      </vt:variant>
      <vt:variant>
        <vt:lpwstr>_Toc414285551</vt:lpwstr>
      </vt:variant>
      <vt:variant>
        <vt:i4>1310781</vt:i4>
      </vt:variant>
      <vt:variant>
        <vt:i4>2</vt:i4>
      </vt:variant>
      <vt:variant>
        <vt:i4>0</vt:i4>
      </vt:variant>
      <vt:variant>
        <vt:i4>5</vt:i4>
      </vt:variant>
      <vt:variant>
        <vt:lpwstr/>
      </vt:variant>
      <vt:variant>
        <vt:lpwstr>_Toc414285550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UTK Multipart Thesis Template</dc:title>
  <dc:creator/>
  <cp:lastModifiedBy/>
  <cp:revision>1</cp:revision>
  <dcterms:created xsi:type="dcterms:W3CDTF">2021-05-19T11:34:00Z</dcterms:created>
  <dcterms:modified xsi:type="dcterms:W3CDTF">2021-05-19T12:29:00Z</dcterms:modified>
</cp:coreProperties>
</file>