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43647" w14:textId="759FD462" w:rsidR="00EB755A" w:rsidRDefault="00EB755A" w:rsidP="00D75D3F">
      <w:pPr>
        <w:spacing w:line="480" w:lineRule="auto"/>
        <w:jc w:val="center"/>
        <w:rPr>
          <w:rFonts w:ascii="Times New Roman" w:hAnsi="Times New Roman" w:cs="Times New Roman"/>
          <w:sz w:val="24"/>
          <w:szCs w:val="24"/>
        </w:rPr>
      </w:pPr>
      <w:r>
        <w:rPr>
          <w:rFonts w:ascii="Times New Roman" w:hAnsi="Times New Roman" w:cs="Times New Roman"/>
          <w:sz w:val="24"/>
          <w:szCs w:val="24"/>
        </w:rPr>
        <w:t>‘Distinguished Scoundrel’: General Orville Babcock, the Whiskey Ring, and the Dawn of a New Breed of Political Operative</w:t>
      </w:r>
    </w:p>
    <w:p w14:paraId="0FD2F44C" w14:textId="77777777" w:rsidR="00EB755A" w:rsidRDefault="00EB755A" w:rsidP="00EB755A">
      <w:pPr>
        <w:jc w:val="center"/>
        <w:rPr>
          <w:rFonts w:ascii="Times New Roman" w:hAnsi="Times New Roman" w:cs="Times New Roman"/>
          <w:sz w:val="24"/>
          <w:szCs w:val="24"/>
        </w:rPr>
      </w:pPr>
    </w:p>
    <w:p w14:paraId="2AF2CB6C" w14:textId="77777777" w:rsidR="00EB755A" w:rsidRDefault="00EB755A" w:rsidP="00EB755A">
      <w:pPr>
        <w:jc w:val="center"/>
        <w:rPr>
          <w:rFonts w:ascii="Times New Roman" w:hAnsi="Times New Roman" w:cs="Times New Roman"/>
          <w:sz w:val="24"/>
          <w:szCs w:val="24"/>
        </w:rPr>
      </w:pPr>
    </w:p>
    <w:p w14:paraId="3F72B079" w14:textId="77777777" w:rsidR="00EB755A" w:rsidRDefault="00EB755A" w:rsidP="00EB755A">
      <w:pPr>
        <w:jc w:val="center"/>
        <w:rPr>
          <w:rFonts w:ascii="Times New Roman" w:hAnsi="Times New Roman" w:cs="Times New Roman"/>
          <w:sz w:val="24"/>
          <w:szCs w:val="24"/>
        </w:rPr>
      </w:pPr>
    </w:p>
    <w:p w14:paraId="2EEC799F" w14:textId="77777777" w:rsidR="00A06CED" w:rsidRDefault="00A06CED" w:rsidP="00EB755A">
      <w:pPr>
        <w:jc w:val="center"/>
        <w:rPr>
          <w:rFonts w:ascii="Times New Roman" w:hAnsi="Times New Roman" w:cs="Times New Roman"/>
          <w:sz w:val="24"/>
          <w:szCs w:val="24"/>
        </w:rPr>
      </w:pPr>
    </w:p>
    <w:p w14:paraId="1CC30404" w14:textId="77777777" w:rsidR="00A06CED" w:rsidRDefault="00A06CED" w:rsidP="00EB755A">
      <w:pPr>
        <w:jc w:val="center"/>
        <w:rPr>
          <w:rFonts w:ascii="Times New Roman" w:hAnsi="Times New Roman" w:cs="Times New Roman"/>
          <w:sz w:val="24"/>
          <w:szCs w:val="24"/>
        </w:rPr>
      </w:pPr>
    </w:p>
    <w:p w14:paraId="770E11B6" w14:textId="77777777" w:rsidR="00A06CED" w:rsidRDefault="00A06CED" w:rsidP="00EB755A">
      <w:pPr>
        <w:jc w:val="center"/>
        <w:rPr>
          <w:rFonts w:ascii="Times New Roman" w:hAnsi="Times New Roman" w:cs="Times New Roman"/>
          <w:sz w:val="24"/>
          <w:szCs w:val="24"/>
        </w:rPr>
      </w:pPr>
    </w:p>
    <w:p w14:paraId="6A3BD211" w14:textId="77777777" w:rsidR="00A06CED" w:rsidRDefault="00A06CED" w:rsidP="00EB755A">
      <w:pPr>
        <w:jc w:val="center"/>
        <w:rPr>
          <w:rFonts w:ascii="Times New Roman" w:hAnsi="Times New Roman" w:cs="Times New Roman"/>
          <w:sz w:val="24"/>
          <w:szCs w:val="24"/>
        </w:rPr>
      </w:pPr>
    </w:p>
    <w:p w14:paraId="7E6E912D" w14:textId="77777777" w:rsidR="00A06CED" w:rsidRDefault="00A06CED" w:rsidP="00EB755A">
      <w:pPr>
        <w:jc w:val="center"/>
        <w:rPr>
          <w:rFonts w:ascii="Times New Roman" w:hAnsi="Times New Roman" w:cs="Times New Roman"/>
          <w:sz w:val="24"/>
          <w:szCs w:val="24"/>
        </w:rPr>
      </w:pPr>
    </w:p>
    <w:p w14:paraId="2DE8DB50" w14:textId="3C6920D8" w:rsidR="00EB755A" w:rsidRDefault="00A06CED" w:rsidP="00D75D3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 Dissertation Presented for the </w:t>
      </w:r>
    </w:p>
    <w:p w14:paraId="1DCEEB8D" w14:textId="25BCB647" w:rsidR="00A06CED" w:rsidRDefault="00A06CED" w:rsidP="00D75D3F">
      <w:pPr>
        <w:spacing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29660E53" w14:textId="48C8B4CE" w:rsidR="00A06CED" w:rsidRDefault="00A06CED" w:rsidP="00D75D3F">
      <w:pPr>
        <w:spacing w:line="480" w:lineRule="auto"/>
        <w:jc w:val="center"/>
        <w:rPr>
          <w:rFonts w:ascii="Times New Roman" w:hAnsi="Times New Roman" w:cs="Times New Roman"/>
          <w:sz w:val="24"/>
          <w:szCs w:val="24"/>
        </w:rPr>
      </w:pPr>
      <w:r>
        <w:rPr>
          <w:rFonts w:ascii="Times New Roman" w:hAnsi="Times New Roman" w:cs="Times New Roman"/>
          <w:sz w:val="24"/>
          <w:szCs w:val="24"/>
        </w:rPr>
        <w:t>Degree</w:t>
      </w:r>
    </w:p>
    <w:p w14:paraId="40966CE5" w14:textId="72C45512" w:rsidR="00A06CED" w:rsidRDefault="00A06CED" w:rsidP="00D75D3F">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Tennessee, Knoxville</w:t>
      </w:r>
    </w:p>
    <w:p w14:paraId="77DAA3B4" w14:textId="77777777" w:rsidR="00A06CED" w:rsidRDefault="00A06CED" w:rsidP="00EB755A">
      <w:pPr>
        <w:jc w:val="center"/>
        <w:rPr>
          <w:rFonts w:ascii="Times New Roman" w:hAnsi="Times New Roman" w:cs="Times New Roman"/>
          <w:sz w:val="24"/>
          <w:szCs w:val="24"/>
        </w:rPr>
      </w:pPr>
    </w:p>
    <w:p w14:paraId="0AB9BC4C" w14:textId="77777777" w:rsidR="00A06CED" w:rsidRDefault="00A06CED" w:rsidP="00EB755A">
      <w:pPr>
        <w:jc w:val="center"/>
        <w:rPr>
          <w:rFonts w:ascii="Times New Roman" w:hAnsi="Times New Roman" w:cs="Times New Roman"/>
          <w:sz w:val="24"/>
          <w:szCs w:val="24"/>
        </w:rPr>
      </w:pPr>
    </w:p>
    <w:p w14:paraId="53CD0C54" w14:textId="77777777" w:rsidR="00A06CED" w:rsidRDefault="00A06CED" w:rsidP="00EB755A">
      <w:pPr>
        <w:jc w:val="center"/>
        <w:rPr>
          <w:rFonts w:ascii="Times New Roman" w:hAnsi="Times New Roman" w:cs="Times New Roman"/>
          <w:sz w:val="24"/>
          <w:szCs w:val="24"/>
        </w:rPr>
      </w:pPr>
    </w:p>
    <w:p w14:paraId="5F8A05EC" w14:textId="77777777" w:rsidR="00A06CED" w:rsidRDefault="00A06CED" w:rsidP="00EB755A">
      <w:pPr>
        <w:jc w:val="center"/>
        <w:rPr>
          <w:rFonts w:ascii="Times New Roman" w:hAnsi="Times New Roman" w:cs="Times New Roman"/>
          <w:sz w:val="24"/>
          <w:szCs w:val="24"/>
        </w:rPr>
      </w:pPr>
    </w:p>
    <w:p w14:paraId="4A5DE45D" w14:textId="77777777" w:rsidR="00A06CED" w:rsidRDefault="00A06CED" w:rsidP="00EB755A">
      <w:pPr>
        <w:jc w:val="center"/>
        <w:rPr>
          <w:rFonts w:ascii="Times New Roman" w:hAnsi="Times New Roman" w:cs="Times New Roman"/>
          <w:sz w:val="24"/>
          <w:szCs w:val="24"/>
        </w:rPr>
      </w:pPr>
    </w:p>
    <w:p w14:paraId="3F90CB7C" w14:textId="77777777" w:rsidR="00A06CED" w:rsidRDefault="00A06CED" w:rsidP="00EB755A">
      <w:pPr>
        <w:jc w:val="center"/>
        <w:rPr>
          <w:rFonts w:ascii="Times New Roman" w:hAnsi="Times New Roman" w:cs="Times New Roman"/>
          <w:sz w:val="24"/>
          <w:szCs w:val="24"/>
        </w:rPr>
      </w:pPr>
    </w:p>
    <w:p w14:paraId="64F1DE53" w14:textId="77777777" w:rsidR="00A06CED" w:rsidRDefault="00A06CED" w:rsidP="00EB755A">
      <w:pPr>
        <w:jc w:val="center"/>
        <w:rPr>
          <w:rFonts w:ascii="Times New Roman" w:hAnsi="Times New Roman" w:cs="Times New Roman"/>
          <w:sz w:val="24"/>
          <w:szCs w:val="24"/>
        </w:rPr>
      </w:pPr>
    </w:p>
    <w:p w14:paraId="29283365" w14:textId="77777777" w:rsidR="00A06CED" w:rsidRDefault="00A06CED" w:rsidP="00EB755A">
      <w:pPr>
        <w:jc w:val="center"/>
        <w:rPr>
          <w:rFonts w:ascii="Times New Roman" w:hAnsi="Times New Roman" w:cs="Times New Roman"/>
          <w:sz w:val="24"/>
          <w:szCs w:val="24"/>
        </w:rPr>
      </w:pPr>
    </w:p>
    <w:p w14:paraId="6989CE07" w14:textId="77777777" w:rsidR="00A06CED" w:rsidRDefault="00A06CED" w:rsidP="00A06CED">
      <w:pPr>
        <w:rPr>
          <w:rFonts w:ascii="Times New Roman" w:hAnsi="Times New Roman" w:cs="Times New Roman"/>
          <w:sz w:val="24"/>
          <w:szCs w:val="24"/>
        </w:rPr>
      </w:pPr>
    </w:p>
    <w:p w14:paraId="59325F3B" w14:textId="77777777" w:rsidR="00EB755A" w:rsidRDefault="00EB755A" w:rsidP="00D75D3F">
      <w:pPr>
        <w:spacing w:line="480" w:lineRule="auto"/>
        <w:jc w:val="center"/>
        <w:rPr>
          <w:rFonts w:ascii="Times New Roman" w:hAnsi="Times New Roman" w:cs="Times New Roman"/>
          <w:sz w:val="24"/>
          <w:szCs w:val="24"/>
        </w:rPr>
      </w:pPr>
      <w:r>
        <w:rPr>
          <w:rFonts w:ascii="Times New Roman" w:hAnsi="Times New Roman" w:cs="Times New Roman"/>
          <w:sz w:val="24"/>
          <w:szCs w:val="24"/>
        </w:rPr>
        <w:t>Kyle Vratarich</w:t>
      </w:r>
    </w:p>
    <w:p w14:paraId="1189B59B" w14:textId="06FEA069" w:rsidR="00414ECB" w:rsidRDefault="00A06CED" w:rsidP="00D75D3F">
      <w:pPr>
        <w:spacing w:line="480" w:lineRule="auto"/>
        <w:jc w:val="center"/>
        <w:rPr>
          <w:rFonts w:ascii="Times New Roman" w:hAnsi="Times New Roman" w:cs="Times New Roman"/>
          <w:sz w:val="24"/>
          <w:szCs w:val="24"/>
        </w:rPr>
      </w:pPr>
      <w:r>
        <w:rPr>
          <w:rFonts w:ascii="Times New Roman" w:hAnsi="Times New Roman" w:cs="Times New Roman"/>
          <w:sz w:val="24"/>
          <w:szCs w:val="24"/>
        </w:rPr>
        <w:t>August 2025</w:t>
      </w:r>
    </w:p>
    <w:p w14:paraId="7FB2F03B" w14:textId="04F509FB" w:rsidR="000761BE" w:rsidRDefault="000761BE" w:rsidP="000761BE">
      <w:pPr>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0EB70FF5" w14:textId="77777777" w:rsidR="000761BE" w:rsidRDefault="000761BE" w:rsidP="00D75D3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General </w:t>
      </w:r>
      <w:r w:rsidRPr="001E119A">
        <w:rPr>
          <w:rFonts w:ascii="Times New Roman" w:hAnsi="Times New Roman" w:cs="Times New Roman"/>
          <w:sz w:val="24"/>
          <w:szCs w:val="24"/>
        </w:rPr>
        <w:t>Orville Babcock is arguably the most important individual from the Reconstruction Era that history has largely forgotten.</w:t>
      </w:r>
      <w:r>
        <w:rPr>
          <w:rFonts w:ascii="Times New Roman" w:hAnsi="Times New Roman" w:cs="Times New Roman"/>
          <w:sz w:val="24"/>
          <w:szCs w:val="24"/>
        </w:rPr>
        <w:t xml:space="preserve"> After his Civil War service under General Ulysses S. Grant, he journeyed to Washington to serve first as Grant’s </w:t>
      </w:r>
      <w:r>
        <w:rPr>
          <w:rFonts w:ascii="Times New Roman" w:hAnsi="Times New Roman" w:cs="Times New Roman"/>
          <w:i/>
          <w:iCs/>
          <w:sz w:val="24"/>
          <w:szCs w:val="24"/>
        </w:rPr>
        <w:t>aide-de-campe</w:t>
      </w:r>
      <w:r>
        <w:rPr>
          <w:rFonts w:ascii="Times New Roman" w:hAnsi="Times New Roman" w:cs="Times New Roman"/>
          <w:sz w:val="24"/>
          <w:szCs w:val="24"/>
        </w:rPr>
        <w:t xml:space="preserve"> and then his Private Secretary, a post which is similar to the modern Chief of Staff. From this post, Babcock stood guard just beyond Grant’s White House door and s</w:t>
      </w:r>
      <w:r w:rsidRPr="001E119A">
        <w:rPr>
          <w:rFonts w:ascii="Times New Roman" w:hAnsi="Times New Roman" w:cs="Times New Roman"/>
          <w:sz w:val="24"/>
          <w:szCs w:val="24"/>
        </w:rPr>
        <w:t>p</w:t>
      </w:r>
      <w:r>
        <w:rPr>
          <w:rFonts w:ascii="Times New Roman" w:hAnsi="Times New Roman" w:cs="Times New Roman"/>
          <w:sz w:val="24"/>
          <w:szCs w:val="24"/>
        </w:rPr>
        <w:t>oke</w:t>
      </w:r>
      <w:r w:rsidRPr="001E119A">
        <w:rPr>
          <w:rFonts w:ascii="Times New Roman" w:hAnsi="Times New Roman" w:cs="Times New Roman"/>
          <w:sz w:val="24"/>
          <w:szCs w:val="24"/>
        </w:rPr>
        <w:t xml:space="preserve"> on his behalf to politicians and members of the public alike. He revitaliz</w:t>
      </w:r>
      <w:r>
        <w:rPr>
          <w:rFonts w:ascii="Times New Roman" w:hAnsi="Times New Roman" w:cs="Times New Roman"/>
          <w:sz w:val="24"/>
          <w:szCs w:val="24"/>
        </w:rPr>
        <w:t>ed</w:t>
      </w:r>
      <w:r w:rsidRPr="001E119A">
        <w:rPr>
          <w:rFonts w:ascii="Times New Roman" w:hAnsi="Times New Roman" w:cs="Times New Roman"/>
          <w:sz w:val="24"/>
          <w:szCs w:val="24"/>
        </w:rPr>
        <w:t xml:space="preserve"> the </w:t>
      </w:r>
      <w:r>
        <w:rPr>
          <w:rFonts w:ascii="Times New Roman" w:hAnsi="Times New Roman" w:cs="Times New Roman"/>
          <w:sz w:val="24"/>
          <w:szCs w:val="24"/>
        </w:rPr>
        <w:t>capital</w:t>
      </w:r>
      <w:r w:rsidRPr="001E119A">
        <w:rPr>
          <w:rFonts w:ascii="Times New Roman" w:hAnsi="Times New Roman" w:cs="Times New Roman"/>
          <w:sz w:val="24"/>
          <w:szCs w:val="24"/>
        </w:rPr>
        <w:t>’s</w:t>
      </w:r>
      <w:r>
        <w:rPr>
          <w:rFonts w:ascii="Times New Roman" w:hAnsi="Times New Roman" w:cs="Times New Roman"/>
          <w:sz w:val="24"/>
          <w:szCs w:val="24"/>
        </w:rPr>
        <w:t xml:space="preserve"> physical landscape, investigated issues away </w:t>
      </w:r>
      <w:r w:rsidRPr="001E119A">
        <w:rPr>
          <w:rFonts w:ascii="Times New Roman" w:hAnsi="Times New Roman" w:cs="Times New Roman"/>
          <w:sz w:val="24"/>
          <w:szCs w:val="24"/>
        </w:rPr>
        <w:t>from Washington when Grant himself could not travel</w:t>
      </w:r>
      <w:r>
        <w:rPr>
          <w:rFonts w:ascii="Times New Roman" w:hAnsi="Times New Roman" w:cs="Times New Roman"/>
          <w:sz w:val="24"/>
          <w:szCs w:val="24"/>
        </w:rPr>
        <w:t xml:space="preserve">, and </w:t>
      </w:r>
      <w:r w:rsidRPr="001E119A">
        <w:rPr>
          <w:rFonts w:ascii="Times New Roman" w:hAnsi="Times New Roman" w:cs="Times New Roman"/>
          <w:sz w:val="24"/>
          <w:szCs w:val="24"/>
        </w:rPr>
        <w:t>remained a steadfast friend to Grant amid the oft-unfriendly D.C. environs.</w:t>
      </w:r>
      <w:r>
        <w:rPr>
          <w:rFonts w:ascii="Times New Roman" w:hAnsi="Times New Roman" w:cs="Times New Roman"/>
          <w:sz w:val="24"/>
          <w:szCs w:val="24"/>
        </w:rPr>
        <w:t xml:space="preserve"> Yet Babcock also </w:t>
      </w:r>
      <w:r w:rsidRPr="001E119A">
        <w:rPr>
          <w:rFonts w:ascii="Times New Roman" w:hAnsi="Times New Roman" w:cs="Times New Roman"/>
          <w:sz w:val="24"/>
          <w:szCs w:val="24"/>
        </w:rPr>
        <w:t>proved to be one of, if not the most, unworthy individuals in whom Grant placed his trust</w:t>
      </w:r>
      <w:r>
        <w:rPr>
          <w:rFonts w:ascii="Times New Roman" w:hAnsi="Times New Roman" w:cs="Times New Roman"/>
          <w:sz w:val="24"/>
          <w:szCs w:val="24"/>
        </w:rPr>
        <w:t xml:space="preserve">. His association with </w:t>
      </w:r>
      <w:r w:rsidRPr="001E119A">
        <w:rPr>
          <w:rFonts w:ascii="Times New Roman" w:hAnsi="Times New Roman" w:cs="Times New Roman"/>
          <w:sz w:val="24"/>
          <w:szCs w:val="24"/>
        </w:rPr>
        <w:t>nefarious individuals gave him a reputation as someone that was in with the wrong crowd.</w:t>
      </w:r>
      <w:r>
        <w:rPr>
          <w:rFonts w:ascii="Times New Roman" w:hAnsi="Times New Roman" w:cs="Times New Roman"/>
          <w:sz w:val="24"/>
          <w:szCs w:val="24"/>
        </w:rPr>
        <w:t xml:space="preserve"> Similar accusations emerged regarding Babcock’s alleged involvement in cornering the gold market, procuring land during the proposed annexation of Santo Domingo, and defrauding the government out of tax money as a member of the Whiskey Ring. Babcock’s involvement in these events, both real or imagined, stained Grant’s legacy, as well as those of the Republican Party and the Reconstruction Era, for generations.</w:t>
      </w:r>
    </w:p>
    <w:p w14:paraId="1FEBDBAF" w14:textId="77777777" w:rsidR="000761BE" w:rsidRPr="001E119A" w:rsidRDefault="000761BE" w:rsidP="00D75D3F">
      <w:pPr>
        <w:spacing w:line="480" w:lineRule="auto"/>
        <w:ind w:firstLine="720"/>
        <w:rPr>
          <w:rFonts w:ascii="Times New Roman" w:hAnsi="Times New Roman" w:cs="Times New Roman"/>
          <w:sz w:val="24"/>
          <w:szCs w:val="24"/>
        </w:rPr>
      </w:pPr>
      <w:r w:rsidRPr="001E119A">
        <w:rPr>
          <w:rFonts w:ascii="Times New Roman" w:hAnsi="Times New Roman" w:cs="Times New Roman"/>
          <w:sz w:val="24"/>
          <w:szCs w:val="24"/>
        </w:rPr>
        <w:t xml:space="preserve">Orville Babcock’s story is critical to our understanding of the Civil War </w:t>
      </w:r>
      <w:r>
        <w:rPr>
          <w:rFonts w:ascii="Times New Roman" w:hAnsi="Times New Roman" w:cs="Times New Roman"/>
          <w:sz w:val="24"/>
          <w:szCs w:val="24"/>
        </w:rPr>
        <w:t>E</w:t>
      </w:r>
      <w:r w:rsidRPr="001E119A">
        <w:rPr>
          <w:rFonts w:ascii="Times New Roman" w:hAnsi="Times New Roman" w:cs="Times New Roman"/>
          <w:sz w:val="24"/>
          <w:szCs w:val="24"/>
        </w:rPr>
        <w:t>ra, particularly t</w:t>
      </w:r>
      <w:r>
        <w:rPr>
          <w:rFonts w:ascii="Times New Roman" w:hAnsi="Times New Roman" w:cs="Times New Roman"/>
          <w:sz w:val="24"/>
          <w:szCs w:val="24"/>
        </w:rPr>
        <w:t xml:space="preserve">o </w:t>
      </w:r>
      <w:r w:rsidRPr="001E119A">
        <w:rPr>
          <w:rFonts w:ascii="Times New Roman" w:hAnsi="Times New Roman" w:cs="Times New Roman"/>
          <w:sz w:val="24"/>
          <w:szCs w:val="24"/>
        </w:rPr>
        <w:t>Reconstruction</w:t>
      </w:r>
      <w:r>
        <w:rPr>
          <w:rFonts w:ascii="Times New Roman" w:hAnsi="Times New Roman" w:cs="Times New Roman"/>
          <w:sz w:val="24"/>
          <w:szCs w:val="24"/>
        </w:rPr>
        <w:t xml:space="preserve"> politics</w:t>
      </w:r>
      <w:r w:rsidRPr="001E119A">
        <w:rPr>
          <w:rFonts w:ascii="Times New Roman" w:hAnsi="Times New Roman" w:cs="Times New Roman"/>
          <w:sz w:val="24"/>
          <w:szCs w:val="24"/>
        </w:rPr>
        <w:t xml:space="preserve">, yet </w:t>
      </w:r>
      <w:r>
        <w:rPr>
          <w:rFonts w:ascii="Times New Roman" w:hAnsi="Times New Roman" w:cs="Times New Roman"/>
          <w:sz w:val="24"/>
          <w:szCs w:val="24"/>
        </w:rPr>
        <w:t>his</w:t>
      </w:r>
      <w:r w:rsidRPr="001E119A">
        <w:rPr>
          <w:rFonts w:ascii="Times New Roman" w:hAnsi="Times New Roman" w:cs="Times New Roman"/>
          <w:sz w:val="24"/>
          <w:szCs w:val="24"/>
        </w:rPr>
        <w:t xml:space="preserve"> is one that has been relegated to the footnotes of other narratives. He emerges at significant moments in Grant Administration</w:t>
      </w:r>
      <w:r>
        <w:rPr>
          <w:rFonts w:ascii="Times New Roman" w:hAnsi="Times New Roman" w:cs="Times New Roman"/>
          <w:sz w:val="24"/>
          <w:szCs w:val="24"/>
        </w:rPr>
        <w:t xml:space="preserve"> histories</w:t>
      </w:r>
      <w:r w:rsidRPr="001E119A">
        <w:rPr>
          <w:rFonts w:ascii="Times New Roman" w:hAnsi="Times New Roman" w:cs="Times New Roman"/>
          <w:sz w:val="24"/>
          <w:szCs w:val="24"/>
        </w:rPr>
        <w:t xml:space="preserve">, </w:t>
      </w:r>
      <w:r>
        <w:rPr>
          <w:rFonts w:ascii="Times New Roman" w:hAnsi="Times New Roman" w:cs="Times New Roman"/>
          <w:sz w:val="24"/>
          <w:szCs w:val="24"/>
        </w:rPr>
        <w:t>yet</w:t>
      </w:r>
      <w:r w:rsidRPr="001E119A">
        <w:rPr>
          <w:rFonts w:ascii="Times New Roman" w:hAnsi="Times New Roman" w:cs="Times New Roman"/>
          <w:sz w:val="24"/>
          <w:szCs w:val="24"/>
        </w:rPr>
        <w:t xml:space="preserve"> otherwise he is but a day player. </w:t>
      </w:r>
      <w:r>
        <w:rPr>
          <w:rFonts w:ascii="Times New Roman" w:hAnsi="Times New Roman" w:cs="Times New Roman"/>
          <w:sz w:val="24"/>
          <w:szCs w:val="24"/>
        </w:rPr>
        <w:t xml:space="preserve">This is problematic, as his development mirrors many others political agents of his era who, during the Civil War, learned to ignore perceptions to accomplish tasks assigned to them in a new era of centralized power in the American government. Babcock represents a new breed of political operatives who accomplished tasks while mired in both actual </w:t>
      </w:r>
      <w:r>
        <w:rPr>
          <w:rFonts w:ascii="Times New Roman" w:hAnsi="Times New Roman" w:cs="Times New Roman"/>
          <w:sz w:val="24"/>
          <w:szCs w:val="24"/>
        </w:rPr>
        <w:lastRenderedPageBreak/>
        <w:t>and alleged corruption. By centering the narrative around General Babcock, we get new insights into political activity during Reconstruction while simultaneously understanding the way these “pragmaticos” shaped and were shaped by the ever-evolving American political system.</w:t>
      </w:r>
    </w:p>
    <w:p w14:paraId="2612E148" w14:textId="77777777" w:rsidR="000761BE" w:rsidRDefault="000761BE" w:rsidP="000761BE">
      <w:pPr>
        <w:rPr>
          <w:rFonts w:ascii="Times New Roman" w:hAnsi="Times New Roman" w:cs="Times New Roman"/>
          <w:sz w:val="24"/>
          <w:szCs w:val="24"/>
        </w:rPr>
      </w:pPr>
    </w:p>
    <w:p w14:paraId="23F74158" w14:textId="77777777" w:rsidR="000761BE" w:rsidRDefault="000761BE" w:rsidP="000761BE">
      <w:pPr>
        <w:rPr>
          <w:rFonts w:ascii="Times New Roman" w:hAnsi="Times New Roman" w:cs="Times New Roman"/>
          <w:sz w:val="24"/>
          <w:szCs w:val="24"/>
        </w:rPr>
      </w:pPr>
    </w:p>
    <w:p w14:paraId="146A2F2A" w14:textId="77777777" w:rsidR="000761BE" w:rsidRDefault="000761BE" w:rsidP="000761BE">
      <w:pPr>
        <w:rPr>
          <w:rFonts w:ascii="Times New Roman" w:hAnsi="Times New Roman" w:cs="Times New Roman"/>
          <w:sz w:val="24"/>
          <w:szCs w:val="24"/>
        </w:rPr>
      </w:pPr>
    </w:p>
    <w:p w14:paraId="79AF0B09" w14:textId="77777777" w:rsidR="000761BE" w:rsidRDefault="000761BE" w:rsidP="000761BE">
      <w:pPr>
        <w:rPr>
          <w:rFonts w:ascii="Times New Roman" w:hAnsi="Times New Roman" w:cs="Times New Roman"/>
          <w:sz w:val="24"/>
          <w:szCs w:val="24"/>
        </w:rPr>
      </w:pPr>
    </w:p>
    <w:p w14:paraId="0870AA6F" w14:textId="77777777" w:rsidR="000761BE" w:rsidRDefault="000761BE" w:rsidP="000761BE">
      <w:pPr>
        <w:rPr>
          <w:rFonts w:ascii="Times New Roman" w:hAnsi="Times New Roman" w:cs="Times New Roman"/>
          <w:sz w:val="24"/>
          <w:szCs w:val="24"/>
        </w:rPr>
      </w:pPr>
    </w:p>
    <w:p w14:paraId="725211B0" w14:textId="77777777" w:rsidR="000761BE" w:rsidRDefault="000761BE" w:rsidP="000761BE">
      <w:pPr>
        <w:rPr>
          <w:rFonts w:ascii="Times New Roman" w:hAnsi="Times New Roman" w:cs="Times New Roman"/>
          <w:sz w:val="24"/>
          <w:szCs w:val="24"/>
        </w:rPr>
      </w:pPr>
    </w:p>
    <w:p w14:paraId="553576EF" w14:textId="77777777" w:rsidR="000761BE" w:rsidRDefault="000761BE" w:rsidP="000761BE">
      <w:pPr>
        <w:rPr>
          <w:rFonts w:ascii="Times New Roman" w:hAnsi="Times New Roman" w:cs="Times New Roman"/>
          <w:sz w:val="24"/>
          <w:szCs w:val="24"/>
        </w:rPr>
      </w:pPr>
    </w:p>
    <w:p w14:paraId="213E2FDE" w14:textId="77777777" w:rsidR="000761BE" w:rsidRDefault="000761BE" w:rsidP="000761BE">
      <w:pPr>
        <w:rPr>
          <w:rFonts w:ascii="Times New Roman" w:hAnsi="Times New Roman" w:cs="Times New Roman"/>
          <w:sz w:val="24"/>
          <w:szCs w:val="24"/>
        </w:rPr>
      </w:pPr>
    </w:p>
    <w:p w14:paraId="4C66FEDD" w14:textId="77777777" w:rsidR="007A42A4" w:rsidRDefault="007A42A4" w:rsidP="000761BE">
      <w:pPr>
        <w:rPr>
          <w:rFonts w:ascii="Times New Roman" w:hAnsi="Times New Roman" w:cs="Times New Roman"/>
          <w:sz w:val="24"/>
          <w:szCs w:val="24"/>
        </w:rPr>
      </w:pPr>
    </w:p>
    <w:p w14:paraId="46CA2AD4" w14:textId="77777777" w:rsidR="00414ECB" w:rsidRDefault="00414ECB" w:rsidP="000761BE">
      <w:pPr>
        <w:rPr>
          <w:rFonts w:ascii="Times New Roman" w:hAnsi="Times New Roman" w:cs="Times New Roman"/>
          <w:sz w:val="24"/>
          <w:szCs w:val="24"/>
        </w:rPr>
      </w:pPr>
    </w:p>
    <w:p w14:paraId="0269A836" w14:textId="77777777" w:rsidR="00D75D3F" w:rsidRDefault="00D75D3F" w:rsidP="000761BE">
      <w:pPr>
        <w:rPr>
          <w:rFonts w:ascii="Times New Roman" w:hAnsi="Times New Roman" w:cs="Times New Roman"/>
          <w:sz w:val="24"/>
          <w:szCs w:val="24"/>
        </w:rPr>
      </w:pPr>
    </w:p>
    <w:p w14:paraId="443EC298" w14:textId="77777777" w:rsidR="00D75D3F" w:rsidRDefault="00D75D3F" w:rsidP="000761BE">
      <w:pPr>
        <w:rPr>
          <w:rFonts w:ascii="Times New Roman" w:hAnsi="Times New Roman" w:cs="Times New Roman"/>
          <w:sz w:val="24"/>
          <w:szCs w:val="24"/>
        </w:rPr>
      </w:pPr>
    </w:p>
    <w:p w14:paraId="68AEE865" w14:textId="77777777" w:rsidR="00D75D3F" w:rsidRDefault="00D75D3F" w:rsidP="000761BE">
      <w:pPr>
        <w:rPr>
          <w:rFonts w:ascii="Times New Roman" w:hAnsi="Times New Roman" w:cs="Times New Roman"/>
          <w:sz w:val="24"/>
          <w:szCs w:val="24"/>
        </w:rPr>
      </w:pPr>
    </w:p>
    <w:p w14:paraId="0B466DEB" w14:textId="77777777" w:rsidR="00D75D3F" w:rsidRDefault="00D75D3F" w:rsidP="000761BE">
      <w:pPr>
        <w:rPr>
          <w:rFonts w:ascii="Times New Roman" w:hAnsi="Times New Roman" w:cs="Times New Roman"/>
          <w:sz w:val="24"/>
          <w:szCs w:val="24"/>
        </w:rPr>
      </w:pPr>
    </w:p>
    <w:p w14:paraId="47014BE1" w14:textId="77777777" w:rsidR="00D75D3F" w:rsidRDefault="00D75D3F" w:rsidP="000761BE">
      <w:pPr>
        <w:rPr>
          <w:rFonts w:ascii="Times New Roman" w:hAnsi="Times New Roman" w:cs="Times New Roman"/>
          <w:sz w:val="24"/>
          <w:szCs w:val="24"/>
        </w:rPr>
      </w:pPr>
    </w:p>
    <w:p w14:paraId="0E4CCB90" w14:textId="77777777" w:rsidR="00D75D3F" w:rsidRDefault="00D75D3F" w:rsidP="000761BE">
      <w:pPr>
        <w:rPr>
          <w:rFonts w:ascii="Times New Roman" w:hAnsi="Times New Roman" w:cs="Times New Roman"/>
          <w:sz w:val="24"/>
          <w:szCs w:val="24"/>
        </w:rPr>
      </w:pPr>
    </w:p>
    <w:p w14:paraId="6CFA5492" w14:textId="77777777" w:rsidR="00D75D3F" w:rsidRDefault="00D75D3F" w:rsidP="000761BE">
      <w:pPr>
        <w:rPr>
          <w:rFonts w:ascii="Times New Roman" w:hAnsi="Times New Roman" w:cs="Times New Roman"/>
          <w:sz w:val="24"/>
          <w:szCs w:val="24"/>
        </w:rPr>
      </w:pPr>
    </w:p>
    <w:p w14:paraId="3005954A" w14:textId="77777777" w:rsidR="00D75D3F" w:rsidRDefault="00D75D3F" w:rsidP="000761BE">
      <w:pPr>
        <w:rPr>
          <w:rFonts w:ascii="Times New Roman" w:hAnsi="Times New Roman" w:cs="Times New Roman"/>
          <w:sz w:val="24"/>
          <w:szCs w:val="24"/>
        </w:rPr>
      </w:pPr>
    </w:p>
    <w:p w14:paraId="7DE3A320" w14:textId="77777777" w:rsidR="00D75D3F" w:rsidRDefault="00D75D3F" w:rsidP="000761BE">
      <w:pPr>
        <w:rPr>
          <w:rFonts w:ascii="Times New Roman" w:hAnsi="Times New Roman" w:cs="Times New Roman"/>
          <w:sz w:val="24"/>
          <w:szCs w:val="24"/>
        </w:rPr>
      </w:pPr>
    </w:p>
    <w:p w14:paraId="1AC2DABA" w14:textId="77777777" w:rsidR="00D75D3F" w:rsidRDefault="00D75D3F" w:rsidP="000761BE">
      <w:pPr>
        <w:rPr>
          <w:rFonts w:ascii="Times New Roman" w:hAnsi="Times New Roman" w:cs="Times New Roman"/>
          <w:sz w:val="24"/>
          <w:szCs w:val="24"/>
        </w:rPr>
      </w:pPr>
    </w:p>
    <w:p w14:paraId="02735033" w14:textId="77777777" w:rsidR="00D75D3F" w:rsidRDefault="00D75D3F" w:rsidP="000761BE">
      <w:pPr>
        <w:rPr>
          <w:rFonts w:ascii="Times New Roman" w:hAnsi="Times New Roman" w:cs="Times New Roman"/>
          <w:sz w:val="24"/>
          <w:szCs w:val="24"/>
        </w:rPr>
      </w:pPr>
    </w:p>
    <w:p w14:paraId="34D8A303" w14:textId="77777777" w:rsidR="00D75D3F" w:rsidRDefault="00D75D3F" w:rsidP="000761BE">
      <w:pPr>
        <w:rPr>
          <w:rFonts w:ascii="Times New Roman" w:hAnsi="Times New Roman" w:cs="Times New Roman"/>
          <w:sz w:val="24"/>
          <w:szCs w:val="24"/>
        </w:rPr>
      </w:pPr>
    </w:p>
    <w:p w14:paraId="74124F40" w14:textId="77777777" w:rsidR="00D75D3F" w:rsidRDefault="00D75D3F" w:rsidP="000761BE">
      <w:pPr>
        <w:rPr>
          <w:rFonts w:ascii="Times New Roman" w:hAnsi="Times New Roman" w:cs="Times New Roman"/>
          <w:sz w:val="24"/>
          <w:szCs w:val="24"/>
        </w:rPr>
      </w:pPr>
    </w:p>
    <w:p w14:paraId="63172568" w14:textId="77777777" w:rsidR="00D75D3F" w:rsidRDefault="00D75D3F" w:rsidP="000761BE">
      <w:pPr>
        <w:rPr>
          <w:rFonts w:ascii="Times New Roman" w:hAnsi="Times New Roman" w:cs="Times New Roman"/>
          <w:sz w:val="24"/>
          <w:szCs w:val="24"/>
        </w:rPr>
      </w:pPr>
    </w:p>
    <w:p w14:paraId="018C3CAA" w14:textId="5F928E4E" w:rsidR="000761BE" w:rsidRDefault="000761BE" w:rsidP="000761BE">
      <w:pPr>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14:paraId="7C000272" w14:textId="77777777" w:rsidR="000761BE" w:rsidRDefault="000761BE" w:rsidP="000761BE">
      <w:pPr>
        <w:rPr>
          <w:rFonts w:ascii="Times New Roman" w:hAnsi="Times New Roman" w:cs="Times New Roman"/>
          <w:sz w:val="24"/>
          <w:szCs w:val="24"/>
        </w:rPr>
      </w:pPr>
    </w:p>
    <w:p w14:paraId="48697526" w14:textId="53FF3750" w:rsidR="000761BE" w:rsidRDefault="000761BE" w:rsidP="007B0DE2">
      <w:pPr>
        <w:tabs>
          <w:tab w:val="right" w:leader="dot" w:pos="9270"/>
        </w:tabs>
        <w:spacing w:line="480" w:lineRule="auto"/>
        <w:rPr>
          <w:rFonts w:ascii="Times New Roman" w:hAnsi="Times New Roman" w:cs="Times New Roman"/>
          <w:sz w:val="24"/>
          <w:szCs w:val="24"/>
        </w:rPr>
      </w:pPr>
      <w:r>
        <w:rPr>
          <w:rFonts w:ascii="Times New Roman" w:hAnsi="Times New Roman" w:cs="Times New Roman"/>
          <w:sz w:val="24"/>
          <w:szCs w:val="24"/>
        </w:rPr>
        <w:t>Introduction</w:t>
      </w:r>
      <w:r w:rsidR="007B0DE2">
        <w:rPr>
          <w:rFonts w:ascii="Times New Roman" w:hAnsi="Times New Roman" w:cs="Times New Roman"/>
          <w:sz w:val="24"/>
          <w:szCs w:val="24"/>
        </w:rPr>
        <w:tab/>
      </w:r>
      <w:r w:rsidR="00241E58">
        <w:rPr>
          <w:rFonts w:ascii="Times New Roman" w:hAnsi="Times New Roman" w:cs="Times New Roman"/>
          <w:sz w:val="24"/>
          <w:szCs w:val="24"/>
        </w:rPr>
        <w:t>………………………………………………………………</w:t>
      </w:r>
      <w:r w:rsidR="007B0DE2">
        <w:rPr>
          <w:rFonts w:ascii="Times New Roman" w:hAnsi="Times New Roman" w:cs="Times New Roman"/>
          <w:sz w:val="24"/>
          <w:szCs w:val="24"/>
        </w:rPr>
        <w:t xml:space="preserve">1  </w:t>
      </w:r>
    </w:p>
    <w:p w14:paraId="10C00EAC" w14:textId="02C2350E" w:rsidR="000761BE" w:rsidRDefault="000761BE" w:rsidP="007B0DE2">
      <w:pPr>
        <w:tabs>
          <w:tab w:val="right" w:leader="do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Chapter One: </w:t>
      </w:r>
      <w:r w:rsidRPr="00D871B8">
        <w:rPr>
          <w:rFonts w:ascii="Times New Roman" w:hAnsi="Times New Roman" w:cs="Times New Roman"/>
          <w:sz w:val="24"/>
          <w:szCs w:val="24"/>
        </w:rPr>
        <w:t>Impacts of the Civil War: Babcock Emerges and Federal Powers Expand</w:t>
      </w:r>
      <w:r w:rsidR="007B0DE2">
        <w:rPr>
          <w:rFonts w:ascii="Times New Roman" w:hAnsi="Times New Roman" w:cs="Times New Roman"/>
          <w:sz w:val="24"/>
          <w:szCs w:val="24"/>
        </w:rPr>
        <w:tab/>
        <w:t>……37</w:t>
      </w:r>
    </w:p>
    <w:p w14:paraId="32FF841F" w14:textId="2E4F06A3" w:rsidR="000761BE" w:rsidRDefault="000761BE" w:rsidP="007B0DE2">
      <w:pPr>
        <w:tabs>
          <w:tab w:val="right" w:leader="do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Chapter Two: </w:t>
      </w:r>
      <w:r w:rsidRPr="00BD6E3A">
        <w:rPr>
          <w:rFonts w:ascii="Times New Roman" w:hAnsi="Times New Roman" w:cs="Times New Roman"/>
          <w:sz w:val="24"/>
          <w:szCs w:val="24"/>
        </w:rPr>
        <w:t>Babcock’s Entrenchment and The Fight for Santo Domingo</w:t>
      </w:r>
      <w:r w:rsidR="00241E58">
        <w:rPr>
          <w:rFonts w:ascii="Times New Roman" w:hAnsi="Times New Roman" w:cs="Times New Roman"/>
          <w:sz w:val="24"/>
          <w:szCs w:val="24"/>
        </w:rPr>
        <w:t>……</w:t>
      </w:r>
      <w:r w:rsidR="00D75D3F">
        <w:rPr>
          <w:rFonts w:ascii="Times New Roman" w:hAnsi="Times New Roman" w:cs="Times New Roman"/>
          <w:sz w:val="24"/>
          <w:szCs w:val="24"/>
        </w:rPr>
        <w:t>….</w:t>
      </w:r>
      <w:r w:rsidR="00241E58">
        <w:rPr>
          <w:rFonts w:ascii="Times New Roman" w:hAnsi="Times New Roman" w:cs="Times New Roman"/>
          <w:sz w:val="24"/>
          <w:szCs w:val="24"/>
        </w:rPr>
        <w:t>…………</w:t>
      </w:r>
      <w:r w:rsidR="007B0DE2">
        <w:rPr>
          <w:rFonts w:ascii="Times New Roman" w:hAnsi="Times New Roman" w:cs="Times New Roman"/>
          <w:sz w:val="24"/>
          <w:szCs w:val="24"/>
        </w:rPr>
        <w:tab/>
        <w:t>98</w:t>
      </w:r>
    </w:p>
    <w:p w14:paraId="0F7C767A" w14:textId="3F9F35DB" w:rsidR="000761BE" w:rsidRDefault="000761BE" w:rsidP="007B0DE2">
      <w:pPr>
        <w:tabs>
          <w:tab w:val="right" w:leader="do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Chapter Three: </w:t>
      </w:r>
      <w:r w:rsidRPr="002D394D">
        <w:rPr>
          <w:rFonts w:ascii="Times New Roman" w:hAnsi="Times New Roman" w:cs="Times New Roman"/>
          <w:sz w:val="24"/>
          <w:szCs w:val="24"/>
        </w:rPr>
        <w:t>Public Works and Private Workings: How Beautifying the Capital Led to Forgiveness for Alleged Grift</w:t>
      </w:r>
      <w:r w:rsidR="00241E58">
        <w:rPr>
          <w:rFonts w:ascii="Times New Roman" w:hAnsi="Times New Roman" w:cs="Times New Roman"/>
          <w:sz w:val="24"/>
          <w:szCs w:val="24"/>
        </w:rPr>
        <w:t>………………………………………………</w:t>
      </w:r>
      <w:r w:rsidR="007B0DE2">
        <w:rPr>
          <w:rFonts w:ascii="Times New Roman" w:hAnsi="Times New Roman" w:cs="Times New Roman"/>
          <w:sz w:val="24"/>
          <w:szCs w:val="24"/>
        </w:rPr>
        <w:t>……………</w:t>
      </w:r>
      <w:r w:rsidR="007B0DE2">
        <w:rPr>
          <w:rFonts w:ascii="Times New Roman" w:hAnsi="Times New Roman" w:cs="Times New Roman"/>
          <w:sz w:val="24"/>
          <w:szCs w:val="24"/>
        </w:rPr>
        <w:tab/>
        <w:t>156</w:t>
      </w:r>
    </w:p>
    <w:p w14:paraId="34D9D84C" w14:textId="78DF1444" w:rsidR="000761BE" w:rsidRDefault="000761BE" w:rsidP="007B0DE2">
      <w:pPr>
        <w:tabs>
          <w:tab w:val="right" w:leader="do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Chapter Four: </w:t>
      </w:r>
      <w:r w:rsidRPr="00EF5197">
        <w:rPr>
          <w:rFonts w:ascii="Times New Roman" w:hAnsi="Times New Roman" w:cs="Times New Roman"/>
          <w:sz w:val="24"/>
          <w:szCs w:val="24"/>
        </w:rPr>
        <w:t>Beginning Babcock’s Downfall: The District Ring and The Safe Burglary</w:t>
      </w:r>
      <w:r w:rsidR="007B0DE2">
        <w:rPr>
          <w:rFonts w:ascii="Times New Roman" w:hAnsi="Times New Roman" w:cs="Times New Roman"/>
          <w:sz w:val="24"/>
          <w:szCs w:val="24"/>
        </w:rPr>
        <w:t>…</w:t>
      </w:r>
      <w:r w:rsidR="007B0DE2">
        <w:rPr>
          <w:rFonts w:ascii="Times New Roman" w:hAnsi="Times New Roman" w:cs="Times New Roman"/>
          <w:sz w:val="24"/>
          <w:szCs w:val="24"/>
        </w:rPr>
        <w:tab/>
        <w:t>198</w:t>
      </w:r>
    </w:p>
    <w:p w14:paraId="244BBB5F" w14:textId="21BEEDC0" w:rsidR="000761BE" w:rsidRDefault="000761BE" w:rsidP="007B0DE2">
      <w:pPr>
        <w:tabs>
          <w:tab w:val="right" w:leader="do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Chapter Five: </w:t>
      </w:r>
      <w:r w:rsidRPr="00F06201">
        <w:rPr>
          <w:rFonts w:ascii="Times New Roman" w:hAnsi="Times New Roman" w:cs="Times New Roman"/>
          <w:sz w:val="24"/>
          <w:szCs w:val="24"/>
        </w:rPr>
        <w:t>Purging the Party of Rogues: The Whiskey Ring, Babcock’s Magnum Opus, Undone</w:t>
      </w:r>
      <w:r w:rsidR="00241E58">
        <w:rPr>
          <w:rFonts w:ascii="Times New Roman" w:hAnsi="Times New Roman" w:cs="Times New Roman"/>
          <w:sz w:val="24"/>
          <w:szCs w:val="24"/>
        </w:rPr>
        <w:t>…………………………………………………………………………………</w:t>
      </w:r>
      <w:r w:rsidR="00D75D3F">
        <w:rPr>
          <w:rFonts w:ascii="Times New Roman" w:hAnsi="Times New Roman" w:cs="Times New Roman"/>
          <w:sz w:val="24"/>
          <w:szCs w:val="24"/>
        </w:rPr>
        <w:t>…</w:t>
      </w:r>
      <w:r w:rsidR="007B0DE2">
        <w:rPr>
          <w:rFonts w:ascii="Times New Roman" w:hAnsi="Times New Roman" w:cs="Times New Roman"/>
          <w:sz w:val="24"/>
          <w:szCs w:val="24"/>
        </w:rPr>
        <w:tab/>
        <w:t>233</w:t>
      </w:r>
    </w:p>
    <w:p w14:paraId="085FE43C" w14:textId="11EE01EE" w:rsidR="000761BE" w:rsidRDefault="000761BE" w:rsidP="007B0DE2">
      <w:pPr>
        <w:tabs>
          <w:tab w:val="right" w:leader="do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Conclusion: </w:t>
      </w:r>
      <w:r w:rsidRPr="00AA23A2">
        <w:rPr>
          <w:rFonts w:ascii="Times New Roman" w:hAnsi="Times New Roman" w:cs="Times New Roman"/>
          <w:sz w:val="24"/>
          <w:szCs w:val="24"/>
        </w:rPr>
        <w:t>Babcock’s Final Work and the Death of a Pragmatico</w:t>
      </w:r>
      <w:r w:rsidR="00241E58">
        <w:rPr>
          <w:rFonts w:ascii="Times New Roman" w:hAnsi="Times New Roman" w:cs="Times New Roman"/>
          <w:sz w:val="24"/>
          <w:szCs w:val="24"/>
        </w:rPr>
        <w:t>……………</w:t>
      </w:r>
      <w:r w:rsidR="00D75D3F">
        <w:rPr>
          <w:rFonts w:ascii="Times New Roman" w:hAnsi="Times New Roman" w:cs="Times New Roman"/>
          <w:sz w:val="24"/>
          <w:szCs w:val="24"/>
        </w:rPr>
        <w:t>….</w:t>
      </w:r>
      <w:r w:rsidR="00241E58">
        <w:rPr>
          <w:rFonts w:ascii="Times New Roman" w:hAnsi="Times New Roman" w:cs="Times New Roman"/>
          <w:sz w:val="24"/>
          <w:szCs w:val="24"/>
        </w:rPr>
        <w:t>………</w:t>
      </w:r>
      <w:r w:rsidR="007B0DE2">
        <w:rPr>
          <w:rFonts w:ascii="Times New Roman" w:hAnsi="Times New Roman" w:cs="Times New Roman"/>
          <w:sz w:val="24"/>
          <w:szCs w:val="24"/>
        </w:rPr>
        <w:tab/>
        <w:t>299</w:t>
      </w:r>
    </w:p>
    <w:p w14:paraId="61C39887" w14:textId="4A753B49" w:rsidR="000761BE" w:rsidRDefault="000761BE" w:rsidP="007B0DE2">
      <w:pPr>
        <w:tabs>
          <w:tab w:val="right" w:leader="dot" w:pos="9270"/>
        </w:tabs>
        <w:spacing w:line="480" w:lineRule="auto"/>
        <w:rPr>
          <w:rFonts w:ascii="Times New Roman" w:hAnsi="Times New Roman" w:cs="Times New Roman"/>
          <w:sz w:val="24"/>
          <w:szCs w:val="24"/>
        </w:rPr>
      </w:pPr>
      <w:r>
        <w:rPr>
          <w:rFonts w:ascii="Times New Roman" w:hAnsi="Times New Roman" w:cs="Times New Roman"/>
          <w:sz w:val="24"/>
          <w:szCs w:val="24"/>
        </w:rPr>
        <w:t>Bibliography</w:t>
      </w:r>
      <w:r w:rsidR="00241E58">
        <w:rPr>
          <w:rFonts w:ascii="Times New Roman" w:hAnsi="Times New Roman" w:cs="Times New Roman"/>
          <w:sz w:val="24"/>
          <w:szCs w:val="24"/>
        </w:rPr>
        <w:t>……………………………………………………………………………</w:t>
      </w:r>
      <w:r w:rsidR="00D75D3F">
        <w:rPr>
          <w:rFonts w:ascii="Times New Roman" w:hAnsi="Times New Roman" w:cs="Times New Roman"/>
          <w:sz w:val="24"/>
          <w:szCs w:val="24"/>
        </w:rPr>
        <w:t>….</w:t>
      </w:r>
      <w:r w:rsidR="00241E58">
        <w:rPr>
          <w:rFonts w:ascii="Times New Roman" w:hAnsi="Times New Roman" w:cs="Times New Roman"/>
          <w:sz w:val="24"/>
          <w:szCs w:val="24"/>
        </w:rPr>
        <w:t>…</w:t>
      </w:r>
      <w:r w:rsidR="007B0DE2">
        <w:rPr>
          <w:rFonts w:ascii="Times New Roman" w:hAnsi="Times New Roman" w:cs="Times New Roman"/>
          <w:sz w:val="24"/>
          <w:szCs w:val="24"/>
        </w:rPr>
        <w:tab/>
        <w:t>320</w:t>
      </w:r>
    </w:p>
    <w:p w14:paraId="27BF5EDE" w14:textId="47E8369F" w:rsidR="000761BE" w:rsidRDefault="000761BE" w:rsidP="007B0DE2">
      <w:pPr>
        <w:tabs>
          <w:tab w:val="right" w:leader="dot" w:pos="9270"/>
        </w:tabs>
        <w:spacing w:line="480" w:lineRule="auto"/>
        <w:rPr>
          <w:rFonts w:ascii="Times New Roman" w:hAnsi="Times New Roman" w:cs="Times New Roman"/>
          <w:sz w:val="24"/>
          <w:szCs w:val="24"/>
        </w:rPr>
      </w:pPr>
      <w:r>
        <w:rPr>
          <w:rFonts w:ascii="Times New Roman" w:hAnsi="Times New Roman" w:cs="Times New Roman"/>
          <w:sz w:val="24"/>
          <w:szCs w:val="24"/>
        </w:rPr>
        <w:t>Vita</w:t>
      </w:r>
      <w:r w:rsidR="00241E58">
        <w:rPr>
          <w:rFonts w:ascii="Times New Roman" w:hAnsi="Times New Roman" w:cs="Times New Roman"/>
          <w:sz w:val="24"/>
          <w:szCs w:val="24"/>
        </w:rPr>
        <w:t>………………………………………………………………………………………</w:t>
      </w:r>
      <w:r w:rsidR="00D75D3F">
        <w:rPr>
          <w:rFonts w:ascii="Times New Roman" w:hAnsi="Times New Roman" w:cs="Times New Roman"/>
          <w:sz w:val="24"/>
          <w:szCs w:val="24"/>
        </w:rPr>
        <w:t>…</w:t>
      </w:r>
      <w:r w:rsidR="007B0DE2">
        <w:rPr>
          <w:rFonts w:ascii="Times New Roman" w:hAnsi="Times New Roman" w:cs="Times New Roman"/>
          <w:sz w:val="24"/>
          <w:szCs w:val="24"/>
        </w:rPr>
        <w:tab/>
        <w:t>363</w:t>
      </w:r>
    </w:p>
    <w:p w14:paraId="77EDD7FC" w14:textId="77777777" w:rsidR="000761BE" w:rsidRDefault="000761BE" w:rsidP="000761BE">
      <w:pPr>
        <w:rPr>
          <w:rFonts w:ascii="Times New Roman" w:hAnsi="Times New Roman" w:cs="Times New Roman"/>
          <w:sz w:val="24"/>
          <w:szCs w:val="24"/>
        </w:rPr>
      </w:pPr>
    </w:p>
    <w:p w14:paraId="30D43430" w14:textId="77777777" w:rsidR="000761BE" w:rsidRDefault="000761BE" w:rsidP="000761BE">
      <w:pPr>
        <w:rPr>
          <w:rFonts w:ascii="Times New Roman" w:hAnsi="Times New Roman" w:cs="Times New Roman"/>
          <w:sz w:val="24"/>
          <w:szCs w:val="24"/>
        </w:rPr>
      </w:pPr>
    </w:p>
    <w:p w14:paraId="0A336B5E" w14:textId="77777777" w:rsidR="007B0B76" w:rsidRDefault="007B0B76" w:rsidP="000761BE">
      <w:pPr>
        <w:rPr>
          <w:rFonts w:ascii="Times New Roman" w:hAnsi="Times New Roman" w:cs="Times New Roman"/>
          <w:sz w:val="24"/>
          <w:szCs w:val="24"/>
        </w:rPr>
      </w:pPr>
    </w:p>
    <w:p w14:paraId="441CFCB9" w14:textId="77777777" w:rsidR="00D75D3F" w:rsidRDefault="00D75D3F" w:rsidP="000761BE">
      <w:pPr>
        <w:rPr>
          <w:rFonts w:ascii="Times New Roman" w:hAnsi="Times New Roman" w:cs="Times New Roman"/>
          <w:sz w:val="24"/>
          <w:szCs w:val="24"/>
        </w:rPr>
      </w:pPr>
    </w:p>
    <w:p w14:paraId="3DE27377" w14:textId="77777777" w:rsidR="007B0B76" w:rsidRDefault="007B0B76" w:rsidP="000761BE">
      <w:pPr>
        <w:rPr>
          <w:rFonts w:ascii="Times New Roman" w:hAnsi="Times New Roman" w:cs="Times New Roman"/>
          <w:sz w:val="24"/>
          <w:szCs w:val="24"/>
        </w:rPr>
      </w:pPr>
    </w:p>
    <w:p w14:paraId="16A5D96B" w14:textId="77777777" w:rsidR="007B0B76" w:rsidRDefault="007B0B76" w:rsidP="000761BE">
      <w:pPr>
        <w:rPr>
          <w:rFonts w:ascii="Times New Roman" w:hAnsi="Times New Roman" w:cs="Times New Roman"/>
          <w:sz w:val="24"/>
          <w:szCs w:val="24"/>
        </w:rPr>
      </w:pPr>
    </w:p>
    <w:p w14:paraId="5CCCE7BD" w14:textId="77777777" w:rsidR="007B0B76" w:rsidRDefault="007B0B76" w:rsidP="000761BE">
      <w:pPr>
        <w:rPr>
          <w:rFonts w:ascii="Times New Roman" w:hAnsi="Times New Roman" w:cs="Times New Roman"/>
          <w:sz w:val="24"/>
          <w:szCs w:val="24"/>
        </w:rPr>
      </w:pPr>
    </w:p>
    <w:p w14:paraId="1448414F" w14:textId="77777777" w:rsidR="007B0B76" w:rsidRDefault="007B0B76" w:rsidP="000761BE">
      <w:pPr>
        <w:rPr>
          <w:rFonts w:ascii="Times New Roman" w:hAnsi="Times New Roman" w:cs="Times New Roman"/>
          <w:sz w:val="24"/>
          <w:szCs w:val="24"/>
        </w:rPr>
      </w:pPr>
    </w:p>
    <w:p w14:paraId="5E1759A7" w14:textId="77777777" w:rsidR="007B0B76" w:rsidRDefault="007B0B76" w:rsidP="000761BE">
      <w:pPr>
        <w:rPr>
          <w:rFonts w:ascii="Times New Roman" w:hAnsi="Times New Roman" w:cs="Times New Roman"/>
          <w:sz w:val="24"/>
          <w:szCs w:val="24"/>
        </w:rPr>
      </w:pPr>
    </w:p>
    <w:p w14:paraId="1CBEFBCC" w14:textId="77777777" w:rsidR="007B0B76" w:rsidRDefault="007B0B76" w:rsidP="000761BE">
      <w:pPr>
        <w:rPr>
          <w:rFonts w:ascii="Times New Roman" w:hAnsi="Times New Roman" w:cs="Times New Roman"/>
          <w:sz w:val="24"/>
          <w:szCs w:val="24"/>
        </w:rPr>
      </w:pPr>
    </w:p>
    <w:p w14:paraId="40679D06" w14:textId="24EE86F7" w:rsidR="000761BE" w:rsidRDefault="0035161C" w:rsidP="007B0B76">
      <w:pPr>
        <w:jc w:val="center"/>
        <w:rPr>
          <w:rFonts w:ascii="Times New Roman" w:hAnsi="Times New Roman" w:cs="Times New Roman"/>
          <w:sz w:val="24"/>
          <w:szCs w:val="24"/>
        </w:rPr>
      </w:pPr>
      <w:r>
        <w:rPr>
          <w:rFonts w:ascii="Times New Roman" w:hAnsi="Times New Roman" w:cs="Times New Roman"/>
          <w:sz w:val="24"/>
          <w:szCs w:val="24"/>
        </w:rPr>
        <w:lastRenderedPageBreak/>
        <w:t>List</w:t>
      </w:r>
      <w:r w:rsidR="000761BE">
        <w:rPr>
          <w:rFonts w:ascii="Times New Roman" w:hAnsi="Times New Roman" w:cs="Times New Roman"/>
          <w:sz w:val="24"/>
          <w:szCs w:val="24"/>
        </w:rPr>
        <w:t xml:space="preserve"> of Figures</w:t>
      </w:r>
    </w:p>
    <w:p w14:paraId="3C10B387" w14:textId="77777777" w:rsidR="007B0B76" w:rsidRDefault="007B0B76" w:rsidP="000761BE">
      <w:pPr>
        <w:rPr>
          <w:rFonts w:ascii="Times New Roman" w:hAnsi="Times New Roman" w:cs="Times New Roman"/>
          <w:sz w:val="24"/>
          <w:szCs w:val="24"/>
        </w:rPr>
      </w:pPr>
    </w:p>
    <w:p w14:paraId="61FFBC6E" w14:textId="45E1DAEC" w:rsidR="000761BE" w:rsidRDefault="000761BE" w:rsidP="00E840F7">
      <w:pPr>
        <w:tabs>
          <w:tab w:val="left" w:pos="8550"/>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0035161C">
        <w:rPr>
          <w:rFonts w:ascii="Times New Roman" w:hAnsi="Times New Roman" w:cs="Times New Roman"/>
          <w:sz w:val="24"/>
          <w:szCs w:val="24"/>
        </w:rPr>
        <w:t>I</w:t>
      </w:r>
      <w:r>
        <w:rPr>
          <w:rFonts w:ascii="Times New Roman" w:hAnsi="Times New Roman" w:cs="Times New Roman"/>
          <w:sz w:val="24"/>
          <w:szCs w:val="24"/>
        </w:rPr>
        <w:t>.1</w:t>
      </w:r>
      <w:r w:rsidRPr="00D871B8">
        <w:rPr>
          <w:rFonts w:ascii="Times New Roman" w:hAnsi="Times New Roman" w:cs="Times New Roman"/>
          <w:sz w:val="24"/>
          <w:szCs w:val="24"/>
        </w:rPr>
        <w:t>: Peace in Union</w:t>
      </w:r>
      <w:r w:rsidR="0035161C">
        <w:rPr>
          <w:rFonts w:ascii="Times New Roman" w:hAnsi="Times New Roman" w:cs="Times New Roman"/>
          <w:sz w:val="24"/>
          <w:szCs w:val="24"/>
        </w:rPr>
        <w:t>……………………………………………………………………</w:t>
      </w:r>
      <w:r w:rsidR="00B6788F">
        <w:rPr>
          <w:rFonts w:ascii="Times New Roman" w:hAnsi="Times New Roman" w:cs="Times New Roman"/>
          <w:sz w:val="24"/>
          <w:szCs w:val="24"/>
        </w:rPr>
        <w:t>…..</w:t>
      </w:r>
      <w:r w:rsidR="00B6788F">
        <w:rPr>
          <w:rFonts w:ascii="Times New Roman" w:hAnsi="Times New Roman" w:cs="Times New Roman"/>
          <w:sz w:val="24"/>
          <w:szCs w:val="24"/>
        </w:rPr>
        <w:tab/>
      </w:r>
      <w:r w:rsidR="00E840F7">
        <w:rPr>
          <w:rFonts w:ascii="Times New Roman" w:hAnsi="Times New Roman" w:cs="Times New Roman"/>
          <w:sz w:val="24"/>
          <w:szCs w:val="24"/>
        </w:rPr>
        <w:t>3</w:t>
      </w:r>
    </w:p>
    <w:p w14:paraId="2AECAC37" w14:textId="5BF2E14E" w:rsidR="000761BE" w:rsidRDefault="000761BE" w:rsidP="00E840F7">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0035161C">
        <w:rPr>
          <w:rFonts w:ascii="Times New Roman" w:hAnsi="Times New Roman" w:cs="Times New Roman"/>
          <w:sz w:val="24"/>
          <w:szCs w:val="24"/>
        </w:rPr>
        <w:t>I</w:t>
      </w:r>
      <w:r>
        <w:rPr>
          <w:rFonts w:ascii="Times New Roman" w:hAnsi="Times New Roman" w:cs="Times New Roman"/>
          <w:sz w:val="24"/>
          <w:szCs w:val="24"/>
        </w:rPr>
        <w:t>.2: Photo of Orville Babcock</w:t>
      </w:r>
      <w:r w:rsidR="0035161C">
        <w:rPr>
          <w:rFonts w:ascii="Times New Roman" w:hAnsi="Times New Roman" w:cs="Times New Roman"/>
          <w:sz w:val="24"/>
          <w:szCs w:val="24"/>
        </w:rPr>
        <w:t>…………………………………………………………</w:t>
      </w:r>
      <w:r w:rsidR="00B6788F">
        <w:rPr>
          <w:rFonts w:ascii="Times New Roman" w:hAnsi="Times New Roman" w:cs="Times New Roman"/>
          <w:sz w:val="24"/>
          <w:szCs w:val="24"/>
        </w:rPr>
        <w:t>….</w:t>
      </w:r>
      <w:r w:rsidR="00B6788F">
        <w:rPr>
          <w:rFonts w:ascii="Times New Roman" w:hAnsi="Times New Roman" w:cs="Times New Roman"/>
          <w:sz w:val="24"/>
          <w:szCs w:val="24"/>
        </w:rPr>
        <w:tab/>
      </w:r>
      <w:r w:rsidR="00E840F7">
        <w:rPr>
          <w:rFonts w:ascii="Times New Roman" w:hAnsi="Times New Roman" w:cs="Times New Roman"/>
          <w:sz w:val="24"/>
          <w:szCs w:val="24"/>
        </w:rPr>
        <w:t>9</w:t>
      </w:r>
    </w:p>
    <w:p w14:paraId="5497952B" w14:textId="4BAE09FE" w:rsidR="000761BE" w:rsidRDefault="000761BE" w:rsidP="00E840F7">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1.1: Heraldry</w:t>
      </w:r>
      <w:r w:rsidR="0035161C">
        <w:rPr>
          <w:rFonts w:ascii="Times New Roman" w:hAnsi="Times New Roman" w:cs="Times New Roman"/>
          <w:sz w:val="24"/>
          <w:szCs w:val="24"/>
        </w:rPr>
        <w:t>…………………………………………………………………………</w:t>
      </w:r>
      <w:r w:rsidR="00B6788F">
        <w:rPr>
          <w:rFonts w:ascii="Times New Roman" w:hAnsi="Times New Roman" w:cs="Times New Roman"/>
          <w:sz w:val="24"/>
          <w:szCs w:val="24"/>
        </w:rPr>
        <w:t>….</w:t>
      </w:r>
      <w:r w:rsidR="00B6788F">
        <w:rPr>
          <w:rFonts w:ascii="Times New Roman" w:hAnsi="Times New Roman" w:cs="Times New Roman"/>
          <w:sz w:val="24"/>
          <w:szCs w:val="24"/>
        </w:rPr>
        <w:tab/>
      </w:r>
      <w:r w:rsidR="00E312DC">
        <w:rPr>
          <w:rFonts w:ascii="Times New Roman" w:hAnsi="Times New Roman" w:cs="Times New Roman"/>
          <w:sz w:val="24"/>
          <w:szCs w:val="24"/>
        </w:rPr>
        <w:t>38</w:t>
      </w:r>
    </w:p>
    <w:p w14:paraId="56426EA2" w14:textId="12291A3B" w:rsidR="000761BE" w:rsidRDefault="000761BE" w:rsidP="00E312DC">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1.2: Fort Sanders</w:t>
      </w:r>
      <w:r w:rsidR="0035161C">
        <w:rPr>
          <w:rFonts w:ascii="Times New Roman" w:hAnsi="Times New Roman" w:cs="Times New Roman"/>
          <w:sz w:val="24"/>
          <w:szCs w:val="24"/>
        </w:rPr>
        <w:t>……………………………………………………………………</w:t>
      </w:r>
      <w:r w:rsidR="00B6788F">
        <w:rPr>
          <w:rFonts w:ascii="Times New Roman" w:hAnsi="Times New Roman" w:cs="Times New Roman"/>
          <w:sz w:val="24"/>
          <w:szCs w:val="24"/>
        </w:rPr>
        <w:t>…...</w:t>
      </w:r>
      <w:r w:rsidR="00B6788F">
        <w:rPr>
          <w:rFonts w:ascii="Times New Roman" w:hAnsi="Times New Roman" w:cs="Times New Roman"/>
          <w:sz w:val="24"/>
          <w:szCs w:val="24"/>
        </w:rPr>
        <w:tab/>
      </w:r>
      <w:r w:rsidR="00E312DC">
        <w:rPr>
          <w:rFonts w:ascii="Times New Roman" w:hAnsi="Times New Roman" w:cs="Times New Roman"/>
          <w:sz w:val="24"/>
          <w:szCs w:val="24"/>
        </w:rPr>
        <w:t>43</w:t>
      </w:r>
    </w:p>
    <w:p w14:paraId="4D9B18CA" w14:textId="745E6761" w:rsidR="000761BE" w:rsidRDefault="000761BE" w:rsidP="00E312DC">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Figure 1.3: </w:t>
      </w:r>
      <w:r w:rsidRPr="00D871B8">
        <w:rPr>
          <w:rFonts w:ascii="Times New Roman" w:hAnsi="Times New Roman" w:cs="Times New Roman"/>
          <w:sz w:val="24"/>
          <w:szCs w:val="24"/>
        </w:rPr>
        <w:t>“The Tammany Kingdom: The Power behind the Throne. He Cannot Call His Soul His Own.”</w:t>
      </w:r>
      <w:r w:rsidR="0035161C">
        <w:rPr>
          <w:rFonts w:ascii="Times New Roman" w:hAnsi="Times New Roman" w:cs="Times New Roman"/>
          <w:sz w:val="24"/>
          <w:szCs w:val="24"/>
        </w:rPr>
        <w:t>…………………………………………………………………………………</w:t>
      </w:r>
      <w:r w:rsidR="00B6788F">
        <w:rPr>
          <w:rFonts w:ascii="Times New Roman" w:hAnsi="Times New Roman" w:cs="Times New Roman"/>
          <w:sz w:val="24"/>
          <w:szCs w:val="24"/>
        </w:rPr>
        <w:t>…….</w:t>
      </w:r>
      <w:r w:rsidR="00B6788F">
        <w:rPr>
          <w:rFonts w:ascii="Times New Roman" w:hAnsi="Times New Roman" w:cs="Times New Roman"/>
          <w:sz w:val="24"/>
          <w:szCs w:val="24"/>
        </w:rPr>
        <w:tab/>
      </w:r>
      <w:r w:rsidR="00E312DC">
        <w:rPr>
          <w:rFonts w:ascii="Times New Roman" w:hAnsi="Times New Roman" w:cs="Times New Roman"/>
          <w:sz w:val="24"/>
          <w:szCs w:val="24"/>
        </w:rPr>
        <w:t>56</w:t>
      </w:r>
    </w:p>
    <w:p w14:paraId="5212D25A" w14:textId="14E8B0DE" w:rsidR="000761BE" w:rsidRDefault="000761BE" w:rsidP="00B6788F">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1.4: Horace Porter</w:t>
      </w:r>
      <w:r w:rsidR="0035161C">
        <w:rPr>
          <w:rFonts w:ascii="Times New Roman" w:hAnsi="Times New Roman" w:cs="Times New Roman"/>
          <w:sz w:val="24"/>
          <w:szCs w:val="24"/>
        </w:rPr>
        <w:t>…………………………………………………………………</w:t>
      </w:r>
      <w:r w:rsidR="00B6788F">
        <w:rPr>
          <w:rFonts w:ascii="Times New Roman" w:hAnsi="Times New Roman" w:cs="Times New Roman"/>
          <w:sz w:val="24"/>
          <w:szCs w:val="24"/>
        </w:rPr>
        <w:t>…….</w:t>
      </w:r>
      <w:r w:rsidR="00B6788F">
        <w:rPr>
          <w:rFonts w:ascii="Times New Roman" w:hAnsi="Times New Roman" w:cs="Times New Roman"/>
          <w:sz w:val="24"/>
          <w:szCs w:val="24"/>
        </w:rPr>
        <w:tab/>
        <w:t>85</w:t>
      </w:r>
    </w:p>
    <w:p w14:paraId="371C9FC9" w14:textId="6BDA1A8B" w:rsidR="000761BE" w:rsidRDefault="000761BE" w:rsidP="009971BE">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Figure 2.1: </w:t>
      </w:r>
      <w:r w:rsidRPr="00166012">
        <w:rPr>
          <w:rFonts w:ascii="Times New Roman" w:hAnsi="Times New Roman" w:cs="Times New Roman"/>
          <w:sz w:val="24"/>
          <w:szCs w:val="24"/>
        </w:rPr>
        <w:t>“The Embarkadero, or Wharf, of Santo Domingo, showing the Columbus Tree in the background”</w:t>
      </w:r>
      <w:r w:rsidR="0035161C">
        <w:rPr>
          <w:rFonts w:ascii="Times New Roman" w:hAnsi="Times New Roman" w:cs="Times New Roman"/>
          <w:sz w:val="24"/>
          <w:szCs w:val="24"/>
        </w:rPr>
        <w:t>……………………………………………………………………………….</w:t>
      </w:r>
      <w:r w:rsidR="00300215">
        <w:rPr>
          <w:rFonts w:ascii="Times New Roman" w:hAnsi="Times New Roman" w:cs="Times New Roman"/>
          <w:sz w:val="24"/>
          <w:szCs w:val="24"/>
        </w:rPr>
        <w:t>..</w:t>
      </w:r>
      <w:r w:rsidR="009971BE">
        <w:rPr>
          <w:rFonts w:ascii="Times New Roman" w:hAnsi="Times New Roman" w:cs="Times New Roman"/>
          <w:sz w:val="24"/>
          <w:szCs w:val="24"/>
        </w:rPr>
        <w:t>.....</w:t>
      </w:r>
      <w:r w:rsidR="009971BE">
        <w:rPr>
          <w:rFonts w:ascii="Times New Roman" w:hAnsi="Times New Roman" w:cs="Times New Roman"/>
          <w:sz w:val="24"/>
          <w:szCs w:val="24"/>
        </w:rPr>
        <w:tab/>
        <w:t>100</w:t>
      </w:r>
    </w:p>
    <w:p w14:paraId="602ABABC" w14:textId="6A482423" w:rsidR="000761BE" w:rsidRDefault="000761BE" w:rsidP="009971BE">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2.2: Hamilton Fish</w:t>
      </w:r>
      <w:r w:rsidR="0035161C">
        <w:rPr>
          <w:rFonts w:ascii="Times New Roman" w:hAnsi="Times New Roman" w:cs="Times New Roman"/>
          <w:sz w:val="24"/>
          <w:szCs w:val="24"/>
        </w:rPr>
        <w:t>…………………………………………………………………</w:t>
      </w:r>
      <w:r w:rsidR="009971BE">
        <w:rPr>
          <w:rFonts w:ascii="Times New Roman" w:hAnsi="Times New Roman" w:cs="Times New Roman"/>
          <w:sz w:val="24"/>
          <w:szCs w:val="24"/>
        </w:rPr>
        <w:t>…...</w:t>
      </w:r>
      <w:r w:rsidR="009971BE">
        <w:rPr>
          <w:rFonts w:ascii="Times New Roman" w:hAnsi="Times New Roman" w:cs="Times New Roman"/>
          <w:sz w:val="24"/>
          <w:szCs w:val="24"/>
        </w:rPr>
        <w:tab/>
        <w:t>109</w:t>
      </w:r>
    </w:p>
    <w:p w14:paraId="624A9A88" w14:textId="6997964A" w:rsidR="000761BE" w:rsidRDefault="000761BE" w:rsidP="009971BE">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2.3: Charles Sumner</w:t>
      </w:r>
      <w:r w:rsidR="0035161C">
        <w:rPr>
          <w:rFonts w:ascii="Times New Roman" w:hAnsi="Times New Roman" w:cs="Times New Roman"/>
          <w:sz w:val="24"/>
          <w:szCs w:val="24"/>
        </w:rPr>
        <w:t>………………………………………………………………</w:t>
      </w:r>
      <w:r w:rsidR="009971BE">
        <w:rPr>
          <w:rFonts w:ascii="Times New Roman" w:hAnsi="Times New Roman" w:cs="Times New Roman"/>
          <w:sz w:val="24"/>
          <w:szCs w:val="24"/>
        </w:rPr>
        <w:t>……</w:t>
      </w:r>
      <w:r w:rsidR="009971BE">
        <w:rPr>
          <w:rFonts w:ascii="Times New Roman" w:hAnsi="Times New Roman" w:cs="Times New Roman"/>
          <w:sz w:val="24"/>
          <w:szCs w:val="24"/>
        </w:rPr>
        <w:tab/>
        <w:t>133</w:t>
      </w:r>
    </w:p>
    <w:p w14:paraId="6317443F" w14:textId="0A83EC5E" w:rsidR="000761BE" w:rsidRDefault="000761BE" w:rsidP="009971BE">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3.1: “A Subtle and Unscrupulous Iago”</w:t>
      </w:r>
      <w:r w:rsidR="0035161C">
        <w:rPr>
          <w:rFonts w:ascii="Times New Roman" w:hAnsi="Times New Roman" w:cs="Times New Roman"/>
          <w:sz w:val="24"/>
          <w:szCs w:val="24"/>
        </w:rPr>
        <w:t>……………………………………………</w:t>
      </w:r>
      <w:r w:rsidR="009971BE">
        <w:rPr>
          <w:rFonts w:ascii="Times New Roman" w:hAnsi="Times New Roman" w:cs="Times New Roman"/>
          <w:sz w:val="24"/>
          <w:szCs w:val="24"/>
        </w:rPr>
        <w:t>..</w:t>
      </w:r>
      <w:r w:rsidR="00D75D3F">
        <w:rPr>
          <w:rFonts w:ascii="Times New Roman" w:hAnsi="Times New Roman" w:cs="Times New Roman"/>
          <w:sz w:val="24"/>
          <w:szCs w:val="24"/>
        </w:rPr>
        <w:t>…</w:t>
      </w:r>
      <w:r w:rsidR="009971BE">
        <w:rPr>
          <w:rFonts w:ascii="Times New Roman" w:hAnsi="Times New Roman" w:cs="Times New Roman"/>
          <w:sz w:val="24"/>
          <w:szCs w:val="24"/>
        </w:rPr>
        <w:tab/>
        <w:t>157</w:t>
      </w:r>
    </w:p>
    <w:p w14:paraId="0EA213DC" w14:textId="6752F11E" w:rsidR="000761BE" w:rsidRDefault="000761BE" w:rsidP="009971BE">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3.2: Alexander Robey Shepherd</w:t>
      </w:r>
      <w:r w:rsidR="00CE37E1">
        <w:rPr>
          <w:rFonts w:ascii="Times New Roman" w:hAnsi="Times New Roman" w:cs="Times New Roman"/>
          <w:sz w:val="24"/>
          <w:szCs w:val="24"/>
        </w:rPr>
        <w:t>……………………………………………………</w:t>
      </w:r>
      <w:r w:rsidR="00D75D3F">
        <w:rPr>
          <w:rFonts w:ascii="Times New Roman" w:hAnsi="Times New Roman" w:cs="Times New Roman"/>
          <w:sz w:val="24"/>
          <w:szCs w:val="24"/>
        </w:rPr>
        <w:t>…</w:t>
      </w:r>
      <w:r w:rsidR="009971BE">
        <w:rPr>
          <w:rFonts w:ascii="Times New Roman" w:hAnsi="Times New Roman" w:cs="Times New Roman"/>
          <w:sz w:val="24"/>
          <w:szCs w:val="24"/>
        </w:rPr>
        <w:tab/>
        <w:t>169</w:t>
      </w:r>
    </w:p>
    <w:p w14:paraId="7AE092C5" w14:textId="240FA27D" w:rsidR="000761BE" w:rsidRDefault="000761BE" w:rsidP="009971BE">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Figure 3.3: </w:t>
      </w:r>
      <w:r w:rsidRPr="00E30BBA">
        <w:rPr>
          <w:rFonts w:ascii="Times New Roman" w:hAnsi="Times New Roman" w:cs="Times New Roman"/>
          <w:sz w:val="24"/>
          <w:szCs w:val="24"/>
        </w:rPr>
        <w:t>“Don’t Let Us Have Any More of This Nonsense. It is a Good Trait to Stand By One’s Friends, But – ”</w:t>
      </w:r>
      <w:r w:rsidR="00CE37E1">
        <w:rPr>
          <w:rFonts w:ascii="Times New Roman" w:hAnsi="Times New Roman" w:cs="Times New Roman"/>
          <w:sz w:val="24"/>
          <w:szCs w:val="24"/>
        </w:rPr>
        <w:t>……………………………………………………………………</w:t>
      </w:r>
      <w:r w:rsidR="009971BE">
        <w:rPr>
          <w:rFonts w:ascii="Times New Roman" w:hAnsi="Times New Roman" w:cs="Times New Roman"/>
          <w:sz w:val="24"/>
          <w:szCs w:val="24"/>
        </w:rPr>
        <w:t>……</w:t>
      </w:r>
      <w:r w:rsidR="009971BE">
        <w:rPr>
          <w:rFonts w:ascii="Times New Roman" w:hAnsi="Times New Roman" w:cs="Times New Roman"/>
          <w:sz w:val="24"/>
          <w:szCs w:val="24"/>
        </w:rPr>
        <w:tab/>
        <w:t>176</w:t>
      </w:r>
    </w:p>
    <w:p w14:paraId="146B8415" w14:textId="0007EB17" w:rsidR="000761BE" w:rsidRDefault="000761BE" w:rsidP="009971BE">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3.4: Babcock Lakes</w:t>
      </w:r>
      <w:r w:rsidR="00CE37E1">
        <w:rPr>
          <w:rFonts w:ascii="Times New Roman" w:hAnsi="Times New Roman" w:cs="Times New Roman"/>
          <w:sz w:val="24"/>
          <w:szCs w:val="24"/>
        </w:rPr>
        <w:t>…………………………………………………………………</w:t>
      </w:r>
      <w:r w:rsidR="009971BE">
        <w:rPr>
          <w:rFonts w:ascii="Times New Roman" w:hAnsi="Times New Roman" w:cs="Times New Roman"/>
          <w:sz w:val="24"/>
          <w:szCs w:val="24"/>
        </w:rPr>
        <w:t>….</w:t>
      </w:r>
      <w:r w:rsidR="009971BE">
        <w:rPr>
          <w:rFonts w:ascii="Times New Roman" w:hAnsi="Times New Roman" w:cs="Times New Roman"/>
          <w:sz w:val="24"/>
          <w:szCs w:val="24"/>
        </w:rPr>
        <w:tab/>
        <w:t>193</w:t>
      </w:r>
    </w:p>
    <w:p w14:paraId="7BB6DE7C" w14:textId="5832FFA4" w:rsidR="000761BE" w:rsidRDefault="000761BE" w:rsidP="009971BE">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4.1: Impotent Rage</w:t>
      </w:r>
      <w:r w:rsidR="00CE37E1">
        <w:rPr>
          <w:rFonts w:ascii="Times New Roman" w:hAnsi="Times New Roman" w:cs="Times New Roman"/>
          <w:sz w:val="24"/>
          <w:szCs w:val="24"/>
        </w:rPr>
        <w:t>…………………………………………………………………</w:t>
      </w:r>
      <w:r w:rsidR="00D75D3F">
        <w:rPr>
          <w:rFonts w:ascii="Times New Roman" w:hAnsi="Times New Roman" w:cs="Times New Roman"/>
          <w:sz w:val="24"/>
          <w:szCs w:val="24"/>
        </w:rPr>
        <w:t>…</w:t>
      </w:r>
      <w:r w:rsidR="009971BE">
        <w:rPr>
          <w:rFonts w:ascii="Times New Roman" w:hAnsi="Times New Roman" w:cs="Times New Roman"/>
          <w:sz w:val="24"/>
          <w:szCs w:val="24"/>
        </w:rPr>
        <w:t>.</w:t>
      </w:r>
      <w:r w:rsidR="00D75D3F">
        <w:rPr>
          <w:rFonts w:ascii="Times New Roman" w:hAnsi="Times New Roman" w:cs="Times New Roman"/>
          <w:sz w:val="24"/>
          <w:szCs w:val="24"/>
        </w:rPr>
        <w:t>.</w:t>
      </w:r>
      <w:r w:rsidR="009971BE">
        <w:rPr>
          <w:rFonts w:ascii="Times New Roman" w:hAnsi="Times New Roman" w:cs="Times New Roman"/>
          <w:sz w:val="24"/>
          <w:szCs w:val="24"/>
        </w:rPr>
        <w:tab/>
        <w:t>199</w:t>
      </w:r>
    </w:p>
    <w:p w14:paraId="3182387A" w14:textId="0E6BD4E2" w:rsidR="000761BE" w:rsidRDefault="000761BE" w:rsidP="009971BE">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4.2: And The Whiskey Conspirators</w:t>
      </w:r>
      <w:r w:rsidR="00CE37E1">
        <w:rPr>
          <w:rFonts w:ascii="Times New Roman" w:hAnsi="Times New Roman" w:cs="Times New Roman"/>
          <w:sz w:val="24"/>
          <w:szCs w:val="24"/>
        </w:rPr>
        <w:t>………………………………………………</w:t>
      </w:r>
      <w:r w:rsidR="009971BE">
        <w:rPr>
          <w:rFonts w:ascii="Times New Roman" w:hAnsi="Times New Roman" w:cs="Times New Roman"/>
          <w:sz w:val="24"/>
          <w:szCs w:val="24"/>
        </w:rPr>
        <w:t>….</w:t>
      </w:r>
      <w:r w:rsidR="00CE37E1">
        <w:rPr>
          <w:rFonts w:ascii="Times New Roman" w:hAnsi="Times New Roman" w:cs="Times New Roman"/>
          <w:sz w:val="24"/>
          <w:szCs w:val="24"/>
        </w:rPr>
        <w:t>.</w:t>
      </w:r>
      <w:r w:rsidR="00D75D3F">
        <w:rPr>
          <w:rFonts w:ascii="Times New Roman" w:hAnsi="Times New Roman" w:cs="Times New Roman"/>
          <w:sz w:val="24"/>
          <w:szCs w:val="24"/>
        </w:rPr>
        <w:t>.</w:t>
      </w:r>
      <w:r w:rsidR="009971BE">
        <w:rPr>
          <w:rFonts w:ascii="Times New Roman" w:hAnsi="Times New Roman" w:cs="Times New Roman"/>
          <w:sz w:val="24"/>
          <w:szCs w:val="24"/>
        </w:rPr>
        <w:tab/>
        <w:t>201</w:t>
      </w:r>
    </w:p>
    <w:p w14:paraId="6BBD7CDB" w14:textId="1462987C" w:rsidR="000761BE" w:rsidRDefault="000761BE" w:rsidP="00483212">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Figure 5.1: Let No Whisky Escape</w:t>
      </w:r>
      <w:r w:rsidR="00CE37E1">
        <w:rPr>
          <w:rFonts w:ascii="Times New Roman" w:hAnsi="Times New Roman" w:cs="Times New Roman"/>
          <w:sz w:val="24"/>
          <w:szCs w:val="24"/>
        </w:rPr>
        <w:t>………………………………………………………</w:t>
      </w:r>
      <w:r w:rsidR="00483212">
        <w:rPr>
          <w:rFonts w:ascii="Times New Roman" w:hAnsi="Times New Roman" w:cs="Times New Roman"/>
          <w:sz w:val="24"/>
          <w:szCs w:val="24"/>
        </w:rPr>
        <w:t>…….</w:t>
      </w:r>
      <w:r w:rsidR="00483212">
        <w:rPr>
          <w:rFonts w:ascii="Times New Roman" w:hAnsi="Times New Roman" w:cs="Times New Roman"/>
          <w:sz w:val="24"/>
          <w:szCs w:val="24"/>
        </w:rPr>
        <w:tab/>
        <w:t>236</w:t>
      </w:r>
    </w:p>
    <w:p w14:paraId="5F6BC3E9" w14:textId="49426C3D" w:rsidR="000761BE" w:rsidRDefault="000761BE" w:rsidP="00483212">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5.2: General John McDonald</w:t>
      </w:r>
      <w:r w:rsidR="00CE37E1">
        <w:rPr>
          <w:rFonts w:ascii="Times New Roman" w:hAnsi="Times New Roman" w:cs="Times New Roman"/>
          <w:sz w:val="24"/>
          <w:szCs w:val="24"/>
        </w:rPr>
        <w:t>………………………………………………………...</w:t>
      </w:r>
      <w:r w:rsidR="00D75D3F">
        <w:rPr>
          <w:rFonts w:ascii="Times New Roman" w:hAnsi="Times New Roman" w:cs="Times New Roman"/>
          <w:sz w:val="24"/>
          <w:szCs w:val="24"/>
        </w:rPr>
        <w:t>.</w:t>
      </w:r>
      <w:r w:rsidR="00483212">
        <w:rPr>
          <w:rFonts w:ascii="Times New Roman" w:hAnsi="Times New Roman" w:cs="Times New Roman"/>
          <w:sz w:val="24"/>
          <w:szCs w:val="24"/>
        </w:rPr>
        <w:t>..</w:t>
      </w:r>
      <w:r w:rsidR="00483212">
        <w:rPr>
          <w:rFonts w:ascii="Times New Roman" w:hAnsi="Times New Roman" w:cs="Times New Roman"/>
          <w:sz w:val="24"/>
          <w:szCs w:val="24"/>
        </w:rPr>
        <w:tab/>
        <w:t>243</w:t>
      </w:r>
    </w:p>
    <w:p w14:paraId="4447A047" w14:textId="67B08A1C" w:rsidR="000761BE" w:rsidRDefault="000761BE" w:rsidP="00483212">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5.3: Benjamin H. Bristow</w:t>
      </w:r>
      <w:r w:rsidR="00CE37E1">
        <w:rPr>
          <w:rFonts w:ascii="Times New Roman" w:hAnsi="Times New Roman" w:cs="Times New Roman"/>
          <w:sz w:val="24"/>
          <w:szCs w:val="24"/>
        </w:rPr>
        <w:t>……………………………………………………</w:t>
      </w:r>
      <w:r w:rsidR="00483212">
        <w:rPr>
          <w:rFonts w:ascii="Times New Roman" w:hAnsi="Times New Roman" w:cs="Times New Roman"/>
          <w:sz w:val="24"/>
          <w:szCs w:val="24"/>
        </w:rPr>
        <w:t>………</w:t>
      </w:r>
      <w:r w:rsidR="00CE37E1">
        <w:rPr>
          <w:rFonts w:ascii="Times New Roman" w:hAnsi="Times New Roman" w:cs="Times New Roman"/>
          <w:sz w:val="24"/>
          <w:szCs w:val="24"/>
        </w:rPr>
        <w:t>…</w:t>
      </w:r>
      <w:r w:rsidR="00483212">
        <w:rPr>
          <w:rFonts w:ascii="Times New Roman" w:hAnsi="Times New Roman" w:cs="Times New Roman"/>
          <w:sz w:val="24"/>
          <w:szCs w:val="24"/>
        </w:rPr>
        <w:tab/>
        <w:t>261</w:t>
      </w:r>
    </w:p>
    <w:p w14:paraId="0ADCAD72" w14:textId="5B2EFBB8" w:rsidR="000761BE" w:rsidRDefault="000761BE" w:rsidP="00483212">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Figure 5.4: The Great Whiskey Ring Trial</w:t>
      </w:r>
      <w:r w:rsidR="00CE37E1">
        <w:rPr>
          <w:rFonts w:ascii="Times New Roman" w:hAnsi="Times New Roman" w:cs="Times New Roman"/>
          <w:sz w:val="24"/>
          <w:szCs w:val="24"/>
        </w:rPr>
        <w:t>………………………………………………</w:t>
      </w:r>
      <w:r w:rsidR="00483212">
        <w:rPr>
          <w:rFonts w:ascii="Times New Roman" w:hAnsi="Times New Roman" w:cs="Times New Roman"/>
          <w:sz w:val="24"/>
          <w:szCs w:val="24"/>
        </w:rPr>
        <w:t>…….</w:t>
      </w:r>
      <w:r w:rsidR="00483212">
        <w:rPr>
          <w:rFonts w:ascii="Times New Roman" w:hAnsi="Times New Roman" w:cs="Times New Roman"/>
          <w:sz w:val="24"/>
          <w:szCs w:val="24"/>
        </w:rPr>
        <w:tab/>
        <w:t>290</w:t>
      </w:r>
    </w:p>
    <w:p w14:paraId="4EF6A63C" w14:textId="2D59BF6C" w:rsidR="000761BE" w:rsidRDefault="000761BE" w:rsidP="00483212">
      <w:pPr>
        <w:tabs>
          <w:tab w:val="right" w:pos="9270"/>
        </w:tabs>
        <w:spacing w:line="480" w:lineRule="auto"/>
        <w:rPr>
          <w:rFonts w:ascii="Times New Roman" w:hAnsi="Times New Roman" w:cs="Times New Roman"/>
          <w:sz w:val="24"/>
          <w:szCs w:val="24"/>
        </w:rPr>
      </w:pPr>
      <w:r>
        <w:rPr>
          <w:rFonts w:ascii="Times New Roman" w:hAnsi="Times New Roman" w:cs="Times New Roman"/>
          <w:sz w:val="24"/>
          <w:szCs w:val="24"/>
        </w:rPr>
        <w:t xml:space="preserve">Figure 6.1: </w:t>
      </w:r>
      <w:r w:rsidRPr="00AA23A2">
        <w:rPr>
          <w:rFonts w:ascii="Times New Roman" w:hAnsi="Times New Roman" w:cs="Times New Roman"/>
          <w:sz w:val="24"/>
          <w:szCs w:val="24"/>
        </w:rPr>
        <w:t>“Puck Wants a Strong Man at the Head of Government – But Not This Kind</w:t>
      </w:r>
      <w:r w:rsidR="00CE37E1">
        <w:rPr>
          <w:rFonts w:ascii="Times New Roman" w:hAnsi="Times New Roman" w:cs="Times New Roman"/>
          <w:sz w:val="24"/>
          <w:szCs w:val="24"/>
        </w:rPr>
        <w:t>”</w:t>
      </w:r>
      <w:r w:rsidR="00D75D3F">
        <w:rPr>
          <w:rFonts w:ascii="Times New Roman" w:hAnsi="Times New Roman" w:cs="Times New Roman"/>
          <w:sz w:val="24"/>
          <w:szCs w:val="24"/>
        </w:rPr>
        <w:t>….</w:t>
      </w:r>
      <w:r w:rsidR="00483212">
        <w:rPr>
          <w:rFonts w:ascii="Times New Roman" w:hAnsi="Times New Roman" w:cs="Times New Roman"/>
          <w:sz w:val="24"/>
          <w:szCs w:val="24"/>
        </w:rPr>
        <w:t>..</w:t>
      </w:r>
      <w:r w:rsidR="00483212">
        <w:rPr>
          <w:rFonts w:ascii="Times New Roman" w:hAnsi="Times New Roman" w:cs="Times New Roman"/>
          <w:sz w:val="24"/>
          <w:szCs w:val="24"/>
        </w:rPr>
        <w:tab/>
        <w:t>306</w:t>
      </w:r>
    </w:p>
    <w:p w14:paraId="743D2E98" w14:textId="77777777" w:rsidR="000761BE" w:rsidRDefault="000761BE" w:rsidP="00EB755A">
      <w:pPr>
        <w:spacing w:line="480" w:lineRule="auto"/>
        <w:ind w:firstLine="720"/>
        <w:rPr>
          <w:rFonts w:ascii="Times New Roman" w:hAnsi="Times New Roman" w:cs="Times New Roman"/>
          <w:sz w:val="24"/>
          <w:szCs w:val="24"/>
        </w:rPr>
      </w:pPr>
    </w:p>
    <w:p w14:paraId="6A39B859" w14:textId="77777777" w:rsidR="00DB5161" w:rsidRDefault="00DB5161" w:rsidP="00EB755A">
      <w:pPr>
        <w:spacing w:line="480" w:lineRule="auto"/>
        <w:ind w:firstLine="720"/>
        <w:rPr>
          <w:rFonts w:ascii="Times New Roman" w:hAnsi="Times New Roman" w:cs="Times New Roman"/>
          <w:sz w:val="24"/>
          <w:szCs w:val="24"/>
        </w:rPr>
      </w:pPr>
    </w:p>
    <w:p w14:paraId="256154D2" w14:textId="77777777" w:rsidR="00DB5161" w:rsidRDefault="00DB5161" w:rsidP="00EB755A">
      <w:pPr>
        <w:spacing w:line="480" w:lineRule="auto"/>
        <w:ind w:firstLine="720"/>
        <w:rPr>
          <w:rFonts w:ascii="Times New Roman" w:hAnsi="Times New Roman" w:cs="Times New Roman"/>
          <w:sz w:val="24"/>
          <w:szCs w:val="24"/>
        </w:rPr>
      </w:pPr>
    </w:p>
    <w:p w14:paraId="6981C604" w14:textId="77777777" w:rsidR="00B22E52" w:rsidRDefault="00B22E52" w:rsidP="00EB755A">
      <w:pPr>
        <w:spacing w:line="480" w:lineRule="auto"/>
        <w:ind w:firstLine="720"/>
        <w:rPr>
          <w:rFonts w:ascii="Times New Roman" w:hAnsi="Times New Roman" w:cs="Times New Roman"/>
          <w:sz w:val="24"/>
          <w:szCs w:val="24"/>
        </w:rPr>
        <w:sectPr w:rsidR="00B22E52" w:rsidSect="00B22E52">
          <w:headerReference w:type="default" r:id="rId8"/>
          <w:pgSz w:w="12240" w:h="15840"/>
          <w:pgMar w:top="1440" w:right="1440" w:bottom="1440" w:left="1440" w:header="720" w:footer="720" w:gutter="0"/>
          <w:pgNumType w:fmt="lowerRoman"/>
          <w:cols w:space="720"/>
          <w:titlePg/>
          <w:docGrid w:linePitch="360"/>
        </w:sectPr>
      </w:pPr>
    </w:p>
    <w:p w14:paraId="081A1DE1" w14:textId="2CB4A8A4" w:rsidR="00DB5161" w:rsidRDefault="00DB5161" w:rsidP="00DB5161">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Introduction</w:t>
      </w:r>
    </w:p>
    <w:p w14:paraId="083CB63F" w14:textId="15392E37" w:rsidR="00EB755A" w:rsidRPr="00E93DA3" w:rsidRDefault="00EB755A" w:rsidP="00EB755A">
      <w:pPr>
        <w:spacing w:line="480" w:lineRule="auto"/>
        <w:ind w:firstLine="720"/>
        <w:rPr>
          <w:rFonts w:ascii="Times New Roman" w:hAnsi="Times New Roman" w:cs="Times New Roman"/>
          <w:sz w:val="24"/>
          <w:szCs w:val="24"/>
        </w:rPr>
      </w:pPr>
      <w:r>
        <w:rPr>
          <w:rFonts w:ascii="Times New Roman" w:hAnsi="Times New Roman" w:cs="Times New Roman"/>
          <w:sz w:val="24"/>
          <w:szCs w:val="24"/>
        </w:rPr>
        <w:t>On April 9</w:t>
      </w:r>
      <w:r w:rsidRPr="00281B41">
        <w:rPr>
          <w:rFonts w:ascii="Times New Roman" w:hAnsi="Times New Roman" w:cs="Times New Roman"/>
          <w:sz w:val="24"/>
          <w:szCs w:val="24"/>
          <w:vertAlign w:val="superscript"/>
        </w:rPr>
        <w:t>th</w:t>
      </w:r>
      <w:r>
        <w:rPr>
          <w:rFonts w:ascii="Times New Roman" w:hAnsi="Times New Roman" w:cs="Times New Roman"/>
          <w:sz w:val="24"/>
          <w:szCs w:val="24"/>
        </w:rPr>
        <w:t>, 1865, General Orville Babcock set out on horseback to cross enemy lines under a flag of truce to arrange a meeting at Appomattox Court House, Virginia, between the man many considered the greatest military figure in American history since George Washington, Robert E. Lee, and the man whom Babcock served and who</w:t>
      </w:r>
      <w:r w:rsidR="00F155D9">
        <w:rPr>
          <w:rFonts w:ascii="Times New Roman" w:hAnsi="Times New Roman" w:cs="Times New Roman"/>
          <w:sz w:val="24"/>
          <w:szCs w:val="24"/>
        </w:rPr>
        <w:t xml:space="preserve"> </w:t>
      </w:r>
      <w:r>
        <w:rPr>
          <w:rFonts w:ascii="Times New Roman" w:hAnsi="Times New Roman" w:cs="Times New Roman"/>
          <w:sz w:val="24"/>
          <w:szCs w:val="24"/>
        </w:rPr>
        <w:t>defeated Lee, General Ulysses S. Grant.</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790617">
        <w:rPr>
          <w:rFonts w:ascii="Times New Roman" w:hAnsi="Times New Roman" w:cs="Times New Roman"/>
          <w:sz w:val="24"/>
          <w:szCs w:val="24"/>
        </w:rPr>
        <w:t>Arriving</w:t>
      </w:r>
      <w:r>
        <w:rPr>
          <w:rFonts w:ascii="Times New Roman" w:hAnsi="Times New Roman" w:cs="Times New Roman"/>
          <w:sz w:val="24"/>
          <w:szCs w:val="24"/>
        </w:rPr>
        <w:t xml:space="preserve"> to find Lee </w:t>
      </w:r>
      <w:r w:rsidR="00790617">
        <w:rPr>
          <w:rFonts w:ascii="Times New Roman" w:hAnsi="Times New Roman" w:cs="Times New Roman"/>
          <w:sz w:val="24"/>
          <w:szCs w:val="24"/>
        </w:rPr>
        <w:t>waiti</w:t>
      </w:r>
      <w:r>
        <w:rPr>
          <w:rFonts w:ascii="Times New Roman" w:hAnsi="Times New Roman" w:cs="Times New Roman"/>
          <w:sz w:val="24"/>
          <w:szCs w:val="24"/>
        </w:rPr>
        <w:t>ng amidst an apple orchard, Babcock was</w:t>
      </w:r>
      <w:r w:rsidR="007851F0">
        <w:rPr>
          <w:rFonts w:ascii="Times New Roman" w:hAnsi="Times New Roman" w:cs="Times New Roman"/>
          <w:sz w:val="24"/>
          <w:szCs w:val="24"/>
        </w:rPr>
        <w:t xml:space="preserve"> also</w:t>
      </w:r>
      <w:r>
        <w:rPr>
          <w:rFonts w:ascii="Times New Roman" w:hAnsi="Times New Roman" w:cs="Times New Roman"/>
          <w:sz w:val="24"/>
          <w:szCs w:val="24"/>
        </w:rPr>
        <w:t xml:space="preserve"> calm given the gravity of the situation and his role in it. Lee was preparing to meet with Grant to discuss the terms of surrender of the Army of Northern Virginia, all but bringing an end to the Civil War.</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In fact, Babcock bore a resemblance to his commander from afar, and several </w:t>
      </w:r>
      <w:r w:rsidR="00BE2EF3">
        <w:rPr>
          <w:rFonts w:ascii="Times New Roman" w:hAnsi="Times New Roman" w:cs="Times New Roman"/>
          <w:sz w:val="24"/>
          <w:szCs w:val="24"/>
        </w:rPr>
        <w:t xml:space="preserve">nearby </w:t>
      </w:r>
      <w:r>
        <w:rPr>
          <w:rFonts w:ascii="Times New Roman" w:hAnsi="Times New Roman" w:cs="Times New Roman"/>
          <w:sz w:val="24"/>
          <w:szCs w:val="24"/>
        </w:rPr>
        <w:t xml:space="preserve">Confederate soldiers mistook him </w:t>
      </w:r>
      <w:r w:rsidR="00805F6C">
        <w:rPr>
          <w:rFonts w:ascii="Times New Roman" w:hAnsi="Times New Roman" w:cs="Times New Roman"/>
          <w:sz w:val="24"/>
          <w:szCs w:val="24"/>
        </w:rPr>
        <w:t>for</w:t>
      </w:r>
      <w:r>
        <w:rPr>
          <w:rFonts w:ascii="Times New Roman" w:hAnsi="Times New Roman" w:cs="Times New Roman"/>
          <w:sz w:val="24"/>
          <w:szCs w:val="24"/>
        </w:rPr>
        <w:t xml:space="preserve"> General Grant coming to hold the surrender meeting there.</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Babcock escorted Lee to the McLean House, the chosen site of surrender, and stood by as the two generals effectively ended the </w:t>
      </w:r>
      <w:r w:rsidR="00B86897">
        <w:rPr>
          <w:rFonts w:ascii="Times New Roman" w:hAnsi="Times New Roman" w:cs="Times New Roman"/>
          <w:sz w:val="24"/>
          <w:szCs w:val="24"/>
        </w:rPr>
        <w:t>combat</w:t>
      </w:r>
      <w:r>
        <w:rPr>
          <w:rFonts w:ascii="Times New Roman" w:hAnsi="Times New Roman" w:cs="Times New Roman"/>
          <w:sz w:val="24"/>
          <w:szCs w:val="24"/>
        </w:rPr>
        <w:t xml:space="preserve"> in the Eastern Theater. This cessation of warfare in Virginia, arguably the most impactful theater during the Southern Rebellion, </w:t>
      </w:r>
      <w:r w:rsidR="00B86897">
        <w:rPr>
          <w:rFonts w:ascii="Times New Roman" w:hAnsi="Times New Roman" w:cs="Times New Roman"/>
          <w:sz w:val="24"/>
          <w:szCs w:val="24"/>
        </w:rPr>
        <w:t>ended</w:t>
      </w:r>
      <w:r>
        <w:rPr>
          <w:rFonts w:ascii="Times New Roman" w:hAnsi="Times New Roman" w:cs="Times New Roman"/>
          <w:sz w:val="24"/>
          <w:szCs w:val="24"/>
        </w:rPr>
        <w:t xml:space="preserve"> nearly four years of hostility in the region and more than thirteen months </w:t>
      </w:r>
      <w:r w:rsidR="00673D28">
        <w:rPr>
          <w:rFonts w:ascii="Times New Roman" w:hAnsi="Times New Roman" w:cs="Times New Roman"/>
          <w:sz w:val="24"/>
          <w:szCs w:val="24"/>
        </w:rPr>
        <w:t>of</w:t>
      </w:r>
      <w:r>
        <w:rPr>
          <w:rFonts w:ascii="Times New Roman" w:hAnsi="Times New Roman" w:cs="Times New Roman"/>
          <w:sz w:val="24"/>
          <w:szCs w:val="24"/>
        </w:rPr>
        <w:t xml:space="preserve"> Grant and his Army of the Potomac pursu</w:t>
      </w:r>
      <w:r w:rsidR="00673D28">
        <w:rPr>
          <w:rFonts w:ascii="Times New Roman" w:hAnsi="Times New Roman" w:cs="Times New Roman"/>
          <w:sz w:val="24"/>
          <w:szCs w:val="24"/>
        </w:rPr>
        <w:t>ing</w:t>
      </w:r>
      <w:r>
        <w:rPr>
          <w:rFonts w:ascii="Times New Roman" w:hAnsi="Times New Roman" w:cs="Times New Roman"/>
          <w:sz w:val="24"/>
          <w:szCs w:val="24"/>
        </w:rPr>
        <w:t xml:space="preserve"> Lee’s forces during the Overland Campaign.</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Babcock was the architect of Appomattox, the man General Grant trusted to organize the critical meeting between the two opposing generals. Babcock selected the McLean House as the site of the meeting.</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He escorted </w:t>
      </w:r>
      <w:r>
        <w:rPr>
          <w:rFonts w:ascii="Times New Roman" w:hAnsi="Times New Roman" w:cs="Times New Roman"/>
          <w:sz w:val="24"/>
          <w:szCs w:val="24"/>
        </w:rPr>
        <w:lastRenderedPageBreak/>
        <w:t>Lee to the house and stood in the room during the historic surrender</w:t>
      </w:r>
      <w:r w:rsidR="00B66D9C">
        <w:rPr>
          <w:rFonts w:ascii="Times New Roman" w:hAnsi="Times New Roman" w:cs="Times New Roman"/>
          <w:sz w:val="24"/>
          <w:szCs w:val="24"/>
        </w:rPr>
        <w:t xml:space="preserve"> (</w:t>
      </w:r>
      <w:r w:rsidR="00B66D9C">
        <w:rPr>
          <w:rFonts w:ascii="Times New Roman" w:hAnsi="Times New Roman" w:cs="Times New Roman"/>
          <w:b/>
          <w:bCs/>
          <w:sz w:val="24"/>
          <w:szCs w:val="24"/>
        </w:rPr>
        <w:t>Figure I.1</w:t>
      </w:r>
      <w:r w:rsidR="00B66D9C">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Babcock was a critical piece in the establishment of peace in the Civil War.</w:t>
      </w:r>
    </w:p>
    <w:p w14:paraId="02BD1EAD" w14:textId="4C36F13E" w:rsidR="0074113A" w:rsidRPr="00932FC1" w:rsidRDefault="00EB755A" w:rsidP="0074113A">
      <w:pPr>
        <w:spacing w:line="480" w:lineRule="auto"/>
        <w:ind w:firstLine="720"/>
        <w:rPr>
          <w:rFonts w:ascii="Times New Roman" w:hAnsi="Times New Roman" w:cs="Times New Roman"/>
          <w:sz w:val="24"/>
          <w:szCs w:val="24"/>
        </w:rPr>
      </w:pPr>
      <w:r>
        <w:rPr>
          <w:rFonts w:ascii="Times New Roman" w:hAnsi="Times New Roman" w:cs="Times New Roman"/>
          <w:sz w:val="24"/>
          <w:szCs w:val="24"/>
        </w:rPr>
        <w:t>How did Orville Babcock, a figure who has been largely lost in the historical record, become such an important figure in the end of the Civil War? Babcock was a graduate of West Point who joined the Army Corps of Engineers before the shelling of Fort Sumter.</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He rose through the ranks during the early years of the war, and General Grant </w:t>
      </w:r>
      <w:r w:rsidR="0074113A">
        <w:rPr>
          <w:rFonts w:ascii="Times New Roman" w:hAnsi="Times New Roman" w:cs="Times New Roman"/>
          <w:sz w:val="24"/>
          <w:szCs w:val="24"/>
        </w:rPr>
        <w:t>nam</w:t>
      </w:r>
      <w:r>
        <w:rPr>
          <w:rFonts w:ascii="Times New Roman" w:hAnsi="Times New Roman" w:cs="Times New Roman"/>
          <w:sz w:val="24"/>
          <w:szCs w:val="24"/>
        </w:rPr>
        <w:t xml:space="preserve">ed him his </w:t>
      </w:r>
      <w:r>
        <w:rPr>
          <w:rFonts w:ascii="Times New Roman" w:hAnsi="Times New Roman" w:cs="Times New Roman"/>
          <w:i/>
          <w:iCs/>
          <w:sz w:val="24"/>
          <w:szCs w:val="24"/>
        </w:rPr>
        <w:t xml:space="preserve">aide-de-campe </w:t>
      </w:r>
      <w:r>
        <w:rPr>
          <w:rFonts w:ascii="Times New Roman" w:hAnsi="Times New Roman" w:cs="Times New Roman"/>
          <w:sz w:val="24"/>
          <w:szCs w:val="24"/>
        </w:rPr>
        <w:t>in 1864.</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He served under Grant for the remainder of the war. If General William Tecumseh Sherman was Grant’s right hand, operating as an extension of Grant in the deeper South, Babcock was his left. While more well-known generals operated in the open and </w:t>
      </w:r>
      <w:r w:rsidR="0074113A">
        <w:rPr>
          <w:rFonts w:ascii="Times New Roman" w:hAnsi="Times New Roman" w:cs="Times New Roman"/>
          <w:sz w:val="24"/>
          <w:szCs w:val="24"/>
        </w:rPr>
        <w:t>received the praise and criticism, Babcock worked from his commander’s tent to execute the quotidian military minutiae, utilizing his training as an engineer to ensure proper conditions for Union troops. Babcock also traveled on behalf of Grant, serving as his eyes and ears on tours of fortifications and visits to the encampments of other Union generals while Grant oversaw his own forces.</w:t>
      </w:r>
      <w:r w:rsidR="0074113A">
        <w:rPr>
          <w:rStyle w:val="FootnoteReference"/>
          <w:rFonts w:ascii="Times New Roman" w:hAnsi="Times New Roman" w:cs="Times New Roman"/>
          <w:sz w:val="24"/>
          <w:szCs w:val="24"/>
        </w:rPr>
        <w:footnoteReference w:id="9"/>
      </w:r>
      <w:r w:rsidR="0074113A">
        <w:rPr>
          <w:rFonts w:ascii="Times New Roman" w:hAnsi="Times New Roman" w:cs="Times New Roman"/>
          <w:sz w:val="24"/>
          <w:szCs w:val="24"/>
        </w:rPr>
        <w:t xml:space="preserve"> Grant deeply trusted Babcock, and Babcock showed his gratitude through able work and commitment to the man he considered not only his patron, but his friend.</w:t>
      </w:r>
    </w:p>
    <w:p w14:paraId="71C5F8A2" w14:textId="1984CAE8" w:rsidR="0074113A" w:rsidRDefault="009931C4" w:rsidP="00EB755A">
      <w:pPr>
        <w:spacing w:line="480" w:lineRule="auto"/>
        <w:ind w:firstLine="720"/>
        <w:rPr>
          <w:rFonts w:ascii="Times New Roman" w:hAnsi="Times New Roman" w:cs="Times New Roman"/>
          <w:sz w:val="24"/>
          <w:szCs w:val="24"/>
        </w:rPr>
      </w:pPr>
      <w:r>
        <w:rPr>
          <w:rFonts w:ascii="Times New Roman" w:hAnsi="Times New Roman" w:cs="Times New Roman"/>
          <w:sz w:val="24"/>
          <w:szCs w:val="24"/>
        </w:rPr>
        <w:t>Babcock, like many other Union soldiers during the Civil War, respected and emulated General Grant in their actions. Arguably the most significant trait these men learned from Grant was his pragmatism, or his understanding of cruel realities and his determination to accomplish</w:t>
      </w:r>
    </w:p>
    <w:p w14:paraId="72723B23" w14:textId="495B27B8" w:rsidR="0074113A" w:rsidRDefault="009931C4" w:rsidP="009931C4">
      <w:pPr>
        <w:spacing w:line="480" w:lineRule="auto"/>
        <w:rPr>
          <w:rFonts w:ascii="Times New Roman" w:hAnsi="Times New Roman" w:cs="Times New Roman"/>
          <w:sz w:val="24"/>
          <w:szCs w:val="24"/>
        </w:rPr>
      </w:pPr>
      <w:r>
        <w:rPr>
          <w:rFonts w:ascii="Times New Roman" w:hAnsi="Times New Roman" w:cs="Times New Roman"/>
          <w:sz w:val="24"/>
          <w:szCs w:val="24"/>
        </w:rPr>
        <w:t xml:space="preserve">tasks before him regardless of outside perceptions, focusing instead on success. Perhaps </w:t>
      </w:r>
      <w:r>
        <w:rPr>
          <w:rFonts w:ascii="Times New Roman" w:hAnsi="Times New Roman" w:cs="Times New Roman"/>
          <w:sz w:val="24"/>
          <w:szCs w:val="24"/>
        </w:rPr>
        <w:t>this is</w:t>
      </w:r>
    </w:p>
    <w:p w14:paraId="4F0E00E3" w14:textId="77777777" w:rsidR="00EB755A" w:rsidRDefault="00EB755A" w:rsidP="00375F8F">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6DB97BD" wp14:editId="2B6E0286">
            <wp:extent cx="4053840" cy="2465220"/>
            <wp:effectExtent l="0" t="0" r="3810" b="0"/>
            <wp:docPr id="229338363" name="Picture 1" descr="A group of men in military uniforms shak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38363" name="Picture 1" descr="A group of men in military uniforms shaking hand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92581" cy="2488779"/>
                    </a:xfrm>
                    <a:prstGeom prst="rect">
                      <a:avLst/>
                    </a:prstGeom>
                  </pic:spPr>
                </pic:pic>
              </a:graphicData>
            </a:graphic>
          </wp:inline>
        </w:drawing>
      </w:r>
    </w:p>
    <w:p w14:paraId="5AF106E6" w14:textId="151ECDF4" w:rsidR="00EB755A" w:rsidRPr="0074113A" w:rsidRDefault="00BD7C69" w:rsidP="00375F8F">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Figure </w:t>
      </w:r>
      <w:r w:rsidR="008A5EF4">
        <w:rPr>
          <w:rFonts w:ascii="Times New Roman" w:hAnsi="Times New Roman" w:cs="Times New Roman"/>
          <w:b/>
          <w:bCs/>
          <w:sz w:val="20"/>
          <w:szCs w:val="20"/>
        </w:rPr>
        <w:t>I</w:t>
      </w:r>
      <w:r>
        <w:rPr>
          <w:rFonts w:ascii="Times New Roman" w:hAnsi="Times New Roman" w:cs="Times New Roman"/>
          <w:b/>
          <w:bCs/>
          <w:sz w:val="20"/>
          <w:szCs w:val="20"/>
        </w:rPr>
        <w:t xml:space="preserve">.1: </w:t>
      </w:r>
      <w:r w:rsidR="00EB755A">
        <w:rPr>
          <w:rFonts w:ascii="Times New Roman" w:hAnsi="Times New Roman" w:cs="Times New Roman"/>
          <w:b/>
          <w:bCs/>
          <w:sz w:val="20"/>
          <w:szCs w:val="20"/>
        </w:rPr>
        <w:t>Peace in Union</w:t>
      </w:r>
      <w:r w:rsidR="00EB755A">
        <w:rPr>
          <w:rStyle w:val="FootnoteReference"/>
          <w:rFonts w:ascii="Times New Roman" w:hAnsi="Times New Roman" w:cs="Times New Roman"/>
          <w:b/>
          <w:bCs/>
          <w:sz w:val="20"/>
          <w:szCs w:val="20"/>
        </w:rPr>
        <w:footnoteReference w:id="10"/>
      </w:r>
      <w:r w:rsidR="00EB755A">
        <w:rPr>
          <w:rFonts w:ascii="Times New Roman" w:hAnsi="Times New Roman" w:cs="Times New Roman"/>
          <w:sz w:val="20"/>
          <w:szCs w:val="20"/>
        </w:rPr>
        <w:t>: This painting, made by noted artist and political commentator Thomas Nast, depicts the fateful meeting between Union General Ulysses S. Grant and Confederate General Robert E. Lee that unofficially ended the Civil War. Orville Babcock can be seen at the far right, as he was the officer who brought Lee behind enemy lines to discuss the terms of his surrender.</w:t>
      </w:r>
      <w:r w:rsidR="00A37917">
        <w:rPr>
          <w:rFonts w:ascii="Times New Roman" w:hAnsi="Times New Roman" w:cs="Times New Roman"/>
          <w:sz w:val="20"/>
          <w:szCs w:val="20"/>
        </w:rPr>
        <w:t xml:space="preserve"> Also pictured behind Grant are Union figures such as Philip Sheridan, Ely Parker, and George Custer.</w:t>
      </w:r>
    </w:p>
    <w:p w14:paraId="56CCB708" w14:textId="325D88F0" w:rsidR="00EB755A" w:rsidRDefault="00EB755A" w:rsidP="009931C4">
      <w:pPr>
        <w:spacing w:line="480" w:lineRule="auto"/>
        <w:rPr>
          <w:rFonts w:ascii="Times New Roman" w:hAnsi="Times New Roman" w:cs="Times New Roman"/>
          <w:sz w:val="24"/>
          <w:szCs w:val="24"/>
        </w:rPr>
      </w:pPr>
      <w:r>
        <w:rPr>
          <w:rFonts w:ascii="Times New Roman" w:hAnsi="Times New Roman" w:cs="Times New Roman"/>
          <w:sz w:val="24"/>
          <w:szCs w:val="24"/>
        </w:rPr>
        <w:t>best exemplified by Grant’s actions at the Battle of Shiloh. In Pittsburg Landing, T</w:t>
      </w:r>
      <w:r w:rsidR="008D2B36">
        <w:rPr>
          <w:rFonts w:ascii="Times New Roman" w:hAnsi="Times New Roman" w:cs="Times New Roman"/>
          <w:sz w:val="24"/>
          <w:szCs w:val="24"/>
        </w:rPr>
        <w:t>ennessee,</w:t>
      </w:r>
      <w:r>
        <w:rPr>
          <w:rFonts w:ascii="Times New Roman" w:hAnsi="Times New Roman" w:cs="Times New Roman"/>
          <w:sz w:val="24"/>
          <w:szCs w:val="24"/>
        </w:rPr>
        <w:t xml:space="preserve"> in April 1862, the Battle of Shiloh was one of the costliest in American history, with nearly 24,000 casualties across the two-day </w:t>
      </w:r>
      <w:r w:rsidR="0048447A">
        <w:rPr>
          <w:rFonts w:ascii="Times New Roman" w:hAnsi="Times New Roman" w:cs="Times New Roman"/>
          <w:sz w:val="24"/>
          <w:szCs w:val="24"/>
        </w:rPr>
        <w:t>contest</w:t>
      </w:r>
      <w:r>
        <w:rPr>
          <w:rFonts w:ascii="Times New Roman" w:hAnsi="Times New Roman" w:cs="Times New Roman"/>
          <w:sz w:val="24"/>
          <w:szCs w:val="24"/>
        </w:rPr>
        <w:t>, more than all official wars in the nation’s history to that point.</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The majority of these losses came from Union troops, and though they began the battle with more forces, the </w:t>
      </w:r>
      <w:r w:rsidRPr="00D54929">
        <w:rPr>
          <w:rFonts w:ascii="Times New Roman" w:hAnsi="Times New Roman" w:cs="Times New Roman"/>
          <w:sz w:val="24"/>
          <w:szCs w:val="24"/>
        </w:rPr>
        <w:t>high totals signaled an alarm to the general public.</w:t>
      </w:r>
      <w:r>
        <w:rPr>
          <w:rStyle w:val="FootnoteReference"/>
          <w:rFonts w:ascii="Times New Roman" w:hAnsi="Times New Roman" w:cs="Times New Roman"/>
          <w:sz w:val="24"/>
          <w:szCs w:val="24"/>
        </w:rPr>
        <w:footnoteReference w:id="12"/>
      </w:r>
      <w:r w:rsidRPr="00D54929">
        <w:rPr>
          <w:rFonts w:ascii="Times New Roman" w:hAnsi="Times New Roman" w:cs="Times New Roman"/>
          <w:sz w:val="24"/>
          <w:szCs w:val="24"/>
        </w:rPr>
        <w:t xml:space="preserve"> It was </w:t>
      </w:r>
      <w:r>
        <w:rPr>
          <w:rFonts w:ascii="Times New Roman" w:hAnsi="Times New Roman" w:cs="Times New Roman"/>
          <w:sz w:val="24"/>
          <w:szCs w:val="24"/>
        </w:rPr>
        <w:t>here</w:t>
      </w:r>
      <w:r w:rsidRPr="00D54929">
        <w:rPr>
          <w:rFonts w:ascii="Times New Roman" w:hAnsi="Times New Roman" w:cs="Times New Roman"/>
          <w:sz w:val="24"/>
          <w:szCs w:val="24"/>
        </w:rPr>
        <w:t xml:space="preserve"> that Grant realized </w:t>
      </w:r>
      <w:r>
        <w:rPr>
          <w:rFonts w:ascii="Times New Roman" w:hAnsi="Times New Roman" w:cs="Times New Roman"/>
          <w:sz w:val="24"/>
          <w:szCs w:val="24"/>
        </w:rPr>
        <w:t xml:space="preserve">how committed </w:t>
      </w:r>
      <w:r w:rsidRPr="00D54929">
        <w:rPr>
          <w:rFonts w:ascii="Times New Roman" w:hAnsi="Times New Roman" w:cs="Times New Roman"/>
          <w:sz w:val="24"/>
          <w:szCs w:val="24"/>
        </w:rPr>
        <w:t xml:space="preserve">the </w:t>
      </w:r>
      <w:r w:rsidR="008D2B36">
        <w:rPr>
          <w:rFonts w:ascii="Times New Roman" w:hAnsi="Times New Roman" w:cs="Times New Roman"/>
          <w:sz w:val="24"/>
          <w:szCs w:val="24"/>
        </w:rPr>
        <w:t>Confederacy</w:t>
      </w:r>
      <w:r w:rsidRPr="00D54929">
        <w:rPr>
          <w:rFonts w:ascii="Times New Roman" w:hAnsi="Times New Roman" w:cs="Times New Roman"/>
          <w:sz w:val="24"/>
          <w:szCs w:val="24"/>
        </w:rPr>
        <w:t xml:space="preserve"> was to </w:t>
      </w:r>
      <w:r>
        <w:rPr>
          <w:rFonts w:ascii="Times New Roman" w:hAnsi="Times New Roman" w:cs="Times New Roman"/>
          <w:sz w:val="24"/>
          <w:szCs w:val="24"/>
        </w:rPr>
        <w:t xml:space="preserve">this </w:t>
      </w:r>
      <w:r w:rsidRPr="00D54929">
        <w:rPr>
          <w:rFonts w:ascii="Times New Roman" w:hAnsi="Times New Roman" w:cs="Times New Roman"/>
          <w:sz w:val="24"/>
          <w:szCs w:val="24"/>
        </w:rPr>
        <w:t>fight, offering that afterwards he “gave up all idea of saving the Union except by complete conquest."</w:t>
      </w:r>
      <w:r>
        <w:rPr>
          <w:rStyle w:val="FootnoteReference"/>
          <w:rFonts w:ascii="Times New Roman" w:hAnsi="Times New Roman" w:cs="Times New Roman"/>
          <w:sz w:val="24"/>
          <w:szCs w:val="24"/>
        </w:rPr>
        <w:footnoteReference w:id="13"/>
      </w:r>
      <w:r w:rsidRPr="00D54929">
        <w:rPr>
          <w:rFonts w:ascii="Times New Roman" w:hAnsi="Times New Roman" w:cs="Times New Roman"/>
          <w:sz w:val="24"/>
          <w:szCs w:val="24"/>
        </w:rPr>
        <w:t xml:space="preserve">  This rekindled the reputation he earned earlier in the war as “Unconditional Surrender” Grant </w:t>
      </w:r>
      <w:r>
        <w:rPr>
          <w:rFonts w:ascii="Times New Roman" w:hAnsi="Times New Roman" w:cs="Times New Roman"/>
          <w:sz w:val="24"/>
          <w:szCs w:val="24"/>
        </w:rPr>
        <w:t xml:space="preserve">and </w:t>
      </w:r>
      <w:r w:rsidR="003776CA">
        <w:rPr>
          <w:rFonts w:ascii="Times New Roman" w:hAnsi="Times New Roman" w:cs="Times New Roman"/>
          <w:sz w:val="24"/>
          <w:szCs w:val="24"/>
        </w:rPr>
        <w:t>strengthened his resolve</w:t>
      </w:r>
      <w:r>
        <w:rPr>
          <w:rFonts w:ascii="Times New Roman" w:hAnsi="Times New Roman" w:cs="Times New Roman"/>
          <w:sz w:val="24"/>
          <w:szCs w:val="24"/>
        </w:rPr>
        <w:t xml:space="preserve"> moving forward</w:t>
      </w:r>
      <w:r w:rsidRPr="00D54929">
        <w:rPr>
          <w:rFonts w:ascii="Times New Roman" w:hAnsi="Times New Roman" w:cs="Times New Roman"/>
          <w:sz w:val="24"/>
          <w:szCs w:val="24"/>
        </w:rPr>
        <w:t>.</w:t>
      </w:r>
      <w:r>
        <w:rPr>
          <w:rFonts w:ascii="Times New Roman" w:hAnsi="Times New Roman" w:cs="Times New Roman"/>
          <w:sz w:val="24"/>
          <w:szCs w:val="24"/>
        </w:rPr>
        <w:t xml:space="preserve"> In response, the general public became wary of General Grant, and he was</w:t>
      </w:r>
      <w:r w:rsidRPr="00FD5ABD">
        <w:rPr>
          <w:rFonts w:ascii="Times New Roman" w:hAnsi="Times New Roman" w:cs="Times New Roman"/>
          <w:sz w:val="24"/>
          <w:szCs w:val="24"/>
        </w:rPr>
        <w:t xml:space="preserve"> </w:t>
      </w:r>
      <w:r w:rsidRPr="00D54929">
        <w:rPr>
          <w:rFonts w:ascii="Times New Roman" w:hAnsi="Times New Roman" w:cs="Times New Roman"/>
          <w:sz w:val="24"/>
          <w:szCs w:val="24"/>
        </w:rPr>
        <w:t xml:space="preserve">soon </w:t>
      </w:r>
      <w:r w:rsidRPr="00D54929">
        <w:rPr>
          <w:rFonts w:ascii="Times New Roman" w:hAnsi="Times New Roman" w:cs="Times New Roman"/>
          <w:sz w:val="24"/>
          <w:szCs w:val="24"/>
        </w:rPr>
        <w:lastRenderedPageBreak/>
        <w:t>attacked by the northern press, attributing the high death tolls to rumors of drunkenness in battle spread by jealous Union officers to discredit his quick ascent through the ranks.</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The outcry was so great that </w:t>
      </w:r>
      <w:r w:rsidRPr="00D54929">
        <w:rPr>
          <w:rFonts w:ascii="Times New Roman" w:hAnsi="Times New Roman" w:cs="Times New Roman"/>
          <w:sz w:val="24"/>
          <w:szCs w:val="24"/>
        </w:rPr>
        <w:t>President Abraham Lincoln was forced to respond</w:t>
      </w:r>
      <w:r>
        <w:rPr>
          <w:rFonts w:ascii="Times New Roman" w:hAnsi="Times New Roman" w:cs="Times New Roman"/>
          <w:sz w:val="24"/>
          <w:szCs w:val="24"/>
        </w:rPr>
        <w:t>,</w:t>
      </w:r>
      <w:r w:rsidRPr="00D54929">
        <w:rPr>
          <w:rFonts w:ascii="Times New Roman" w:hAnsi="Times New Roman" w:cs="Times New Roman"/>
          <w:sz w:val="24"/>
          <w:szCs w:val="24"/>
        </w:rPr>
        <w:t xml:space="preserve"> publicly supportin</w:t>
      </w:r>
      <w:r>
        <w:rPr>
          <w:rFonts w:ascii="Times New Roman" w:hAnsi="Times New Roman" w:cs="Times New Roman"/>
          <w:sz w:val="24"/>
          <w:szCs w:val="24"/>
        </w:rPr>
        <w:t>g</w:t>
      </w:r>
      <w:r w:rsidRPr="00D54929">
        <w:rPr>
          <w:rFonts w:ascii="Times New Roman" w:hAnsi="Times New Roman" w:cs="Times New Roman"/>
          <w:sz w:val="24"/>
          <w:szCs w:val="24"/>
        </w:rPr>
        <w:t xml:space="preserve"> General Grant</w:t>
      </w:r>
      <w:r>
        <w:rPr>
          <w:rFonts w:ascii="Times New Roman" w:hAnsi="Times New Roman" w:cs="Times New Roman"/>
          <w:sz w:val="24"/>
          <w:szCs w:val="24"/>
        </w:rPr>
        <w:t xml:space="preserve"> i</w:t>
      </w:r>
      <w:r w:rsidRPr="00D54929">
        <w:rPr>
          <w:rFonts w:ascii="Times New Roman" w:hAnsi="Times New Roman" w:cs="Times New Roman"/>
          <w:sz w:val="24"/>
          <w:szCs w:val="24"/>
        </w:rPr>
        <w:t>n a</w:t>
      </w:r>
      <w:r>
        <w:rPr>
          <w:rFonts w:ascii="Times New Roman" w:hAnsi="Times New Roman" w:cs="Times New Roman"/>
          <w:sz w:val="24"/>
          <w:szCs w:val="24"/>
        </w:rPr>
        <w:t xml:space="preserve"> now-famous</w:t>
      </w:r>
      <w:r w:rsidRPr="00D54929">
        <w:rPr>
          <w:rFonts w:ascii="Times New Roman" w:hAnsi="Times New Roman" w:cs="Times New Roman"/>
          <w:sz w:val="24"/>
          <w:szCs w:val="24"/>
        </w:rPr>
        <w:t xml:space="preserve"> quote that summarized the relationship that would develop between the President and his General</w:t>
      </w:r>
      <w:r>
        <w:rPr>
          <w:rFonts w:ascii="Times New Roman" w:hAnsi="Times New Roman" w:cs="Times New Roman"/>
          <w:sz w:val="24"/>
          <w:szCs w:val="24"/>
        </w:rPr>
        <w:t xml:space="preserve">: </w:t>
      </w:r>
      <w:r w:rsidRPr="00D54929">
        <w:rPr>
          <w:rFonts w:ascii="Times New Roman" w:hAnsi="Times New Roman" w:cs="Times New Roman"/>
          <w:sz w:val="24"/>
          <w:szCs w:val="24"/>
        </w:rPr>
        <w:t>“I can’t spare this man- he fights</w:t>
      </w:r>
      <w:r>
        <w:rPr>
          <w:rFonts w:ascii="Times New Roman" w:hAnsi="Times New Roman" w:cs="Times New Roman"/>
          <w:sz w:val="24"/>
          <w:szCs w:val="24"/>
        </w:rPr>
        <w:t>.</w:t>
      </w:r>
      <w:r w:rsidRPr="00D54929">
        <w:rPr>
          <w:rFonts w:ascii="Times New Roman" w:hAnsi="Times New Roman" w:cs="Times New Roman"/>
          <w:sz w:val="24"/>
          <w:szCs w:val="24"/>
        </w:rPr>
        <w:t>”</w:t>
      </w:r>
      <w:r>
        <w:rPr>
          <w:rStyle w:val="FootnoteReference"/>
          <w:rFonts w:ascii="Times New Roman" w:hAnsi="Times New Roman" w:cs="Times New Roman"/>
          <w:sz w:val="24"/>
          <w:szCs w:val="24"/>
        </w:rPr>
        <w:footnoteReference w:id="15"/>
      </w:r>
      <w:r w:rsidRPr="00D54929">
        <w:rPr>
          <w:rFonts w:ascii="Times New Roman" w:hAnsi="Times New Roman" w:cs="Times New Roman"/>
          <w:sz w:val="24"/>
          <w:szCs w:val="24"/>
        </w:rPr>
        <w:t xml:space="preserve"> </w:t>
      </w:r>
      <w:r>
        <w:rPr>
          <w:rFonts w:ascii="Times New Roman" w:hAnsi="Times New Roman" w:cs="Times New Roman"/>
          <w:sz w:val="24"/>
          <w:szCs w:val="24"/>
        </w:rPr>
        <w:t xml:space="preserve">Grant’s understanding of his opponents and realization that extreme measures were necessary, as well as support for these measures from the White House, became a lesson for many of the soldiers who admired Grant. </w:t>
      </w:r>
      <w:r w:rsidRPr="00D54929">
        <w:rPr>
          <w:rFonts w:ascii="Times New Roman" w:hAnsi="Times New Roman" w:cs="Times New Roman"/>
          <w:sz w:val="24"/>
          <w:szCs w:val="24"/>
        </w:rPr>
        <w:t>Lincoln</w:t>
      </w:r>
      <w:r>
        <w:rPr>
          <w:rFonts w:ascii="Times New Roman" w:hAnsi="Times New Roman" w:cs="Times New Roman"/>
          <w:sz w:val="24"/>
          <w:szCs w:val="24"/>
        </w:rPr>
        <w:t>’s</w:t>
      </w:r>
      <w:r w:rsidRPr="00D54929">
        <w:rPr>
          <w:rFonts w:ascii="Times New Roman" w:hAnsi="Times New Roman" w:cs="Times New Roman"/>
          <w:sz w:val="24"/>
          <w:szCs w:val="24"/>
        </w:rPr>
        <w:t xml:space="preserve"> support</w:t>
      </w:r>
      <w:r>
        <w:rPr>
          <w:rFonts w:ascii="Times New Roman" w:hAnsi="Times New Roman" w:cs="Times New Roman"/>
          <w:sz w:val="24"/>
          <w:szCs w:val="24"/>
        </w:rPr>
        <w:t xml:space="preserve"> in spite of</w:t>
      </w:r>
      <w:r w:rsidRPr="00D54929">
        <w:rPr>
          <w:rFonts w:ascii="Times New Roman" w:hAnsi="Times New Roman" w:cs="Times New Roman"/>
          <w:sz w:val="24"/>
          <w:szCs w:val="24"/>
        </w:rPr>
        <w:t xml:space="preserve"> </w:t>
      </w:r>
      <w:r>
        <w:rPr>
          <w:rFonts w:ascii="Times New Roman" w:hAnsi="Times New Roman" w:cs="Times New Roman"/>
          <w:sz w:val="24"/>
          <w:szCs w:val="24"/>
        </w:rPr>
        <w:t>Grant’s</w:t>
      </w:r>
      <w:r w:rsidRPr="00D54929">
        <w:rPr>
          <w:rFonts w:ascii="Times New Roman" w:hAnsi="Times New Roman" w:cs="Times New Roman"/>
          <w:sz w:val="24"/>
          <w:szCs w:val="24"/>
        </w:rPr>
        <w:t xml:space="preserve"> high casualty rates</w:t>
      </w:r>
      <w:r>
        <w:rPr>
          <w:rFonts w:ascii="Times New Roman" w:hAnsi="Times New Roman" w:cs="Times New Roman"/>
          <w:sz w:val="24"/>
          <w:szCs w:val="24"/>
        </w:rPr>
        <w:t xml:space="preserve"> </w:t>
      </w:r>
      <w:r w:rsidRPr="00D54929">
        <w:rPr>
          <w:rFonts w:ascii="Times New Roman" w:hAnsi="Times New Roman" w:cs="Times New Roman"/>
          <w:sz w:val="24"/>
          <w:szCs w:val="24"/>
        </w:rPr>
        <w:t>at Shiloh suggest</w:t>
      </w:r>
      <w:r>
        <w:rPr>
          <w:rFonts w:ascii="Times New Roman" w:hAnsi="Times New Roman" w:cs="Times New Roman"/>
          <w:sz w:val="24"/>
          <w:szCs w:val="24"/>
        </w:rPr>
        <w:t>ed</w:t>
      </w:r>
      <w:r w:rsidRPr="00D54929">
        <w:rPr>
          <w:rFonts w:ascii="Times New Roman" w:hAnsi="Times New Roman" w:cs="Times New Roman"/>
          <w:sz w:val="24"/>
          <w:szCs w:val="24"/>
        </w:rPr>
        <w:t xml:space="preserve"> that both men believed the ends justify the means. This practice</w:t>
      </w:r>
      <w:r>
        <w:rPr>
          <w:rFonts w:ascii="Times New Roman" w:hAnsi="Times New Roman" w:cs="Times New Roman"/>
          <w:sz w:val="24"/>
          <w:szCs w:val="24"/>
        </w:rPr>
        <w:t xml:space="preserve"> then</w:t>
      </w:r>
      <w:r w:rsidRPr="00D54929">
        <w:rPr>
          <w:rFonts w:ascii="Times New Roman" w:hAnsi="Times New Roman" w:cs="Times New Roman"/>
          <w:sz w:val="24"/>
          <w:szCs w:val="24"/>
        </w:rPr>
        <w:t xml:space="preserve"> spread amongst the military</w:t>
      </w:r>
      <w:r>
        <w:rPr>
          <w:rFonts w:ascii="Times New Roman" w:hAnsi="Times New Roman" w:cs="Times New Roman"/>
          <w:sz w:val="24"/>
          <w:szCs w:val="24"/>
        </w:rPr>
        <w:t>, as</w:t>
      </w:r>
      <w:r w:rsidRPr="00D54929">
        <w:rPr>
          <w:rFonts w:ascii="Times New Roman" w:hAnsi="Times New Roman" w:cs="Times New Roman"/>
          <w:sz w:val="24"/>
          <w:szCs w:val="24"/>
        </w:rPr>
        <w:t xml:space="preserve"> men were trained to adapt, improvise, and overcome however necessary to accomplish their tasks.</w:t>
      </w:r>
      <w:r>
        <w:rPr>
          <w:rFonts w:ascii="Times New Roman" w:hAnsi="Times New Roman" w:cs="Times New Roman"/>
          <w:sz w:val="24"/>
          <w:szCs w:val="24"/>
        </w:rPr>
        <w:t xml:space="preserve"> Several of these men then took these lessons and carried them into future endeavors, including civil service appointments after the war.</w:t>
      </w:r>
    </w:p>
    <w:p w14:paraId="06968CD8" w14:textId="6034376D"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retrospect, Grant’s pragmatic mindset proved to be something of benefit to the United States as both a military and political figure. His tactics in times of war ensured a Union success and the reinstatement of the former Confederate States. Once elected to the presidency in 1868, </w:t>
      </w:r>
      <w:r>
        <w:rPr>
          <w:rFonts w:ascii="Times New Roman" w:hAnsi="Times New Roman" w:cs="Times New Roman"/>
          <w:sz w:val="24"/>
          <w:szCs w:val="24"/>
        </w:rPr>
        <w:lastRenderedPageBreak/>
        <w:t>Grant’s commitment to military reconstruction in the South, much maligned by political opponents, aided in establishing the first state constitutions to recognize the citizenship and rights of African Americans.</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His efforts to change the status quo, fighting the emergence of the Ku Klux Klan and dodging outcry from established politicians and the general public alike, have ensconced him as one of our nation’s first civil rights presidents.</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He sought the evolution of the nation, in part headlined by his desire to expand the nation into the Caribbean in an effort to offer military and economic benefits while also providing an example of racial harmony to his nation enmeshed in turmoil.</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Each of these efforts faced backlash, both at the time and in the century that followed as the permanence of the Jim Crow South erased many of the advancements made during Grant’s tenure, but recent research into Grant acknowledges that these were positive attempts undermined by others who have tarnished Grant’s great legacy.</w:t>
      </w:r>
    </w:p>
    <w:p w14:paraId="58A5F343" w14:textId="15C9A4C3"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Assaults on Grant’s </w:t>
      </w:r>
      <w:r w:rsidR="003047D0">
        <w:rPr>
          <w:rFonts w:ascii="Times New Roman" w:hAnsi="Times New Roman" w:cs="Times New Roman"/>
          <w:sz w:val="24"/>
          <w:szCs w:val="24"/>
        </w:rPr>
        <w:t>character</w:t>
      </w:r>
      <w:r>
        <w:rPr>
          <w:rFonts w:ascii="Times New Roman" w:hAnsi="Times New Roman" w:cs="Times New Roman"/>
          <w:sz w:val="24"/>
          <w:szCs w:val="24"/>
        </w:rPr>
        <w:t xml:space="preserve"> began early in his military career and continued throughout his life. Several Union generals became concerned with Grant’s quick ascension through the ranks and circulated rumors that he was a drunkard both in and out of battle.</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When these rumors were considered in tandem with Grant’s high casualty numbers, the media began to label him a “butcher” who sent his men into terrible situations with reckless abandon.</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When he rose to political prominence after the Civil War, the illicit actions of his subordinates painted Grant as </w:t>
      </w:r>
      <w:r>
        <w:rPr>
          <w:rFonts w:ascii="Times New Roman" w:hAnsi="Times New Roman" w:cs="Times New Roman"/>
          <w:sz w:val="24"/>
          <w:szCs w:val="24"/>
        </w:rPr>
        <w:lastRenderedPageBreak/>
        <w:t>a novice politician who was both naïve enough to appoint criminals to high office and who was corrupt himself.</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We now know that none of these claims, save perhaps that of Grant’s </w:t>
      </w:r>
      <w:r w:rsidR="00C87CB8">
        <w:rPr>
          <w:rFonts w:ascii="Times New Roman" w:hAnsi="Times New Roman" w:cs="Times New Roman"/>
          <w:sz w:val="24"/>
          <w:szCs w:val="24"/>
        </w:rPr>
        <w:t xml:space="preserve">occasional </w:t>
      </w:r>
      <w:r>
        <w:rPr>
          <w:rFonts w:ascii="Times New Roman" w:hAnsi="Times New Roman" w:cs="Times New Roman"/>
          <w:sz w:val="24"/>
          <w:szCs w:val="24"/>
        </w:rPr>
        <w:t>naivete, were true, given the benefit of more than a century of historical research.</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Yet these narratives persisted for a great deal of that time thanks to the slanted historiographic take perpetuated by William Dunning and his students, who long held to a Lost Cause narrative that denigrated Grant in any way possible.</w:t>
      </w:r>
      <w:r>
        <w:rPr>
          <w:rStyle w:val="FootnoteReference"/>
          <w:rFonts w:ascii="Times New Roman" w:hAnsi="Times New Roman" w:cs="Times New Roman"/>
          <w:sz w:val="24"/>
          <w:szCs w:val="24"/>
        </w:rPr>
        <w:footnoteReference w:id="23"/>
      </w:r>
    </w:p>
    <w:p w14:paraId="71724567" w14:textId="77777777" w:rsidR="00EB755A" w:rsidRPr="00251E83" w:rsidRDefault="00EB755A" w:rsidP="00EB755A">
      <w:pPr>
        <w:spacing w:line="480" w:lineRule="auto"/>
        <w:ind w:firstLine="720"/>
        <w:rPr>
          <w:rFonts w:ascii="Times New Roman" w:hAnsi="Times New Roman" w:cs="Times New Roman"/>
          <w:sz w:val="24"/>
          <w:szCs w:val="24"/>
        </w:rPr>
      </w:pPr>
      <w:r>
        <w:rPr>
          <w:rFonts w:ascii="Times New Roman" w:hAnsi="Times New Roman" w:cs="Times New Roman"/>
          <w:sz w:val="24"/>
          <w:szCs w:val="24"/>
        </w:rPr>
        <w:t>At the time of these assaults on his character, Grant was forced to consider his reputation and how it was affected by outside forces. In response to the slanderous attempts on his name, Grant quickly began to value those who stood by him in times of personal turmoil, clinging tightly to those who earned his trust. Ulysses S. Grant was a man who had no shortage of allies who could aid him in his endeavors, from military allies like William Tecumseh Sherman to political figures like Lyman Trumbull, to friends-turned-opponents like James Longstreet and friends made late in life that saved his family like Mark Twain.</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These individuals had commonalities that marked them, at least to Grant, as worthy of his time and friendship. After Grant’s passing, his longtime aide Horace Porter wrote that Grant had </w:t>
      </w:r>
      <w:r w:rsidRPr="00E65F01">
        <w:rPr>
          <w:rFonts w:ascii="Times New Roman" w:hAnsi="Times New Roman" w:cs="Times New Roman"/>
          <w:sz w:val="24"/>
          <w:szCs w:val="24"/>
        </w:rPr>
        <w:t xml:space="preserve">“five attributes that…stand out as salient points in his character. They were Truth, Courage, Modesty, </w:t>
      </w:r>
      <w:r w:rsidRPr="00E65F01">
        <w:rPr>
          <w:rFonts w:ascii="Times New Roman" w:hAnsi="Times New Roman" w:cs="Times New Roman"/>
          <w:sz w:val="24"/>
          <w:szCs w:val="24"/>
        </w:rPr>
        <w:lastRenderedPageBreak/>
        <w:t>Generosity, and Loyalty</w:t>
      </w:r>
      <w:r>
        <w:rPr>
          <w:rFonts w:ascii="Times New Roman" w:hAnsi="Times New Roman" w:cs="Times New Roman"/>
          <w:sz w:val="24"/>
          <w:szCs w:val="24"/>
        </w:rPr>
        <w:t>,</w:t>
      </w:r>
      <w:r w:rsidRPr="00E65F01">
        <w:rPr>
          <w:rFonts w:ascii="Times New Roman" w:hAnsi="Times New Roman" w:cs="Times New Roman"/>
          <w:sz w:val="24"/>
          <w:szCs w:val="24"/>
        </w:rPr>
        <w:t>”</w:t>
      </w:r>
      <w:r>
        <w:rPr>
          <w:rFonts w:ascii="Times New Roman" w:hAnsi="Times New Roman" w:cs="Times New Roman"/>
          <w:sz w:val="24"/>
          <w:szCs w:val="24"/>
        </w:rPr>
        <w:t xml:space="preserve"> and he accordingly looked for these traits in others he considered friends.</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Further, because Grant honed these traits during his military training, and because of Grant’s keen sense of duty to his nation and his cause, he accordingly looked at other military men similarly, assuming them to hold the same beliefs. His dedication to subordinates was “‘a maxim of military honor’ that the former general believed in wholeheartedly,” according to historian Alan Lessoff.</w:t>
      </w:r>
      <w:r>
        <w:rPr>
          <w:rStyle w:val="FootnoteReference"/>
          <w:rFonts w:ascii="Times New Roman" w:hAnsi="Times New Roman" w:cs="Times New Roman"/>
          <w:sz w:val="24"/>
          <w:szCs w:val="24"/>
        </w:rPr>
        <w:footnoteReference w:id="26"/>
      </w:r>
    </w:p>
    <w:p w14:paraId="47DD681E" w14:textId="612DF0CE" w:rsidR="00EB755A" w:rsidRPr="00B52E6A" w:rsidRDefault="00EB755A" w:rsidP="00EB755A">
      <w:pPr>
        <w:spacing w:line="480" w:lineRule="auto"/>
        <w:ind w:firstLine="720"/>
        <w:rPr>
          <w:rFonts w:ascii="Times New Roman" w:hAnsi="Times New Roman" w:cs="Times New Roman"/>
          <w:sz w:val="24"/>
          <w:szCs w:val="24"/>
        </w:rPr>
      </w:pPr>
      <w:r>
        <w:rPr>
          <w:rFonts w:ascii="Times New Roman" w:hAnsi="Times New Roman" w:cs="Times New Roman"/>
          <w:sz w:val="24"/>
          <w:szCs w:val="24"/>
        </w:rPr>
        <w:t>Unfortunately, not everyone</w:t>
      </w:r>
      <w:r w:rsidR="00756ACC">
        <w:rPr>
          <w:rFonts w:ascii="Times New Roman" w:hAnsi="Times New Roman" w:cs="Times New Roman"/>
          <w:sz w:val="24"/>
          <w:szCs w:val="24"/>
        </w:rPr>
        <w:t xml:space="preserve"> in whom</w:t>
      </w:r>
      <w:r>
        <w:rPr>
          <w:rFonts w:ascii="Times New Roman" w:hAnsi="Times New Roman" w:cs="Times New Roman"/>
          <w:sz w:val="24"/>
          <w:szCs w:val="24"/>
        </w:rPr>
        <w:t xml:space="preserve"> Grant placed his trust proved worthy of </w:t>
      </w:r>
      <w:r w:rsidR="009073DE">
        <w:rPr>
          <w:rFonts w:ascii="Times New Roman" w:hAnsi="Times New Roman" w:cs="Times New Roman"/>
          <w:sz w:val="24"/>
          <w:szCs w:val="24"/>
        </w:rPr>
        <w:t>it</w:t>
      </w:r>
      <w:r>
        <w:rPr>
          <w:rFonts w:ascii="Times New Roman" w:hAnsi="Times New Roman" w:cs="Times New Roman"/>
          <w:sz w:val="24"/>
          <w:szCs w:val="24"/>
        </w:rPr>
        <w:t>. Just because an individual served in the military did not mean they were entirely beyond reproach, something proven at multiple points in our nation’s history.</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The sheer number of veterans who joined the civil service during Reconstruction, </w:t>
      </w:r>
      <w:r w:rsidR="00715524">
        <w:rPr>
          <w:rFonts w:ascii="Times New Roman" w:hAnsi="Times New Roman" w:cs="Times New Roman"/>
          <w:sz w:val="24"/>
          <w:szCs w:val="24"/>
        </w:rPr>
        <w:t>due</w:t>
      </w:r>
      <w:r>
        <w:rPr>
          <w:rFonts w:ascii="Times New Roman" w:hAnsi="Times New Roman" w:cs="Times New Roman"/>
          <w:sz w:val="24"/>
          <w:szCs w:val="24"/>
        </w:rPr>
        <w:t xml:space="preserve"> in large part by the rapid expansion of the central government during the Civil War, made it possible for those that sought to use their positions for nefarious purposes to do so amid attempts to determine the new opportunities this federal power presented. The system of appointments for government posts during the Civil War era was certainly flawed, running mainly on patronage jobs given based on personal relationships without </w:t>
      </w:r>
      <w:r w:rsidR="00FE5082">
        <w:rPr>
          <w:rFonts w:ascii="Times New Roman" w:hAnsi="Times New Roman" w:cs="Times New Roman"/>
          <w:sz w:val="24"/>
          <w:szCs w:val="24"/>
        </w:rPr>
        <w:t>regard to qualification or possibility</w:t>
      </w:r>
      <w:r>
        <w:rPr>
          <w:rFonts w:ascii="Times New Roman" w:hAnsi="Times New Roman" w:cs="Times New Roman"/>
          <w:sz w:val="24"/>
          <w:szCs w:val="24"/>
        </w:rPr>
        <w:t xml:space="preserve"> of a modern background check.</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As a result, many appointments were made based on the word of people only referentially associated with one another, and the wrong people were placed in jobs they used for their own gain. This was a </w:t>
      </w:r>
      <w:r>
        <w:rPr>
          <w:rFonts w:ascii="Times New Roman" w:hAnsi="Times New Roman" w:cs="Times New Roman"/>
          <w:sz w:val="24"/>
          <w:szCs w:val="24"/>
        </w:rPr>
        <w:lastRenderedPageBreak/>
        <w:t>particular issue for Grant, as he had, as historian Edward Cooper called it, “a habit of appointing men, to be blunt, who were thieves.”</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The appointments consisted of people </w:t>
      </w:r>
      <w:r w:rsidR="00B55388">
        <w:rPr>
          <w:rFonts w:ascii="Times New Roman" w:hAnsi="Times New Roman" w:cs="Times New Roman"/>
          <w:sz w:val="24"/>
          <w:szCs w:val="24"/>
        </w:rPr>
        <w:t>at</w:t>
      </w:r>
      <w:r>
        <w:rPr>
          <w:rFonts w:ascii="Times New Roman" w:hAnsi="Times New Roman" w:cs="Times New Roman"/>
          <w:sz w:val="24"/>
          <w:szCs w:val="24"/>
        </w:rPr>
        <w:t xml:space="preserve"> every level of the civil service, from day laborers to cabinet members and every level in between. These individuals allowed their personal greed to compromise their duties, bringing disgrace to the offices they held and the administration they served. The Grant Administration was tarnished both during its existence and for generations to come by scandals caused not by the president himself, but by those he appointed and trusted to advance the causes for which he fought.</w:t>
      </w:r>
    </w:p>
    <w:p w14:paraId="2CEF30CE" w14:textId="70CD2842" w:rsidR="009931C4" w:rsidRDefault="00EB755A" w:rsidP="009931C4">
      <w:pPr>
        <w:spacing w:line="480" w:lineRule="auto"/>
        <w:ind w:firstLine="720"/>
        <w:rPr>
          <w:rFonts w:ascii="Times New Roman" w:hAnsi="Times New Roman" w:cs="Times New Roman"/>
          <w:b/>
          <w:bCs/>
          <w:sz w:val="20"/>
          <w:szCs w:val="20"/>
        </w:rPr>
      </w:pPr>
      <w:bookmarkStart w:id="2" w:name="_Hlk200878717"/>
      <w:r>
        <w:rPr>
          <w:rFonts w:ascii="Times New Roman" w:hAnsi="Times New Roman" w:cs="Times New Roman"/>
          <w:sz w:val="24"/>
          <w:szCs w:val="24"/>
        </w:rPr>
        <w:t>A</w:t>
      </w:r>
      <w:r w:rsidR="00BF5E66">
        <w:rPr>
          <w:rFonts w:ascii="Times New Roman" w:hAnsi="Times New Roman" w:cs="Times New Roman"/>
          <w:sz w:val="24"/>
          <w:szCs w:val="24"/>
        </w:rPr>
        <w:t>mong</w:t>
      </w:r>
      <w:r>
        <w:rPr>
          <w:rFonts w:ascii="Times New Roman" w:hAnsi="Times New Roman" w:cs="Times New Roman"/>
          <w:sz w:val="24"/>
          <w:szCs w:val="24"/>
        </w:rPr>
        <w:t xml:space="preserve"> th</w:t>
      </w:r>
      <w:r w:rsidR="00BF5E66">
        <w:rPr>
          <w:rFonts w:ascii="Times New Roman" w:hAnsi="Times New Roman" w:cs="Times New Roman"/>
          <w:sz w:val="24"/>
          <w:szCs w:val="24"/>
        </w:rPr>
        <w:t xml:space="preserve">e individuals involved in these </w:t>
      </w:r>
      <w:r>
        <w:rPr>
          <w:rFonts w:ascii="Times New Roman" w:hAnsi="Times New Roman" w:cs="Times New Roman"/>
          <w:sz w:val="24"/>
          <w:szCs w:val="24"/>
        </w:rPr>
        <w:t>scandals, perhaps no one stood closer alongside Grant than did Orville Babcock</w:t>
      </w:r>
      <w:r w:rsidR="0019335B">
        <w:rPr>
          <w:rFonts w:ascii="Times New Roman" w:hAnsi="Times New Roman" w:cs="Times New Roman"/>
          <w:sz w:val="24"/>
          <w:szCs w:val="24"/>
        </w:rPr>
        <w:t xml:space="preserve"> (</w:t>
      </w:r>
      <w:r w:rsidR="0019335B">
        <w:rPr>
          <w:rFonts w:ascii="Times New Roman" w:hAnsi="Times New Roman" w:cs="Times New Roman"/>
          <w:b/>
          <w:bCs/>
          <w:sz w:val="24"/>
          <w:szCs w:val="24"/>
        </w:rPr>
        <w:t>Figure I.2</w:t>
      </w:r>
      <w:r w:rsidR="0019335B">
        <w:rPr>
          <w:rFonts w:ascii="Times New Roman" w:hAnsi="Times New Roman" w:cs="Times New Roman"/>
          <w:sz w:val="24"/>
          <w:szCs w:val="24"/>
        </w:rPr>
        <w:t>)</w:t>
      </w:r>
      <w:r>
        <w:rPr>
          <w:rFonts w:ascii="Times New Roman" w:hAnsi="Times New Roman" w:cs="Times New Roman"/>
          <w:sz w:val="24"/>
          <w:szCs w:val="24"/>
        </w:rPr>
        <w:t>. Babcock followed Grant to Washington, DC when he joined Andrew Johnson’s administration as Commanding General of the Army, a post akin to that of a cabinet member.</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Babcock continued to serve as Grant’s eyes and ears, surveying the Reconstruction South and the American West on behalf of his commander.</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When Grant was elected President, he appointed Babcock his Private Secretary, a post that no longer exists in modern administrations but that would best compare to today’s Chief of Staff as an extension of the President themself.</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Babcock took up an office in the White House just beyond the door of Grant’s, speaking on his behalf to politicians and members of the public alike. He was instrumental in revitalizing the nation’s capital in a concurrent post as the Superintendent of the </w:t>
      </w:r>
    </w:p>
    <w:p w14:paraId="7C2CF32B" w14:textId="6379B00E" w:rsidR="009931C4" w:rsidRDefault="009931C4" w:rsidP="009931C4">
      <w:pPr>
        <w:spacing w:line="240" w:lineRule="auto"/>
        <w:jc w:val="center"/>
        <w:rPr>
          <w:rFonts w:ascii="Times New Roman" w:hAnsi="Times New Roman" w:cs="Times New Roman"/>
          <w:b/>
          <w:bCs/>
          <w:sz w:val="20"/>
          <w:szCs w:val="20"/>
        </w:rPr>
      </w:pPr>
      <w:r>
        <w:rPr>
          <w:rFonts w:ascii="Times New Roman" w:hAnsi="Times New Roman" w:cs="Times New Roman"/>
          <w:noProof/>
          <w:sz w:val="24"/>
          <w:szCs w:val="24"/>
        </w:rPr>
        <w:lastRenderedPageBreak/>
        <w:drawing>
          <wp:inline distT="0" distB="0" distL="0" distR="0" wp14:anchorId="0AF886E0" wp14:editId="7B5AE403">
            <wp:extent cx="2487945" cy="2943225"/>
            <wp:effectExtent l="0" t="0" r="7620" b="0"/>
            <wp:docPr id="1416820882" name="Picture 1" descr="A person in military uniform sitting i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20882" name="Picture 1" descr="A person in military uniform sitting in a chai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7879" cy="2966807"/>
                    </a:xfrm>
                    <a:prstGeom prst="rect">
                      <a:avLst/>
                    </a:prstGeom>
                    <a:noFill/>
                  </pic:spPr>
                </pic:pic>
              </a:graphicData>
            </a:graphic>
          </wp:inline>
        </w:drawing>
      </w:r>
    </w:p>
    <w:p w14:paraId="7DB845AF" w14:textId="4E63F79B" w:rsidR="009931C4" w:rsidRPr="009931C4" w:rsidRDefault="009931C4" w:rsidP="009931C4">
      <w:pPr>
        <w:spacing w:line="240" w:lineRule="auto"/>
        <w:rPr>
          <w:rFonts w:ascii="Times New Roman" w:hAnsi="Times New Roman" w:cs="Times New Roman"/>
          <w:b/>
          <w:bCs/>
          <w:sz w:val="20"/>
          <w:szCs w:val="20"/>
        </w:rPr>
      </w:pPr>
      <w:r>
        <w:rPr>
          <w:rFonts w:ascii="Times New Roman" w:hAnsi="Times New Roman" w:cs="Times New Roman"/>
          <w:b/>
          <w:bCs/>
          <w:sz w:val="20"/>
          <w:szCs w:val="20"/>
        </w:rPr>
        <w:t>Figure I.2: General Orville Babcock</w:t>
      </w:r>
      <w:r>
        <w:rPr>
          <w:rStyle w:val="FootnoteReference"/>
          <w:rFonts w:ascii="Times New Roman" w:hAnsi="Times New Roman" w:cs="Times New Roman"/>
          <w:b/>
          <w:bCs/>
          <w:sz w:val="20"/>
          <w:szCs w:val="20"/>
        </w:rPr>
        <w:footnoteReference w:id="33"/>
      </w:r>
    </w:p>
    <w:p w14:paraId="22F6BD6B" w14:textId="6C1ECC13" w:rsidR="000761BE" w:rsidRDefault="00EB755A" w:rsidP="009931C4">
      <w:pPr>
        <w:spacing w:line="480" w:lineRule="auto"/>
        <w:rPr>
          <w:rFonts w:ascii="Times New Roman" w:hAnsi="Times New Roman" w:cs="Times New Roman"/>
          <w:sz w:val="24"/>
          <w:szCs w:val="24"/>
        </w:rPr>
      </w:pPr>
      <w:r>
        <w:rPr>
          <w:rFonts w:ascii="Times New Roman" w:hAnsi="Times New Roman" w:cs="Times New Roman"/>
          <w:sz w:val="24"/>
          <w:szCs w:val="24"/>
        </w:rPr>
        <w:t xml:space="preserve">Washington </w:t>
      </w:r>
      <w:r w:rsidR="005565A0" w:rsidRPr="002D394D">
        <w:rPr>
          <w:rFonts w:ascii="Times New Roman" w:hAnsi="Times New Roman" w:cs="Times New Roman"/>
          <w:sz w:val="24"/>
          <w:szCs w:val="24"/>
        </w:rPr>
        <w:t>Office of Public Buildings and Grounds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He investigate</w:t>
      </w:r>
      <w:r w:rsidR="006E79CD">
        <w:rPr>
          <w:rFonts w:ascii="Times New Roman" w:hAnsi="Times New Roman" w:cs="Times New Roman"/>
          <w:sz w:val="24"/>
          <w:szCs w:val="24"/>
        </w:rPr>
        <w:t>d</w:t>
      </w:r>
      <w:r>
        <w:rPr>
          <w:rFonts w:ascii="Times New Roman" w:hAnsi="Times New Roman" w:cs="Times New Roman"/>
          <w:sz w:val="24"/>
          <w:szCs w:val="24"/>
        </w:rPr>
        <w:t xml:space="preserve"> issues away from Washington when Grant himself could not travel due to presidential obligations.</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Perhaps most importantly, Babcock remained as steadfast a friend to Grant as any he ever had</w:t>
      </w:r>
      <w:r w:rsidR="000F28DD">
        <w:rPr>
          <w:rFonts w:ascii="Times New Roman" w:hAnsi="Times New Roman" w:cs="Times New Roman"/>
          <w:sz w:val="24"/>
          <w:szCs w:val="24"/>
        </w:rPr>
        <w:t xml:space="preserve"> amid the oft-unfriendly D.C. environs</w:t>
      </w:r>
      <w:r>
        <w:rPr>
          <w:rFonts w:ascii="Times New Roman" w:hAnsi="Times New Roman" w:cs="Times New Roman"/>
          <w:sz w:val="24"/>
          <w:szCs w:val="24"/>
        </w:rPr>
        <w:t>.</w:t>
      </w:r>
    </w:p>
    <w:bookmarkEnd w:id="2"/>
    <w:p w14:paraId="0063AA79" w14:textId="6F10AA67"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r>
      <w:bookmarkStart w:id="3" w:name="_Hlk200878961"/>
      <w:r>
        <w:rPr>
          <w:rFonts w:ascii="Times New Roman" w:hAnsi="Times New Roman" w:cs="Times New Roman"/>
          <w:sz w:val="24"/>
          <w:szCs w:val="24"/>
        </w:rPr>
        <w:t xml:space="preserve">In spite of Babcock’s close friendship with Grant, as time passed in their association, he proved to be one of, if not the most, unworthy individuals in whom Grant placed his trust. Historians have referred to him as a man who “fished for gold in every stinking cesspool,” and the person who “served more than any other man to blacken the record of the Grant </w:t>
      </w:r>
      <w:r>
        <w:rPr>
          <w:rFonts w:ascii="Times New Roman" w:hAnsi="Times New Roman" w:cs="Times New Roman"/>
          <w:sz w:val="24"/>
          <w:szCs w:val="24"/>
        </w:rPr>
        <w:lastRenderedPageBreak/>
        <w:t>administration.”</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Babcock’s association with allegedly nefarious individuals such as the capital’s “Boss,” Alexander Robey Shepherd, gave him a reputation as someone that was in with the wrong crowd.</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These ties</w:t>
      </w:r>
      <w:r w:rsidR="00003F5A">
        <w:rPr>
          <w:rFonts w:ascii="Times New Roman" w:hAnsi="Times New Roman" w:cs="Times New Roman"/>
          <w:sz w:val="24"/>
          <w:szCs w:val="24"/>
        </w:rPr>
        <w:t xml:space="preserve"> allowed Babcock to engage in illegal, immoral, and unethical acts</w:t>
      </w:r>
      <w:r w:rsidR="00BA67E3">
        <w:rPr>
          <w:rFonts w:ascii="Times New Roman" w:hAnsi="Times New Roman" w:cs="Times New Roman"/>
          <w:sz w:val="24"/>
          <w:szCs w:val="24"/>
        </w:rPr>
        <w:t xml:space="preserve"> </w:t>
      </w:r>
      <w:r w:rsidR="00003F5A">
        <w:rPr>
          <w:rFonts w:ascii="Times New Roman" w:hAnsi="Times New Roman" w:cs="Times New Roman"/>
          <w:sz w:val="24"/>
          <w:szCs w:val="24"/>
        </w:rPr>
        <w:t>which included attempts by Babcock to frame political opponents in Washington for criminal offenses and misusing his position for his personal wealth</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Other allegations emerged during his tenure in the Grant Administration, including claims that he was involved in cornering the gold market and aiding with import tax evasion.</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 xml:space="preserve"> He was sent on a mission to Santo Domingo to investigate possibilities for annexation but due to political infighting, as well as a failed </w:t>
      </w:r>
      <w:r w:rsidR="00812E91">
        <w:rPr>
          <w:rFonts w:ascii="Times New Roman" w:hAnsi="Times New Roman" w:cs="Times New Roman"/>
          <w:sz w:val="24"/>
          <w:szCs w:val="24"/>
        </w:rPr>
        <w:t>schem</w:t>
      </w:r>
      <w:r>
        <w:rPr>
          <w:rFonts w:ascii="Times New Roman" w:hAnsi="Times New Roman" w:cs="Times New Roman"/>
          <w:sz w:val="24"/>
          <w:szCs w:val="24"/>
        </w:rPr>
        <w:t>e for Babcock to</w:t>
      </w:r>
      <w:r w:rsidR="006D6EF7">
        <w:rPr>
          <w:rFonts w:ascii="Times New Roman" w:hAnsi="Times New Roman" w:cs="Times New Roman"/>
          <w:sz w:val="24"/>
          <w:szCs w:val="24"/>
        </w:rPr>
        <w:t xml:space="preserve"> gain real estate and money</w:t>
      </w:r>
      <w:r>
        <w:rPr>
          <w:rFonts w:ascii="Times New Roman" w:hAnsi="Times New Roman" w:cs="Times New Roman"/>
          <w:sz w:val="24"/>
          <w:szCs w:val="24"/>
        </w:rPr>
        <w:t xml:space="preserve"> on the deal, his mission resulted in nothing more than exploration.</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Perhaps his greatest misdeed was his involvement</w:t>
      </w:r>
      <w:r w:rsidR="0089048D">
        <w:rPr>
          <w:rFonts w:ascii="Times New Roman" w:hAnsi="Times New Roman" w:cs="Times New Roman"/>
          <w:sz w:val="24"/>
          <w:szCs w:val="24"/>
        </w:rPr>
        <w:t xml:space="preserve"> in</w:t>
      </w:r>
      <w:r>
        <w:rPr>
          <w:rFonts w:ascii="Times New Roman" w:hAnsi="Times New Roman" w:cs="Times New Roman"/>
          <w:sz w:val="24"/>
          <w:szCs w:val="24"/>
        </w:rPr>
        <w:t xml:space="preserve"> the Whiskey Ring, a group of whiskey distillers and revenue collectors in the American Midwest who stole tax money on the whiskey they produced</w:t>
      </w:r>
      <w:r w:rsidR="005B6C24">
        <w:rPr>
          <w:rFonts w:ascii="Times New Roman" w:hAnsi="Times New Roman" w:cs="Times New Roman"/>
          <w:sz w:val="24"/>
          <w:szCs w:val="24"/>
        </w:rPr>
        <w:t>.</w:t>
      </w:r>
      <w:r w:rsidR="005B6C24" w:rsidRPr="005B6C24">
        <w:rPr>
          <w:rStyle w:val="FootnoteReference"/>
          <w:rFonts w:ascii="Times New Roman" w:hAnsi="Times New Roman" w:cs="Times New Roman"/>
          <w:sz w:val="24"/>
          <w:szCs w:val="24"/>
        </w:rPr>
        <w:t xml:space="preserve"> </w:t>
      </w:r>
      <w:r w:rsidR="005B6C24">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Babcock protected </w:t>
      </w:r>
      <w:r w:rsidR="005B6C24">
        <w:rPr>
          <w:rFonts w:ascii="Times New Roman" w:hAnsi="Times New Roman" w:cs="Times New Roman"/>
          <w:sz w:val="24"/>
          <w:szCs w:val="24"/>
        </w:rPr>
        <w:t xml:space="preserve">this group </w:t>
      </w:r>
      <w:r>
        <w:rPr>
          <w:rFonts w:ascii="Times New Roman" w:hAnsi="Times New Roman" w:cs="Times New Roman"/>
          <w:sz w:val="24"/>
          <w:szCs w:val="24"/>
        </w:rPr>
        <w:t>from</w:t>
      </w:r>
      <w:r w:rsidR="005B6C24">
        <w:rPr>
          <w:rFonts w:ascii="Times New Roman" w:hAnsi="Times New Roman" w:cs="Times New Roman"/>
          <w:sz w:val="24"/>
          <w:szCs w:val="24"/>
        </w:rPr>
        <w:t xml:space="preserve"> his post in</w:t>
      </w:r>
      <w:r>
        <w:rPr>
          <w:rFonts w:ascii="Times New Roman" w:hAnsi="Times New Roman" w:cs="Times New Roman"/>
          <w:sz w:val="24"/>
          <w:szCs w:val="24"/>
        </w:rPr>
        <w:t xml:space="preserve"> Washington in exchange for a small fortune of his own.</w:t>
      </w:r>
      <w:r w:rsidR="005B6C24">
        <w:rPr>
          <w:rStyle w:val="FootnoteReference"/>
          <w:rFonts w:ascii="Times New Roman" w:hAnsi="Times New Roman" w:cs="Times New Roman"/>
          <w:sz w:val="24"/>
          <w:szCs w:val="24"/>
        </w:rPr>
        <w:footnoteReference w:id="42"/>
      </w:r>
      <w:r>
        <w:rPr>
          <w:rFonts w:ascii="Times New Roman" w:hAnsi="Times New Roman" w:cs="Times New Roman"/>
          <w:sz w:val="24"/>
          <w:szCs w:val="24"/>
        </w:rPr>
        <w:t xml:space="preserve"> In each of these instances, Babcock dragged Grant’s name through the mud by association, particularly in the Whiskey Ring when Grant submitted a </w:t>
      </w:r>
      <w:r>
        <w:rPr>
          <w:rFonts w:ascii="Times New Roman" w:hAnsi="Times New Roman" w:cs="Times New Roman"/>
          <w:sz w:val="24"/>
          <w:szCs w:val="24"/>
        </w:rPr>
        <w:lastRenderedPageBreak/>
        <w:t>deposition from the White House supporting Babcock in his criminal trial for conspiracy to defraud the government.</w:t>
      </w:r>
      <w:r>
        <w:rPr>
          <w:rStyle w:val="FootnoteReference"/>
          <w:rFonts w:ascii="Times New Roman" w:hAnsi="Times New Roman" w:cs="Times New Roman"/>
          <w:sz w:val="24"/>
          <w:szCs w:val="24"/>
        </w:rPr>
        <w:footnoteReference w:id="43"/>
      </w:r>
    </w:p>
    <w:bookmarkEnd w:id="3"/>
    <w:p w14:paraId="38F61ADA" w14:textId="696F6C61" w:rsidR="00E92A89" w:rsidRDefault="00EB755A" w:rsidP="00AC28A8">
      <w:pPr>
        <w:spacing w:after="0" w:line="480" w:lineRule="auto"/>
        <w:rPr>
          <w:rFonts w:ascii="Times New Roman" w:hAnsi="Times New Roman" w:cs="Times New Roman"/>
          <w:sz w:val="24"/>
          <w:szCs w:val="24"/>
        </w:rPr>
      </w:pPr>
      <w:r>
        <w:rPr>
          <w:rFonts w:ascii="Times New Roman" w:hAnsi="Times New Roman" w:cs="Times New Roman"/>
          <w:sz w:val="24"/>
          <w:szCs w:val="24"/>
        </w:rPr>
        <w:tab/>
        <w:t>Without question, Babcock’s historical reputation is that of a scoundrel. C. Vann Woodward referred to Babcock as “a subtle and unscrupulous Iago” who “shrewdly implanted suspicions of his betters in the President’s mind, plotted their downfall, and sought to replace them with pliant tools of his own.”</w:t>
      </w:r>
      <w:r>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Woodward went on to explore Babcock’s tactics, saying:</w:t>
      </w:r>
    </w:p>
    <w:p w14:paraId="3ED72FD9" w14:textId="72DA3A29" w:rsidR="00EB755A" w:rsidRDefault="00EB755A" w:rsidP="00EB755A">
      <w:pPr>
        <w:ind w:left="720" w:right="720"/>
        <w:rPr>
          <w:rFonts w:ascii="Times New Roman" w:hAnsi="Times New Roman" w:cs="Times New Roman"/>
          <w:sz w:val="24"/>
          <w:szCs w:val="24"/>
        </w:rPr>
      </w:pPr>
      <w:r w:rsidRPr="00E55FE5">
        <w:rPr>
          <w:rFonts w:ascii="Times New Roman" w:hAnsi="Times New Roman" w:cs="Times New Roman"/>
          <w:sz w:val="24"/>
          <w:szCs w:val="24"/>
        </w:rPr>
        <w:t>He succeeded in these tactics repeatedly and thereby gained indirect control of whole departments of the government. Once a prejudice or a plan was firmly implanted in Grant’s mind, he would cling to it with all the tenacity that had toppled the strongholds of the Confederacy. Babcock was at once the leader of the political gangsters and the stumbling block in the way of the talent and ability that might have saved the President. Grant’s unshakable confidence in his betrayer was pathetic and all but incredible.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5"/>
      </w:r>
    </w:p>
    <w:p w14:paraId="6053642C" w14:textId="3C8A544E" w:rsidR="00EB755A" w:rsidRPr="003945F8" w:rsidRDefault="00EB755A" w:rsidP="007832D3">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This eloquent, and accurate, assessment of </w:t>
      </w:r>
      <w:r w:rsidR="005078DF">
        <w:rPr>
          <w:rFonts w:ascii="Times New Roman" w:hAnsi="Times New Roman" w:cs="Times New Roman"/>
          <w:sz w:val="24"/>
          <w:szCs w:val="24"/>
        </w:rPr>
        <w:t xml:space="preserve">Babcock </w:t>
      </w:r>
      <w:r>
        <w:rPr>
          <w:rFonts w:ascii="Times New Roman" w:hAnsi="Times New Roman" w:cs="Times New Roman"/>
          <w:sz w:val="24"/>
          <w:szCs w:val="24"/>
        </w:rPr>
        <w:t xml:space="preserve">begs some significant questions: why did President Grant allow him to maintain his position in his administration? What made Orville Babcock such a significant figure in the Grant Administration that, even when others presented information of his malfeasance, he was allowed to remain? How exactly did Babcock contribute to the damning of the Grant Administration and the Reconstruction Era’s political realm? And was Babcock’s story typical of Reconstruction-era political narratives, particularly those between a political appointee and their patron who appointed them, or was this an exceptional situation? </w:t>
      </w:r>
    </w:p>
    <w:p w14:paraId="7A36E06B" w14:textId="1FF8ABAC" w:rsidR="00EB755A" w:rsidRPr="003945F8"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r>
      <w:bookmarkStart w:id="4" w:name="_Hlk200878992"/>
      <w:r>
        <w:rPr>
          <w:rFonts w:ascii="Times New Roman" w:hAnsi="Times New Roman" w:cs="Times New Roman"/>
          <w:sz w:val="24"/>
          <w:szCs w:val="24"/>
        </w:rPr>
        <w:t xml:space="preserve">Orville Babcock’s story is one that is critically important to our understanding of the Civil War era, particularly the political events of Reconstruction, yet it is one that has been relegated to the footnotes of other narratives. He emerges at significant moments in histories of </w:t>
      </w:r>
      <w:r>
        <w:rPr>
          <w:rFonts w:ascii="Times New Roman" w:hAnsi="Times New Roman" w:cs="Times New Roman"/>
          <w:sz w:val="24"/>
          <w:szCs w:val="24"/>
        </w:rPr>
        <w:lastRenderedPageBreak/>
        <w:t xml:space="preserve">the Grant Administration, particularly </w:t>
      </w:r>
      <w:r w:rsidR="00B01BA3">
        <w:rPr>
          <w:rFonts w:ascii="Times New Roman" w:hAnsi="Times New Roman" w:cs="Times New Roman"/>
          <w:sz w:val="24"/>
          <w:szCs w:val="24"/>
        </w:rPr>
        <w:t>du</w:t>
      </w:r>
      <w:r>
        <w:rPr>
          <w:rFonts w:ascii="Times New Roman" w:hAnsi="Times New Roman" w:cs="Times New Roman"/>
          <w:sz w:val="24"/>
          <w:szCs w:val="24"/>
        </w:rPr>
        <w:t xml:space="preserve">ring the Whiskey Ring, but otherwise he is </w:t>
      </w:r>
      <w:r w:rsidR="006773D6">
        <w:rPr>
          <w:rFonts w:ascii="Times New Roman" w:hAnsi="Times New Roman" w:cs="Times New Roman"/>
          <w:sz w:val="24"/>
          <w:szCs w:val="24"/>
        </w:rPr>
        <w:t>typically</w:t>
      </w:r>
      <w:r>
        <w:rPr>
          <w:rFonts w:ascii="Times New Roman" w:hAnsi="Times New Roman" w:cs="Times New Roman"/>
          <w:sz w:val="24"/>
          <w:szCs w:val="24"/>
        </w:rPr>
        <w:t xml:space="preserve"> but a day player.</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Babcock’s story is one that, to this point, remains incomplete because historians have never </w:t>
      </w:r>
      <w:r w:rsidR="00DD4EE2">
        <w:rPr>
          <w:rFonts w:ascii="Times New Roman" w:hAnsi="Times New Roman" w:cs="Times New Roman"/>
          <w:sz w:val="24"/>
          <w:szCs w:val="24"/>
        </w:rPr>
        <w:t>trac</w:t>
      </w:r>
      <w:r>
        <w:rPr>
          <w:rFonts w:ascii="Times New Roman" w:hAnsi="Times New Roman" w:cs="Times New Roman"/>
          <w:sz w:val="24"/>
          <w:szCs w:val="24"/>
        </w:rPr>
        <w:t xml:space="preserve">ed his development as a political agent from military appointee to criminal mastermind. This development took years, and by </w:t>
      </w:r>
      <w:r w:rsidR="00F70D56">
        <w:rPr>
          <w:rFonts w:ascii="Times New Roman" w:hAnsi="Times New Roman" w:cs="Times New Roman"/>
          <w:sz w:val="24"/>
          <w:szCs w:val="24"/>
        </w:rPr>
        <w:t>no</w:t>
      </w:r>
      <w:r>
        <w:rPr>
          <w:rFonts w:ascii="Times New Roman" w:hAnsi="Times New Roman" w:cs="Times New Roman"/>
          <w:sz w:val="24"/>
          <w:szCs w:val="24"/>
        </w:rPr>
        <w:t xml:space="preserve">ting it only during what others have deemed key moments, we miss his evolution and simply observe him at a stage in which his criminality is fully formed. However, if we look at his entire political career and investigate his growth over time, we see a story develop that goes beyond just biography. It tells us about the daily experience of political appointees in Reconstruction; about how the American government dealt with, or failed to deal with, the power it amassed during the Civil War; about the role of the individual within that system, and how the individual could exploit holes in the system that were not yet </w:t>
      </w:r>
      <w:r w:rsidR="00F552C8">
        <w:rPr>
          <w:rFonts w:ascii="Times New Roman" w:hAnsi="Times New Roman" w:cs="Times New Roman"/>
          <w:sz w:val="24"/>
          <w:szCs w:val="24"/>
        </w:rPr>
        <w:t>plugg</w:t>
      </w:r>
      <w:r>
        <w:rPr>
          <w:rFonts w:ascii="Times New Roman" w:hAnsi="Times New Roman" w:cs="Times New Roman"/>
          <w:sz w:val="24"/>
          <w:szCs w:val="24"/>
        </w:rPr>
        <w:t>ed</w:t>
      </w:r>
      <w:r w:rsidR="00F552C8">
        <w:rPr>
          <w:rFonts w:ascii="Times New Roman" w:hAnsi="Times New Roman" w:cs="Times New Roman"/>
          <w:sz w:val="24"/>
          <w:szCs w:val="24"/>
        </w:rPr>
        <w:t xml:space="preserve"> or patched</w:t>
      </w:r>
      <w:r>
        <w:rPr>
          <w:rFonts w:ascii="Times New Roman" w:hAnsi="Times New Roman" w:cs="Times New Roman"/>
          <w:sz w:val="24"/>
          <w:szCs w:val="24"/>
        </w:rPr>
        <w:t>; and how Orville Babcock’s tenure in the White House reflected the growing need for civil service reforms.</w:t>
      </w:r>
    </w:p>
    <w:p w14:paraId="264C736A" w14:textId="6DF8B56E"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Orville Babcock is arguably the most important individual from the Reconstruction Era that history has largely forgotten. His career in public service, from West Point to the White House, was reflective of other similar veterans-turned-civil servants, and his rise and entrenchment reflects a new breed of political operative during Reconstruction, one which I have deemed the </w:t>
      </w:r>
      <w:r w:rsidR="003653E0">
        <w:rPr>
          <w:rFonts w:ascii="Times New Roman" w:hAnsi="Times New Roman" w:cs="Times New Roman"/>
          <w:sz w:val="24"/>
          <w:szCs w:val="24"/>
        </w:rPr>
        <w:t>“</w:t>
      </w:r>
      <w:r>
        <w:rPr>
          <w:rFonts w:ascii="Times New Roman" w:hAnsi="Times New Roman" w:cs="Times New Roman"/>
          <w:sz w:val="24"/>
          <w:szCs w:val="24"/>
        </w:rPr>
        <w:t>pragmatico.</w:t>
      </w:r>
      <w:r w:rsidR="003653E0">
        <w:rPr>
          <w:rFonts w:ascii="Times New Roman" w:hAnsi="Times New Roman" w:cs="Times New Roman"/>
          <w:sz w:val="24"/>
          <w:szCs w:val="24"/>
        </w:rPr>
        <w:t>”</w:t>
      </w:r>
      <w:r>
        <w:rPr>
          <w:rFonts w:ascii="Times New Roman" w:hAnsi="Times New Roman" w:cs="Times New Roman"/>
          <w:sz w:val="24"/>
          <w:szCs w:val="24"/>
        </w:rPr>
        <w:t xml:space="preserve"> Babcock’s story is one that shows change over time, and while that change is not always for the better, this change is critical to our understanding of the daily politics and the political careers of agents active during Reconstruction. We see this change in both the political agents themselves and in the American political sphere, as the rapid expansion </w:t>
      </w:r>
      <w:r>
        <w:rPr>
          <w:rFonts w:ascii="Times New Roman" w:hAnsi="Times New Roman" w:cs="Times New Roman"/>
          <w:sz w:val="24"/>
          <w:szCs w:val="24"/>
        </w:rPr>
        <w:lastRenderedPageBreak/>
        <w:t>of the federal government during the Civil War afforded greater opportunities for those interested in exploiting the system for personal gain. By tying the personal narrative of an individual who was extremely influential but whom history has designated as seemingly inconsequential, we will understand that political corruption in Reconstruction is something that political agents were exposed to over time, and when it became too great to resist, it literally corrupted their actions and consumed them. Still, these same agents had to maintain their productivity as well as a façade of dignity in order to keep their place in the civil service during this era of patronage.</w:t>
      </w:r>
      <w:r w:rsidRPr="00D65077">
        <w:rPr>
          <w:rFonts w:ascii="Times New Roman" w:hAnsi="Times New Roman" w:cs="Times New Roman"/>
          <w:sz w:val="24"/>
          <w:szCs w:val="24"/>
        </w:rPr>
        <w:t xml:space="preserve"> </w:t>
      </w:r>
      <w:r>
        <w:rPr>
          <w:rFonts w:ascii="Times New Roman" w:hAnsi="Times New Roman" w:cs="Times New Roman"/>
          <w:sz w:val="24"/>
          <w:szCs w:val="24"/>
        </w:rPr>
        <w:t xml:space="preserve">By shifting the focus toward Orville Babcock, we can better understand the nature of political scandal in the Reconstruction Era, the way that Washington politics took shape during this critical period, and the reason for some of the political vitriol that spread publicly in the nation’s capital and across the country.  </w:t>
      </w:r>
    </w:p>
    <w:p w14:paraId="2B5F121B" w14:textId="77777777" w:rsidR="00F333D9" w:rsidRDefault="00EB755A" w:rsidP="00F333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work presents insight into the history of an important presidential administration, not by focusing on the president himself, but upon his staffer and close personal friend.  It </w:t>
      </w:r>
      <w:r w:rsidRPr="00075186">
        <w:rPr>
          <w:rFonts w:ascii="Times New Roman" w:hAnsi="Times New Roman" w:cs="Times New Roman"/>
          <w:sz w:val="24"/>
          <w:szCs w:val="24"/>
        </w:rPr>
        <w:t>address</w:t>
      </w:r>
      <w:r>
        <w:rPr>
          <w:rFonts w:ascii="Times New Roman" w:hAnsi="Times New Roman" w:cs="Times New Roman"/>
          <w:sz w:val="24"/>
          <w:szCs w:val="24"/>
        </w:rPr>
        <w:t>es studies of Reconstruction Era politics, particularly the question of corruption during this era, by tackling multiple events, scandalous or otherwise, tied together by the involvement of a connected political figure.  It considers politics in the nation’s capital, though instead of focusing on the Halls of Congress or the Oval Office, we bear witness to historical events taking place over dinner, through secret correspondence, and down the hall from the President in the office of his Personal Secretary.  It ponders the legacies of individuals and events by addressing the impact of contemporary attacks against them or historians’ writing about these political attacks in years since.</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Perhaps most critically, it centers General Orville Babcock within a political </w:t>
      </w:r>
      <w:r>
        <w:rPr>
          <w:rFonts w:ascii="Times New Roman" w:hAnsi="Times New Roman" w:cs="Times New Roman"/>
          <w:sz w:val="24"/>
          <w:szCs w:val="24"/>
        </w:rPr>
        <w:lastRenderedPageBreak/>
        <w:t>and historical narrative that has never afforded him more than brief mention, which presents key insight into how Reconstruction politics truly occurred and what it truly meant to “Turn the Rascals Out.”</w:t>
      </w:r>
      <w:r>
        <w:rPr>
          <w:rStyle w:val="FootnoteReference"/>
          <w:rFonts w:ascii="Times New Roman" w:hAnsi="Times New Roman" w:cs="Times New Roman"/>
          <w:sz w:val="24"/>
          <w:szCs w:val="24"/>
        </w:rPr>
        <w:footnoteReference w:id="48"/>
      </w:r>
      <w:bookmarkEnd w:id="4"/>
    </w:p>
    <w:p w14:paraId="2C51CA93" w14:textId="51CC72DB" w:rsidR="00F333D9" w:rsidRDefault="00EB755A" w:rsidP="00AC28A8">
      <w:pPr>
        <w:spacing w:line="480" w:lineRule="auto"/>
        <w:jc w:val="center"/>
        <w:rPr>
          <w:rFonts w:ascii="Times New Roman" w:hAnsi="Times New Roman" w:cs="Times New Roman"/>
          <w:sz w:val="24"/>
          <w:szCs w:val="24"/>
        </w:rPr>
      </w:pPr>
      <w:r w:rsidRPr="000A3714">
        <w:rPr>
          <w:rFonts w:ascii="Times New Roman" w:hAnsi="Times New Roman" w:cs="Times New Roman"/>
          <w:sz w:val="24"/>
          <w:szCs w:val="24"/>
        </w:rPr>
        <w:t>Situating the Narrative: Historiographic</w:t>
      </w:r>
      <w:r>
        <w:rPr>
          <w:rFonts w:ascii="Times New Roman" w:hAnsi="Times New Roman" w:cs="Times New Roman"/>
          <w:sz w:val="24"/>
          <w:szCs w:val="24"/>
        </w:rPr>
        <w:t xml:space="preserve"> Notes</w:t>
      </w:r>
    </w:p>
    <w:p w14:paraId="2CDD2556" w14:textId="77777777" w:rsidR="00EB755A" w:rsidRDefault="00EB755A" w:rsidP="000D1198">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At the heart of this work is the detailed scholarship into the politics of the Civil War Era, particularly that which focuses on the Reconstruction Era. The tumultuous historiography of Reconstruction is necessary to understand where this piece rests in the long study of the era, and only by grasping how scholars have considered it throughout time can we grasp its importance as, as Eric Foner referred to it, “America’s Unfinished Revolution.”</w:t>
      </w:r>
      <w:r>
        <w:rPr>
          <w:rStyle w:val="FootnoteReference"/>
          <w:rFonts w:ascii="Times New Roman" w:hAnsi="Times New Roman" w:cs="Times New Roman"/>
          <w:sz w:val="24"/>
          <w:szCs w:val="24"/>
        </w:rPr>
        <w:footnoteReference w:id="49"/>
      </w:r>
    </w:p>
    <w:p w14:paraId="3AEE1834" w14:textId="0D3A0429" w:rsidR="00EB755A" w:rsidRPr="004B341E" w:rsidRDefault="00EB755A" w:rsidP="00EB755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more than a century after the Civil War’s conclusion, the myth of the Lost Cause, driven largely by members of the Dunning School, shaped our understanding of Reconstruction as a failure and as a time when corruption ran rampant. </w:t>
      </w:r>
      <w:r w:rsidRPr="004B341E">
        <w:rPr>
          <w:rFonts w:ascii="Times New Roman" w:hAnsi="Times New Roman" w:cs="Times New Roman"/>
          <w:sz w:val="24"/>
          <w:szCs w:val="24"/>
        </w:rPr>
        <w:t xml:space="preserve">Emerging in the wake of Reconstruction, this school of thought quickly became the dominant view of historical </w:t>
      </w:r>
      <w:r w:rsidR="00930959">
        <w:rPr>
          <w:rFonts w:ascii="Times New Roman" w:hAnsi="Times New Roman" w:cs="Times New Roman"/>
          <w:sz w:val="24"/>
          <w:szCs w:val="24"/>
        </w:rPr>
        <w:t>(mis)</w:t>
      </w:r>
      <w:r w:rsidRPr="004B341E">
        <w:rPr>
          <w:rFonts w:ascii="Times New Roman" w:hAnsi="Times New Roman" w:cs="Times New Roman"/>
          <w:sz w:val="24"/>
          <w:szCs w:val="24"/>
        </w:rPr>
        <w:t xml:space="preserve">conceptions of the era.  William Dunning, </w:t>
      </w:r>
      <w:r>
        <w:rPr>
          <w:rFonts w:ascii="Times New Roman" w:hAnsi="Times New Roman" w:cs="Times New Roman"/>
          <w:sz w:val="24"/>
          <w:szCs w:val="24"/>
        </w:rPr>
        <w:t xml:space="preserve">a former professor at Columbia University and </w:t>
      </w:r>
      <w:r w:rsidRPr="004B341E">
        <w:rPr>
          <w:rFonts w:ascii="Times New Roman" w:hAnsi="Times New Roman" w:cs="Times New Roman"/>
          <w:sz w:val="24"/>
          <w:szCs w:val="24"/>
        </w:rPr>
        <w:t xml:space="preserve">the progenitor of this mindset, and his numerous </w:t>
      </w:r>
      <w:r>
        <w:rPr>
          <w:rFonts w:ascii="Times New Roman" w:hAnsi="Times New Roman" w:cs="Times New Roman"/>
          <w:sz w:val="24"/>
          <w:szCs w:val="24"/>
        </w:rPr>
        <w:t xml:space="preserve">graduate </w:t>
      </w:r>
      <w:r w:rsidRPr="004B341E">
        <w:rPr>
          <w:rFonts w:ascii="Times New Roman" w:hAnsi="Times New Roman" w:cs="Times New Roman"/>
          <w:sz w:val="24"/>
          <w:szCs w:val="24"/>
        </w:rPr>
        <w:t>students conducted research throughout the 1890s into the upheaval of the political status quo that occurred postbellum, particularly in studies of individual southern states.</w:t>
      </w:r>
      <w:r w:rsidRPr="004B341E">
        <w:rPr>
          <w:rFonts w:ascii="Times New Roman" w:hAnsi="Times New Roman" w:cs="Times New Roman"/>
          <w:sz w:val="24"/>
          <w:szCs w:val="24"/>
          <w:vertAlign w:val="superscript"/>
        </w:rPr>
        <w:footnoteReference w:id="50"/>
      </w:r>
      <w:r w:rsidRPr="004B341E">
        <w:rPr>
          <w:rFonts w:ascii="Times New Roman" w:hAnsi="Times New Roman" w:cs="Times New Roman"/>
          <w:sz w:val="24"/>
          <w:szCs w:val="24"/>
        </w:rPr>
        <w:t xml:space="preserve">  Dunning and his acolytes sought to prove that southern whites had been </w:t>
      </w:r>
      <w:r w:rsidRPr="004B341E">
        <w:rPr>
          <w:rFonts w:ascii="Times New Roman" w:hAnsi="Times New Roman" w:cs="Times New Roman"/>
          <w:sz w:val="24"/>
          <w:szCs w:val="24"/>
        </w:rPr>
        <w:lastRenderedPageBreak/>
        <w:t>temporarily removed from their positions of power by evil African Americans, carpetbaggers, and scalawags and that these southern whites should have been restored to their positions quickly, sans penalty.</w:t>
      </w:r>
      <w:r w:rsidRPr="004B341E">
        <w:rPr>
          <w:rFonts w:ascii="Times New Roman" w:hAnsi="Times New Roman" w:cs="Times New Roman"/>
          <w:sz w:val="24"/>
          <w:szCs w:val="24"/>
          <w:vertAlign w:val="superscript"/>
        </w:rPr>
        <w:footnoteReference w:id="51"/>
      </w:r>
      <w:r w:rsidRPr="004B341E">
        <w:rPr>
          <w:rFonts w:ascii="Times New Roman" w:hAnsi="Times New Roman" w:cs="Times New Roman"/>
          <w:sz w:val="24"/>
          <w:szCs w:val="24"/>
        </w:rPr>
        <w:t xml:space="preserve"> These treatments were obviously flawed, mainly due to their inherent racism towards African Americans and bias towards Northern political operatives.  The Dunnings portrayed African Americans as incompetent, unequal to white Americans, and completely unprepared for leadership roles that were extended during this period.  Meanwhile, carpetbaggers who moved to the South were </w:t>
      </w:r>
      <w:r w:rsidR="003F6866">
        <w:rPr>
          <w:rFonts w:ascii="Times New Roman" w:hAnsi="Times New Roman" w:cs="Times New Roman"/>
          <w:sz w:val="24"/>
          <w:szCs w:val="24"/>
        </w:rPr>
        <w:t>seen as</w:t>
      </w:r>
      <w:r w:rsidRPr="004B341E">
        <w:rPr>
          <w:rFonts w:ascii="Times New Roman" w:hAnsi="Times New Roman" w:cs="Times New Roman"/>
          <w:sz w:val="24"/>
          <w:szCs w:val="24"/>
        </w:rPr>
        <w:t xml:space="preserve"> Northerners infringing on the political sovereignty of the South, serving as proxy rulers for the North and leading white Southerners to unite to overthrow the oppressive Northern regime and reestablish good government under southern control, thus ending the tragedy of Reconstruction. With the benefit of time and evolution, it is clear the Dunning School was inherently flawed, given its southern slant and, more importantly, its blatant racism toward non-white individuals.  </w:t>
      </w:r>
    </w:p>
    <w:p w14:paraId="5B235310" w14:textId="504B844C" w:rsidR="00EB755A" w:rsidRPr="004B341E" w:rsidRDefault="00EB755A" w:rsidP="00EB755A">
      <w:pPr>
        <w:spacing w:line="480" w:lineRule="auto"/>
        <w:ind w:firstLine="720"/>
        <w:rPr>
          <w:rFonts w:ascii="Times New Roman" w:hAnsi="Times New Roman" w:cs="Times New Roman"/>
          <w:sz w:val="24"/>
          <w:szCs w:val="24"/>
        </w:rPr>
      </w:pPr>
      <w:r w:rsidRPr="004B341E">
        <w:rPr>
          <w:rFonts w:ascii="Times New Roman" w:hAnsi="Times New Roman" w:cs="Times New Roman"/>
          <w:sz w:val="24"/>
          <w:szCs w:val="24"/>
        </w:rPr>
        <w:t xml:space="preserve">After the Dunning School, historians rightly corrected the issues inherent in these treatises of Reconstruction, considering new ideas in their coverage of the postbellum period in American society. </w:t>
      </w:r>
      <w:r>
        <w:rPr>
          <w:rFonts w:ascii="Times New Roman" w:hAnsi="Times New Roman" w:cs="Times New Roman"/>
          <w:sz w:val="24"/>
          <w:szCs w:val="24"/>
        </w:rPr>
        <w:t>T</w:t>
      </w:r>
      <w:r w:rsidRPr="004B341E">
        <w:rPr>
          <w:rFonts w:ascii="Times New Roman" w:hAnsi="Times New Roman" w:cs="Times New Roman"/>
          <w:sz w:val="24"/>
          <w:szCs w:val="24"/>
        </w:rPr>
        <w:t>hese historians focused more on sociocultural avenues of research than the study of political scandal and corruption.  In the 1920s, the Progressive school became the dominant historiographical viewpoint, suggesting that economic forces were the key to understanding Reconstruction.</w:t>
      </w:r>
      <w:r w:rsidRPr="004B341E">
        <w:rPr>
          <w:rFonts w:ascii="Times New Roman" w:hAnsi="Times New Roman" w:cs="Times New Roman"/>
          <w:sz w:val="24"/>
          <w:szCs w:val="24"/>
          <w:vertAlign w:val="superscript"/>
        </w:rPr>
        <w:footnoteReference w:id="52"/>
      </w:r>
      <w:r w:rsidRPr="004B341E">
        <w:rPr>
          <w:rFonts w:ascii="Times New Roman" w:hAnsi="Times New Roman" w:cs="Times New Roman"/>
          <w:sz w:val="24"/>
          <w:szCs w:val="24"/>
        </w:rPr>
        <w:t xml:space="preserve"> Progressives argued that Reconstruction ended thanks to the </w:t>
      </w:r>
      <w:r w:rsidRPr="004B341E">
        <w:rPr>
          <w:rFonts w:ascii="Times New Roman" w:hAnsi="Times New Roman" w:cs="Times New Roman"/>
          <w:sz w:val="24"/>
          <w:szCs w:val="24"/>
        </w:rPr>
        <w:lastRenderedPageBreak/>
        <w:t xml:space="preserve">triumph of business values and industrial capitalism’s prevalence.  To address this, Progressives </w:t>
      </w:r>
      <w:r w:rsidR="003F6866">
        <w:rPr>
          <w:rFonts w:ascii="Times New Roman" w:hAnsi="Times New Roman" w:cs="Times New Roman"/>
          <w:sz w:val="24"/>
          <w:szCs w:val="24"/>
        </w:rPr>
        <w:t>investigat</w:t>
      </w:r>
      <w:r w:rsidRPr="004B341E">
        <w:rPr>
          <w:rFonts w:ascii="Times New Roman" w:hAnsi="Times New Roman" w:cs="Times New Roman"/>
          <w:sz w:val="24"/>
          <w:szCs w:val="24"/>
        </w:rPr>
        <w:t xml:space="preserve">ed non-political motivations for the actions of carpetbaggers and African Americans, primarily looking at the economic justifications of these historical actors.  Perhaps the most famous, although at the time most overlooked, Progressive historians was W.E.B. Du Bois, whose tome </w:t>
      </w:r>
      <w:r w:rsidRPr="004B341E">
        <w:rPr>
          <w:rFonts w:ascii="Times New Roman" w:hAnsi="Times New Roman" w:cs="Times New Roman"/>
          <w:i/>
          <w:iCs/>
          <w:sz w:val="24"/>
          <w:szCs w:val="24"/>
        </w:rPr>
        <w:t>Black Reconstruction</w:t>
      </w:r>
      <w:r w:rsidRPr="004B341E">
        <w:rPr>
          <w:rFonts w:ascii="Times New Roman" w:hAnsi="Times New Roman" w:cs="Times New Roman"/>
          <w:sz w:val="24"/>
          <w:szCs w:val="24"/>
        </w:rPr>
        <w:t xml:space="preserve"> established African Americans at the center of the conversation.</w:t>
      </w:r>
      <w:r w:rsidRPr="004B341E">
        <w:rPr>
          <w:rFonts w:ascii="Times New Roman" w:hAnsi="Times New Roman" w:cs="Times New Roman"/>
          <w:sz w:val="24"/>
          <w:szCs w:val="24"/>
          <w:vertAlign w:val="superscript"/>
        </w:rPr>
        <w:footnoteReference w:id="53"/>
      </w:r>
      <w:r w:rsidRPr="004B341E">
        <w:rPr>
          <w:rFonts w:ascii="Times New Roman" w:hAnsi="Times New Roman" w:cs="Times New Roman"/>
          <w:sz w:val="24"/>
          <w:szCs w:val="24"/>
        </w:rPr>
        <w:t xml:space="preserve">  Though many Progressive historians internally debated about specifics (for example, that the corruption in American society was not limited sectionally but that it emerged nationally, or that corruption in the South was not the result of black involvement in government or incompetent carpetbaggers, but that it was a systemic issue within the new world order), they nevertheless held common understandings about the period, the most critical of which was the need to abandon the racial biases of the Dunning scholarship.</w:t>
      </w:r>
      <w:r w:rsidRPr="004B341E">
        <w:rPr>
          <w:rFonts w:ascii="Times New Roman" w:hAnsi="Times New Roman" w:cs="Times New Roman"/>
          <w:sz w:val="24"/>
          <w:szCs w:val="24"/>
          <w:vertAlign w:val="superscript"/>
        </w:rPr>
        <w:footnoteReference w:id="54"/>
      </w:r>
    </w:p>
    <w:p w14:paraId="75367449" w14:textId="404EB06D" w:rsidR="00EB755A" w:rsidRPr="004B341E" w:rsidRDefault="00EB755A" w:rsidP="00EB755A">
      <w:pPr>
        <w:spacing w:line="480" w:lineRule="auto"/>
        <w:ind w:firstLine="720"/>
        <w:rPr>
          <w:rFonts w:ascii="Times New Roman" w:hAnsi="Times New Roman" w:cs="Times New Roman"/>
          <w:sz w:val="24"/>
          <w:szCs w:val="24"/>
        </w:rPr>
      </w:pPr>
      <w:r w:rsidRPr="004B341E">
        <w:rPr>
          <w:rFonts w:ascii="Times New Roman" w:hAnsi="Times New Roman" w:cs="Times New Roman"/>
          <w:sz w:val="24"/>
          <w:szCs w:val="24"/>
        </w:rPr>
        <w:t>The 1950s saw the rise of the Revisionists as the dominant historiographical interpretation of Reconstruction.</w:t>
      </w:r>
      <w:r w:rsidRPr="004B341E">
        <w:rPr>
          <w:rFonts w:ascii="Times New Roman" w:hAnsi="Times New Roman" w:cs="Times New Roman"/>
          <w:sz w:val="24"/>
          <w:szCs w:val="24"/>
          <w:vertAlign w:val="superscript"/>
        </w:rPr>
        <w:footnoteReference w:id="55"/>
      </w:r>
      <w:r w:rsidRPr="004B341E">
        <w:rPr>
          <w:rFonts w:ascii="Times New Roman" w:hAnsi="Times New Roman" w:cs="Times New Roman"/>
          <w:sz w:val="24"/>
          <w:szCs w:val="24"/>
        </w:rPr>
        <w:t xml:space="preserve">  This group bore witness to the racial injustices of the civil rights era, and as a result, race became more central to the narrative.  Shirking the economic importance previously placed on the period, Revisionists like Kenneth Stampp undercut the Progressive argument and cited a lack of economic unity within the Republican Party.</w:t>
      </w:r>
      <w:r w:rsidRPr="004B341E">
        <w:rPr>
          <w:rFonts w:ascii="Times New Roman" w:hAnsi="Times New Roman" w:cs="Times New Roman"/>
          <w:sz w:val="24"/>
          <w:szCs w:val="24"/>
          <w:vertAlign w:val="superscript"/>
        </w:rPr>
        <w:t xml:space="preserve"> </w:t>
      </w:r>
      <w:r w:rsidRPr="004B341E">
        <w:rPr>
          <w:rFonts w:ascii="Times New Roman" w:hAnsi="Times New Roman" w:cs="Times New Roman"/>
          <w:sz w:val="24"/>
          <w:szCs w:val="24"/>
          <w:vertAlign w:val="superscript"/>
        </w:rPr>
        <w:footnoteReference w:id="56"/>
      </w:r>
      <w:r w:rsidRPr="004B341E">
        <w:rPr>
          <w:rFonts w:ascii="Times New Roman" w:hAnsi="Times New Roman" w:cs="Times New Roman"/>
          <w:sz w:val="24"/>
          <w:szCs w:val="24"/>
        </w:rPr>
        <w:t xml:space="preserve"> These Revisionists acknowledged that individuals within the party held different views about such important factors as economics and race</w:t>
      </w:r>
      <w:r w:rsidR="009F15BA">
        <w:rPr>
          <w:rFonts w:ascii="Times New Roman" w:hAnsi="Times New Roman" w:cs="Times New Roman"/>
          <w:sz w:val="24"/>
          <w:szCs w:val="24"/>
        </w:rPr>
        <w:t>, offering</w:t>
      </w:r>
      <w:r w:rsidRPr="004B341E">
        <w:rPr>
          <w:rFonts w:ascii="Times New Roman" w:hAnsi="Times New Roman" w:cs="Times New Roman"/>
          <w:sz w:val="24"/>
          <w:szCs w:val="24"/>
        </w:rPr>
        <w:t xml:space="preserve"> that the suggested Progressive unity did not </w:t>
      </w:r>
      <w:r w:rsidRPr="004B341E">
        <w:rPr>
          <w:rFonts w:ascii="Times New Roman" w:hAnsi="Times New Roman" w:cs="Times New Roman"/>
          <w:sz w:val="24"/>
          <w:szCs w:val="24"/>
        </w:rPr>
        <w:lastRenderedPageBreak/>
        <w:t xml:space="preserve">exist.  There was a pessimistic shift within the </w:t>
      </w:r>
      <w:r w:rsidR="008A630A">
        <w:rPr>
          <w:rFonts w:ascii="Times New Roman" w:hAnsi="Times New Roman" w:cs="Times New Roman"/>
          <w:sz w:val="24"/>
          <w:szCs w:val="24"/>
        </w:rPr>
        <w:t>R</w:t>
      </w:r>
      <w:r w:rsidRPr="004B341E">
        <w:rPr>
          <w:rFonts w:ascii="Times New Roman" w:hAnsi="Times New Roman" w:cs="Times New Roman"/>
          <w:sz w:val="24"/>
          <w:szCs w:val="24"/>
        </w:rPr>
        <w:t xml:space="preserve">evisionist school during the 1970s due to the racial friction and inequality of the post-civil rights era, which some Revisionists considered a reflection of Reconstruction’s failure to fully integrate blacks into existing and developing political and social structures.  Still, this group credited the unresolved issue of blacks in American society as </w:t>
      </w:r>
      <w:r w:rsidRPr="004B341E">
        <w:rPr>
          <w:rFonts w:ascii="Times New Roman" w:hAnsi="Times New Roman" w:cs="Times New Roman"/>
          <w:i/>
          <w:iCs/>
          <w:sz w:val="24"/>
          <w:szCs w:val="24"/>
          <w:u w:val="single"/>
        </w:rPr>
        <w:t>the</w:t>
      </w:r>
      <w:r w:rsidRPr="004B341E">
        <w:rPr>
          <w:rFonts w:ascii="Times New Roman" w:hAnsi="Times New Roman" w:cs="Times New Roman"/>
          <w:sz w:val="24"/>
          <w:szCs w:val="24"/>
        </w:rPr>
        <w:t xml:space="preserve"> true failure of Reconstruction.  Perhaps the most famous of Revisionist texts is Eric Foner’s paradigm-shifting synthesis </w:t>
      </w:r>
      <w:r w:rsidRPr="004B341E">
        <w:rPr>
          <w:rFonts w:ascii="Times New Roman" w:hAnsi="Times New Roman" w:cs="Times New Roman"/>
          <w:i/>
          <w:iCs/>
          <w:sz w:val="24"/>
          <w:szCs w:val="24"/>
        </w:rPr>
        <w:t>Reconstruction: America’s Unfinished Revolution, 1863-1877</w:t>
      </w:r>
      <w:r w:rsidRPr="004B341E">
        <w:rPr>
          <w:rFonts w:ascii="Times New Roman" w:hAnsi="Times New Roman" w:cs="Times New Roman"/>
          <w:sz w:val="24"/>
          <w:szCs w:val="24"/>
        </w:rPr>
        <w:t>.</w:t>
      </w:r>
      <w:r w:rsidRPr="004B341E">
        <w:rPr>
          <w:rFonts w:ascii="Times New Roman" w:hAnsi="Times New Roman" w:cs="Times New Roman"/>
          <w:sz w:val="24"/>
          <w:szCs w:val="24"/>
          <w:vertAlign w:val="superscript"/>
        </w:rPr>
        <w:t xml:space="preserve"> </w:t>
      </w:r>
      <w:r w:rsidRPr="004B341E">
        <w:rPr>
          <w:rFonts w:ascii="Times New Roman" w:hAnsi="Times New Roman" w:cs="Times New Roman"/>
          <w:sz w:val="24"/>
          <w:szCs w:val="24"/>
          <w:vertAlign w:val="superscript"/>
        </w:rPr>
        <w:footnoteReference w:id="57"/>
      </w:r>
      <w:r w:rsidRPr="004B341E">
        <w:rPr>
          <w:rFonts w:ascii="Times New Roman" w:hAnsi="Times New Roman" w:cs="Times New Roman"/>
          <w:sz w:val="24"/>
          <w:szCs w:val="24"/>
          <w:vertAlign w:val="superscript"/>
        </w:rPr>
        <w:t xml:space="preserve"> </w:t>
      </w:r>
      <w:r w:rsidRPr="004B341E">
        <w:rPr>
          <w:rFonts w:ascii="Times New Roman" w:hAnsi="Times New Roman" w:cs="Times New Roman"/>
          <w:sz w:val="24"/>
          <w:szCs w:val="24"/>
        </w:rPr>
        <w:t xml:space="preserve"> Published in 1988, Foner’s book, like Du Bois’s fifty years earlier, sought to establish “the centrality of the black experience.”</w:t>
      </w:r>
      <w:r w:rsidRPr="004B341E">
        <w:rPr>
          <w:rFonts w:ascii="Times New Roman" w:hAnsi="Times New Roman" w:cs="Times New Roman"/>
          <w:sz w:val="24"/>
          <w:szCs w:val="24"/>
          <w:vertAlign w:val="superscript"/>
        </w:rPr>
        <w:footnoteReference w:id="58"/>
      </w:r>
      <w:r w:rsidRPr="004B341E">
        <w:rPr>
          <w:rFonts w:ascii="Times New Roman" w:hAnsi="Times New Roman" w:cs="Times New Roman"/>
          <w:sz w:val="24"/>
          <w:szCs w:val="24"/>
        </w:rPr>
        <w:t xml:space="preserve">  He found that, at least initially, Reconstruction was a radical attempt to destroy the social system of the South, but that by the 1870s, northern industrial leaders began to fear class conflict so much that they sympathize</w:t>
      </w:r>
      <w:r w:rsidR="00EB52A0">
        <w:rPr>
          <w:rFonts w:ascii="Times New Roman" w:hAnsi="Times New Roman" w:cs="Times New Roman"/>
          <w:sz w:val="24"/>
          <w:szCs w:val="24"/>
        </w:rPr>
        <w:t>d</w:t>
      </w:r>
      <w:r w:rsidRPr="004B341E">
        <w:rPr>
          <w:rFonts w:ascii="Times New Roman" w:hAnsi="Times New Roman" w:cs="Times New Roman"/>
          <w:sz w:val="24"/>
          <w:szCs w:val="24"/>
        </w:rPr>
        <w:t xml:space="preserve"> with white southerners.  This sympathy led to a resurgence of white control in the South that coincided with the fall of the free-labor ideology upon which the Republican Party was built, leading to the compromise of sharecropping as an economic system.  Foner argues that Reconstruction was an important failure, because through Radical Reconstruction, joint white and black activism fashioned, at least for a time, a biracial democracy never before seen in the United States.  Foner’s book serves as a seminal text in the field, with many subsequent scholars building upon the foundation he laid in his narrative.</w:t>
      </w:r>
      <w:r w:rsidRPr="004B341E">
        <w:rPr>
          <w:rFonts w:ascii="Times New Roman" w:hAnsi="Times New Roman" w:cs="Times New Roman"/>
          <w:sz w:val="24"/>
          <w:szCs w:val="24"/>
          <w:vertAlign w:val="superscript"/>
        </w:rPr>
        <w:footnoteReference w:id="59"/>
      </w:r>
    </w:p>
    <w:p w14:paraId="45180ECD" w14:textId="67450C14" w:rsidR="00EB755A" w:rsidRDefault="00EB755A" w:rsidP="00EB755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the decades since the release of Foner’s synthesis, historians have sought to broaden the field to ask new questions about the era of Reconstruction. This includes investigations into questions of gender, culture, and intellectual histories.</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They have further sought to expand our understanding of the era by expanding its temporality, looking as far back as the Mexican-American War and delving into the impacts of the era into the Gilded Age.</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They also look into how non-Southern societies were impacted by Reconstruction policies, as well as creating comparative studies between the United States and other post-emancipation societies.</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This most recent generation of historians has taken further steps to correct the damage done by the Dunning School and reshape our understanding of Reconstruction politics. No longer do our scholars cling to claims that President Grant was corrupting the nation by allowing African Americans to take over southern state governments while infringing on the rights of their former oppressors. </w:t>
      </w:r>
      <w:r w:rsidR="00FB4587">
        <w:rPr>
          <w:rFonts w:ascii="Times New Roman" w:hAnsi="Times New Roman" w:cs="Times New Roman"/>
          <w:sz w:val="24"/>
          <w:szCs w:val="24"/>
        </w:rPr>
        <w:t xml:space="preserve">Instead scholars look to questions of religion, state-building, capitalism, and public </w:t>
      </w:r>
      <w:r w:rsidR="00FB4587">
        <w:rPr>
          <w:rFonts w:ascii="Times New Roman" w:hAnsi="Times New Roman" w:cs="Times New Roman"/>
          <w:sz w:val="24"/>
          <w:szCs w:val="24"/>
        </w:rPr>
        <w:lastRenderedPageBreak/>
        <w:t>history and memory as we rethink Reconstruction’s place in American history.</w:t>
      </w:r>
      <w:r w:rsidR="00FB4587">
        <w:rPr>
          <w:rStyle w:val="FootnoteReference"/>
          <w:rFonts w:ascii="Times New Roman" w:hAnsi="Times New Roman" w:cs="Times New Roman"/>
          <w:sz w:val="24"/>
          <w:szCs w:val="24"/>
        </w:rPr>
        <w:footnoteReference w:id="63"/>
      </w:r>
      <w:r w:rsidR="00FB4587">
        <w:rPr>
          <w:rFonts w:ascii="Times New Roman" w:hAnsi="Times New Roman" w:cs="Times New Roman"/>
          <w:sz w:val="24"/>
          <w:szCs w:val="24"/>
        </w:rPr>
        <w:t xml:space="preserve"> </w:t>
      </w:r>
      <w:r>
        <w:rPr>
          <w:rFonts w:ascii="Times New Roman" w:hAnsi="Times New Roman" w:cs="Times New Roman"/>
          <w:sz w:val="24"/>
          <w:szCs w:val="24"/>
        </w:rPr>
        <w:t>Our understanding of the Reconstruction era is the most complete it has ever been</w:t>
      </w:r>
      <w:r w:rsidR="00304750">
        <w:rPr>
          <w:rFonts w:ascii="Times New Roman" w:hAnsi="Times New Roman" w:cs="Times New Roman"/>
          <w:sz w:val="24"/>
          <w:szCs w:val="24"/>
        </w:rPr>
        <w:t xml:space="preserve"> as we continue to uncover new avenues of research</w:t>
      </w:r>
      <w:r>
        <w:rPr>
          <w:rFonts w:ascii="Times New Roman" w:hAnsi="Times New Roman" w:cs="Times New Roman"/>
          <w:sz w:val="24"/>
          <w:szCs w:val="24"/>
        </w:rPr>
        <w:t>.</w:t>
      </w:r>
    </w:p>
    <w:p w14:paraId="46FCB918" w14:textId="03FE56CD" w:rsidR="00EB755A" w:rsidRDefault="00EB755A" w:rsidP="00EB755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field of Reconstruction Era history has evolved over the years, bringing brilliant new perspectives to the way we understand this chaotic time in American history.  However, this happened in a manner which stagnated research into some of the most critical avenues.  Chief among these is the study of Reconstruction Era political scandal.  Once a favorite topic of the Dunning School, political scandal was supplanted by class and race as central topics of discussion.  </w:t>
      </w:r>
      <w:r w:rsidR="001E4B49">
        <w:rPr>
          <w:rFonts w:ascii="Times New Roman" w:hAnsi="Times New Roman" w:cs="Times New Roman"/>
          <w:sz w:val="24"/>
          <w:szCs w:val="24"/>
        </w:rPr>
        <w:t xml:space="preserve">While this change was invaluable for the new perspectives garnered on the era, we now need to reconsider the era’s politics from a contemporary standpoint with the benefit of generations of </w:t>
      </w:r>
      <w:r w:rsidR="009874D1">
        <w:rPr>
          <w:rFonts w:ascii="Times New Roman" w:hAnsi="Times New Roman" w:cs="Times New Roman"/>
          <w:sz w:val="24"/>
          <w:szCs w:val="24"/>
        </w:rPr>
        <w:t xml:space="preserve">well-researched </w:t>
      </w:r>
      <w:r w:rsidR="001E4B49">
        <w:rPr>
          <w:rFonts w:ascii="Times New Roman" w:hAnsi="Times New Roman" w:cs="Times New Roman"/>
          <w:sz w:val="24"/>
          <w:szCs w:val="24"/>
        </w:rPr>
        <w:t xml:space="preserve">historiography. Further, we need to swing the pendulum back to center, as those who rejected the Dunnings’ racist ideology also threw out their political methodology. These historians threw out the metaphorical baby of Reconstruction political history out with the rancid bathwater of the Dunnings, and in </w:t>
      </w:r>
      <w:r>
        <w:rPr>
          <w:rFonts w:ascii="Times New Roman" w:hAnsi="Times New Roman" w:cs="Times New Roman"/>
          <w:sz w:val="24"/>
          <w:szCs w:val="24"/>
        </w:rPr>
        <w:t xml:space="preserve">making </w:t>
      </w:r>
      <w:r w:rsidR="001E4B49">
        <w:rPr>
          <w:rFonts w:ascii="Times New Roman" w:hAnsi="Times New Roman" w:cs="Times New Roman"/>
          <w:sz w:val="24"/>
          <w:szCs w:val="24"/>
        </w:rPr>
        <w:t>such an overcorrection</w:t>
      </w:r>
      <w:r>
        <w:rPr>
          <w:rFonts w:ascii="Times New Roman" w:hAnsi="Times New Roman" w:cs="Times New Roman"/>
          <w:sz w:val="24"/>
          <w:szCs w:val="24"/>
        </w:rPr>
        <w:t>, we have</w:t>
      </w:r>
      <w:r w:rsidR="001E4B49">
        <w:rPr>
          <w:rFonts w:ascii="Times New Roman" w:hAnsi="Times New Roman" w:cs="Times New Roman"/>
          <w:sz w:val="24"/>
          <w:szCs w:val="24"/>
        </w:rPr>
        <w:t xml:space="preserve"> </w:t>
      </w:r>
      <w:r>
        <w:rPr>
          <w:rFonts w:ascii="Times New Roman" w:hAnsi="Times New Roman" w:cs="Times New Roman"/>
          <w:sz w:val="24"/>
          <w:szCs w:val="24"/>
        </w:rPr>
        <w:t>not address</w:t>
      </w:r>
      <w:r w:rsidR="001E4B49">
        <w:rPr>
          <w:rFonts w:ascii="Times New Roman" w:hAnsi="Times New Roman" w:cs="Times New Roman"/>
          <w:sz w:val="24"/>
          <w:szCs w:val="24"/>
        </w:rPr>
        <w:t>ed</w:t>
      </w:r>
      <w:r>
        <w:rPr>
          <w:rFonts w:ascii="Times New Roman" w:hAnsi="Times New Roman" w:cs="Times New Roman"/>
          <w:sz w:val="24"/>
          <w:szCs w:val="24"/>
        </w:rPr>
        <w:t xml:space="preserve"> political scandal as central to the narrative of the Reconstruction Era for fear of being compared to the Dunnings.  This has allowed figures like General Babcock to fall through the historiographical cracks, which has left us with an incomplete portrait of the Reconstruction Era and its political turmoil. </w:t>
      </w:r>
    </w:p>
    <w:p w14:paraId="6855B9C3" w14:textId="77C562B8" w:rsidR="00EB755A" w:rsidRPr="00494698"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r>
      <w:r w:rsidRPr="00494698">
        <w:rPr>
          <w:rFonts w:ascii="Times New Roman" w:hAnsi="Times New Roman" w:cs="Times New Roman"/>
          <w:sz w:val="24"/>
          <w:szCs w:val="24"/>
        </w:rPr>
        <w:t xml:space="preserve">In recent years, select few historians have attempted to correct this mistake by </w:t>
      </w:r>
      <w:r w:rsidR="003F6866">
        <w:rPr>
          <w:rFonts w:ascii="Times New Roman" w:hAnsi="Times New Roman" w:cs="Times New Roman"/>
          <w:sz w:val="24"/>
          <w:szCs w:val="24"/>
        </w:rPr>
        <w:t>address</w:t>
      </w:r>
      <w:r w:rsidRPr="00494698">
        <w:rPr>
          <w:rFonts w:ascii="Times New Roman" w:hAnsi="Times New Roman" w:cs="Times New Roman"/>
          <w:sz w:val="24"/>
          <w:szCs w:val="24"/>
        </w:rPr>
        <w:t>ing the notion of political scandal during Reconstruction, but in a far more enlightened and appropriate manner than the Dunning School had.</w:t>
      </w:r>
      <w:r w:rsidRPr="00494698">
        <w:rPr>
          <w:rFonts w:ascii="Times New Roman" w:hAnsi="Times New Roman" w:cs="Times New Roman"/>
          <w:sz w:val="24"/>
          <w:szCs w:val="24"/>
          <w:vertAlign w:val="superscript"/>
        </w:rPr>
        <w:footnoteReference w:id="64"/>
      </w:r>
      <w:r w:rsidRPr="00494698">
        <w:rPr>
          <w:rFonts w:ascii="Times New Roman" w:hAnsi="Times New Roman" w:cs="Times New Roman"/>
          <w:sz w:val="24"/>
          <w:szCs w:val="24"/>
        </w:rPr>
        <w:t xml:space="preserve">  Leading the charge back into the fold of </w:t>
      </w:r>
      <w:r w:rsidRPr="00494698">
        <w:rPr>
          <w:rFonts w:ascii="Times New Roman" w:hAnsi="Times New Roman" w:cs="Times New Roman"/>
          <w:sz w:val="24"/>
          <w:szCs w:val="24"/>
        </w:rPr>
        <w:lastRenderedPageBreak/>
        <w:t xml:space="preserve">Reconstruction political scandal is Mark Wahlgren Summers.  Summers has authored a number of books on the political tumult caused by scandal during the Long Civil War Era, with specific attention paid to the postbellum period.  His 1992 </w:t>
      </w:r>
      <w:r w:rsidRPr="00494698">
        <w:rPr>
          <w:rFonts w:ascii="Times New Roman" w:hAnsi="Times New Roman" w:cs="Times New Roman"/>
          <w:i/>
          <w:iCs/>
          <w:sz w:val="24"/>
          <w:szCs w:val="24"/>
        </w:rPr>
        <w:t>Era of Good Stealings</w:t>
      </w:r>
      <w:r w:rsidRPr="00494698">
        <w:rPr>
          <w:rFonts w:ascii="Times New Roman" w:hAnsi="Times New Roman" w:cs="Times New Roman"/>
          <w:sz w:val="24"/>
          <w:szCs w:val="24"/>
        </w:rPr>
        <w:t xml:space="preserve"> show</w:t>
      </w:r>
      <w:r w:rsidR="00882A30">
        <w:rPr>
          <w:rFonts w:ascii="Times New Roman" w:hAnsi="Times New Roman" w:cs="Times New Roman"/>
          <w:sz w:val="24"/>
          <w:szCs w:val="24"/>
        </w:rPr>
        <w:t>s</w:t>
      </w:r>
      <w:r w:rsidRPr="00494698">
        <w:rPr>
          <w:rFonts w:ascii="Times New Roman" w:hAnsi="Times New Roman" w:cs="Times New Roman"/>
          <w:sz w:val="24"/>
          <w:szCs w:val="24"/>
        </w:rPr>
        <w:t xml:space="preserve"> the importance of a paradoxical issue in this period, as he suggests that “from the bribery of lawmakers to ballot-box stuffing to administrative officers on the take, corruption had less important consequences than the </w:t>
      </w:r>
      <w:r w:rsidRPr="00494698">
        <w:rPr>
          <w:rFonts w:ascii="Times New Roman" w:hAnsi="Times New Roman" w:cs="Times New Roman"/>
          <w:i/>
          <w:iCs/>
          <w:sz w:val="24"/>
          <w:szCs w:val="24"/>
        </w:rPr>
        <w:t>corruption issue</w:t>
      </w:r>
      <w:r w:rsidRPr="00494698">
        <w:rPr>
          <w:rFonts w:ascii="Times New Roman" w:hAnsi="Times New Roman" w:cs="Times New Roman"/>
          <w:sz w:val="24"/>
          <w:szCs w:val="24"/>
        </w:rPr>
        <w:t>.”</w:t>
      </w:r>
      <w:r w:rsidRPr="00494698">
        <w:rPr>
          <w:rFonts w:ascii="Times New Roman" w:hAnsi="Times New Roman" w:cs="Times New Roman"/>
          <w:sz w:val="24"/>
          <w:szCs w:val="24"/>
          <w:vertAlign w:val="superscript"/>
        </w:rPr>
        <w:footnoteReference w:id="65"/>
      </w:r>
      <w:r w:rsidRPr="00494698">
        <w:rPr>
          <w:rFonts w:ascii="Times New Roman" w:hAnsi="Times New Roman" w:cs="Times New Roman"/>
          <w:sz w:val="24"/>
          <w:szCs w:val="24"/>
        </w:rPr>
        <w:t xml:space="preserve">  He shows the impact of political turmoil through industries like print media (1994’s </w:t>
      </w:r>
      <w:r w:rsidRPr="00494698">
        <w:rPr>
          <w:rFonts w:ascii="Times New Roman" w:hAnsi="Times New Roman" w:cs="Times New Roman"/>
          <w:i/>
          <w:iCs/>
          <w:sz w:val="24"/>
          <w:szCs w:val="24"/>
        </w:rPr>
        <w:t>The Press Gang</w:t>
      </w:r>
      <w:r w:rsidRPr="00494698">
        <w:rPr>
          <w:rFonts w:ascii="Times New Roman" w:hAnsi="Times New Roman" w:cs="Times New Roman"/>
          <w:sz w:val="24"/>
          <w:szCs w:val="24"/>
        </w:rPr>
        <w:t xml:space="preserve">) and the railroad (1984’s </w:t>
      </w:r>
      <w:r w:rsidRPr="00494698">
        <w:rPr>
          <w:rFonts w:ascii="Times New Roman" w:hAnsi="Times New Roman" w:cs="Times New Roman"/>
          <w:i/>
          <w:iCs/>
          <w:sz w:val="24"/>
          <w:szCs w:val="24"/>
        </w:rPr>
        <w:t>Railroads, Reconstruction and the Gospel of Prosperity</w:t>
      </w:r>
      <w:r w:rsidRPr="00494698">
        <w:rPr>
          <w:rFonts w:ascii="Times New Roman" w:hAnsi="Times New Roman" w:cs="Times New Roman"/>
          <w:sz w:val="24"/>
          <w:szCs w:val="24"/>
        </w:rPr>
        <w:t>).</w:t>
      </w:r>
      <w:r w:rsidRPr="00494698">
        <w:rPr>
          <w:rFonts w:ascii="Times New Roman" w:hAnsi="Times New Roman" w:cs="Times New Roman"/>
          <w:sz w:val="24"/>
          <w:szCs w:val="24"/>
          <w:vertAlign w:val="superscript"/>
        </w:rPr>
        <w:footnoteReference w:id="66"/>
      </w:r>
      <w:r w:rsidRPr="00494698">
        <w:rPr>
          <w:rFonts w:ascii="Times New Roman" w:hAnsi="Times New Roman" w:cs="Times New Roman"/>
          <w:sz w:val="24"/>
          <w:szCs w:val="24"/>
        </w:rPr>
        <w:t xml:space="preserve">  Summers further shows this type of corrupt behavior was not entirely novel during Reconstruction in his 1987 book </w:t>
      </w:r>
      <w:r w:rsidRPr="00494698">
        <w:rPr>
          <w:rFonts w:ascii="Times New Roman" w:hAnsi="Times New Roman" w:cs="Times New Roman"/>
          <w:i/>
          <w:iCs/>
          <w:sz w:val="24"/>
          <w:szCs w:val="24"/>
        </w:rPr>
        <w:t>The Plundering Generation: Corruption and the Crisis of the Union, 1848-1861</w:t>
      </w:r>
      <w:r w:rsidRPr="00494698">
        <w:rPr>
          <w:rFonts w:ascii="Times New Roman" w:hAnsi="Times New Roman" w:cs="Times New Roman"/>
          <w:sz w:val="24"/>
          <w:szCs w:val="24"/>
        </w:rPr>
        <w:t xml:space="preserve">, and in one of his most recent works, 2009’s </w:t>
      </w:r>
      <w:r w:rsidRPr="00494698">
        <w:rPr>
          <w:rFonts w:ascii="Times New Roman" w:hAnsi="Times New Roman" w:cs="Times New Roman"/>
          <w:i/>
          <w:iCs/>
          <w:sz w:val="24"/>
          <w:szCs w:val="24"/>
        </w:rPr>
        <w:t>A Dangerous Stir: Fear, Paranoia, and the Making of Reconstruction</w:t>
      </w:r>
      <w:r w:rsidRPr="00494698">
        <w:rPr>
          <w:rFonts w:ascii="Times New Roman" w:hAnsi="Times New Roman" w:cs="Times New Roman"/>
          <w:sz w:val="24"/>
          <w:szCs w:val="24"/>
        </w:rPr>
        <w:t>, addresses the way that fear of corrupt actions by leaders that threatened the Union shaped public policy during the era.</w:t>
      </w:r>
      <w:r w:rsidRPr="00494698">
        <w:rPr>
          <w:rFonts w:ascii="Times New Roman" w:hAnsi="Times New Roman" w:cs="Times New Roman"/>
          <w:sz w:val="24"/>
          <w:szCs w:val="24"/>
          <w:vertAlign w:val="superscript"/>
        </w:rPr>
        <w:footnoteReference w:id="67"/>
      </w:r>
      <w:r w:rsidRPr="00494698">
        <w:rPr>
          <w:rFonts w:ascii="Times New Roman" w:hAnsi="Times New Roman" w:cs="Times New Roman"/>
          <w:sz w:val="24"/>
          <w:szCs w:val="24"/>
        </w:rPr>
        <w:t xml:space="preserve">  </w:t>
      </w:r>
    </w:p>
    <w:p w14:paraId="3BC46B32" w14:textId="66898198" w:rsidR="00EB755A" w:rsidRPr="00494698" w:rsidRDefault="00EB755A" w:rsidP="00EB755A">
      <w:pPr>
        <w:spacing w:line="480" w:lineRule="auto"/>
        <w:ind w:firstLine="720"/>
        <w:rPr>
          <w:rFonts w:ascii="Times New Roman" w:hAnsi="Times New Roman" w:cs="Times New Roman"/>
          <w:sz w:val="24"/>
          <w:szCs w:val="24"/>
        </w:rPr>
      </w:pPr>
      <w:r w:rsidRPr="00494698">
        <w:rPr>
          <w:rFonts w:ascii="Times New Roman" w:hAnsi="Times New Roman" w:cs="Times New Roman"/>
          <w:sz w:val="24"/>
          <w:szCs w:val="24"/>
        </w:rPr>
        <w:t xml:space="preserve">While Summers is the current expert on Reconstruction Era political scandal due to his extensive research, he is not the only recent scholar who has considered this subject.  Scholars such as Brenda Wineapple and David O. Stewart have covered this topic through the lens of Andrew Johnson’s impeachment, which they </w:t>
      </w:r>
      <w:r w:rsidR="003F6866">
        <w:rPr>
          <w:rFonts w:ascii="Times New Roman" w:hAnsi="Times New Roman" w:cs="Times New Roman"/>
          <w:sz w:val="24"/>
          <w:szCs w:val="24"/>
        </w:rPr>
        <w:t>believe</w:t>
      </w:r>
      <w:r w:rsidRPr="00494698">
        <w:rPr>
          <w:rFonts w:ascii="Times New Roman" w:hAnsi="Times New Roman" w:cs="Times New Roman"/>
          <w:sz w:val="24"/>
          <w:szCs w:val="24"/>
        </w:rPr>
        <w:t xml:space="preserve"> to be one of the peak moments of discord </w:t>
      </w:r>
      <w:r w:rsidRPr="00494698">
        <w:rPr>
          <w:rFonts w:ascii="Times New Roman" w:hAnsi="Times New Roman" w:cs="Times New Roman"/>
          <w:sz w:val="24"/>
          <w:szCs w:val="24"/>
        </w:rPr>
        <w:lastRenderedPageBreak/>
        <w:t>during Reconstruction.</w:t>
      </w:r>
      <w:r w:rsidRPr="00494698">
        <w:rPr>
          <w:rFonts w:ascii="Times New Roman" w:hAnsi="Times New Roman" w:cs="Times New Roman"/>
          <w:sz w:val="24"/>
          <w:szCs w:val="24"/>
          <w:vertAlign w:val="superscript"/>
        </w:rPr>
        <w:footnoteReference w:id="68"/>
      </w:r>
      <w:r w:rsidRPr="00494698">
        <w:rPr>
          <w:rFonts w:ascii="Times New Roman" w:hAnsi="Times New Roman" w:cs="Times New Roman"/>
          <w:sz w:val="24"/>
          <w:szCs w:val="24"/>
        </w:rPr>
        <w:t xml:space="preserve">  Other scholars have considered the actions of notably notorious individuals from the era, as is the case with Thomas Keneally’s investigation into General Dan Sickles, </w:t>
      </w:r>
      <w:r w:rsidRPr="00494698">
        <w:rPr>
          <w:rFonts w:ascii="Times New Roman" w:hAnsi="Times New Roman" w:cs="Times New Roman"/>
          <w:i/>
          <w:iCs/>
          <w:sz w:val="24"/>
          <w:szCs w:val="24"/>
        </w:rPr>
        <w:t>American Scoundrel</w:t>
      </w:r>
      <w:r w:rsidRPr="00494698">
        <w:rPr>
          <w:rFonts w:ascii="Times New Roman" w:hAnsi="Times New Roman" w:cs="Times New Roman"/>
          <w:sz w:val="24"/>
          <w:szCs w:val="24"/>
        </w:rPr>
        <w:t>.</w:t>
      </w:r>
      <w:r w:rsidRPr="00494698">
        <w:rPr>
          <w:rFonts w:ascii="Times New Roman" w:hAnsi="Times New Roman" w:cs="Times New Roman"/>
          <w:sz w:val="24"/>
          <w:szCs w:val="24"/>
          <w:vertAlign w:val="superscript"/>
        </w:rPr>
        <w:footnoteReference w:id="69"/>
      </w:r>
      <w:r w:rsidRPr="00494698">
        <w:rPr>
          <w:rFonts w:ascii="Times New Roman" w:hAnsi="Times New Roman" w:cs="Times New Roman"/>
          <w:sz w:val="24"/>
          <w:szCs w:val="24"/>
        </w:rPr>
        <w:t xml:space="preserve">  Michael Fitzgerald has addressed the issue of regional instability in the South in his work </w:t>
      </w:r>
      <w:r w:rsidRPr="00494698">
        <w:rPr>
          <w:rFonts w:ascii="Times New Roman" w:hAnsi="Times New Roman" w:cs="Times New Roman"/>
          <w:i/>
          <w:iCs/>
          <w:sz w:val="24"/>
          <w:szCs w:val="24"/>
        </w:rPr>
        <w:t>Splendid Failure</w:t>
      </w:r>
      <w:r w:rsidRPr="00494698">
        <w:rPr>
          <w:rFonts w:ascii="Times New Roman" w:hAnsi="Times New Roman" w:cs="Times New Roman"/>
          <w:sz w:val="24"/>
          <w:szCs w:val="24"/>
        </w:rPr>
        <w:t xml:space="preserve">, while others like Jeffrey Wert have taken the baton from Summers in investigating industrial magnates and how they benefitted from the Civil War both during and after the attempted revolution through a combination of economic and political exploitation in texts </w:t>
      </w:r>
      <w:r w:rsidR="001C2608">
        <w:rPr>
          <w:rFonts w:ascii="Times New Roman" w:hAnsi="Times New Roman" w:cs="Times New Roman"/>
          <w:sz w:val="24"/>
          <w:szCs w:val="24"/>
        </w:rPr>
        <w:t xml:space="preserve">including Jeffry Wert’s </w:t>
      </w:r>
      <w:r w:rsidRPr="00494698">
        <w:rPr>
          <w:rFonts w:ascii="Times New Roman" w:hAnsi="Times New Roman" w:cs="Times New Roman"/>
          <w:i/>
          <w:iCs/>
          <w:sz w:val="24"/>
          <w:szCs w:val="24"/>
        </w:rPr>
        <w:t>Civil War Barons</w:t>
      </w:r>
      <w:r w:rsidRPr="00494698">
        <w:rPr>
          <w:rFonts w:ascii="Times New Roman" w:hAnsi="Times New Roman" w:cs="Times New Roman"/>
          <w:sz w:val="24"/>
          <w:szCs w:val="24"/>
        </w:rPr>
        <w:t>.</w:t>
      </w:r>
      <w:r w:rsidRPr="00494698">
        <w:rPr>
          <w:rFonts w:ascii="Times New Roman" w:hAnsi="Times New Roman" w:cs="Times New Roman"/>
          <w:sz w:val="24"/>
          <w:szCs w:val="24"/>
          <w:vertAlign w:val="superscript"/>
        </w:rPr>
        <w:footnoteReference w:id="70"/>
      </w:r>
      <w:r w:rsidRPr="00494698">
        <w:rPr>
          <w:rFonts w:ascii="Times New Roman" w:hAnsi="Times New Roman" w:cs="Times New Roman"/>
          <w:sz w:val="24"/>
          <w:szCs w:val="24"/>
        </w:rPr>
        <w:t xml:space="preserve">  </w:t>
      </w:r>
      <w:r>
        <w:rPr>
          <w:rFonts w:ascii="Times New Roman" w:hAnsi="Times New Roman" w:cs="Times New Roman"/>
          <w:sz w:val="24"/>
          <w:szCs w:val="24"/>
        </w:rPr>
        <w:t>My research aims to</w:t>
      </w:r>
      <w:r w:rsidRPr="00494698">
        <w:rPr>
          <w:rFonts w:ascii="Times New Roman" w:hAnsi="Times New Roman" w:cs="Times New Roman"/>
          <w:sz w:val="24"/>
          <w:szCs w:val="24"/>
        </w:rPr>
        <w:t xml:space="preserve"> replicate and build upon the successes of these scholars by repositioning the vantage point so that</w:t>
      </w:r>
      <w:r>
        <w:rPr>
          <w:rFonts w:ascii="Times New Roman" w:hAnsi="Times New Roman" w:cs="Times New Roman"/>
          <w:sz w:val="24"/>
          <w:szCs w:val="24"/>
        </w:rPr>
        <w:t xml:space="preserve"> </w:t>
      </w:r>
      <w:r w:rsidRPr="00494698">
        <w:rPr>
          <w:rFonts w:ascii="Times New Roman" w:hAnsi="Times New Roman" w:cs="Times New Roman"/>
          <w:sz w:val="24"/>
          <w:szCs w:val="24"/>
        </w:rPr>
        <w:t>historians can better understand the place of men like Orville Babcock within Reconstruction Era politics.  In doing so, we can understand these politics as a more complete whole, determining if these corrupt individuals were the norm or merely exceptions.</w:t>
      </w:r>
    </w:p>
    <w:p w14:paraId="79513294" w14:textId="01EFB51D" w:rsidR="00EB755A" w:rsidRPr="00494698" w:rsidRDefault="00EB755A" w:rsidP="00EB755A">
      <w:pPr>
        <w:spacing w:line="480" w:lineRule="auto"/>
        <w:rPr>
          <w:rFonts w:ascii="Times New Roman" w:hAnsi="Times New Roman" w:cs="Times New Roman"/>
          <w:sz w:val="24"/>
          <w:szCs w:val="24"/>
        </w:rPr>
      </w:pPr>
      <w:r w:rsidRPr="00494698">
        <w:rPr>
          <w:rFonts w:ascii="Times New Roman" w:hAnsi="Times New Roman" w:cs="Times New Roman"/>
          <w:sz w:val="24"/>
          <w:szCs w:val="24"/>
        </w:rPr>
        <w:tab/>
        <w:t>Summers’s research</w:t>
      </w:r>
      <w:r w:rsidR="00882A30">
        <w:rPr>
          <w:rFonts w:ascii="Times New Roman" w:hAnsi="Times New Roman" w:cs="Times New Roman"/>
          <w:sz w:val="24"/>
          <w:szCs w:val="24"/>
        </w:rPr>
        <w:t>,</w:t>
      </w:r>
      <w:r w:rsidRPr="00494698">
        <w:rPr>
          <w:rFonts w:ascii="Times New Roman" w:hAnsi="Times New Roman" w:cs="Times New Roman"/>
          <w:sz w:val="24"/>
          <w:szCs w:val="24"/>
        </w:rPr>
        <w:t xml:space="preserve"> particularly into the divide between actual corruption and the “corruption issue</w:t>
      </w:r>
      <w:r w:rsidR="00882A30">
        <w:rPr>
          <w:rFonts w:ascii="Times New Roman" w:hAnsi="Times New Roman" w:cs="Times New Roman"/>
          <w:sz w:val="24"/>
          <w:szCs w:val="24"/>
        </w:rPr>
        <w:t>,</w:t>
      </w:r>
      <w:r w:rsidRPr="00494698">
        <w:rPr>
          <w:rFonts w:ascii="Times New Roman" w:hAnsi="Times New Roman" w:cs="Times New Roman"/>
          <w:sz w:val="24"/>
          <w:szCs w:val="24"/>
        </w:rPr>
        <w:t xml:space="preserve">” is critical to our understanding not only of the Reconstruction Era, but also questions of the involvement of key political figures, like Babcock, in corrupt activities.  In </w:t>
      </w:r>
      <w:r w:rsidRPr="00494698">
        <w:rPr>
          <w:rFonts w:ascii="Times New Roman" w:hAnsi="Times New Roman" w:cs="Times New Roman"/>
          <w:i/>
          <w:iCs/>
          <w:sz w:val="24"/>
          <w:szCs w:val="24"/>
        </w:rPr>
        <w:t>The Era of Good Stealings</w:t>
      </w:r>
      <w:r w:rsidRPr="00494698">
        <w:rPr>
          <w:rFonts w:ascii="Times New Roman" w:hAnsi="Times New Roman" w:cs="Times New Roman"/>
          <w:sz w:val="24"/>
          <w:szCs w:val="24"/>
        </w:rPr>
        <w:t>, Summers analyzes the impact of allegations of corruption by political opponents as a common excuse for the reasons one’s own agenda failed.</w:t>
      </w:r>
      <w:r w:rsidRPr="00494698">
        <w:rPr>
          <w:rFonts w:ascii="Times New Roman" w:hAnsi="Times New Roman" w:cs="Times New Roman"/>
          <w:sz w:val="24"/>
          <w:szCs w:val="24"/>
          <w:vertAlign w:val="superscript"/>
        </w:rPr>
        <w:footnoteReference w:id="71"/>
      </w:r>
      <w:r w:rsidRPr="00494698">
        <w:rPr>
          <w:rFonts w:ascii="Times New Roman" w:hAnsi="Times New Roman" w:cs="Times New Roman"/>
          <w:sz w:val="24"/>
          <w:szCs w:val="24"/>
        </w:rPr>
        <w:t xml:space="preserve">  Such allegations were made, proven or otherwise, on the floor of Congress and disseminated to the masses via the Press Gang, who would often print these tales with little or no concern for the truth in order to get the </w:t>
      </w:r>
      <w:r w:rsidRPr="00494698">
        <w:rPr>
          <w:rFonts w:ascii="Times New Roman" w:hAnsi="Times New Roman" w:cs="Times New Roman"/>
          <w:sz w:val="24"/>
          <w:szCs w:val="24"/>
        </w:rPr>
        <w:lastRenderedPageBreak/>
        <w:t>story out first.</w:t>
      </w:r>
      <w:r w:rsidRPr="00494698">
        <w:rPr>
          <w:rFonts w:ascii="Times New Roman" w:hAnsi="Times New Roman" w:cs="Times New Roman"/>
          <w:sz w:val="24"/>
          <w:szCs w:val="24"/>
          <w:vertAlign w:val="superscript"/>
        </w:rPr>
        <w:footnoteReference w:id="72"/>
      </w:r>
      <w:r w:rsidRPr="00494698">
        <w:rPr>
          <w:rFonts w:ascii="Times New Roman" w:hAnsi="Times New Roman" w:cs="Times New Roman"/>
          <w:sz w:val="24"/>
          <w:szCs w:val="24"/>
        </w:rPr>
        <w:t xml:space="preserve">  Summers’ analysis has led us to better understand the divide between what was claimed as corruption versus truly corrupt acts by government leaders.  My own research </w:t>
      </w:r>
      <w:r w:rsidR="00D3543D">
        <w:rPr>
          <w:rFonts w:ascii="Times New Roman" w:hAnsi="Times New Roman" w:cs="Times New Roman"/>
          <w:sz w:val="24"/>
          <w:szCs w:val="24"/>
        </w:rPr>
        <w:t>investigates</w:t>
      </w:r>
      <w:r w:rsidRPr="00494698">
        <w:rPr>
          <w:rFonts w:ascii="Times New Roman" w:hAnsi="Times New Roman" w:cs="Times New Roman"/>
          <w:sz w:val="24"/>
          <w:szCs w:val="24"/>
        </w:rPr>
        <w:t xml:space="preserve"> this question, sussing out both the impact of claims of corruption as well as the actual corrupt acts.</w:t>
      </w:r>
    </w:p>
    <w:p w14:paraId="3B0E5AAA" w14:textId="3546A41C" w:rsidR="00EB755A" w:rsidRDefault="00EB755A" w:rsidP="00EB755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Summers’ research invites questions of corruption and scandal during the period, we must also consider another subsect of research that deals with the seedy underbelly of our body politic. </w:t>
      </w:r>
      <w:r w:rsidR="009C3897">
        <w:rPr>
          <w:rFonts w:ascii="Times New Roman" w:hAnsi="Times New Roman" w:cs="Times New Roman"/>
          <w:sz w:val="24"/>
          <w:szCs w:val="24"/>
        </w:rPr>
        <w:t>Som</w:t>
      </w:r>
      <w:r>
        <w:rPr>
          <w:rFonts w:ascii="Times New Roman" w:hAnsi="Times New Roman" w:cs="Times New Roman"/>
          <w:sz w:val="24"/>
          <w:szCs w:val="24"/>
        </w:rPr>
        <w:t xml:space="preserve">e scholars have </w:t>
      </w:r>
      <w:r w:rsidR="003F6866">
        <w:rPr>
          <w:rFonts w:ascii="Times New Roman" w:hAnsi="Times New Roman" w:cs="Times New Roman"/>
          <w:sz w:val="24"/>
          <w:szCs w:val="24"/>
        </w:rPr>
        <w:t>contemplated</w:t>
      </w:r>
      <w:r>
        <w:rPr>
          <w:rFonts w:ascii="Times New Roman" w:hAnsi="Times New Roman" w:cs="Times New Roman"/>
          <w:sz w:val="24"/>
          <w:szCs w:val="24"/>
        </w:rPr>
        <w:t xml:space="preserve"> the improprieties in the history of the American political system and addressed the issues that this misconduct caused. Many have written about individuals who participated in these malfeasances.</w:t>
      </w:r>
      <w:r>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Others have investigated groups that formed in order to facilitate their misdeeds, perhaps most notably those scholars who have investigated Tammany Hall.</w:t>
      </w:r>
      <w:r>
        <w:rPr>
          <w:rStyle w:val="FootnoteReference"/>
          <w:rFonts w:ascii="Times New Roman" w:hAnsi="Times New Roman" w:cs="Times New Roman"/>
          <w:sz w:val="24"/>
          <w:szCs w:val="24"/>
        </w:rPr>
        <w:footnoteReference w:id="74"/>
      </w:r>
      <w:r>
        <w:rPr>
          <w:rFonts w:ascii="Times New Roman" w:hAnsi="Times New Roman" w:cs="Times New Roman"/>
          <w:sz w:val="24"/>
          <w:szCs w:val="24"/>
        </w:rPr>
        <w:t xml:space="preserve"> Some have investigated the misdeeds themselves, be it in a Woodward and Bernstein capacity of investigating the Watergate Scandal or those who have studied lesser known scandals in the historical record.</w:t>
      </w:r>
      <w:r>
        <w:rPr>
          <w:rStyle w:val="FootnoteReference"/>
          <w:rFonts w:ascii="Times New Roman" w:hAnsi="Times New Roman" w:cs="Times New Roman"/>
          <w:sz w:val="24"/>
          <w:szCs w:val="24"/>
        </w:rPr>
        <w:footnoteReference w:id="75"/>
      </w:r>
      <w:r>
        <w:rPr>
          <w:rFonts w:ascii="Times New Roman" w:hAnsi="Times New Roman" w:cs="Times New Roman"/>
          <w:sz w:val="24"/>
          <w:szCs w:val="24"/>
        </w:rPr>
        <w:t xml:space="preserve"> Even more have looked at how these individuals and events impacted the electorate and the political culture, showing how indelibly these actions are tied to society’s understanding of corruption. These scholars have paved the </w:t>
      </w:r>
      <w:r>
        <w:rPr>
          <w:rFonts w:ascii="Times New Roman" w:hAnsi="Times New Roman" w:cs="Times New Roman"/>
          <w:sz w:val="24"/>
          <w:szCs w:val="24"/>
        </w:rPr>
        <w:lastRenderedPageBreak/>
        <w:t>way for how we investigate matters of corruption and scandal, and my work attempts to bridge the gaps between each of these individual approaches to show how one individual’s actions affect every aspect of his life and the world around him.</w:t>
      </w:r>
    </w:p>
    <w:p w14:paraId="68866EAC" w14:textId="77777777" w:rsidR="00F333D9" w:rsidRDefault="00EB755A" w:rsidP="00F333D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Further scholars that deserve credit for their </w:t>
      </w:r>
      <w:r w:rsidR="00F42984">
        <w:rPr>
          <w:rFonts w:ascii="Times New Roman" w:hAnsi="Times New Roman" w:cs="Times New Roman"/>
          <w:sz w:val="24"/>
          <w:szCs w:val="24"/>
        </w:rPr>
        <w:t>treatments</w:t>
      </w:r>
      <w:r>
        <w:rPr>
          <w:rFonts w:ascii="Times New Roman" w:hAnsi="Times New Roman" w:cs="Times New Roman"/>
          <w:sz w:val="24"/>
          <w:szCs w:val="24"/>
        </w:rPr>
        <w:t xml:space="preserve"> of Reconstruction politics are those who have </w:t>
      </w:r>
      <w:r w:rsidR="00A147F9">
        <w:rPr>
          <w:rFonts w:ascii="Times New Roman" w:hAnsi="Times New Roman" w:cs="Times New Roman"/>
          <w:sz w:val="24"/>
          <w:szCs w:val="24"/>
        </w:rPr>
        <w:t>analyz</w:t>
      </w:r>
      <w:r>
        <w:rPr>
          <w:rFonts w:ascii="Times New Roman" w:hAnsi="Times New Roman" w:cs="Times New Roman"/>
          <w:sz w:val="24"/>
          <w:szCs w:val="24"/>
        </w:rPr>
        <w:t xml:space="preserve">ed presidential politics postbellum, especially those focused on the administration of Ulysses S. Grant. Charles Calhoun stands above all in this regard, as he has literally written the book on </w:t>
      </w:r>
      <w:r>
        <w:rPr>
          <w:rFonts w:ascii="Times New Roman" w:hAnsi="Times New Roman" w:cs="Times New Roman"/>
          <w:i/>
          <w:iCs/>
          <w:sz w:val="24"/>
          <w:szCs w:val="24"/>
        </w:rPr>
        <w:t>The Presidency of Ulysses S. Grant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6"/>
      </w:r>
      <w:r>
        <w:rPr>
          <w:rFonts w:ascii="Times New Roman" w:hAnsi="Times New Roman" w:cs="Times New Roman"/>
          <w:sz w:val="24"/>
          <w:szCs w:val="24"/>
        </w:rPr>
        <w:t xml:space="preserve"> This text investigates as much into this administration as any book could without becoming unwieldy, looking into how President Grant and his administration impacted national events and vice versa.</w:t>
      </w:r>
      <w:r>
        <w:rPr>
          <w:rStyle w:val="FootnoteReference"/>
          <w:rFonts w:ascii="Times New Roman" w:hAnsi="Times New Roman" w:cs="Times New Roman"/>
          <w:sz w:val="24"/>
          <w:szCs w:val="24"/>
        </w:rPr>
        <w:footnoteReference w:id="77"/>
      </w:r>
      <w:r>
        <w:rPr>
          <w:rFonts w:ascii="Times New Roman" w:hAnsi="Times New Roman" w:cs="Times New Roman"/>
          <w:sz w:val="24"/>
          <w:szCs w:val="24"/>
        </w:rPr>
        <w:t xml:space="preserve"> Outside of Calhoun’s work, the most detailed scholarship into the Grant Administration comes from Grant biographers who focus the latter sections of their narratives on his political achievements once they have established his military credentials. Such scholars as Ronald C. White, H.W. Brands, Jean Edward Smith, Ron Chernow, Edward Bonekemper, and Geoffrey Perret have written in detail about Grant’s presidency as a part of their overarching stories.</w:t>
      </w:r>
      <w:r>
        <w:rPr>
          <w:rStyle w:val="FootnoteReference"/>
          <w:rFonts w:ascii="Times New Roman" w:hAnsi="Times New Roman" w:cs="Times New Roman"/>
          <w:sz w:val="24"/>
          <w:szCs w:val="24"/>
        </w:rPr>
        <w:footnoteReference w:id="78"/>
      </w:r>
      <w:r>
        <w:rPr>
          <w:rFonts w:ascii="Times New Roman" w:hAnsi="Times New Roman" w:cs="Times New Roman"/>
          <w:sz w:val="24"/>
          <w:szCs w:val="24"/>
        </w:rPr>
        <w:t xml:space="preserve"> Thanks to these scholars and more, my work stands on the shoulders of giants; yet I believe there is more that we can do, and by investigating their </w:t>
      </w:r>
      <w:r w:rsidR="00255F51">
        <w:rPr>
          <w:rFonts w:ascii="Times New Roman" w:hAnsi="Times New Roman" w:cs="Times New Roman"/>
          <w:sz w:val="24"/>
          <w:szCs w:val="24"/>
        </w:rPr>
        <w:t>narrative</w:t>
      </w:r>
      <w:r>
        <w:rPr>
          <w:rFonts w:ascii="Times New Roman" w:hAnsi="Times New Roman" w:cs="Times New Roman"/>
          <w:sz w:val="24"/>
          <w:szCs w:val="24"/>
        </w:rPr>
        <w:t>s through a new lens – that of Orville Babcock – we can better understand both the full picture and the daily experiences of the politics of Reconstruction. I believe this dissertation stands as the next in a line following Summers and these Grant biographers to reinvestigate, and as a result better understand, the politics and political corruption associated with the Reconstruction Era.</w:t>
      </w:r>
    </w:p>
    <w:p w14:paraId="2BA4E958" w14:textId="77777777" w:rsidR="00F333D9" w:rsidRDefault="00EB755A" w:rsidP="00F333D9">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Defining Terms &amp; Concepts</w:t>
      </w:r>
    </w:p>
    <w:p w14:paraId="495981A7" w14:textId="1EB89E7D" w:rsidR="00EB755A" w:rsidRDefault="00EB755A" w:rsidP="00F333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effectively discuss the topics in this dissertation, </w:t>
      </w:r>
      <w:r w:rsidR="00237167">
        <w:rPr>
          <w:rFonts w:ascii="Times New Roman" w:hAnsi="Times New Roman" w:cs="Times New Roman"/>
          <w:sz w:val="24"/>
          <w:szCs w:val="24"/>
        </w:rPr>
        <w:t>I</w:t>
      </w:r>
      <w:r>
        <w:rPr>
          <w:rFonts w:ascii="Times New Roman" w:hAnsi="Times New Roman" w:cs="Times New Roman"/>
          <w:sz w:val="24"/>
          <w:szCs w:val="24"/>
        </w:rPr>
        <w:t xml:space="preserve"> need to be abundantly clear about the terminology that</w:t>
      </w:r>
      <w:r w:rsidR="00237167">
        <w:rPr>
          <w:rFonts w:ascii="Times New Roman" w:hAnsi="Times New Roman" w:cs="Times New Roman"/>
          <w:sz w:val="24"/>
          <w:szCs w:val="24"/>
        </w:rPr>
        <w:t xml:space="preserve"> I</w:t>
      </w:r>
      <w:r>
        <w:rPr>
          <w:rFonts w:ascii="Times New Roman" w:hAnsi="Times New Roman" w:cs="Times New Roman"/>
          <w:sz w:val="24"/>
          <w:szCs w:val="24"/>
        </w:rPr>
        <w:t xml:space="preserve"> will use. Words matter, and our choice of words matters as well. There are several critical terms that </w:t>
      </w:r>
      <w:r w:rsidR="00237167">
        <w:rPr>
          <w:rFonts w:ascii="Times New Roman" w:hAnsi="Times New Roman" w:cs="Times New Roman"/>
          <w:sz w:val="24"/>
          <w:szCs w:val="24"/>
        </w:rPr>
        <w:t>are</w:t>
      </w:r>
      <w:r>
        <w:rPr>
          <w:rFonts w:ascii="Times New Roman" w:hAnsi="Times New Roman" w:cs="Times New Roman"/>
          <w:sz w:val="24"/>
          <w:szCs w:val="24"/>
        </w:rPr>
        <w:t xml:space="preserve"> used throughout the duration of this piece that merit taking a moment to define so </w:t>
      </w:r>
      <w:r w:rsidR="00237167">
        <w:rPr>
          <w:rFonts w:ascii="Times New Roman" w:hAnsi="Times New Roman" w:cs="Times New Roman"/>
          <w:sz w:val="24"/>
          <w:szCs w:val="24"/>
        </w:rPr>
        <w:t xml:space="preserve">that </w:t>
      </w:r>
      <w:r>
        <w:rPr>
          <w:rFonts w:ascii="Times New Roman" w:hAnsi="Times New Roman" w:cs="Times New Roman"/>
          <w:sz w:val="24"/>
          <w:szCs w:val="24"/>
        </w:rPr>
        <w:t>we are on the same page with how they</w:t>
      </w:r>
      <w:r w:rsidR="00B069EA">
        <w:rPr>
          <w:rFonts w:ascii="Times New Roman" w:hAnsi="Times New Roman" w:cs="Times New Roman"/>
          <w:sz w:val="24"/>
          <w:szCs w:val="24"/>
        </w:rPr>
        <w:t xml:space="preserve"> are</w:t>
      </w:r>
      <w:r>
        <w:rPr>
          <w:rFonts w:ascii="Times New Roman" w:hAnsi="Times New Roman" w:cs="Times New Roman"/>
          <w:sz w:val="24"/>
          <w:szCs w:val="24"/>
        </w:rPr>
        <w:t xml:space="preserve"> used in this piece.</w:t>
      </w:r>
      <w:r>
        <w:rPr>
          <w:rStyle w:val="FootnoteReference"/>
          <w:rFonts w:ascii="Times New Roman" w:hAnsi="Times New Roman" w:cs="Times New Roman"/>
          <w:sz w:val="24"/>
          <w:szCs w:val="24"/>
        </w:rPr>
        <w:footnoteReference w:id="79"/>
      </w:r>
      <w:r>
        <w:rPr>
          <w:rFonts w:ascii="Times New Roman" w:hAnsi="Times New Roman" w:cs="Times New Roman"/>
          <w:sz w:val="24"/>
          <w:szCs w:val="24"/>
        </w:rPr>
        <w:t xml:space="preserve"> Many of these terms have different definitions when used in different contexts. Some have seen their meanings change over the course of their use in the English language. Some are terms that are so broad that they have definitions that bring to mind Justice Potter Stewart’s now infamous turn of phrase “</w:t>
      </w:r>
      <w:r w:rsidRPr="00E70230">
        <w:rPr>
          <w:rFonts w:ascii="Times New Roman" w:hAnsi="Times New Roman" w:cs="Times New Roman"/>
          <w:sz w:val="24"/>
          <w:szCs w:val="24"/>
        </w:rPr>
        <w:t>I shall not today attempt further to define the kinds of material</w:t>
      </w:r>
      <w:r>
        <w:rPr>
          <w:rFonts w:ascii="Times New Roman" w:hAnsi="Times New Roman" w:cs="Times New Roman"/>
          <w:sz w:val="24"/>
          <w:szCs w:val="24"/>
        </w:rPr>
        <w:t>…</w:t>
      </w:r>
      <w:r w:rsidRPr="00E70230">
        <w:rPr>
          <w:rFonts w:ascii="Times New Roman" w:hAnsi="Times New Roman" w:cs="Times New Roman"/>
          <w:sz w:val="24"/>
          <w:szCs w:val="24"/>
        </w:rPr>
        <w:t xml:space="preserve"> within that shorthand description</w:t>
      </w:r>
      <w:r>
        <w:rPr>
          <w:rFonts w:ascii="Times New Roman" w:hAnsi="Times New Roman" w:cs="Times New Roman"/>
          <w:sz w:val="24"/>
          <w:szCs w:val="24"/>
        </w:rPr>
        <w:t>…</w:t>
      </w:r>
      <w:r w:rsidRPr="00E70230">
        <w:rPr>
          <w:rFonts w:ascii="Times New Roman" w:hAnsi="Times New Roman" w:cs="Times New Roman"/>
          <w:sz w:val="24"/>
          <w:szCs w:val="24"/>
        </w:rPr>
        <w:t xml:space="preserve">But </w:t>
      </w:r>
      <w:r w:rsidRPr="00E70230">
        <w:rPr>
          <w:rFonts w:ascii="Times New Roman" w:hAnsi="Times New Roman" w:cs="Times New Roman"/>
          <w:i/>
          <w:iCs/>
          <w:sz w:val="24"/>
          <w:szCs w:val="24"/>
        </w:rPr>
        <w:t>I know it when I see it</w:t>
      </w:r>
      <w:r>
        <w:rPr>
          <w:rFonts w:ascii="Times New Roman" w:hAnsi="Times New Roman" w:cs="Times New Roman"/>
          <w:sz w:val="24"/>
          <w:szCs w:val="24"/>
        </w:rPr>
        <w:t>.</w:t>
      </w:r>
      <w:r>
        <w:rPr>
          <w:rFonts w:ascii="Times New Roman" w:hAnsi="Times New Roman" w:cs="Times New Roman"/>
          <w:i/>
          <w:iCs/>
          <w:sz w:val="24"/>
          <w:szCs w:val="24"/>
        </w:rPr>
        <w:t>”</w:t>
      </w:r>
      <w:r>
        <w:rPr>
          <w:rStyle w:val="FootnoteReference"/>
          <w:rFonts w:ascii="Times New Roman" w:hAnsi="Times New Roman" w:cs="Times New Roman"/>
          <w:sz w:val="24"/>
          <w:szCs w:val="24"/>
        </w:rPr>
        <w:footnoteReference w:id="80"/>
      </w:r>
      <w:r>
        <w:rPr>
          <w:rFonts w:ascii="Times New Roman" w:hAnsi="Times New Roman" w:cs="Times New Roman"/>
          <w:i/>
          <w:iCs/>
          <w:sz w:val="24"/>
          <w:szCs w:val="24"/>
        </w:rPr>
        <w:t xml:space="preserve"> </w:t>
      </w:r>
      <w:r>
        <w:rPr>
          <w:rFonts w:ascii="Times New Roman" w:hAnsi="Times New Roman" w:cs="Times New Roman"/>
          <w:sz w:val="24"/>
          <w:szCs w:val="24"/>
        </w:rPr>
        <w:t>We will make an attempt to define these terms as well in order to better understand the scope of this research project.</w:t>
      </w:r>
    </w:p>
    <w:p w14:paraId="09CFC59A" w14:textId="35A6E091"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Before we enter into our definitions, one thing must be made clear: in the terms of federal powers, in this </w:t>
      </w:r>
      <w:r w:rsidR="00A760F3">
        <w:rPr>
          <w:rFonts w:ascii="Times New Roman" w:hAnsi="Times New Roman" w:cs="Times New Roman"/>
          <w:sz w:val="24"/>
          <w:szCs w:val="24"/>
        </w:rPr>
        <w:t>dissertation</w:t>
      </w:r>
      <w:r>
        <w:rPr>
          <w:rFonts w:ascii="Times New Roman" w:hAnsi="Times New Roman" w:cs="Times New Roman"/>
          <w:sz w:val="24"/>
          <w:szCs w:val="24"/>
        </w:rPr>
        <w:t>, the Reconstruction Era was exceptional. Calling something “exceptional” is loaded in today’s historiograph</w:t>
      </w:r>
      <w:r w:rsidR="00B517AC">
        <w:rPr>
          <w:rFonts w:ascii="Times New Roman" w:hAnsi="Times New Roman" w:cs="Times New Roman"/>
          <w:sz w:val="24"/>
          <w:szCs w:val="24"/>
        </w:rPr>
        <w:t>y</w:t>
      </w:r>
      <w:r>
        <w:rPr>
          <w:rFonts w:ascii="Times New Roman" w:hAnsi="Times New Roman" w:cs="Times New Roman"/>
          <w:sz w:val="24"/>
          <w:szCs w:val="24"/>
        </w:rPr>
        <w:t xml:space="preserve">. Historians have a tendency to discuss people, periods, and even nations as exceptional as they present their arguments, for better or worse. In this case, the period of Reconstruction witnessed a time in American history of </w:t>
      </w:r>
      <w:r w:rsidR="000016C9">
        <w:rPr>
          <w:rFonts w:ascii="Times New Roman" w:hAnsi="Times New Roman" w:cs="Times New Roman"/>
          <w:sz w:val="24"/>
          <w:szCs w:val="24"/>
        </w:rPr>
        <w:t xml:space="preserve">rapidly </w:t>
      </w:r>
      <w:r>
        <w:rPr>
          <w:rFonts w:ascii="Times New Roman" w:hAnsi="Times New Roman" w:cs="Times New Roman"/>
          <w:sz w:val="24"/>
          <w:szCs w:val="24"/>
        </w:rPr>
        <w:t>expanded centralized power that returned to a level similar to that which existed before the war in many ways after</w:t>
      </w:r>
      <w:r w:rsidR="000016C9">
        <w:rPr>
          <w:rFonts w:ascii="Times New Roman" w:hAnsi="Times New Roman" w:cs="Times New Roman"/>
          <w:sz w:val="24"/>
          <w:szCs w:val="24"/>
        </w:rPr>
        <w:t xml:space="preserve"> its conclusion</w:t>
      </w:r>
      <w:r>
        <w:rPr>
          <w:rFonts w:ascii="Times New Roman" w:hAnsi="Times New Roman" w:cs="Times New Roman"/>
          <w:sz w:val="24"/>
          <w:szCs w:val="24"/>
        </w:rPr>
        <w:t xml:space="preserve">. Until the New Deal, the federal government’s most assertive period was the Civil War Era, which included Reconstruction. Through such programs as the Freedman’s Bureau </w:t>
      </w:r>
      <w:r w:rsidR="000016C9">
        <w:rPr>
          <w:rFonts w:ascii="Times New Roman" w:hAnsi="Times New Roman" w:cs="Times New Roman"/>
          <w:sz w:val="24"/>
          <w:szCs w:val="24"/>
        </w:rPr>
        <w:t>and</w:t>
      </w:r>
      <w:r>
        <w:rPr>
          <w:rFonts w:ascii="Times New Roman" w:hAnsi="Times New Roman" w:cs="Times New Roman"/>
          <w:sz w:val="24"/>
          <w:szCs w:val="24"/>
        </w:rPr>
        <w:t xml:space="preserve"> new agencies like the Secret Service to</w:t>
      </w:r>
      <w:r w:rsidR="000016C9">
        <w:rPr>
          <w:rFonts w:ascii="Times New Roman" w:hAnsi="Times New Roman" w:cs="Times New Roman"/>
          <w:sz w:val="24"/>
          <w:szCs w:val="24"/>
        </w:rPr>
        <w:t xml:space="preserve"> the</w:t>
      </w:r>
      <w:r>
        <w:rPr>
          <w:rFonts w:ascii="Times New Roman" w:hAnsi="Times New Roman" w:cs="Times New Roman"/>
          <w:sz w:val="24"/>
          <w:szCs w:val="24"/>
        </w:rPr>
        <w:t xml:space="preserve"> military occupation of the formerly seceded Southern states, this was a time where federal powers were more at play than </w:t>
      </w:r>
      <w:r>
        <w:rPr>
          <w:rFonts w:ascii="Times New Roman" w:hAnsi="Times New Roman" w:cs="Times New Roman"/>
          <w:sz w:val="24"/>
          <w:szCs w:val="24"/>
        </w:rPr>
        <w:lastRenderedPageBreak/>
        <w:t xml:space="preserve">any surrounding point in American history. This is certainly debatable, as there are other dynamics of the era which were not exceptional, but in terms of federal power, this </w:t>
      </w:r>
      <w:r w:rsidR="000016C9">
        <w:rPr>
          <w:rFonts w:ascii="Times New Roman" w:hAnsi="Times New Roman" w:cs="Times New Roman"/>
          <w:sz w:val="24"/>
          <w:szCs w:val="24"/>
        </w:rPr>
        <w:t xml:space="preserve">era held </w:t>
      </w:r>
      <w:r>
        <w:rPr>
          <w:rFonts w:ascii="Times New Roman" w:hAnsi="Times New Roman" w:cs="Times New Roman"/>
          <w:sz w:val="24"/>
          <w:szCs w:val="24"/>
        </w:rPr>
        <w:t>a</w:t>
      </w:r>
      <w:r w:rsidR="000016C9">
        <w:rPr>
          <w:rFonts w:ascii="Times New Roman" w:hAnsi="Times New Roman" w:cs="Times New Roman"/>
          <w:sz w:val="24"/>
          <w:szCs w:val="24"/>
        </w:rPr>
        <w:t xml:space="preserve"> key distinction</w:t>
      </w:r>
      <w:r>
        <w:rPr>
          <w:rFonts w:ascii="Times New Roman" w:hAnsi="Times New Roman" w:cs="Times New Roman"/>
          <w:sz w:val="24"/>
          <w:szCs w:val="24"/>
        </w:rPr>
        <w:t xml:space="preserve"> </w:t>
      </w:r>
      <w:r w:rsidR="000016C9">
        <w:rPr>
          <w:rFonts w:ascii="Times New Roman" w:hAnsi="Times New Roman" w:cs="Times New Roman"/>
          <w:sz w:val="24"/>
          <w:szCs w:val="24"/>
        </w:rPr>
        <w:t>when compared to</w:t>
      </w:r>
      <w:r>
        <w:rPr>
          <w:rFonts w:ascii="Times New Roman" w:hAnsi="Times New Roman" w:cs="Times New Roman"/>
          <w:sz w:val="24"/>
          <w:szCs w:val="24"/>
        </w:rPr>
        <w:t xml:space="preserve"> broader trend</w:t>
      </w:r>
      <w:r w:rsidR="000016C9">
        <w:rPr>
          <w:rFonts w:ascii="Times New Roman" w:hAnsi="Times New Roman" w:cs="Times New Roman"/>
          <w:sz w:val="24"/>
          <w:szCs w:val="24"/>
        </w:rPr>
        <w:t>s</w:t>
      </w:r>
      <w:r>
        <w:rPr>
          <w:rFonts w:ascii="Times New Roman" w:hAnsi="Times New Roman" w:cs="Times New Roman"/>
          <w:sz w:val="24"/>
          <w:szCs w:val="24"/>
        </w:rPr>
        <w:t xml:space="preserve"> in American history.</w:t>
      </w:r>
    </w:p>
    <w:p w14:paraId="02DC67EF" w14:textId="38DCE748"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first term is </w:t>
      </w:r>
      <w:r w:rsidRPr="00863972">
        <w:rPr>
          <w:rFonts w:ascii="Times New Roman" w:hAnsi="Times New Roman" w:cs="Times New Roman"/>
          <w:i/>
          <w:iCs/>
          <w:sz w:val="24"/>
          <w:szCs w:val="24"/>
        </w:rPr>
        <w:t>politics</w:t>
      </w:r>
      <w:r>
        <w:rPr>
          <w:rFonts w:ascii="Times New Roman" w:hAnsi="Times New Roman" w:cs="Times New Roman"/>
          <w:sz w:val="24"/>
          <w:szCs w:val="24"/>
        </w:rPr>
        <w:t xml:space="preserve">, and for that matter we also include its variant </w:t>
      </w:r>
      <w:r w:rsidRPr="00863972">
        <w:rPr>
          <w:rFonts w:ascii="Times New Roman" w:hAnsi="Times New Roman" w:cs="Times New Roman"/>
          <w:i/>
          <w:iCs/>
          <w:sz w:val="24"/>
          <w:szCs w:val="24"/>
        </w:rPr>
        <w:t>political</w:t>
      </w:r>
      <w:r>
        <w:rPr>
          <w:rFonts w:ascii="Times New Roman" w:hAnsi="Times New Roman" w:cs="Times New Roman"/>
          <w:sz w:val="24"/>
          <w:szCs w:val="24"/>
        </w:rPr>
        <w:t xml:space="preserve">. The nature of this project is a top-down approach to the study of politics, and in many ways it is a story of the elite men in Washingtonian politics. I recognize that every action taken has a political significance, and also that politics is something that is considered by everyone regardless of legal rights to vote or </w:t>
      </w:r>
      <w:r w:rsidR="007B4333">
        <w:rPr>
          <w:rFonts w:ascii="Times New Roman" w:hAnsi="Times New Roman" w:cs="Times New Roman"/>
          <w:sz w:val="24"/>
          <w:szCs w:val="24"/>
        </w:rPr>
        <w:t xml:space="preserve">to </w:t>
      </w:r>
      <w:r>
        <w:rPr>
          <w:rFonts w:ascii="Times New Roman" w:hAnsi="Times New Roman" w:cs="Times New Roman"/>
          <w:sz w:val="24"/>
          <w:szCs w:val="24"/>
        </w:rPr>
        <w:t xml:space="preserve">formally participate in high politics. This is a critical factor </w:t>
      </w:r>
      <w:r w:rsidR="00B1411E">
        <w:rPr>
          <w:rFonts w:ascii="Times New Roman" w:hAnsi="Times New Roman" w:cs="Times New Roman"/>
          <w:sz w:val="24"/>
          <w:szCs w:val="24"/>
        </w:rPr>
        <w:t>in</w:t>
      </w:r>
      <w:r>
        <w:rPr>
          <w:rFonts w:ascii="Times New Roman" w:hAnsi="Times New Roman" w:cs="Times New Roman"/>
          <w:sz w:val="24"/>
          <w:szCs w:val="24"/>
        </w:rPr>
        <w:t xml:space="preserve"> how we </w:t>
      </w:r>
      <w:r w:rsidR="003F6866">
        <w:rPr>
          <w:rFonts w:ascii="Times New Roman" w:hAnsi="Times New Roman" w:cs="Times New Roman"/>
          <w:sz w:val="24"/>
          <w:szCs w:val="24"/>
        </w:rPr>
        <w:t>determine</w:t>
      </w:r>
      <w:r>
        <w:rPr>
          <w:rFonts w:ascii="Times New Roman" w:hAnsi="Times New Roman" w:cs="Times New Roman"/>
          <w:sz w:val="24"/>
          <w:szCs w:val="24"/>
        </w:rPr>
        <w:t xml:space="preserve"> what makes up the political realm. However, for the purposes of this project, including such considerations of the political would make it so this project would never be finished, as too many considerations would be required. As such, my </w:t>
      </w:r>
      <w:r w:rsidR="003F6866">
        <w:rPr>
          <w:rFonts w:ascii="Times New Roman" w:hAnsi="Times New Roman" w:cs="Times New Roman"/>
          <w:sz w:val="24"/>
          <w:szCs w:val="24"/>
        </w:rPr>
        <w:t>understanding</w:t>
      </w:r>
      <w:r>
        <w:rPr>
          <w:rFonts w:ascii="Times New Roman" w:hAnsi="Times New Roman" w:cs="Times New Roman"/>
          <w:sz w:val="24"/>
          <w:szCs w:val="24"/>
        </w:rPr>
        <w:t xml:space="preserve"> of politics will come from a more traditional </w:t>
      </w:r>
      <w:r w:rsidR="003F6866">
        <w:rPr>
          <w:rFonts w:ascii="Times New Roman" w:hAnsi="Times New Roman" w:cs="Times New Roman"/>
          <w:sz w:val="24"/>
          <w:szCs w:val="24"/>
        </w:rPr>
        <w:t>definition</w:t>
      </w:r>
      <w:r>
        <w:rPr>
          <w:rFonts w:ascii="Times New Roman" w:hAnsi="Times New Roman" w:cs="Times New Roman"/>
          <w:sz w:val="24"/>
          <w:szCs w:val="24"/>
        </w:rPr>
        <w:t xml:space="preserve"> of the term. It will factor in voting, congressional actions, presidential decrees, legal rulings, foreign affairs – the things that we tend to refer to as “high politics.” I do not make this decision in an effort to be elitist and only privilege the stories of the elites. However, this is a narrative that </w:t>
      </w:r>
      <w:r w:rsidR="003F6866">
        <w:rPr>
          <w:rFonts w:ascii="Times New Roman" w:hAnsi="Times New Roman" w:cs="Times New Roman"/>
          <w:sz w:val="24"/>
          <w:szCs w:val="24"/>
        </w:rPr>
        <w:t>investigate</w:t>
      </w:r>
      <w:r>
        <w:rPr>
          <w:rFonts w:ascii="Times New Roman" w:hAnsi="Times New Roman" w:cs="Times New Roman"/>
          <w:sz w:val="24"/>
          <w:szCs w:val="24"/>
        </w:rPr>
        <w:t>s political operatives, those who were involved in one of the three main branches of the American</w:t>
      </w:r>
      <w:r w:rsidR="00747B09">
        <w:rPr>
          <w:rFonts w:ascii="Times New Roman" w:hAnsi="Times New Roman" w:cs="Times New Roman"/>
          <w:sz w:val="24"/>
          <w:szCs w:val="24"/>
        </w:rPr>
        <w:t xml:space="preserve"> federal</w:t>
      </w:r>
      <w:r>
        <w:rPr>
          <w:rFonts w:ascii="Times New Roman" w:hAnsi="Times New Roman" w:cs="Times New Roman"/>
          <w:sz w:val="24"/>
          <w:szCs w:val="24"/>
        </w:rPr>
        <w:t xml:space="preserve"> government, therefore we need to consider those stories appropriately.</w:t>
      </w:r>
      <w:r>
        <w:rPr>
          <w:rStyle w:val="FootnoteReference"/>
          <w:rFonts w:ascii="Times New Roman" w:hAnsi="Times New Roman" w:cs="Times New Roman"/>
          <w:sz w:val="24"/>
          <w:szCs w:val="24"/>
        </w:rPr>
        <w:footnoteReference w:id="81"/>
      </w:r>
      <w:r>
        <w:rPr>
          <w:rFonts w:ascii="Times New Roman" w:hAnsi="Times New Roman" w:cs="Times New Roman"/>
          <w:sz w:val="24"/>
          <w:szCs w:val="24"/>
        </w:rPr>
        <w:t xml:space="preserve"> As a result, when I use the term </w:t>
      </w:r>
      <w:r>
        <w:rPr>
          <w:rFonts w:ascii="Times New Roman" w:hAnsi="Times New Roman" w:cs="Times New Roman"/>
          <w:i/>
          <w:iCs/>
          <w:sz w:val="24"/>
          <w:szCs w:val="24"/>
        </w:rPr>
        <w:t xml:space="preserve">politics </w:t>
      </w:r>
      <w:r>
        <w:rPr>
          <w:rFonts w:ascii="Times New Roman" w:hAnsi="Times New Roman" w:cs="Times New Roman"/>
          <w:sz w:val="24"/>
          <w:szCs w:val="24"/>
        </w:rPr>
        <w:t xml:space="preserve">or </w:t>
      </w:r>
      <w:r>
        <w:rPr>
          <w:rFonts w:ascii="Times New Roman" w:hAnsi="Times New Roman" w:cs="Times New Roman"/>
          <w:i/>
          <w:iCs/>
          <w:sz w:val="24"/>
          <w:szCs w:val="24"/>
        </w:rPr>
        <w:t>political</w:t>
      </w:r>
      <w:r>
        <w:rPr>
          <w:rFonts w:ascii="Times New Roman" w:hAnsi="Times New Roman" w:cs="Times New Roman"/>
          <w:sz w:val="24"/>
          <w:szCs w:val="24"/>
        </w:rPr>
        <w:t>, it is in reference to these ideas.</w:t>
      </w:r>
    </w:p>
    <w:p w14:paraId="5C8BFE22" w14:textId="7ABFE7B8" w:rsidR="00EB755A" w:rsidRPr="0061241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term that is important we understand in the context of this dissertation is </w:t>
      </w:r>
      <w:r>
        <w:rPr>
          <w:rFonts w:ascii="Times New Roman" w:hAnsi="Times New Roman" w:cs="Times New Roman"/>
          <w:i/>
          <w:iCs/>
          <w:sz w:val="24"/>
          <w:szCs w:val="24"/>
        </w:rPr>
        <w:t>corruption</w:t>
      </w:r>
      <w:r>
        <w:rPr>
          <w:rFonts w:ascii="Times New Roman" w:hAnsi="Times New Roman" w:cs="Times New Roman"/>
          <w:sz w:val="24"/>
          <w:szCs w:val="24"/>
        </w:rPr>
        <w:t xml:space="preserve">, particularly its context in Reconstruction. This is a term that took on a new dynamic </w:t>
      </w:r>
      <w:r>
        <w:rPr>
          <w:rFonts w:ascii="Times New Roman" w:hAnsi="Times New Roman" w:cs="Times New Roman"/>
          <w:sz w:val="24"/>
          <w:szCs w:val="24"/>
        </w:rPr>
        <w:lastRenderedPageBreak/>
        <w:t>in the era in question, as politicking changed so much thanks to the Civil War that establishment politicians cried corruption for any</w:t>
      </w:r>
      <w:r w:rsidR="00E0685C">
        <w:rPr>
          <w:rFonts w:ascii="Times New Roman" w:hAnsi="Times New Roman" w:cs="Times New Roman"/>
          <w:sz w:val="24"/>
          <w:szCs w:val="24"/>
        </w:rPr>
        <w:t xml:space="preserve"> </w:t>
      </w:r>
      <w:r>
        <w:rPr>
          <w:rFonts w:ascii="Times New Roman" w:hAnsi="Times New Roman" w:cs="Times New Roman"/>
          <w:sz w:val="24"/>
          <w:szCs w:val="24"/>
        </w:rPr>
        <w:t>t</w:t>
      </w:r>
      <w:r w:rsidR="00E0685C">
        <w:rPr>
          <w:rFonts w:ascii="Times New Roman" w:hAnsi="Times New Roman" w:cs="Times New Roman"/>
          <w:sz w:val="24"/>
          <w:szCs w:val="24"/>
        </w:rPr>
        <w:t>actic</w:t>
      </w:r>
      <w:r>
        <w:rPr>
          <w:rFonts w:ascii="Times New Roman" w:hAnsi="Times New Roman" w:cs="Times New Roman"/>
          <w:sz w:val="24"/>
          <w:szCs w:val="24"/>
        </w:rPr>
        <w:t xml:space="preserve"> that went beyond the existing structures, even if those tactics were entirely legal – they were simply not done in a good political society. However, there are certainly actions that justly qualify as corrupt that occurred during the era as well, including extortion, embezzlement, fraud, bribery, voter intimidation, and much more.</w:t>
      </w:r>
      <w:r>
        <w:rPr>
          <w:rStyle w:val="FootnoteReference"/>
          <w:rFonts w:ascii="Times New Roman" w:hAnsi="Times New Roman" w:cs="Times New Roman"/>
          <w:sz w:val="24"/>
          <w:szCs w:val="24"/>
        </w:rPr>
        <w:footnoteReference w:id="82"/>
      </w:r>
      <w:r>
        <w:rPr>
          <w:rFonts w:ascii="Times New Roman" w:hAnsi="Times New Roman" w:cs="Times New Roman"/>
          <w:sz w:val="24"/>
          <w:szCs w:val="24"/>
        </w:rPr>
        <w:t xml:space="preserve"> After careful consideration, I believe that Mark Wahlgren Summers defines the term best for the period in question and beyond in his book </w:t>
      </w:r>
      <w:r>
        <w:rPr>
          <w:rFonts w:ascii="Times New Roman" w:hAnsi="Times New Roman" w:cs="Times New Roman"/>
          <w:i/>
          <w:iCs/>
          <w:sz w:val="24"/>
          <w:szCs w:val="24"/>
        </w:rPr>
        <w:t>The Era of Good Stealings</w:t>
      </w:r>
      <w:r>
        <w:rPr>
          <w:rFonts w:ascii="Times New Roman" w:hAnsi="Times New Roman" w:cs="Times New Roman"/>
          <w:sz w:val="24"/>
          <w:szCs w:val="24"/>
        </w:rPr>
        <w:t>: “the illegal and generally unacceptable use of public position for private advantage or exceptional party profit, and the subversion of the political process for personal ends beyond those of ambition.”</w:t>
      </w:r>
      <w:r>
        <w:rPr>
          <w:rStyle w:val="FootnoteReference"/>
          <w:rFonts w:ascii="Times New Roman" w:hAnsi="Times New Roman" w:cs="Times New Roman"/>
          <w:sz w:val="24"/>
          <w:szCs w:val="24"/>
        </w:rPr>
        <w:footnoteReference w:id="83"/>
      </w:r>
      <w:r>
        <w:rPr>
          <w:rFonts w:ascii="Times New Roman" w:hAnsi="Times New Roman" w:cs="Times New Roman"/>
          <w:sz w:val="24"/>
          <w:szCs w:val="24"/>
        </w:rPr>
        <w:t xml:space="preserve"> This definition </w:t>
      </w:r>
      <w:r w:rsidR="00756C13">
        <w:rPr>
          <w:rFonts w:ascii="Times New Roman" w:hAnsi="Times New Roman" w:cs="Times New Roman"/>
          <w:sz w:val="24"/>
          <w:szCs w:val="24"/>
        </w:rPr>
        <w:t>addres</w:t>
      </w:r>
      <w:r>
        <w:rPr>
          <w:rFonts w:ascii="Times New Roman" w:hAnsi="Times New Roman" w:cs="Times New Roman"/>
          <w:sz w:val="24"/>
          <w:szCs w:val="24"/>
        </w:rPr>
        <w:t xml:space="preserve">ses both legal and social implications of improper behavior, as well as the end results for an individual and those associated with them. Perhaps most importantly is its last four words – “beyond those of ambition” – as </w:t>
      </w:r>
      <w:r w:rsidR="00FB1C8B">
        <w:rPr>
          <w:rFonts w:ascii="Times New Roman" w:hAnsi="Times New Roman" w:cs="Times New Roman"/>
          <w:sz w:val="24"/>
          <w:szCs w:val="24"/>
        </w:rPr>
        <w:t>many of</w:t>
      </w:r>
      <w:r>
        <w:rPr>
          <w:rFonts w:ascii="Times New Roman" w:hAnsi="Times New Roman" w:cs="Times New Roman"/>
          <w:sz w:val="24"/>
          <w:szCs w:val="24"/>
        </w:rPr>
        <w:t xml:space="preserve"> those involved in politic</w:t>
      </w:r>
      <w:r w:rsidR="00B517AC">
        <w:rPr>
          <w:rFonts w:ascii="Times New Roman" w:hAnsi="Times New Roman" w:cs="Times New Roman"/>
          <w:sz w:val="24"/>
          <w:szCs w:val="24"/>
        </w:rPr>
        <w:t>s</w:t>
      </w:r>
      <w:r>
        <w:rPr>
          <w:rFonts w:ascii="Times New Roman" w:hAnsi="Times New Roman" w:cs="Times New Roman"/>
          <w:sz w:val="24"/>
          <w:szCs w:val="24"/>
        </w:rPr>
        <w:t xml:space="preserve"> had their own ambitions to balance with the public good, but the corrupt individuals sought to attain additional ambitions that would improve their financial, societal, and political standing.</w:t>
      </w:r>
    </w:p>
    <w:p w14:paraId="01A1550B" w14:textId="3A67A4ED"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Within this discussion of corruption, it is critical to understand that corruption, and accusations of corruption, typically falls within two categories: believed and actual. </w:t>
      </w:r>
      <w:r w:rsidRPr="006430BB">
        <w:rPr>
          <w:rFonts w:ascii="Times New Roman" w:hAnsi="Times New Roman" w:cs="Times New Roman"/>
          <w:i/>
          <w:iCs/>
          <w:sz w:val="24"/>
          <w:szCs w:val="24"/>
        </w:rPr>
        <w:t>Actual corruption</w:t>
      </w:r>
      <w:r>
        <w:rPr>
          <w:rFonts w:ascii="Times New Roman" w:hAnsi="Times New Roman" w:cs="Times New Roman"/>
          <w:sz w:val="24"/>
          <w:szCs w:val="24"/>
        </w:rPr>
        <w:t xml:space="preserve"> is exactly as it sounds: a person or group engaging in corruption as we have </w:t>
      </w:r>
      <w:r w:rsidR="00E974F1">
        <w:rPr>
          <w:rFonts w:ascii="Times New Roman" w:hAnsi="Times New Roman" w:cs="Times New Roman"/>
          <w:sz w:val="24"/>
          <w:szCs w:val="24"/>
        </w:rPr>
        <w:t>defined</w:t>
      </w:r>
      <w:r>
        <w:rPr>
          <w:rFonts w:ascii="Times New Roman" w:hAnsi="Times New Roman" w:cs="Times New Roman"/>
          <w:sz w:val="24"/>
          <w:szCs w:val="24"/>
        </w:rPr>
        <w:t xml:space="preserve"> above. In cases of actual corruption, whether there is proof or not of a person’s involvement, this is a scenario in which we know, either at the time or in retrospect, that the parties involved engaged in this behavior. </w:t>
      </w:r>
      <w:r w:rsidRPr="006430BB">
        <w:rPr>
          <w:rFonts w:ascii="Times New Roman" w:hAnsi="Times New Roman" w:cs="Times New Roman"/>
          <w:i/>
          <w:iCs/>
          <w:sz w:val="24"/>
          <w:szCs w:val="24"/>
        </w:rPr>
        <w:t>Believed corruption</w:t>
      </w:r>
      <w:r w:rsidR="003B17C1">
        <w:rPr>
          <w:rFonts w:ascii="Times New Roman" w:hAnsi="Times New Roman" w:cs="Times New Roman"/>
          <w:sz w:val="24"/>
          <w:szCs w:val="24"/>
        </w:rPr>
        <w:t>, on</w:t>
      </w:r>
      <w:r>
        <w:rPr>
          <w:rFonts w:ascii="Times New Roman" w:hAnsi="Times New Roman" w:cs="Times New Roman"/>
          <w:sz w:val="24"/>
          <w:szCs w:val="24"/>
        </w:rPr>
        <w:t xml:space="preserve"> the other hand</w:t>
      </w:r>
      <w:r w:rsidR="003B17C1">
        <w:rPr>
          <w:rFonts w:ascii="Times New Roman" w:hAnsi="Times New Roman" w:cs="Times New Roman"/>
          <w:sz w:val="24"/>
          <w:szCs w:val="24"/>
        </w:rPr>
        <w:t>,</w:t>
      </w:r>
      <w:r>
        <w:rPr>
          <w:rFonts w:ascii="Times New Roman" w:hAnsi="Times New Roman" w:cs="Times New Roman"/>
          <w:sz w:val="24"/>
          <w:szCs w:val="24"/>
        </w:rPr>
        <w:t xml:space="preserve"> is a societal phenomenon in which a person or group is assumed to be involved in corrupt behavior but in which there is no </w:t>
      </w:r>
      <w:r>
        <w:rPr>
          <w:rFonts w:ascii="Times New Roman" w:hAnsi="Times New Roman" w:cs="Times New Roman"/>
          <w:sz w:val="24"/>
          <w:szCs w:val="24"/>
        </w:rPr>
        <w:lastRenderedPageBreak/>
        <w:t>proof of any misdeed, either in contemporary times or in retrospect. These two concepts share an interesting relationship, as all actual corruption has elements of believed corruption given the way that rumors spread through society, but not all believed corruption is actual corruption – in some cases it amounts to nothing more than rumor. This does not in any way negate the stigma of believed corruption, as its importance is as strong as actual corruption for the societal impact it has on tarnishing or strengthening reputations of those accused of criminality. Taking this a step further, some of those engaging in corruption used believed corruption like the greatest sleight-of-hand magicians, distracting the public from their actual corrupt behavior by directing their attention to other allegations that could be dismissed based on a lack of evidence. In these situations, the accused would see their reputation tarnished, be it for a short period or forever, but it was better for them than being found culpable of any actual corruption.</w:t>
      </w:r>
    </w:p>
    <w:p w14:paraId="254846B0" w14:textId="49104080" w:rsidR="00EB755A" w:rsidRPr="000F34C1"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Further connected to the concept of corruption is the idea of a </w:t>
      </w:r>
      <w:r>
        <w:rPr>
          <w:rFonts w:ascii="Times New Roman" w:hAnsi="Times New Roman" w:cs="Times New Roman"/>
          <w:i/>
          <w:iCs/>
          <w:sz w:val="24"/>
          <w:szCs w:val="24"/>
        </w:rPr>
        <w:t>scandal</w:t>
      </w:r>
      <w:r>
        <w:rPr>
          <w:rFonts w:ascii="Times New Roman" w:hAnsi="Times New Roman" w:cs="Times New Roman"/>
          <w:sz w:val="24"/>
          <w:szCs w:val="24"/>
        </w:rPr>
        <w:t xml:space="preserve">.  Where corruption is something that is typically private, when it becomes public, it reaches the point of scandal. Scandalous events take on a </w:t>
      </w:r>
      <w:r w:rsidR="005351B5">
        <w:rPr>
          <w:rFonts w:ascii="Times New Roman" w:hAnsi="Times New Roman" w:cs="Times New Roman"/>
          <w:sz w:val="24"/>
          <w:szCs w:val="24"/>
        </w:rPr>
        <w:t>life</w:t>
      </w:r>
      <w:r>
        <w:rPr>
          <w:rFonts w:ascii="Times New Roman" w:hAnsi="Times New Roman" w:cs="Times New Roman"/>
          <w:sz w:val="24"/>
          <w:szCs w:val="24"/>
        </w:rPr>
        <w:t xml:space="preserve"> of their own when they are subjected to the expectations of the masses. Oscar Wilde perhaps put it best in his play </w:t>
      </w:r>
      <w:r>
        <w:rPr>
          <w:rFonts w:ascii="Times New Roman" w:hAnsi="Times New Roman" w:cs="Times New Roman"/>
          <w:i/>
          <w:iCs/>
          <w:sz w:val="24"/>
          <w:szCs w:val="24"/>
        </w:rPr>
        <w:t>Lady Windermere’s Fan</w:t>
      </w:r>
      <w:r>
        <w:rPr>
          <w:rFonts w:ascii="Times New Roman" w:hAnsi="Times New Roman" w:cs="Times New Roman"/>
          <w:sz w:val="24"/>
          <w:szCs w:val="24"/>
        </w:rPr>
        <w:t>, stating that “scandal is gossip made tedious by morality.”</w:t>
      </w:r>
      <w:r>
        <w:rPr>
          <w:rStyle w:val="FootnoteReference"/>
          <w:rFonts w:ascii="Times New Roman" w:hAnsi="Times New Roman" w:cs="Times New Roman"/>
          <w:sz w:val="24"/>
          <w:szCs w:val="24"/>
        </w:rPr>
        <w:footnoteReference w:id="84"/>
      </w:r>
      <w:r>
        <w:rPr>
          <w:rFonts w:ascii="Times New Roman" w:hAnsi="Times New Roman" w:cs="Times New Roman"/>
          <w:sz w:val="24"/>
          <w:szCs w:val="24"/>
        </w:rPr>
        <w:t xml:space="preserve"> When we consider the implications of the shared nature of scandal, as well as the enforcement of contemporary social mores onto events that occurred typically behind closed doors, our definition begins to take shape. Scandal, then, is the public response and spread of rumor, whether true or not, that defames a figure in high political or social standing. This definition shows that claims of corruption made an impact on society whether they were verified or unfounded, and by understanding this, we can see that both actual </w:t>
      </w:r>
      <w:r>
        <w:rPr>
          <w:rFonts w:ascii="Times New Roman" w:hAnsi="Times New Roman" w:cs="Times New Roman"/>
          <w:sz w:val="24"/>
          <w:szCs w:val="24"/>
        </w:rPr>
        <w:lastRenderedPageBreak/>
        <w:t xml:space="preserve">and believed corruption have their places ensconced in our </w:t>
      </w:r>
      <w:r w:rsidR="003F6866">
        <w:rPr>
          <w:rFonts w:ascii="Times New Roman" w:hAnsi="Times New Roman" w:cs="Times New Roman"/>
          <w:sz w:val="24"/>
          <w:szCs w:val="24"/>
        </w:rPr>
        <w:t>understanding</w:t>
      </w:r>
      <w:r>
        <w:rPr>
          <w:rFonts w:ascii="Times New Roman" w:hAnsi="Times New Roman" w:cs="Times New Roman"/>
          <w:sz w:val="24"/>
          <w:szCs w:val="24"/>
        </w:rPr>
        <w:t xml:space="preserve"> of Reconstruction politics.</w:t>
      </w:r>
    </w:p>
    <w:p w14:paraId="60CC908C" w14:textId="16064C93"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When we consider some of the patrons who appointed individuals to high office in this piece, particularly President Ulysses S. Grant, we may be tempted to refer to him as </w:t>
      </w:r>
      <w:r w:rsidRPr="00D31CFE">
        <w:rPr>
          <w:rFonts w:ascii="Times New Roman" w:hAnsi="Times New Roman" w:cs="Times New Roman"/>
          <w:i/>
          <w:iCs/>
          <w:sz w:val="24"/>
          <w:szCs w:val="24"/>
        </w:rPr>
        <w:t>naïve</w:t>
      </w:r>
      <w:r>
        <w:rPr>
          <w:rFonts w:ascii="Times New Roman" w:hAnsi="Times New Roman" w:cs="Times New Roman"/>
          <w:sz w:val="24"/>
          <w:szCs w:val="24"/>
        </w:rPr>
        <w:t xml:space="preserve">. This would be a fair critique, but not based on the modern conception that holds negative connotations. Naivete is the tails side of the coin that features trust on its head. Trust is established between two individuals, </w:t>
      </w:r>
      <w:r w:rsidR="00057388">
        <w:rPr>
          <w:rFonts w:ascii="Times New Roman" w:hAnsi="Times New Roman" w:cs="Times New Roman"/>
          <w:sz w:val="24"/>
          <w:szCs w:val="24"/>
        </w:rPr>
        <w:t>or</w:t>
      </w:r>
      <w:r w:rsidR="002F71AB">
        <w:rPr>
          <w:rFonts w:ascii="Times New Roman" w:hAnsi="Times New Roman" w:cs="Times New Roman"/>
          <w:sz w:val="24"/>
          <w:szCs w:val="24"/>
        </w:rPr>
        <w:t>,</w:t>
      </w:r>
      <w:r w:rsidR="00057388">
        <w:rPr>
          <w:rFonts w:ascii="Times New Roman" w:hAnsi="Times New Roman" w:cs="Times New Roman"/>
          <w:sz w:val="24"/>
          <w:szCs w:val="24"/>
        </w:rPr>
        <w:t xml:space="preserve"> in the literal case of a coin, in the bearer and God, </w:t>
      </w:r>
      <w:r>
        <w:rPr>
          <w:rFonts w:ascii="Times New Roman" w:hAnsi="Times New Roman" w:cs="Times New Roman"/>
          <w:sz w:val="24"/>
          <w:szCs w:val="24"/>
        </w:rPr>
        <w:t>and as long as it is upheld by both individuals in this partnership, it can remain as a strength. However, when someone is either unworthy of the trust given to them by another, or if they break that trust, and yet the other party remains steadfast that they maintain their trust, they can be considered as naïve. For the purposes of this paper, naivete as a concept refers to misplaced trust, particularly in the face of evidence suggesting trust is unearned. It does maintain some of the negative connotations of today’s use but it should not assume that the individual who is misplacing their trust is simple-minded, nor are they entirely ignorant, but likely they are blinded by some outside factor such as friendship</w:t>
      </w:r>
      <w:r w:rsidR="00F76F3C">
        <w:rPr>
          <w:rFonts w:ascii="Times New Roman" w:hAnsi="Times New Roman" w:cs="Times New Roman"/>
          <w:sz w:val="24"/>
          <w:szCs w:val="24"/>
        </w:rPr>
        <w:t>, or as a dog’s love for its misshapen pup</w:t>
      </w:r>
      <w:r>
        <w:rPr>
          <w:rFonts w:ascii="Times New Roman" w:hAnsi="Times New Roman" w:cs="Times New Roman"/>
          <w:sz w:val="24"/>
          <w:szCs w:val="24"/>
        </w:rPr>
        <w:t>.</w:t>
      </w:r>
    </w:p>
    <w:p w14:paraId="22D2428F" w14:textId="0BB69E97"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The final term that merits definition is one of my own creation for the purposes of this project. In my research, I witnessed the emergence of a specific type of political operative for whom there has been no sufficient description in either the historical record nor the historiography. Scholars of early America have referred to similar corrupt individuals as “scoundrels,” but this is a term that is too all-encompassing and changes from generation to generation given those who have been referred to as such over time.</w:t>
      </w:r>
      <w:r>
        <w:rPr>
          <w:rStyle w:val="FootnoteReference"/>
          <w:rFonts w:ascii="Times New Roman" w:hAnsi="Times New Roman" w:cs="Times New Roman"/>
          <w:sz w:val="24"/>
          <w:szCs w:val="24"/>
        </w:rPr>
        <w:footnoteReference w:id="85"/>
      </w:r>
      <w:r>
        <w:rPr>
          <w:rFonts w:ascii="Times New Roman" w:hAnsi="Times New Roman" w:cs="Times New Roman"/>
          <w:sz w:val="24"/>
          <w:szCs w:val="24"/>
        </w:rPr>
        <w:t xml:space="preserve"> A “parvenu” is another </w:t>
      </w:r>
      <w:r>
        <w:rPr>
          <w:rFonts w:ascii="Times New Roman" w:hAnsi="Times New Roman" w:cs="Times New Roman"/>
          <w:sz w:val="24"/>
          <w:szCs w:val="24"/>
        </w:rPr>
        <w:lastRenderedPageBreak/>
        <w:t xml:space="preserve">term that comes close, but while these operatives rose quickly to new positions of power, they were typically recognized accordingly in society, a key dynamic in the parvenu definition that removes it from consideration. The closest term to what I have been looking for is politico. From the Latin </w:t>
      </w:r>
      <w:r>
        <w:rPr>
          <w:rFonts w:ascii="Times New Roman" w:hAnsi="Times New Roman" w:cs="Times New Roman"/>
          <w:i/>
          <w:iCs/>
          <w:sz w:val="24"/>
          <w:szCs w:val="24"/>
        </w:rPr>
        <w:t>politicus</w:t>
      </w:r>
      <w:r>
        <w:rPr>
          <w:rFonts w:ascii="Times New Roman" w:hAnsi="Times New Roman" w:cs="Times New Roman"/>
          <w:sz w:val="24"/>
          <w:szCs w:val="24"/>
        </w:rPr>
        <w:t>, meaning politician, a politico is a term that</w:t>
      </w:r>
      <w:r w:rsidR="00E16307">
        <w:rPr>
          <w:rFonts w:ascii="Times New Roman" w:hAnsi="Times New Roman" w:cs="Times New Roman"/>
          <w:sz w:val="24"/>
          <w:szCs w:val="24"/>
        </w:rPr>
        <w:t xml:space="preserve"> often</w:t>
      </w:r>
      <w:r>
        <w:rPr>
          <w:rFonts w:ascii="Times New Roman" w:hAnsi="Times New Roman" w:cs="Times New Roman"/>
          <w:sz w:val="24"/>
          <w:szCs w:val="24"/>
        </w:rPr>
        <w:t xml:space="preserve"> has derogatory and informal connotations as a political operative who is willing to do anything to win an election.</w:t>
      </w:r>
      <w:r>
        <w:rPr>
          <w:rStyle w:val="FootnoteReference"/>
          <w:rFonts w:ascii="Times New Roman" w:hAnsi="Times New Roman" w:cs="Times New Roman"/>
          <w:sz w:val="24"/>
          <w:szCs w:val="24"/>
        </w:rPr>
        <w:footnoteReference w:id="86"/>
      </w:r>
      <w:r>
        <w:rPr>
          <w:rFonts w:ascii="Times New Roman" w:hAnsi="Times New Roman" w:cs="Times New Roman"/>
          <w:sz w:val="24"/>
          <w:szCs w:val="24"/>
        </w:rPr>
        <w:t xml:space="preserve"> Yet this term still does not fit with the type of operative that Babcock and his ilk embodied during the Reconstruction era. Babcock was not involved with </w:t>
      </w:r>
      <w:r w:rsidR="00D05768">
        <w:rPr>
          <w:rFonts w:ascii="Times New Roman" w:hAnsi="Times New Roman" w:cs="Times New Roman"/>
          <w:sz w:val="24"/>
          <w:szCs w:val="24"/>
        </w:rPr>
        <w:t xml:space="preserve">the electoral process </w:t>
      </w:r>
      <w:r>
        <w:rPr>
          <w:rFonts w:ascii="Times New Roman" w:hAnsi="Times New Roman" w:cs="Times New Roman"/>
          <w:sz w:val="24"/>
          <w:szCs w:val="24"/>
        </w:rPr>
        <w:t xml:space="preserve">during his political career. His military training instilled in him a practical mentality of getting the job done even if it involved negatives in the process or was perceived differently once ordered by one’s higher ups. </w:t>
      </w:r>
      <w:r w:rsidR="00834168">
        <w:rPr>
          <w:rFonts w:ascii="Times New Roman" w:hAnsi="Times New Roman" w:cs="Times New Roman"/>
          <w:sz w:val="24"/>
          <w:szCs w:val="24"/>
        </w:rPr>
        <w:t xml:space="preserve">His service under Grant, where he witnessed Grant’s many victories through practical tactics, further propelled the development of Babcock’s own pragmatism. </w:t>
      </w:r>
      <w:r>
        <w:rPr>
          <w:rFonts w:ascii="Times New Roman" w:hAnsi="Times New Roman" w:cs="Times New Roman"/>
          <w:sz w:val="24"/>
          <w:szCs w:val="24"/>
        </w:rPr>
        <w:t>In Washington, Babcock had job</w:t>
      </w:r>
      <w:r w:rsidR="00B12007">
        <w:rPr>
          <w:rFonts w:ascii="Times New Roman" w:hAnsi="Times New Roman" w:cs="Times New Roman"/>
          <w:sz w:val="24"/>
          <w:szCs w:val="24"/>
        </w:rPr>
        <w:t>s</w:t>
      </w:r>
      <w:r>
        <w:rPr>
          <w:rFonts w:ascii="Times New Roman" w:hAnsi="Times New Roman" w:cs="Times New Roman"/>
          <w:sz w:val="24"/>
          <w:szCs w:val="24"/>
        </w:rPr>
        <w:t xml:space="preserve"> that required</w:t>
      </w:r>
      <w:r w:rsidR="00B12007">
        <w:rPr>
          <w:rFonts w:ascii="Times New Roman" w:hAnsi="Times New Roman" w:cs="Times New Roman"/>
          <w:sz w:val="24"/>
          <w:szCs w:val="24"/>
        </w:rPr>
        <w:t xml:space="preserve"> quite a bit from</w:t>
      </w:r>
      <w:r>
        <w:rPr>
          <w:rFonts w:ascii="Times New Roman" w:hAnsi="Times New Roman" w:cs="Times New Roman"/>
          <w:sz w:val="24"/>
          <w:szCs w:val="24"/>
        </w:rPr>
        <w:t xml:space="preserve"> him</w:t>
      </w:r>
      <w:r w:rsidR="00B12007">
        <w:rPr>
          <w:rFonts w:ascii="Times New Roman" w:hAnsi="Times New Roman" w:cs="Times New Roman"/>
          <w:sz w:val="24"/>
          <w:szCs w:val="24"/>
        </w:rPr>
        <w:t>,</w:t>
      </w:r>
      <w:r>
        <w:rPr>
          <w:rFonts w:ascii="Times New Roman" w:hAnsi="Times New Roman" w:cs="Times New Roman"/>
          <w:sz w:val="24"/>
          <w:szCs w:val="24"/>
        </w:rPr>
        <w:t xml:space="preserve"> and he completed th</w:t>
      </w:r>
      <w:r w:rsidR="00B12007">
        <w:rPr>
          <w:rFonts w:ascii="Times New Roman" w:hAnsi="Times New Roman" w:cs="Times New Roman"/>
          <w:sz w:val="24"/>
          <w:szCs w:val="24"/>
        </w:rPr>
        <w:t>o</w:t>
      </w:r>
      <w:r>
        <w:rPr>
          <w:rFonts w:ascii="Times New Roman" w:hAnsi="Times New Roman" w:cs="Times New Roman"/>
          <w:sz w:val="24"/>
          <w:szCs w:val="24"/>
        </w:rPr>
        <w:t>s</w:t>
      </w:r>
      <w:r w:rsidR="00B12007">
        <w:rPr>
          <w:rFonts w:ascii="Times New Roman" w:hAnsi="Times New Roman" w:cs="Times New Roman"/>
          <w:sz w:val="24"/>
          <w:szCs w:val="24"/>
        </w:rPr>
        <w:t>e</w:t>
      </w:r>
      <w:r>
        <w:rPr>
          <w:rFonts w:ascii="Times New Roman" w:hAnsi="Times New Roman" w:cs="Times New Roman"/>
          <w:sz w:val="24"/>
          <w:szCs w:val="24"/>
        </w:rPr>
        <w:t xml:space="preserve"> job</w:t>
      </w:r>
      <w:r w:rsidR="00E83B67">
        <w:rPr>
          <w:rFonts w:ascii="Times New Roman" w:hAnsi="Times New Roman" w:cs="Times New Roman"/>
          <w:sz w:val="24"/>
          <w:szCs w:val="24"/>
        </w:rPr>
        <w:t>s</w:t>
      </w:r>
      <w:r>
        <w:rPr>
          <w:rFonts w:ascii="Times New Roman" w:hAnsi="Times New Roman" w:cs="Times New Roman"/>
          <w:sz w:val="24"/>
          <w:szCs w:val="24"/>
        </w:rPr>
        <w:t xml:space="preserve"> regardless of what others thought about the methods he used. So</w:t>
      </w:r>
      <w:r w:rsidR="00B12007">
        <w:rPr>
          <w:rFonts w:ascii="Times New Roman" w:hAnsi="Times New Roman" w:cs="Times New Roman"/>
          <w:sz w:val="24"/>
          <w:szCs w:val="24"/>
        </w:rPr>
        <w:t>,</w:t>
      </w:r>
      <w:r>
        <w:rPr>
          <w:rFonts w:ascii="Times New Roman" w:hAnsi="Times New Roman" w:cs="Times New Roman"/>
          <w:sz w:val="24"/>
          <w:szCs w:val="24"/>
        </w:rPr>
        <w:t xml:space="preserve"> if this type of operative was not a politico, then what was he?</w:t>
      </w:r>
    </w:p>
    <w:p w14:paraId="7750351F" w14:textId="65F7153F"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After consideration of other terms, I realized that there are no terms that truly fit this type of a political operative, and so I was compelled to craft my own term: </w:t>
      </w:r>
      <w:r>
        <w:rPr>
          <w:rFonts w:ascii="Times New Roman" w:hAnsi="Times New Roman" w:cs="Times New Roman"/>
          <w:b/>
          <w:bCs/>
          <w:sz w:val="24"/>
          <w:szCs w:val="24"/>
        </w:rPr>
        <w:t>pragmatico.</w:t>
      </w:r>
      <w:r>
        <w:rPr>
          <w:rFonts w:ascii="Times New Roman" w:hAnsi="Times New Roman" w:cs="Times New Roman"/>
          <w:sz w:val="24"/>
          <w:szCs w:val="24"/>
        </w:rPr>
        <w:t xml:space="preserve"> I came to this term by combining pragmatic with the aforementioned politico. Pragmatic, taken from the Greek </w:t>
      </w:r>
      <w:r>
        <w:rPr>
          <w:rFonts w:ascii="Times New Roman" w:hAnsi="Times New Roman" w:cs="Times New Roman"/>
          <w:i/>
          <w:iCs/>
          <w:sz w:val="24"/>
          <w:szCs w:val="24"/>
        </w:rPr>
        <w:t xml:space="preserve">pragma </w:t>
      </w:r>
      <w:r>
        <w:rPr>
          <w:rFonts w:ascii="Times New Roman" w:hAnsi="Times New Roman" w:cs="Times New Roman"/>
          <w:sz w:val="24"/>
          <w:szCs w:val="24"/>
        </w:rPr>
        <w:t xml:space="preserve">for “action,” refers to dealing with things in a sensible and practical manner rather than being concerned with rules or theories. This is entirely in line with these political agents, as they had a goal to accomplish and attempted to do so ably, often without care </w:t>
      </w:r>
      <w:r w:rsidR="00716CEB">
        <w:rPr>
          <w:rFonts w:ascii="Times New Roman" w:hAnsi="Times New Roman" w:cs="Times New Roman"/>
          <w:sz w:val="24"/>
          <w:szCs w:val="24"/>
        </w:rPr>
        <w:t>of</w:t>
      </w:r>
      <w:r>
        <w:rPr>
          <w:rFonts w:ascii="Times New Roman" w:hAnsi="Times New Roman" w:cs="Times New Roman"/>
          <w:sz w:val="24"/>
          <w:szCs w:val="24"/>
        </w:rPr>
        <w:t xml:space="preserve"> how others perceived their actions. A pragmatico, as I define it, is a political operative during the Civil War era who </w:t>
      </w:r>
      <w:r>
        <w:rPr>
          <w:rFonts w:ascii="Times New Roman" w:hAnsi="Times New Roman" w:cs="Times New Roman"/>
          <w:sz w:val="24"/>
          <w:szCs w:val="24"/>
        </w:rPr>
        <w:lastRenderedPageBreak/>
        <w:t>sought to maintain a role in civil service after their time in the military by earning an appointment to a political post</w:t>
      </w:r>
      <w:r w:rsidR="008D0F79">
        <w:rPr>
          <w:rFonts w:ascii="Times New Roman" w:hAnsi="Times New Roman" w:cs="Times New Roman"/>
          <w:sz w:val="24"/>
          <w:szCs w:val="24"/>
        </w:rPr>
        <w:t xml:space="preserve"> and who attempted to use this appointment for both public and private gain</w:t>
      </w:r>
      <w:r>
        <w:rPr>
          <w:rFonts w:ascii="Times New Roman" w:hAnsi="Times New Roman" w:cs="Times New Roman"/>
          <w:sz w:val="24"/>
          <w:szCs w:val="24"/>
        </w:rPr>
        <w:t>. In the era of the spoils system, particularly before civil service reform kicked in with the Pendleton Act in 1883, American politics was rife with examples of individuals who attained their appointments through connections, many of which were forged in times of war with brothers in arms.</w:t>
      </w:r>
      <w:r>
        <w:rPr>
          <w:rStyle w:val="FootnoteReference"/>
          <w:rFonts w:ascii="Times New Roman" w:hAnsi="Times New Roman" w:cs="Times New Roman"/>
          <w:sz w:val="24"/>
          <w:szCs w:val="24"/>
        </w:rPr>
        <w:footnoteReference w:id="87"/>
      </w:r>
      <w:r>
        <w:rPr>
          <w:rFonts w:ascii="Times New Roman" w:hAnsi="Times New Roman" w:cs="Times New Roman"/>
          <w:sz w:val="24"/>
          <w:szCs w:val="24"/>
        </w:rPr>
        <w:t xml:space="preserve"> Several of those who were successful in their efforts to attain jobs in the political realm during and/or after their military service often leaned on their training in the military and accomplished their goals without </w:t>
      </w:r>
      <w:r w:rsidR="003F6866">
        <w:rPr>
          <w:rFonts w:ascii="Times New Roman" w:hAnsi="Times New Roman" w:cs="Times New Roman"/>
          <w:sz w:val="24"/>
          <w:szCs w:val="24"/>
        </w:rPr>
        <w:t>factoring in</w:t>
      </w:r>
      <w:r>
        <w:rPr>
          <w:rFonts w:ascii="Times New Roman" w:hAnsi="Times New Roman" w:cs="Times New Roman"/>
          <w:sz w:val="24"/>
          <w:szCs w:val="24"/>
        </w:rPr>
        <w:t xml:space="preserve"> the scrutiny they </w:t>
      </w:r>
      <w:r w:rsidR="00DC7185">
        <w:rPr>
          <w:rFonts w:ascii="Times New Roman" w:hAnsi="Times New Roman" w:cs="Times New Roman"/>
          <w:sz w:val="24"/>
          <w:szCs w:val="24"/>
        </w:rPr>
        <w:t xml:space="preserve">now </w:t>
      </w:r>
      <w:r>
        <w:rPr>
          <w:rFonts w:ascii="Times New Roman" w:hAnsi="Times New Roman" w:cs="Times New Roman"/>
          <w:sz w:val="24"/>
          <w:szCs w:val="24"/>
        </w:rPr>
        <w:t>faced as public figures.</w:t>
      </w:r>
      <w:r>
        <w:rPr>
          <w:rStyle w:val="FootnoteReference"/>
          <w:rFonts w:ascii="Times New Roman" w:hAnsi="Times New Roman" w:cs="Times New Roman"/>
          <w:sz w:val="24"/>
          <w:szCs w:val="24"/>
        </w:rPr>
        <w:footnoteReference w:id="88"/>
      </w:r>
      <w:r>
        <w:rPr>
          <w:rFonts w:ascii="Times New Roman" w:hAnsi="Times New Roman" w:cs="Times New Roman"/>
          <w:sz w:val="24"/>
          <w:szCs w:val="24"/>
        </w:rPr>
        <w:t xml:space="preserve"> Given the heightened political climate of the era, opponents saw anything that was different from typical and claimed it to be corrupt, leaving many with reputations as corrupt operatives. While some certainly did not earn this title, others used this perception of corruption </w:t>
      </w:r>
      <w:r w:rsidR="009139B2">
        <w:rPr>
          <w:rFonts w:ascii="Times New Roman" w:hAnsi="Times New Roman" w:cs="Times New Roman"/>
          <w:sz w:val="24"/>
          <w:szCs w:val="24"/>
        </w:rPr>
        <w:t>masterfully,</w:t>
      </w:r>
      <w:r>
        <w:rPr>
          <w:rFonts w:ascii="Times New Roman" w:hAnsi="Times New Roman" w:cs="Times New Roman"/>
          <w:sz w:val="24"/>
          <w:szCs w:val="24"/>
        </w:rPr>
        <w:t xml:space="preserve"> directing the public’s attention to the perceived corruption and away from any real corruption. Then, when they received push back, they stood their ground, which is all the more relevant as in Spanish, the term pragmatico means both pragmatic and hard-headed, adding a final layer to these operatives. Over the course of their lives, both in politics and out, these men learned from their experiences, shifted from corruption to upstanding behavior and vice versa depending on each individual moment, in some cases with the only sources we have to estimate </w:t>
      </w:r>
      <w:r>
        <w:rPr>
          <w:rFonts w:ascii="Times New Roman" w:hAnsi="Times New Roman" w:cs="Times New Roman"/>
          <w:sz w:val="24"/>
          <w:szCs w:val="24"/>
        </w:rPr>
        <w:lastRenderedPageBreak/>
        <w:t>their true actions coming from speculative claims made by their opponents. Yet we still have to study these men for both their perceived and actually corrupt behavior to fully understand their place in the historical record, and thus the term pragmatico brings us closer to understanding these men and their careers than any existing term.</w:t>
      </w:r>
      <w:r>
        <w:rPr>
          <w:rStyle w:val="FootnoteReference"/>
          <w:rFonts w:ascii="Times New Roman" w:hAnsi="Times New Roman" w:cs="Times New Roman"/>
          <w:sz w:val="24"/>
          <w:szCs w:val="24"/>
        </w:rPr>
        <w:footnoteReference w:id="89"/>
      </w:r>
    </w:p>
    <w:p w14:paraId="465B4426" w14:textId="77777777" w:rsidR="00DF7ED7" w:rsidRDefault="00EB755A" w:rsidP="00DF7ED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he was certainly a scoundrel, General Orville Babcock epitomizes this newly-defined pragmatico archetype. Babcock was a political operative who accomplished his goals ably without concern for outside perceptions. He was appointed by his patron, President Grant, with whom he built a dedicated relationship during the Southern Uprising, to a position in the government. He leaned on his training in the military, namely his experiences with the Army Corps of Engineers and as Grant’s </w:t>
      </w:r>
      <w:r>
        <w:rPr>
          <w:rFonts w:ascii="Times New Roman" w:hAnsi="Times New Roman" w:cs="Times New Roman"/>
          <w:i/>
          <w:iCs/>
          <w:sz w:val="24"/>
          <w:szCs w:val="24"/>
        </w:rPr>
        <w:t>aide-de-campe</w:t>
      </w:r>
      <w:r>
        <w:rPr>
          <w:rFonts w:ascii="Times New Roman" w:hAnsi="Times New Roman" w:cs="Times New Roman"/>
          <w:sz w:val="24"/>
          <w:szCs w:val="24"/>
        </w:rPr>
        <w:t>, to serve the president as his Private Secretary and to serve the capital as Superintendent of the Board of Public Works. He paid little attention to scrutiny from those both within and outside of the Grant Administration, only heeding it when it reached such heights as to demand public response. His actions were atypical of establishment politicians, and as such he received several complaints of corrupt behavior. While some of his actions were certainly corrupt, others were simply the mark of the new breed emerging at the time. Up until the expiration of his term as</w:t>
      </w:r>
      <w:r w:rsidR="00E97EBD">
        <w:rPr>
          <w:rFonts w:ascii="Times New Roman" w:hAnsi="Times New Roman" w:cs="Times New Roman"/>
          <w:sz w:val="24"/>
          <w:szCs w:val="24"/>
        </w:rPr>
        <w:t xml:space="preserve"> the president’s</w:t>
      </w:r>
      <w:r>
        <w:rPr>
          <w:rFonts w:ascii="Times New Roman" w:hAnsi="Times New Roman" w:cs="Times New Roman"/>
          <w:sz w:val="24"/>
          <w:szCs w:val="24"/>
        </w:rPr>
        <w:t xml:space="preserve"> Private Secretary, Babcock proved to be his era’s Houdini, distracting people from his misdeeds by directing them to other rumored malfeasance in an effort to continue to work from the shadows. To top it off, Babcock was a particularly hard-headed individual, determined to make his fortune through whatever means necessary while willing to defend himself, and at times others, from those assailing them. </w:t>
      </w:r>
      <w:r>
        <w:rPr>
          <w:rFonts w:ascii="Times New Roman" w:hAnsi="Times New Roman" w:cs="Times New Roman"/>
          <w:sz w:val="24"/>
          <w:szCs w:val="24"/>
        </w:rPr>
        <w:lastRenderedPageBreak/>
        <w:t>Babcock is our prototypical pragmatic</w:t>
      </w:r>
      <w:r w:rsidR="002C3485">
        <w:rPr>
          <w:rFonts w:ascii="Times New Roman" w:hAnsi="Times New Roman" w:cs="Times New Roman"/>
          <w:sz w:val="24"/>
          <w:szCs w:val="24"/>
        </w:rPr>
        <w:t>o</w:t>
      </w:r>
      <w:r>
        <w:rPr>
          <w:rFonts w:ascii="Times New Roman" w:hAnsi="Times New Roman" w:cs="Times New Roman"/>
          <w:sz w:val="24"/>
          <w:szCs w:val="24"/>
        </w:rPr>
        <w:t>, and his establishment as such ensconces him as a critical yet overlooked figure in American history</w:t>
      </w:r>
    </w:p>
    <w:p w14:paraId="294EAA2E" w14:textId="77777777" w:rsidR="00DF7ED7" w:rsidRDefault="00EB755A" w:rsidP="00DF7ED7">
      <w:pPr>
        <w:spacing w:line="480" w:lineRule="auto"/>
        <w:jc w:val="center"/>
        <w:rPr>
          <w:rFonts w:ascii="Times New Roman" w:hAnsi="Times New Roman" w:cs="Times New Roman"/>
          <w:sz w:val="24"/>
          <w:szCs w:val="24"/>
        </w:rPr>
      </w:pPr>
      <w:r>
        <w:rPr>
          <w:rFonts w:ascii="Times New Roman" w:hAnsi="Times New Roman" w:cs="Times New Roman"/>
          <w:sz w:val="24"/>
          <w:szCs w:val="24"/>
        </w:rPr>
        <w:t>Chapter Breakdown</w:t>
      </w:r>
    </w:p>
    <w:p w14:paraId="7C0F5A06" w14:textId="0DA26022" w:rsidR="00EB755A" w:rsidRDefault="00EB755A" w:rsidP="00DF7ED7">
      <w:pPr>
        <w:spacing w:line="480" w:lineRule="auto"/>
        <w:ind w:firstLine="720"/>
        <w:rPr>
          <w:rFonts w:ascii="Times New Roman" w:hAnsi="Times New Roman" w:cs="Times New Roman"/>
          <w:sz w:val="24"/>
          <w:szCs w:val="24"/>
        </w:rPr>
      </w:pPr>
      <w:r w:rsidRPr="001E7D58">
        <w:rPr>
          <w:rFonts w:ascii="Times New Roman" w:hAnsi="Times New Roman" w:cs="Times New Roman"/>
          <w:sz w:val="24"/>
          <w:szCs w:val="24"/>
        </w:rPr>
        <w:t xml:space="preserve">In order to appropriately </w:t>
      </w:r>
      <w:r w:rsidR="00144E32">
        <w:rPr>
          <w:rFonts w:ascii="Times New Roman" w:hAnsi="Times New Roman" w:cs="Times New Roman"/>
          <w:sz w:val="24"/>
          <w:szCs w:val="24"/>
        </w:rPr>
        <w:t>c</w:t>
      </w:r>
      <w:r w:rsidR="004A09C9">
        <w:rPr>
          <w:rFonts w:ascii="Times New Roman" w:hAnsi="Times New Roman" w:cs="Times New Roman"/>
          <w:sz w:val="24"/>
          <w:szCs w:val="24"/>
        </w:rPr>
        <w:t>raf</w:t>
      </w:r>
      <w:r w:rsidR="00144E32">
        <w:rPr>
          <w:rFonts w:ascii="Times New Roman" w:hAnsi="Times New Roman" w:cs="Times New Roman"/>
          <w:sz w:val="24"/>
          <w:szCs w:val="24"/>
        </w:rPr>
        <w:t>t</w:t>
      </w:r>
      <w:r w:rsidRPr="001E7D58">
        <w:rPr>
          <w:rFonts w:ascii="Times New Roman" w:hAnsi="Times New Roman" w:cs="Times New Roman"/>
          <w:sz w:val="24"/>
          <w:szCs w:val="24"/>
        </w:rPr>
        <w:t xml:space="preserve"> this complicated project, my </w:t>
      </w:r>
      <w:r w:rsidR="00D97321">
        <w:rPr>
          <w:rFonts w:ascii="Times New Roman" w:hAnsi="Times New Roman" w:cs="Times New Roman"/>
          <w:sz w:val="24"/>
          <w:szCs w:val="24"/>
        </w:rPr>
        <w:t>dissertation</w:t>
      </w:r>
      <w:r w:rsidRPr="001E7D58">
        <w:rPr>
          <w:rFonts w:ascii="Times New Roman" w:hAnsi="Times New Roman" w:cs="Times New Roman"/>
          <w:sz w:val="24"/>
          <w:szCs w:val="24"/>
        </w:rPr>
        <w:t xml:space="preserve"> </w:t>
      </w:r>
      <w:r>
        <w:rPr>
          <w:rFonts w:ascii="Times New Roman" w:hAnsi="Times New Roman" w:cs="Times New Roman"/>
          <w:sz w:val="24"/>
          <w:szCs w:val="24"/>
        </w:rPr>
        <w:t>is</w:t>
      </w:r>
      <w:r w:rsidRPr="001E7D58">
        <w:rPr>
          <w:rFonts w:ascii="Times New Roman" w:hAnsi="Times New Roman" w:cs="Times New Roman"/>
          <w:sz w:val="24"/>
          <w:szCs w:val="24"/>
        </w:rPr>
        <w:t xml:space="preserve"> broken into five chapters </w:t>
      </w:r>
      <w:r w:rsidR="00144E32">
        <w:rPr>
          <w:rFonts w:ascii="Times New Roman" w:hAnsi="Times New Roman" w:cs="Times New Roman"/>
          <w:sz w:val="24"/>
          <w:szCs w:val="24"/>
        </w:rPr>
        <w:t>plus</w:t>
      </w:r>
      <w:r w:rsidRPr="001E7D58">
        <w:rPr>
          <w:rFonts w:ascii="Times New Roman" w:hAnsi="Times New Roman" w:cs="Times New Roman"/>
          <w:sz w:val="24"/>
          <w:szCs w:val="24"/>
        </w:rPr>
        <w:t xml:space="preserve"> a conclusion.  </w:t>
      </w:r>
      <w:r>
        <w:rPr>
          <w:rFonts w:ascii="Times New Roman" w:hAnsi="Times New Roman" w:cs="Times New Roman"/>
          <w:sz w:val="24"/>
          <w:szCs w:val="24"/>
        </w:rPr>
        <w:t>The first chapter</w:t>
      </w:r>
      <w:r w:rsidR="00E83850">
        <w:rPr>
          <w:rFonts w:ascii="Times New Roman" w:hAnsi="Times New Roman" w:cs="Times New Roman"/>
          <w:sz w:val="24"/>
          <w:szCs w:val="24"/>
        </w:rPr>
        <w:t xml:space="preserve"> </w:t>
      </w:r>
      <w:r>
        <w:rPr>
          <w:rFonts w:ascii="Times New Roman" w:hAnsi="Times New Roman" w:cs="Times New Roman"/>
          <w:sz w:val="24"/>
          <w:szCs w:val="24"/>
        </w:rPr>
        <w:t xml:space="preserve">sets the stage for the main narrative.  Herein I explore the biographical backstory of Babcock’s early life.  Babcock’s time at West Point led him to a charmed military career, where he served most notably as General Grant’s </w:t>
      </w:r>
      <w:r>
        <w:rPr>
          <w:rFonts w:ascii="Times New Roman" w:hAnsi="Times New Roman" w:cs="Times New Roman"/>
          <w:i/>
          <w:iCs/>
          <w:sz w:val="24"/>
          <w:szCs w:val="24"/>
        </w:rPr>
        <w:t>aide-de-camp</w:t>
      </w:r>
      <w:r>
        <w:rPr>
          <w:rFonts w:ascii="Times New Roman" w:hAnsi="Times New Roman" w:cs="Times New Roman"/>
          <w:sz w:val="24"/>
          <w:szCs w:val="24"/>
        </w:rPr>
        <w:t xml:space="preserve"> during the Civil War.</w:t>
      </w:r>
      <w:r>
        <w:rPr>
          <w:rStyle w:val="FootnoteReference"/>
          <w:rFonts w:ascii="Times New Roman" w:hAnsi="Times New Roman" w:cs="Times New Roman"/>
          <w:sz w:val="24"/>
          <w:szCs w:val="24"/>
        </w:rPr>
        <w:footnoteReference w:id="90"/>
      </w:r>
      <w:r>
        <w:rPr>
          <w:rFonts w:ascii="Times New Roman" w:hAnsi="Times New Roman" w:cs="Times New Roman"/>
          <w:sz w:val="24"/>
          <w:szCs w:val="24"/>
        </w:rPr>
        <w:t xml:space="preserve">  Yet this chapter is not strictly a biography of Orville Babcock. I also analyze the expansion of governmental powers that occurred during and </w:t>
      </w:r>
      <w:r w:rsidR="00144786">
        <w:rPr>
          <w:rFonts w:ascii="Times New Roman" w:hAnsi="Times New Roman" w:cs="Times New Roman"/>
          <w:sz w:val="24"/>
          <w:szCs w:val="24"/>
        </w:rPr>
        <w:t>immediately following</w:t>
      </w:r>
      <w:r>
        <w:rPr>
          <w:rFonts w:ascii="Times New Roman" w:hAnsi="Times New Roman" w:cs="Times New Roman"/>
          <w:sz w:val="24"/>
          <w:szCs w:val="24"/>
        </w:rPr>
        <w:t xml:space="preserve"> the Civil War.  This expansion, I argue, led to a massive vacuum in the political system that was soon filled by ambitious individuals who sought to make name</w:t>
      </w:r>
      <w:r w:rsidR="00BD630A">
        <w:rPr>
          <w:rFonts w:ascii="Times New Roman" w:hAnsi="Times New Roman" w:cs="Times New Roman"/>
          <w:sz w:val="24"/>
          <w:szCs w:val="24"/>
        </w:rPr>
        <w:t>s</w:t>
      </w:r>
      <w:r>
        <w:rPr>
          <w:rFonts w:ascii="Times New Roman" w:hAnsi="Times New Roman" w:cs="Times New Roman"/>
          <w:sz w:val="24"/>
          <w:szCs w:val="24"/>
        </w:rPr>
        <w:t xml:space="preserve"> for themselves by exploiting loopholes in the system, typically through nefarious means.</w:t>
      </w:r>
      <w:r>
        <w:rPr>
          <w:rStyle w:val="FootnoteReference"/>
          <w:rFonts w:ascii="Times New Roman" w:hAnsi="Times New Roman" w:cs="Times New Roman"/>
          <w:sz w:val="24"/>
          <w:szCs w:val="24"/>
        </w:rPr>
        <w:footnoteReference w:id="91"/>
      </w:r>
      <w:r>
        <w:rPr>
          <w:rFonts w:ascii="Times New Roman" w:hAnsi="Times New Roman" w:cs="Times New Roman"/>
          <w:sz w:val="24"/>
          <w:szCs w:val="24"/>
        </w:rPr>
        <w:t xml:space="preserve">  By pairing these two topics together, I show how Babcock found himself in such a position to exploit the extant circumstances.</w:t>
      </w:r>
    </w:p>
    <w:p w14:paraId="73FD9263" w14:textId="4D285A6E"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Chapter Two covers Babcock’s foray into national and international politics.  Babcock’s wagon was directly </w:t>
      </w:r>
      <w:r w:rsidR="008F32FE">
        <w:rPr>
          <w:rFonts w:ascii="Times New Roman" w:hAnsi="Times New Roman" w:cs="Times New Roman"/>
          <w:sz w:val="24"/>
          <w:szCs w:val="24"/>
        </w:rPr>
        <w:t>hitche</w:t>
      </w:r>
      <w:r>
        <w:rPr>
          <w:rFonts w:ascii="Times New Roman" w:hAnsi="Times New Roman" w:cs="Times New Roman"/>
          <w:sz w:val="24"/>
          <w:szCs w:val="24"/>
        </w:rPr>
        <w:t>d to Grant’s five-star rise to prominence in Washington as a result of Grant’s deep, albeit flawed, trust in his former Civil War subordinate.  Upon Grant’s election to the presidency in 1868, Babcock was named his Private Secretary</w:t>
      </w:r>
      <w:r w:rsidR="00F35F4B">
        <w:rPr>
          <w:rFonts w:ascii="Times New Roman" w:hAnsi="Times New Roman" w:cs="Times New Roman"/>
          <w:sz w:val="24"/>
          <w:szCs w:val="24"/>
        </w:rPr>
        <w:t>,</w:t>
      </w:r>
      <w:r>
        <w:rPr>
          <w:rFonts w:ascii="Times New Roman" w:hAnsi="Times New Roman" w:cs="Times New Roman"/>
          <w:sz w:val="24"/>
          <w:szCs w:val="24"/>
        </w:rPr>
        <w:t xml:space="preserve"> at which time he began to engage in more political activity at the behest of the president.</w:t>
      </w:r>
      <w:r>
        <w:rPr>
          <w:rStyle w:val="FootnoteReference"/>
          <w:rFonts w:ascii="Times New Roman" w:hAnsi="Times New Roman" w:cs="Times New Roman"/>
          <w:sz w:val="24"/>
          <w:szCs w:val="24"/>
        </w:rPr>
        <w:footnoteReference w:id="92"/>
      </w:r>
      <w:r>
        <w:rPr>
          <w:rFonts w:ascii="Times New Roman" w:hAnsi="Times New Roman" w:cs="Times New Roman"/>
          <w:sz w:val="24"/>
          <w:szCs w:val="24"/>
        </w:rPr>
        <w:t xml:space="preserve">  In this post, Babcock became </w:t>
      </w:r>
      <w:r>
        <w:rPr>
          <w:rFonts w:ascii="Times New Roman" w:hAnsi="Times New Roman" w:cs="Times New Roman"/>
          <w:sz w:val="24"/>
          <w:szCs w:val="24"/>
        </w:rPr>
        <w:lastRenderedPageBreak/>
        <w:t>embroiled in a “scandal” of international proportions because of his involvement in the attempted annexation of Santo Domingo in 1869-1870.  This episode shows an early example of the type of issues that Grant was forced to face as a result of the pragmatic measures that Babcock undertook in order to accomplish his assigned tasks while simultaneously attempting to secure his own fortune.</w:t>
      </w:r>
    </w:p>
    <w:p w14:paraId="46915483" w14:textId="32C6606E"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Chapter Three investigates a shift in Babcock’s role as he became even more hands-on in federal and local politics</w:t>
      </w:r>
      <w:r w:rsidR="00F64B9A">
        <w:rPr>
          <w:rFonts w:ascii="Times New Roman" w:hAnsi="Times New Roman" w:cs="Times New Roman"/>
          <w:sz w:val="24"/>
          <w:szCs w:val="24"/>
        </w:rPr>
        <w:t xml:space="preserve"> in the capital</w:t>
      </w:r>
      <w:r>
        <w:rPr>
          <w:rFonts w:ascii="Times New Roman" w:hAnsi="Times New Roman" w:cs="Times New Roman"/>
          <w:sz w:val="24"/>
          <w:szCs w:val="24"/>
        </w:rPr>
        <w:t xml:space="preserve">.  In addition to his role as Grant’s Private Secretary, in 1871 Babcock was appointed the </w:t>
      </w:r>
      <w:bookmarkStart w:id="12" w:name="_Hlk108784298"/>
      <w:r>
        <w:rPr>
          <w:rFonts w:ascii="Times New Roman" w:hAnsi="Times New Roman" w:cs="Times New Roman"/>
          <w:sz w:val="24"/>
          <w:szCs w:val="24"/>
        </w:rPr>
        <w:t xml:space="preserve">Superintendent of the Office of Public Buildings and Grounds of Washington, D.C. </w:t>
      </w:r>
      <w:bookmarkEnd w:id="12"/>
      <w:r>
        <w:rPr>
          <w:rFonts w:ascii="Times New Roman" w:hAnsi="Times New Roman" w:cs="Times New Roman"/>
          <w:sz w:val="24"/>
          <w:szCs w:val="24"/>
        </w:rPr>
        <w:t xml:space="preserve"> He used this position to develop and maintain relationships with prominent individuals in the nation’s capital, such as the Governor of the District of Columbia and fellow pragmatico, Alexander Robey Shepherd.  The connections that Babcock made during this period enabled him to become enraptured in the seedy political underworld that developed both in the nation’s capital and across the Union.  Because of these connections, Babcock was reportedly involved in multiple scandals, including the Gold Corner (1869) and the New York Customs House Ring (1872).  This chapter reveals how pragmaticos like Babcock were able to remain in positions of power during the Reconstruction Era despite their scandalous reputations: by successfully and efficiently accomplishing the tasks set out for them by their political patrons for the betterment of their constituents. </w:t>
      </w:r>
    </w:p>
    <w:p w14:paraId="5063FF0E" w14:textId="3C483080" w:rsidR="00EB755A" w:rsidRDefault="00EB755A" w:rsidP="00EB755A">
      <w:pPr>
        <w:spacing w:line="480" w:lineRule="auto"/>
        <w:rPr>
          <w:rFonts w:ascii="Times New Roman" w:hAnsi="Times New Roman" w:cs="Times New Roman"/>
          <w:sz w:val="24"/>
          <w:szCs w:val="24"/>
        </w:rPr>
      </w:pPr>
      <w:r>
        <w:rPr>
          <w:rFonts w:ascii="Times New Roman" w:hAnsi="Times New Roman" w:cs="Times New Roman"/>
          <w:sz w:val="24"/>
          <w:szCs w:val="24"/>
        </w:rPr>
        <w:tab/>
        <w:t>Chapter F</w:t>
      </w:r>
      <w:r w:rsidR="00F06201">
        <w:rPr>
          <w:rFonts w:ascii="Times New Roman" w:hAnsi="Times New Roman" w:cs="Times New Roman"/>
          <w:sz w:val="24"/>
          <w:szCs w:val="24"/>
        </w:rPr>
        <w:t>our</w:t>
      </w:r>
      <w:r>
        <w:rPr>
          <w:rFonts w:ascii="Times New Roman" w:hAnsi="Times New Roman" w:cs="Times New Roman"/>
          <w:sz w:val="24"/>
          <w:szCs w:val="24"/>
        </w:rPr>
        <w:t xml:space="preserve"> investigates </w:t>
      </w:r>
      <w:r w:rsidR="00F06201">
        <w:rPr>
          <w:rFonts w:ascii="Times New Roman" w:hAnsi="Times New Roman" w:cs="Times New Roman"/>
          <w:sz w:val="24"/>
          <w:szCs w:val="24"/>
        </w:rPr>
        <w:t>a local event that took on national flavor thanks to Babcock’s involvement and which played a key role</w:t>
      </w:r>
      <w:r>
        <w:rPr>
          <w:rFonts w:ascii="Times New Roman" w:hAnsi="Times New Roman" w:cs="Times New Roman"/>
          <w:sz w:val="24"/>
          <w:szCs w:val="24"/>
        </w:rPr>
        <w:t xml:space="preserve"> in Babcock’s removal from the Grant Administration.  Babcock was believed to have involvement with a secret “District Ring,” a Tammany Hall of </w:t>
      </w:r>
      <w:r>
        <w:rPr>
          <w:rFonts w:ascii="Times New Roman" w:hAnsi="Times New Roman" w:cs="Times New Roman"/>
          <w:sz w:val="24"/>
          <w:szCs w:val="24"/>
        </w:rPr>
        <w:lastRenderedPageBreak/>
        <w:t>sorts within the nation’s capital.</w:t>
      </w:r>
      <w:r>
        <w:rPr>
          <w:rStyle w:val="FootnoteReference"/>
          <w:rFonts w:ascii="Times New Roman" w:hAnsi="Times New Roman" w:cs="Times New Roman"/>
          <w:sz w:val="24"/>
          <w:szCs w:val="24"/>
        </w:rPr>
        <w:footnoteReference w:id="93"/>
      </w:r>
      <w:r>
        <w:rPr>
          <w:rFonts w:ascii="Times New Roman" w:hAnsi="Times New Roman" w:cs="Times New Roman"/>
          <w:sz w:val="24"/>
          <w:szCs w:val="24"/>
        </w:rPr>
        <w:t xml:space="preserve">  He allegedly used these connections to high-ranking members of the District to unsuccessfully attempt to frame a political opponent of his, unbeknownst to President Grant.</w:t>
      </w:r>
      <w:r>
        <w:rPr>
          <w:rStyle w:val="FootnoteReference"/>
          <w:rFonts w:ascii="Times New Roman" w:hAnsi="Times New Roman" w:cs="Times New Roman"/>
          <w:sz w:val="24"/>
          <w:szCs w:val="24"/>
        </w:rPr>
        <w:footnoteReference w:id="94"/>
      </w:r>
      <w:r>
        <w:rPr>
          <w:rFonts w:ascii="Times New Roman" w:hAnsi="Times New Roman" w:cs="Times New Roman"/>
          <w:sz w:val="24"/>
          <w:szCs w:val="24"/>
        </w:rPr>
        <w:t xml:space="preserve">  This attempt led to the downfall of several prominent local individuals and yet another stain on Babcock’s name, and Grant’s by association. </w:t>
      </w:r>
      <w:r w:rsidR="00F06201">
        <w:rPr>
          <w:rFonts w:ascii="Times New Roman" w:hAnsi="Times New Roman" w:cs="Times New Roman"/>
          <w:sz w:val="24"/>
          <w:szCs w:val="24"/>
        </w:rPr>
        <w:t xml:space="preserve">Babcock’s involvement in the planning and coverup of this event brought the ire of Grant’s opponents, as they capitalized on </w:t>
      </w:r>
      <w:r w:rsidR="00486C03">
        <w:rPr>
          <w:rFonts w:ascii="Times New Roman" w:hAnsi="Times New Roman" w:cs="Times New Roman"/>
          <w:sz w:val="24"/>
          <w:szCs w:val="24"/>
        </w:rPr>
        <w:t>his association with significant political figures to bring negative attention to their foes.</w:t>
      </w:r>
      <w:r>
        <w:rPr>
          <w:rFonts w:ascii="Times New Roman" w:hAnsi="Times New Roman" w:cs="Times New Roman"/>
          <w:sz w:val="24"/>
          <w:szCs w:val="24"/>
        </w:rPr>
        <w:t xml:space="preserve"> </w:t>
      </w:r>
    </w:p>
    <w:p w14:paraId="215C7153" w14:textId="4584B89F" w:rsidR="00486C03" w:rsidRDefault="00F06201" w:rsidP="00486C0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Five addresses Babcock’s role in the Whiskey Ring, one of the most notable scandals of Reconstruction and the event most historians likely associate with Babcock.  This chapter </w:t>
      </w:r>
      <w:r w:rsidR="00E804D3">
        <w:rPr>
          <w:rFonts w:ascii="Times New Roman" w:hAnsi="Times New Roman" w:cs="Times New Roman"/>
          <w:sz w:val="24"/>
          <w:szCs w:val="24"/>
        </w:rPr>
        <w:t>present</w:t>
      </w:r>
      <w:r>
        <w:rPr>
          <w:rFonts w:ascii="Times New Roman" w:hAnsi="Times New Roman" w:cs="Times New Roman"/>
          <w:sz w:val="24"/>
          <w:szCs w:val="24"/>
        </w:rPr>
        <w:t xml:space="preserve">s this event so that both the common reader and the experienced scholar feel enlightened about the matter at hand.  From the investigations conducted by the Treasury Department that were kept secret from the White House for fear of a mole, to the raids carried out simultaneously to arrest as many conspirators as possible, to the subsequent trials and congressional hearings that implicated General Babcock as a leading conspirator, each facet receives </w:t>
      </w:r>
      <w:r w:rsidR="0019530A">
        <w:rPr>
          <w:rFonts w:ascii="Times New Roman" w:hAnsi="Times New Roman" w:cs="Times New Roman"/>
          <w:sz w:val="24"/>
          <w:szCs w:val="24"/>
        </w:rPr>
        <w:t>ample</w:t>
      </w:r>
      <w:r>
        <w:rPr>
          <w:rFonts w:ascii="Times New Roman" w:hAnsi="Times New Roman" w:cs="Times New Roman"/>
          <w:sz w:val="24"/>
          <w:szCs w:val="24"/>
        </w:rPr>
        <w:t xml:space="preserve"> coverage.</w:t>
      </w:r>
      <w:r>
        <w:rPr>
          <w:rStyle w:val="FootnoteReference"/>
          <w:rFonts w:ascii="Times New Roman" w:hAnsi="Times New Roman" w:cs="Times New Roman"/>
          <w:sz w:val="24"/>
          <w:szCs w:val="24"/>
        </w:rPr>
        <w:footnoteReference w:id="95"/>
      </w:r>
      <w:r>
        <w:rPr>
          <w:rFonts w:ascii="Times New Roman" w:hAnsi="Times New Roman" w:cs="Times New Roman"/>
          <w:sz w:val="24"/>
          <w:szCs w:val="24"/>
        </w:rPr>
        <w:t xml:space="preserve">  I attempt to balance the official testimonies and governmental records available with accounts from those accused and from media coverage of the events in question.  </w:t>
      </w:r>
      <w:r w:rsidR="009E3857">
        <w:rPr>
          <w:rFonts w:ascii="Times New Roman" w:hAnsi="Times New Roman" w:cs="Times New Roman"/>
          <w:sz w:val="24"/>
          <w:szCs w:val="24"/>
        </w:rPr>
        <w:t>T</w:t>
      </w:r>
      <w:r>
        <w:rPr>
          <w:rFonts w:ascii="Times New Roman" w:hAnsi="Times New Roman" w:cs="Times New Roman"/>
          <w:sz w:val="24"/>
          <w:szCs w:val="24"/>
        </w:rPr>
        <w:t xml:space="preserve">his moment shows where rumor of political nefariousness proves to be reality, as well as the impact of that unveiling on the parties involved, those associated with them, and the </w:t>
      </w:r>
      <w:r>
        <w:rPr>
          <w:rFonts w:ascii="Times New Roman" w:hAnsi="Times New Roman" w:cs="Times New Roman"/>
          <w:sz w:val="24"/>
          <w:szCs w:val="24"/>
        </w:rPr>
        <w:lastRenderedPageBreak/>
        <w:t>public at large.</w:t>
      </w:r>
      <w:r w:rsidR="00EB755A">
        <w:rPr>
          <w:rFonts w:ascii="Times New Roman" w:hAnsi="Times New Roman" w:cs="Times New Roman"/>
          <w:sz w:val="24"/>
          <w:szCs w:val="24"/>
        </w:rPr>
        <w:tab/>
      </w:r>
      <w:r w:rsidR="00486C03">
        <w:rPr>
          <w:rFonts w:ascii="Times New Roman" w:hAnsi="Times New Roman" w:cs="Times New Roman"/>
          <w:sz w:val="24"/>
          <w:szCs w:val="24"/>
        </w:rPr>
        <w:t xml:space="preserve"> </w:t>
      </w:r>
      <w:r w:rsidR="009E3857">
        <w:rPr>
          <w:rFonts w:ascii="Times New Roman" w:hAnsi="Times New Roman" w:cs="Times New Roman"/>
          <w:sz w:val="24"/>
          <w:szCs w:val="24"/>
        </w:rPr>
        <w:t>E</w:t>
      </w:r>
      <w:r w:rsidR="00486C03">
        <w:rPr>
          <w:rFonts w:ascii="Times New Roman" w:hAnsi="Times New Roman" w:cs="Times New Roman"/>
          <w:sz w:val="24"/>
          <w:szCs w:val="24"/>
        </w:rPr>
        <w:t>ven with the number of marks against Babcock, President Grant chose not to outright fire his friend, but to reassign him</w:t>
      </w:r>
      <w:r w:rsidR="00F7788C">
        <w:rPr>
          <w:rFonts w:ascii="Times New Roman" w:hAnsi="Times New Roman" w:cs="Times New Roman"/>
          <w:sz w:val="24"/>
          <w:szCs w:val="24"/>
        </w:rPr>
        <w:t xml:space="preserve"> from the White House</w:t>
      </w:r>
      <w:r w:rsidR="00486C03">
        <w:rPr>
          <w:rFonts w:ascii="Times New Roman" w:hAnsi="Times New Roman" w:cs="Times New Roman"/>
          <w:sz w:val="24"/>
          <w:szCs w:val="24"/>
        </w:rPr>
        <w:t xml:space="preserve"> to the position of Federal Inspector of Lighthouses in Florida.</w:t>
      </w:r>
      <w:r w:rsidR="00486C03">
        <w:rPr>
          <w:rStyle w:val="FootnoteReference"/>
          <w:rFonts w:ascii="Times New Roman" w:hAnsi="Times New Roman" w:cs="Times New Roman"/>
          <w:sz w:val="24"/>
          <w:szCs w:val="24"/>
        </w:rPr>
        <w:footnoteReference w:id="96"/>
      </w:r>
      <w:r w:rsidR="00486C03">
        <w:rPr>
          <w:rFonts w:ascii="Times New Roman" w:hAnsi="Times New Roman" w:cs="Times New Roman"/>
          <w:sz w:val="24"/>
          <w:szCs w:val="24"/>
        </w:rPr>
        <w:t xml:space="preserve">  I show that Babcock’s actions finally became indefensible even by President Grant, though not so much that he would abandon his friend outright.  This perhaps leaves questions about Grant’s own dilemma between the political and the personal, though similar questions have already been considered in narratives centered on </w:t>
      </w:r>
      <w:r w:rsidR="003F5DD0">
        <w:rPr>
          <w:rFonts w:ascii="Times New Roman" w:hAnsi="Times New Roman" w:cs="Times New Roman"/>
          <w:sz w:val="24"/>
          <w:szCs w:val="24"/>
        </w:rPr>
        <w:t>Grant</w:t>
      </w:r>
      <w:r w:rsidR="00486C03">
        <w:rPr>
          <w:rFonts w:ascii="Times New Roman" w:hAnsi="Times New Roman" w:cs="Times New Roman"/>
          <w:sz w:val="24"/>
          <w:szCs w:val="24"/>
        </w:rPr>
        <w:t xml:space="preserve"> himself.</w:t>
      </w:r>
      <w:r w:rsidR="00486C03">
        <w:rPr>
          <w:rStyle w:val="FootnoteReference"/>
          <w:rFonts w:ascii="Times New Roman" w:hAnsi="Times New Roman" w:cs="Times New Roman"/>
          <w:sz w:val="24"/>
          <w:szCs w:val="24"/>
        </w:rPr>
        <w:footnoteReference w:id="97"/>
      </w:r>
    </w:p>
    <w:p w14:paraId="793F9CA5" w14:textId="74A1EFA1" w:rsidR="004537C6" w:rsidRDefault="00EB755A" w:rsidP="00486C0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conclusion of my dissertation addresses the question of legacy in several capacities.  Babcock’s legacy in service to his nation is at the fore, as I cover his final career change as Inspector of Lighthouses. From this position, it is believed that Babcock continued to serve the nation while possibly continuing his dastardly ways until his untimely death in 1884 when his hubris finally caught up with him, resulting in his drowning death near the Mosquito Inlet Lighthouse.</w:t>
      </w:r>
      <w:r>
        <w:rPr>
          <w:rStyle w:val="FootnoteReference"/>
          <w:rFonts w:ascii="Times New Roman" w:hAnsi="Times New Roman" w:cs="Times New Roman"/>
          <w:sz w:val="24"/>
          <w:szCs w:val="24"/>
        </w:rPr>
        <w:footnoteReference w:id="98"/>
      </w:r>
      <w:r>
        <w:rPr>
          <w:rFonts w:ascii="Times New Roman" w:hAnsi="Times New Roman" w:cs="Times New Roman"/>
          <w:sz w:val="24"/>
          <w:szCs w:val="24"/>
        </w:rPr>
        <w:t xml:space="preserve">  Here I address Babcock’s complicated legacy as a man who was involved in scandalous, and at times illegal, behavior, but who still used his position of power to benefit others in addition to himself. I also look at his</w:t>
      </w:r>
      <w:r w:rsidR="008A1F92">
        <w:rPr>
          <w:rFonts w:ascii="Times New Roman" w:hAnsi="Times New Roman" w:cs="Times New Roman"/>
          <w:sz w:val="24"/>
          <w:szCs w:val="24"/>
        </w:rPr>
        <w:t xml:space="preserve"> detrimental</w:t>
      </w:r>
      <w:r>
        <w:rPr>
          <w:rFonts w:ascii="Times New Roman" w:hAnsi="Times New Roman" w:cs="Times New Roman"/>
          <w:sz w:val="24"/>
          <w:szCs w:val="24"/>
        </w:rPr>
        <w:t xml:space="preserve"> impact on others, particularly as his involvement in various capacities in the nation’s capital did lasting damage to President Grant, the Republican Party, and the Reconstruction Era’s political landscape writ large.  I address the tarnished legacy of President Grant, which has only recently been revisited by scholars.  I reiterate the importance of understanding Babcock and his influence as a central player in the narrative of Reconstruction Era politics.  Finally, while I address it throughout my overarching narrative, I definitively state the impact of Orville Babcock and his fellow pragmaticos as a </w:t>
      </w:r>
      <w:r>
        <w:rPr>
          <w:rFonts w:ascii="Times New Roman" w:hAnsi="Times New Roman" w:cs="Times New Roman"/>
          <w:sz w:val="24"/>
          <w:szCs w:val="24"/>
        </w:rPr>
        <w:lastRenderedPageBreak/>
        <w:t xml:space="preserve">burgeoning type of political operative in the United States, though their actions were </w:t>
      </w:r>
      <w:r w:rsidR="00D82BB4">
        <w:rPr>
          <w:rFonts w:ascii="Times New Roman" w:hAnsi="Times New Roman" w:cs="Times New Roman"/>
          <w:sz w:val="24"/>
          <w:szCs w:val="24"/>
        </w:rPr>
        <w:t>imped</w:t>
      </w:r>
      <w:r>
        <w:rPr>
          <w:rFonts w:ascii="Times New Roman" w:hAnsi="Times New Roman" w:cs="Times New Roman"/>
          <w:sz w:val="24"/>
          <w:szCs w:val="24"/>
        </w:rPr>
        <w:t>ed by legislation such as the Pendleton Act and many of their ilk were forced once again to adapt or lose their influence.</w:t>
      </w:r>
      <w:r w:rsidR="004537C6">
        <w:rPr>
          <w:rFonts w:ascii="Times New Roman" w:hAnsi="Times New Roman" w:cs="Times New Roman"/>
          <w:sz w:val="24"/>
          <w:szCs w:val="24"/>
        </w:rPr>
        <w:t xml:space="preserve"> These laws greatly reshaped the political process in the United States, and in their aftermath, it became more difficult, though not impossible, for pragmatico behavior to occur by closing the loopholes left open during the Civil War.</w:t>
      </w:r>
      <w:r w:rsidR="00F667D9">
        <w:rPr>
          <w:rFonts w:ascii="Times New Roman" w:hAnsi="Times New Roman" w:cs="Times New Roman"/>
          <w:sz w:val="24"/>
          <w:szCs w:val="24"/>
        </w:rPr>
        <w:t xml:space="preserve"> </w:t>
      </w:r>
      <w:r w:rsidR="0061690F">
        <w:rPr>
          <w:rFonts w:ascii="Times New Roman" w:hAnsi="Times New Roman" w:cs="Times New Roman"/>
          <w:sz w:val="24"/>
          <w:szCs w:val="24"/>
        </w:rPr>
        <w:t>By understanding Babcock’s example as a pragmatico, we can better understand why such legislation was considered necessary.</w:t>
      </w:r>
    </w:p>
    <w:p w14:paraId="09B10C45" w14:textId="77777777" w:rsidR="00E16AB2" w:rsidRDefault="00E16AB2" w:rsidP="00486C03">
      <w:pPr>
        <w:spacing w:line="480" w:lineRule="auto"/>
        <w:ind w:firstLine="720"/>
        <w:rPr>
          <w:rFonts w:ascii="Times New Roman" w:hAnsi="Times New Roman" w:cs="Times New Roman"/>
          <w:sz w:val="24"/>
          <w:szCs w:val="24"/>
        </w:rPr>
      </w:pPr>
    </w:p>
    <w:p w14:paraId="7C35D544" w14:textId="77777777" w:rsidR="00E16AB2" w:rsidRDefault="00E16AB2" w:rsidP="00486C03">
      <w:pPr>
        <w:spacing w:line="480" w:lineRule="auto"/>
        <w:ind w:firstLine="720"/>
        <w:rPr>
          <w:rFonts w:ascii="Times New Roman" w:hAnsi="Times New Roman" w:cs="Times New Roman"/>
          <w:sz w:val="24"/>
          <w:szCs w:val="24"/>
        </w:rPr>
      </w:pPr>
    </w:p>
    <w:p w14:paraId="4BA4779E" w14:textId="77777777" w:rsidR="00E16AB2" w:rsidRDefault="00E16AB2" w:rsidP="00486C03">
      <w:pPr>
        <w:spacing w:line="480" w:lineRule="auto"/>
        <w:ind w:firstLine="720"/>
        <w:rPr>
          <w:rFonts w:ascii="Times New Roman" w:hAnsi="Times New Roman" w:cs="Times New Roman"/>
          <w:sz w:val="24"/>
          <w:szCs w:val="24"/>
        </w:rPr>
      </w:pPr>
    </w:p>
    <w:p w14:paraId="12ED4B9A" w14:textId="77777777" w:rsidR="00E16AB2" w:rsidRDefault="00E16AB2" w:rsidP="00486C03">
      <w:pPr>
        <w:spacing w:line="480" w:lineRule="auto"/>
        <w:ind w:firstLine="720"/>
        <w:rPr>
          <w:rFonts w:ascii="Times New Roman" w:hAnsi="Times New Roman" w:cs="Times New Roman"/>
          <w:sz w:val="24"/>
          <w:szCs w:val="24"/>
        </w:rPr>
      </w:pPr>
    </w:p>
    <w:p w14:paraId="3693E0BC" w14:textId="77777777" w:rsidR="00DF7ED7" w:rsidRDefault="00DF7ED7" w:rsidP="00E92A89">
      <w:pPr>
        <w:spacing w:line="480" w:lineRule="auto"/>
        <w:rPr>
          <w:rFonts w:ascii="Times New Roman" w:hAnsi="Times New Roman" w:cs="Times New Roman"/>
          <w:sz w:val="24"/>
          <w:szCs w:val="24"/>
        </w:rPr>
      </w:pPr>
    </w:p>
    <w:p w14:paraId="335E60A9" w14:textId="77777777" w:rsidR="00DF7ED7" w:rsidRDefault="00DF7ED7" w:rsidP="00E92A89">
      <w:pPr>
        <w:spacing w:line="480" w:lineRule="auto"/>
        <w:rPr>
          <w:rFonts w:ascii="Times New Roman" w:hAnsi="Times New Roman" w:cs="Times New Roman"/>
          <w:sz w:val="24"/>
          <w:szCs w:val="24"/>
        </w:rPr>
      </w:pPr>
    </w:p>
    <w:p w14:paraId="45E915EF" w14:textId="77777777" w:rsidR="009931C4" w:rsidRDefault="009931C4" w:rsidP="00E92A89">
      <w:pPr>
        <w:spacing w:line="480" w:lineRule="auto"/>
        <w:rPr>
          <w:rFonts w:ascii="Times New Roman" w:hAnsi="Times New Roman" w:cs="Times New Roman"/>
          <w:sz w:val="24"/>
          <w:szCs w:val="24"/>
        </w:rPr>
      </w:pPr>
    </w:p>
    <w:p w14:paraId="47F63994" w14:textId="77777777" w:rsidR="009931C4" w:rsidRDefault="009931C4" w:rsidP="00E92A89">
      <w:pPr>
        <w:spacing w:line="480" w:lineRule="auto"/>
        <w:rPr>
          <w:rFonts w:ascii="Times New Roman" w:hAnsi="Times New Roman" w:cs="Times New Roman"/>
          <w:sz w:val="24"/>
          <w:szCs w:val="24"/>
        </w:rPr>
      </w:pPr>
    </w:p>
    <w:p w14:paraId="79385903" w14:textId="77777777" w:rsidR="009931C4" w:rsidRDefault="009931C4" w:rsidP="00E92A89">
      <w:pPr>
        <w:spacing w:line="480" w:lineRule="auto"/>
        <w:rPr>
          <w:rFonts w:ascii="Times New Roman" w:hAnsi="Times New Roman" w:cs="Times New Roman"/>
          <w:sz w:val="24"/>
          <w:szCs w:val="24"/>
        </w:rPr>
      </w:pPr>
    </w:p>
    <w:p w14:paraId="1B1F8115" w14:textId="77777777" w:rsidR="009931C4" w:rsidRDefault="009931C4" w:rsidP="00E92A89">
      <w:pPr>
        <w:spacing w:line="480" w:lineRule="auto"/>
        <w:rPr>
          <w:rFonts w:ascii="Times New Roman" w:hAnsi="Times New Roman" w:cs="Times New Roman"/>
          <w:sz w:val="24"/>
          <w:szCs w:val="24"/>
        </w:rPr>
      </w:pPr>
    </w:p>
    <w:p w14:paraId="796A221A" w14:textId="77777777" w:rsidR="00DF7ED7" w:rsidRDefault="00DF7ED7" w:rsidP="00E92A89">
      <w:pPr>
        <w:spacing w:line="480" w:lineRule="auto"/>
        <w:rPr>
          <w:rFonts w:ascii="Times New Roman" w:hAnsi="Times New Roman" w:cs="Times New Roman"/>
          <w:sz w:val="24"/>
          <w:szCs w:val="24"/>
        </w:rPr>
      </w:pPr>
    </w:p>
    <w:p w14:paraId="1A29CE25" w14:textId="77777777" w:rsidR="009931C4" w:rsidRDefault="009931C4" w:rsidP="00E92A89">
      <w:pPr>
        <w:spacing w:line="480" w:lineRule="auto"/>
        <w:rPr>
          <w:rFonts w:ascii="Times New Roman" w:hAnsi="Times New Roman" w:cs="Times New Roman"/>
          <w:sz w:val="24"/>
          <w:szCs w:val="24"/>
        </w:rPr>
      </w:pPr>
    </w:p>
    <w:p w14:paraId="432EE78A" w14:textId="77777777" w:rsidR="009931C4" w:rsidRDefault="009931C4" w:rsidP="00E92A89">
      <w:pPr>
        <w:spacing w:line="480" w:lineRule="auto"/>
        <w:rPr>
          <w:rFonts w:ascii="Times New Roman" w:hAnsi="Times New Roman" w:cs="Times New Roman"/>
          <w:sz w:val="24"/>
          <w:szCs w:val="24"/>
        </w:rPr>
      </w:pPr>
    </w:p>
    <w:p w14:paraId="62879C40" w14:textId="77777777" w:rsidR="006A6DED" w:rsidRPr="006A6DED" w:rsidRDefault="006A6DED" w:rsidP="006A6DED">
      <w:pPr>
        <w:spacing w:line="480" w:lineRule="auto"/>
        <w:jc w:val="center"/>
        <w:rPr>
          <w:rFonts w:ascii="Times New Roman" w:hAnsi="Times New Roman" w:cs="Times New Roman"/>
          <w:sz w:val="24"/>
          <w:szCs w:val="24"/>
        </w:rPr>
      </w:pPr>
      <w:bookmarkStart w:id="13" w:name="_Hlk187327281"/>
      <w:r w:rsidRPr="006A6DED">
        <w:rPr>
          <w:rFonts w:ascii="Times New Roman" w:hAnsi="Times New Roman" w:cs="Times New Roman"/>
          <w:sz w:val="24"/>
          <w:szCs w:val="24"/>
        </w:rPr>
        <w:lastRenderedPageBreak/>
        <w:t>Chapter One: Impacts of the Civil War: Babcock Emerges and Federal Powers Expand</w:t>
      </w:r>
    </w:p>
    <w:p w14:paraId="60CBFD2D" w14:textId="77777777" w:rsidR="009931C4"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Orville Elias Babcock was born on Christmas Day, December 25</w:t>
      </w:r>
      <w:r w:rsidRPr="006A6DED">
        <w:rPr>
          <w:rFonts w:ascii="Times New Roman" w:hAnsi="Times New Roman" w:cs="Times New Roman"/>
          <w:sz w:val="24"/>
          <w:szCs w:val="24"/>
          <w:vertAlign w:val="superscript"/>
        </w:rPr>
        <w:t>th</w:t>
      </w:r>
      <w:r w:rsidRPr="006A6DED">
        <w:rPr>
          <w:rFonts w:ascii="Times New Roman" w:hAnsi="Times New Roman" w:cs="Times New Roman"/>
          <w:sz w:val="24"/>
          <w:szCs w:val="24"/>
        </w:rPr>
        <w:t>, 1835 to Clara Olmsted and Elias Babcock Jr., in Franklin, Vermont, a tiny hamlet near Lake Champlain on the border between the United States and Canada.</w:t>
      </w:r>
      <w:r w:rsidRPr="006A6DED">
        <w:rPr>
          <w:rFonts w:ascii="Times New Roman" w:hAnsi="Times New Roman" w:cs="Times New Roman"/>
          <w:sz w:val="24"/>
          <w:szCs w:val="24"/>
          <w:vertAlign w:val="superscript"/>
        </w:rPr>
        <w:footnoteReference w:id="99"/>
      </w:r>
      <w:r w:rsidRPr="006A6DED">
        <w:rPr>
          <w:rFonts w:ascii="Times New Roman" w:hAnsi="Times New Roman" w:cs="Times New Roman"/>
          <w:sz w:val="24"/>
          <w:szCs w:val="24"/>
        </w:rPr>
        <w:t xml:space="preserve"> Both the Babcock and Olmsted families traced their genealogies back to England</w:t>
      </w:r>
      <w:r w:rsidR="00533D14">
        <w:rPr>
          <w:rFonts w:ascii="Times New Roman" w:hAnsi="Times New Roman" w:cs="Times New Roman"/>
          <w:sz w:val="24"/>
          <w:szCs w:val="24"/>
        </w:rPr>
        <w:t xml:space="preserve"> (</w:t>
      </w:r>
      <w:r w:rsidR="00533D14">
        <w:rPr>
          <w:rFonts w:ascii="Times New Roman" w:hAnsi="Times New Roman" w:cs="Times New Roman"/>
          <w:b/>
          <w:bCs/>
          <w:sz w:val="24"/>
          <w:szCs w:val="24"/>
        </w:rPr>
        <w:t>Figure 1.1</w:t>
      </w:r>
      <w:r w:rsidR="00533D14">
        <w:rPr>
          <w:rFonts w:ascii="Times New Roman" w:hAnsi="Times New Roman" w:cs="Times New Roman"/>
          <w:sz w:val="24"/>
          <w:szCs w:val="24"/>
        </w:rPr>
        <w:t>)</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100"/>
      </w:r>
      <w:r w:rsidRPr="006A6DED">
        <w:rPr>
          <w:rFonts w:ascii="Times New Roman" w:hAnsi="Times New Roman" w:cs="Times New Roman"/>
          <w:sz w:val="24"/>
          <w:szCs w:val="24"/>
        </w:rPr>
        <w:t xml:space="preserve"> The Babcock family came to the New World in the 1620s through James Babcock, while the Olmsted’s arrived in the 1630s via James Olmsted.</w:t>
      </w:r>
      <w:r w:rsidRPr="006A6DED">
        <w:rPr>
          <w:rFonts w:ascii="Times New Roman" w:hAnsi="Times New Roman" w:cs="Times New Roman"/>
          <w:sz w:val="24"/>
          <w:szCs w:val="24"/>
          <w:vertAlign w:val="superscript"/>
        </w:rPr>
        <w:footnoteReference w:id="101"/>
      </w:r>
      <w:r w:rsidRPr="006A6DED">
        <w:rPr>
          <w:rFonts w:ascii="Times New Roman" w:hAnsi="Times New Roman" w:cs="Times New Roman"/>
          <w:sz w:val="24"/>
          <w:szCs w:val="24"/>
        </w:rPr>
        <w:t xml:space="preserve"> Both James Babcock and James Olmsted were Puritans escaping religious persecution from their English homeland who decided to settle in New England in an effort to live and practice their religion freely.</w:t>
      </w:r>
      <w:r w:rsidRPr="006A6DED">
        <w:rPr>
          <w:rFonts w:ascii="Times New Roman" w:hAnsi="Times New Roman" w:cs="Times New Roman"/>
          <w:sz w:val="24"/>
          <w:szCs w:val="24"/>
          <w:vertAlign w:val="superscript"/>
        </w:rPr>
        <w:footnoteReference w:id="102"/>
      </w:r>
      <w:r w:rsidRPr="006A6DED">
        <w:rPr>
          <w:rFonts w:ascii="Times New Roman" w:hAnsi="Times New Roman" w:cs="Times New Roman"/>
          <w:sz w:val="24"/>
          <w:szCs w:val="24"/>
        </w:rPr>
        <w:t xml:space="preserve"> Almost two hundred years later, their descendants, Elias and Clara, met in December 1817 in Sheldon, Vermont and fell in love. Elias was fresh out of serving in the military during the War of 1812, </w:t>
      </w:r>
      <w:r w:rsidR="005516D0">
        <w:rPr>
          <w:rFonts w:ascii="Times New Roman" w:hAnsi="Times New Roman" w:cs="Times New Roman"/>
          <w:sz w:val="24"/>
          <w:szCs w:val="24"/>
        </w:rPr>
        <w:t>seeing action in</w:t>
      </w:r>
      <w:r w:rsidRPr="006A6DED">
        <w:rPr>
          <w:rFonts w:ascii="Times New Roman" w:hAnsi="Times New Roman" w:cs="Times New Roman"/>
          <w:sz w:val="24"/>
          <w:szCs w:val="24"/>
        </w:rPr>
        <w:t xml:space="preserve"> the Battle of Plattsburg before leaving the service and settling in West Berkshire, Vermont.</w:t>
      </w:r>
      <w:r w:rsidRPr="006A6DED">
        <w:rPr>
          <w:rFonts w:ascii="Times New Roman" w:hAnsi="Times New Roman" w:cs="Times New Roman"/>
          <w:sz w:val="24"/>
          <w:szCs w:val="24"/>
          <w:vertAlign w:val="superscript"/>
        </w:rPr>
        <w:footnoteReference w:id="103"/>
      </w:r>
      <w:r w:rsidRPr="006A6DED">
        <w:rPr>
          <w:rFonts w:ascii="Times New Roman" w:hAnsi="Times New Roman" w:cs="Times New Roman"/>
          <w:sz w:val="24"/>
          <w:szCs w:val="24"/>
        </w:rPr>
        <w:t xml:space="preserve">  By the time they were wed, the two settled into as normal a life as could be found in early-1800s Vermont. Elias began his career as a farmer and manufacturer before he became a “man of affairs,” representing his district in the Vermont State Legislature for two terms while Clara remained at home to tend to their children.</w:t>
      </w:r>
      <w:r w:rsidRPr="006A6DED">
        <w:rPr>
          <w:rFonts w:ascii="Times New Roman" w:hAnsi="Times New Roman" w:cs="Times New Roman"/>
          <w:sz w:val="24"/>
          <w:szCs w:val="24"/>
          <w:vertAlign w:val="superscript"/>
        </w:rPr>
        <w:footnoteReference w:id="104"/>
      </w:r>
      <w:r w:rsidR="009931C4" w:rsidRPr="009931C4">
        <w:rPr>
          <w:rFonts w:ascii="Times New Roman" w:hAnsi="Times New Roman" w:cs="Times New Roman"/>
          <w:sz w:val="24"/>
          <w:szCs w:val="24"/>
        </w:rPr>
        <w:t xml:space="preserve"> </w:t>
      </w:r>
    </w:p>
    <w:p w14:paraId="078233CC" w14:textId="4C68853B" w:rsidR="006A6DED" w:rsidRPr="006A6DED" w:rsidRDefault="009931C4" w:rsidP="009931C4">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Orville Babcock was raised in Vermont. He was the second youngest of his parents’ ten children, though two of the siblings died in their infancies, making him the youngest of the</w:t>
      </w:r>
    </w:p>
    <w:p w14:paraId="2909C5D8" w14:textId="77777777" w:rsidR="006A6DED" w:rsidRPr="006A6DED" w:rsidRDefault="006A6DED" w:rsidP="006A6DED">
      <w:pPr>
        <w:jc w:val="center"/>
        <w:rPr>
          <w:rFonts w:ascii="Times New Roman" w:hAnsi="Times New Roman" w:cs="Times New Roman"/>
          <w:sz w:val="24"/>
          <w:szCs w:val="24"/>
        </w:rPr>
      </w:pPr>
      <w:r w:rsidRPr="006A6DED">
        <w:rPr>
          <w:rFonts w:ascii="Times New Roman" w:hAnsi="Times New Roman" w:cs="Times New Roman"/>
          <w:noProof/>
          <w:sz w:val="24"/>
          <w:szCs w:val="24"/>
        </w:rPr>
        <w:lastRenderedPageBreak/>
        <w:drawing>
          <wp:inline distT="0" distB="0" distL="0" distR="0" wp14:anchorId="7D9B6F33" wp14:editId="095CC25A">
            <wp:extent cx="1744345" cy="2981654"/>
            <wp:effectExtent l="0" t="0" r="3810" b="0"/>
            <wp:docPr id="830766239" name="Picture 1" descr="A red and grey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66239" name="Picture 1" descr="A red and grey coat of arm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4345" cy="2981654"/>
                    </a:xfrm>
                    <a:prstGeom prst="rect">
                      <a:avLst/>
                    </a:prstGeom>
                    <a:noFill/>
                  </pic:spPr>
                </pic:pic>
              </a:graphicData>
            </a:graphic>
          </wp:inline>
        </w:drawing>
      </w:r>
      <w:r w:rsidRPr="006A6DED">
        <w:rPr>
          <w:rFonts w:ascii="Times New Roman" w:hAnsi="Times New Roman" w:cs="Times New Roman"/>
          <w:noProof/>
          <w:sz w:val="24"/>
          <w:szCs w:val="24"/>
        </w:rPr>
        <w:drawing>
          <wp:inline distT="0" distB="0" distL="0" distR="0" wp14:anchorId="341A25F4" wp14:editId="2A79451A">
            <wp:extent cx="1667856" cy="3085252"/>
            <wp:effectExtent l="0" t="0" r="8890" b="1270"/>
            <wp:docPr id="1833800312" name="Picture 2" descr="A black and white embl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00312" name="Picture 2" descr="A black and white emblem&#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t="4985" b="3400"/>
                    <a:stretch>
                      <a:fillRect/>
                    </a:stretch>
                  </pic:blipFill>
                  <pic:spPr bwMode="auto">
                    <a:xfrm>
                      <a:off x="0" y="0"/>
                      <a:ext cx="1667856" cy="3085252"/>
                    </a:xfrm>
                    <a:prstGeom prst="rect">
                      <a:avLst/>
                    </a:prstGeom>
                    <a:noFill/>
                    <a:ln>
                      <a:noFill/>
                    </a:ln>
                    <a:extLst>
                      <a:ext uri="{53640926-AAD7-44D8-BBD7-CCE9431645EC}">
                        <a14:shadowObscured xmlns:a14="http://schemas.microsoft.com/office/drawing/2010/main"/>
                      </a:ext>
                    </a:extLst>
                  </pic:spPr>
                </pic:pic>
              </a:graphicData>
            </a:graphic>
          </wp:inline>
        </w:drawing>
      </w:r>
    </w:p>
    <w:p w14:paraId="76F7B3CD" w14:textId="07128F51" w:rsidR="006A6DED" w:rsidRPr="006A6DED" w:rsidRDefault="00E1766C" w:rsidP="00AC28A8">
      <w:pPr>
        <w:rPr>
          <w:rFonts w:ascii="Times New Roman" w:hAnsi="Times New Roman" w:cs="Times New Roman"/>
          <w:sz w:val="20"/>
          <w:szCs w:val="20"/>
        </w:rPr>
      </w:pPr>
      <w:r>
        <w:rPr>
          <w:rFonts w:ascii="Times New Roman" w:hAnsi="Times New Roman" w:cs="Times New Roman"/>
          <w:b/>
          <w:bCs/>
          <w:sz w:val="20"/>
          <w:szCs w:val="20"/>
        </w:rPr>
        <w:t xml:space="preserve">Figure 1.1: </w:t>
      </w:r>
      <w:r w:rsidR="006A6DED" w:rsidRPr="006A6DED">
        <w:rPr>
          <w:rFonts w:ascii="Times New Roman" w:hAnsi="Times New Roman" w:cs="Times New Roman"/>
          <w:b/>
          <w:bCs/>
          <w:sz w:val="20"/>
          <w:szCs w:val="20"/>
        </w:rPr>
        <w:t>Heraldry</w:t>
      </w:r>
      <w:r w:rsidR="006A6DED" w:rsidRPr="006A6DED">
        <w:rPr>
          <w:rFonts w:ascii="Times New Roman" w:hAnsi="Times New Roman" w:cs="Times New Roman"/>
          <w:b/>
          <w:bCs/>
          <w:sz w:val="20"/>
          <w:szCs w:val="20"/>
          <w:vertAlign w:val="superscript"/>
        </w:rPr>
        <w:footnoteReference w:id="105"/>
      </w:r>
      <w:r w:rsidR="006A6DED" w:rsidRPr="006A6DED">
        <w:rPr>
          <w:rFonts w:ascii="Times New Roman" w:hAnsi="Times New Roman" w:cs="Times New Roman"/>
          <w:sz w:val="20"/>
          <w:szCs w:val="20"/>
        </w:rPr>
        <w:t>: Both the Babcock and Olmsted families trace back to the British Isles with families notable enough to warrant family crests. The Babcock crest contains several chickens and the motto “Deus Spes Mea,” or “God is my hope,” while the Olmsted crest contains a stag and an arrowhead.</w:t>
      </w:r>
    </w:p>
    <w:p w14:paraId="17B9B27E" w14:textId="15AEB2CF" w:rsidR="006A6DED" w:rsidRPr="006A6DED" w:rsidRDefault="006A6DED" w:rsidP="00A27936">
      <w:pPr>
        <w:spacing w:before="240" w:line="480" w:lineRule="auto"/>
        <w:rPr>
          <w:rFonts w:ascii="Times New Roman" w:hAnsi="Times New Roman" w:cs="Times New Roman"/>
          <w:sz w:val="24"/>
          <w:szCs w:val="24"/>
        </w:rPr>
      </w:pPr>
      <w:r w:rsidRPr="006A6DED">
        <w:rPr>
          <w:rFonts w:ascii="Times New Roman" w:hAnsi="Times New Roman" w:cs="Times New Roman"/>
          <w:sz w:val="24"/>
          <w:szCs w:val="24"/>
        </w:rPr>
        <w:t>survivors.</w:t>
      </w:r>
      <w:r w:rsidRPr="006A6DED">
        <w:rPr>
          <w:rFonts w:ascii="Times New Roman" w:hAnsi="Times New Roman" w:cs="Times New Roman"/>
          <w:sz w:val="24"/>
          <w:szCs w:val="24"/>
          <w:vertAlign w:val="superscript"/>
        </w:rPr>
        <w:footnoteReference w:id="106"/>
      </w:r>
      <w:r w:rsidRPr="006A6DED">
        <w:rPr>
          <w:rFonts w:ascii="Times New Roman" w:hAnsi="Times New Roman" w:cs="Times New Roman"/>
          <w:sz w:val="24"/>
          <w:szCs w:val="24"/>
        </w:rPr>
        <w:t xml:space="preserve"> Of his seven siblings who reached adulthood, perhaps the most notable was Lorenzo A. Babcock, who served as the first </w:t>
      </w:r>
      <w:r w:rsidR="009A306F">
        <w:rPr>
          <w:rFonts w:ascii="Times New Roman" w:hAnsi="Times New Roman" w:cs="Times New Roman"/>
          <w:sz w:val="24"/>
          <w:szCs w:val="24"/>
        </w:rPr>
        <w:t>A</w:t>
      </w:r>
      <w:r w:rsidRPr="006A6DED">
        <w:rPr>
          <w:rFonts w:ascii="Times New Roman" w:hAnsi="Times New Roman" w:cs="Times New Roman"/>
          <w:sz w:val="24"/>
          <w:szCs w:val="24"/>
        </w:rPr>
        <w:t xml:space="preserve">ttorney </w:t>
      </w:r>
      <w:r w:rsidR="009A306F">
        <w:rPr>
          <w:rFonts w:ascii="Times New Roman" w:hAnsi="Times New Roman" w:cs="Times New Roman"/>
          <w:sz w:val="24"/>
          <w:szCs w:val="24"/>
        </w:rPr>
        <w:t>G</w:t>
      </w:r>
      <w:r w:rsidRPr="006A6DED">
        <w:rPr>
          <w:rFonts w:ascii="Times New Roman" w:hAnsi="Times New Roman" w:cs="Times New Roman"/>
          <w:sz w:val="24"/>
          <w:szCs w:val="24"/>
        </w:rPr>
        <w:t>eneral of the Minnesota Territory from 1849 to 1853 while simultaneously serving as a representative of the territorial government.</w:t>
      </w:r>
      <w:r w:rsidRPr="006A6DED">
        <w:rPr>
          <w:rFonts w:ascii="Times New Roman" w:hAnsi="Times New Roman" w:cs="Times New Roman"/>
          <w:sz w:val="24"/>
          <w:szCs w:val="24"/>
          <w:vertAlign w:val="superscript"/>
        </w:rPr>
        <w:footnoteReference w:id="107"/>
      </w:r>
      <w:r w:rsidRPr="006A6DED">
        <w:rPr>
          <w:rFonts w:ascii="Times New Roman" w:hAnsi="Times New Roman" w:cs="Times New Roman"/>
          <w:sz w:val="24"/>
          <w:szCs w:val="24"/>
        </w:rPr>
        <w:t xml:space="preserve"> Orville’s experience as a child was humble, receiving a common education in in Berkshire, Vermont until he came of age.</w:t>
      </w:r>
      <w:r w:rsidRPr="006A6DED">
        <w:rPr>
          <w:rFonts w:ascii="Times New Roman" w:hAnsi="Times New Roman" w:cs="Times New Roman"/>
          <w:sz w:val="24"/>
          <w:szCs w:val="24"/>
          <w:vertAlign w:val="superscript"/>
        </w:rPr>
        <w:footnoteReference w:id="108"/>
      </w:r>
      <w:r w:rsidRPr="006A6DED">
        <w:rPr>
          <w:rFonts w:ascii="Times New Roman" w:hAnsi="Times New Roman" w:cs="Times New Roman"/>
          <w:sz w:val="24"/>
          <w:szCs w:val="24"/>
        </w:rPr>
        <w:t xml:space="preserve"> He was </w:t>
      </w:r>
      <w:r w:rsidR="00E96161">
        <w:rPr>
          <w:rFonts w:ascii="Times New Roman" w:hAnsi="Times New Roman" w:cs="Times New Roman"/>
          <w:sz w:val="24"/>
          <w:szCs w:val="24"/>
        </w:rPr>
        <w:t>appoin</w:t>
      </w:r>
      <w:r w:rsidRPr="006A6DED">
        <w:rPr>
          <w:rFonts w:ascii="Times New Roman" w:hAnsi="Times New Roman" w:cs="Times New Roman"/>
          <w:sz w:val="24"/>
          <w:szCs w:val="24"/>
        </w:rPr>
        <w:t>ted to West Point in 1858, where he faired particularly well, ultimately graduating third in his class of 45.</w:t>
      </w:r>
      <w:r w:rsidRPr="006A6DED">
        <w:rPr>
          <w:rFonts w:ascii="Times New Roman" w:hAnsi="Times New Roman" w:cs="Times New Roman"/>
          <w:sz w:val="24"/>
          <w:szCs w:val="24"/>
          <w:vertAlign w:val="superscript"/>
        </w:rPr>
        <w:footnoteReference w:id="109"/>
      </w:r>
      <w:r w:rsidRPr="006A6DED">
        <w:rPr>
          <w:rFonts w:ascii="Times New Roman" w:hAnsi="Times New Roman" w:cs="Times New Roman"/>
          <w:sz w:val="24"/>
          <w:szCs w:val="24"/>
        </w:rPr>
        <w:t xml:space="preserve"> This high class ranking afforded Babcock his choice of assignments, and as was typical of many top graduates of his era, he elected to join the Army Corps of Engineers.</w:t>
      </w:r>
      <w:r w:rsidRPr="006A6DED">
        <w:rPr>
          <w:rFonts w:ascii="Times New Roman" w:hAnsi="Times New Roman" w:cs="Times New Roman"/>
          <w:sz w:val="24"/>
          <w:szCs w:val="24"/>
          <w:vertAlign w:val="superscript"/>
        </w:rPr>
        <w:footnoteReference w:id="110"/>
      </w:r>
    </w:p>
    <w:p w14:paraId="4A01385B" w14:textId="34FE29B2"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lastRenderedPageBreak/>
        <w:tab/>
        <w:t xml:space="preserve">Babcock graduated from the United States Military Academy in May 1861, </w:t>
      </w:r>
      <w:r w:rsidR="00884741">
        <w:rPr>
          <w:rFonts w:ascii="Times New Roman" w:hAnsi="Times New Roman" w:cs="Times New Roman"/>
          <w:sz w:val="24"/>
          <w:szCs w:val="24"/>
        </w:rPr>
        <w:t>only</w:t>
      </w:r>
      <w:r w:rsidRPr="006A6DED">
        <w:rPr>
          <w:rFonts w:ascii="Times New Roman" w:hAnsi="Times New Roman" w:cs="Times New Roman"/>
          <w:sz w:val="24"/>
          <w:szCs w:val="24"/>
        </w:rPr>
        <w:t xml:space="preserve"> a few months after the shelling of Fort Sumter on April 12</w:t>
      </w:r>
      <w:r w:rsidRPr="006A6DED">
        <w:rPr>
          <w:rFonts w:ascii="Times New Roman" w:hAnsi="Times New Roman" w:cs="Times New Roman"/>
          <w:sz w:val="24"/>
          <w:szCs w:val="24"/>
          <w:vertAlign w:val="superscript"/>
        </w:rPr>
        <w:t>th</w:t>
      </w:r>
      <w:r w:rsidRPr="006A6DED">
        <w:rPr>
          <w:rFonts w:ascii="Times New Roman" w:hAnsi="Times New Roman" w:cs="Times New Roman"/>
          <w:sz w:val="24"/>
          <w:szCs w:val="24"/>
        </w:rPr>
        <w:t xml:space="preserve"> </w:t>
      </w:r>
      <w:r w:rsidR="00580156">
        <w:rPr>
          <w:rFonts w:ascii="Times New Roman" w:hAnsi="Times New Roman" w:cs="Times New Roman"/>
          <w:sz w:val="24"/>
          <w:szCs w:val="24"/>
        </w:rPr>
        <w:t>which</w:t>
      </w:r>
      <w:r w:rsidRPr="006A6DED">
        <w:rPr>
          <w:rFonts w:ascii="Times New Roman" w:hAnsi="Times New Roman" w:cs="Times New Roman"/>
          <w:sz w:val="24"/>
          <w:szCs w:val="24"/>
        </w:rPr>
        <w:t xml:space="preserve"> marked the beginning of the Civil War.</w:t>
      </w:r>
      <w:r w:rsidRPr="006A6DED">
        <w:rPr>
          <w:rFonts w:ascii="Times New Roman" w:hAnsi="Times New Roman" w:cs="Times New Roman"/>
          <w:sz w:val="24"/>
          <w:szCs w:val="24"/>
          <w:vertAlign w:val="superscript"/>
        </w:rPr>
        <w:footnoteReference w:id="111"/>
      </w:r>
      <w:r w:rsidRPr="006A6DED">
        <w:rPr>
          <w:rFonts w:ascii="Times New Roman" w:hAnsi="Times New Roman" w:cs="Times New Roman"/>
          <w:sz w:val="24"/>
          <w:szCs w:val="24"/>
        </w:rPr>
        <w:t xml:space="preserve"> Crises over the continued existence of slavery in the American South reached a head when Republican candidate Abraham Lincoln was elected to the presidency, triggering a secession crisis across the South in which eleven states eventually seceded and formed the Confederate States of America.</w:t>
      </w:r>
      <w:r w:rsidRPr="006A6DED">
        <w:rPr>
          <w:rFonts w:ascii="Times New Roman" w:hAnsi="Times New Roman" w:cs="Times New Roman"/>
          <w:sz w:val="24"/>
          <w:szCs w:val="24"/>
          <w:vertAlign w:val="superscript"/>
        </w:rPr>
        <w:footnoteReference w:id="112"/>
      </w:r>
      <w:r w:rsidRPr="006A6DED">
        <w:rPr>
          <w:rFonts w:ascii="Times New Roman" w:hAnsi="Times New Roman" w:cs="Times New Roman"/>
          <w:sz w:val="24"/>
          <w:szCs w:val="24"/>
        </w:rPr>
        <w:t xml:space="preserve"> As Union forces mobilized, the newly formed Confederacy worked to stir up a military and political structure to serve them as an independent entity with an appropriate plan forward. By late May the Confederacy established its capital in Richmond, Virginia, and though many expected this to be a quick affair, the war lasted four years and cost approximately one million Americans their lives, marking one of the most significant conflicts in American history.</w:t>
      </w:r>
      <w:r w:rsidRPr="006A6DED">
        <w:rPr>
          <w:rFonts w:ascii="Times New Roman" w:hAnsi="Times New Roman" w:cs="Times New Roman"/>
          <w:sz w:val="24"/>
          <w:szCs w:val="24"/>
          <w:vertAlign w:val="superscript"/>
        </w:rPr>
        <w:footnoteReference w:id="113"/>
      </w:r>
    </w:p>
    <w:p w14:paraId="2BDBD7D2" w14:textId="5B669873"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 xml:space="preserve">With the </w:t>
      </w:r>
      <w:r w:rsidR="00D66C87">
        <w:rPr>
          <w:rFonts w:ascii="Times New Roman" w:hAnsi="Times New Roman" w:cs="Times New Roman"/>
          <w:sz w:val="24"/>
          <w:szCs w:val="24"/>
        </w:rPr>
        <w:t>Civil War</w:t>
      </w:r>
      <w:r w:rsidRPr="006A6DED">
        <w:rPr>
          <w:rFonts w:ascii="Times New Roman" w:hAnsi="Times New Roman" w:cs="Times New Roman"/>
          <w:sz w:val="24"/>
          <w:szCs w:val="24"/>
        </w:rPr>
        <w:t xml:space="preserve"> in full swing, Babcock </w:t>
      </w:r>
      <w:r w:rsidR="00D56D01">
        <w:rPr>
          <w:rFonts w:ascii="Times New Roman" w:hAnsi="Times New Roman" w:cs="Times New Roman"/>
          <w:sz w:val="24"/>
          <w:szCs w:val="24"/>
        </w:rPr>
        <w:t>initiated</w:t>
      </w:r>
      <w:r w:rsidRPr="006A6DED">
        <w:rPr>
          <w:rFonts w:ascii="Times New Roman" w:hAnsi="Times New Roman" w:cs="Times New Roman"/>
          <w:sz w:val="24"/>
          <w:szCs w:val="24"/>
        </w:rPr>
        <w:t xml:space="preserve"> his public service by putting his education to work with the Army Corps of Engineers as a commissioned </w:t>
      </w:r>
      <w:r w:rsidR="00146429">
        <w:rPr>
          <w:rFonts w:ascii="Times New Roman" w:hAnsi="Times New Roman" w:cs="Times New Roman"/>
          <w:sz w:val="24"/>
          <w:szCs w:val="24"/>
        </w:rPr>
        <w:t>b</w:t>
      </w:r>
      <w:r w:rsidRPr="006A6DED">
        <w:rPr>
          <w:rFonts w:ascii="Times New Roman" w:hAnsi="Times New Roman" w:cs="Times New Roman"/>
          <w:sz w:val="24"/>
          <w:szCs w:val="24"/>
        </w:rPr>
        <w:t xml:space="preserve">revet </w:t>
      </w:r>
      <w:r w:rsidR="00146429">
        <w:rPr>
          <w:rFonts w:ascii="Times New Roman" w:hAnsi="Times New Roman" w:cs="Times New Roman"/>
          <w:sz w:val="24"/>
          <w:szCs w:val="24"/>
        </w:rPr>
        <w:t>s</w:t>
      </w:r>
      <w:r w:rsidRPr="006A6DED">
        <w:rPr>
          <w:rFonts w:ascii="Times New Roman" w:hAnsi="Times New Roman" w:cs="Times New Roman"/>
          <w:sz w:val="24"/>
          <w:szCs w:val="24"/>
        </w:rPr>
        <w:t xml:space="preserve">econd </w:t>
      </w:r>
      <w:r w:rsidR="00146429">
        <w:rPr>
          <w:rFonts w:ascii="Times New Roman" w:hAnsi="Times New Roman" w:cs="Times New Roman"/>
          <w:sz w:val="24"/>
          <w:szCs w:val="24"/>
        </w:rPr>
        <w:t>l</w:t>
      </w:r>
      <w:r w:rsidRPr="006A6DED">
        <w:rPr>
          <w:rFonts w:ascii="Times New Roman" w:hAnsi="Times New Roman" w:cs="Times New Roman"/>
          <w:sz w:val="24"/>
          <w:szCs w:val="24"/>
        </w:rPr>
        <w:t>ieutenant.</w:t>
      </w:r>
      <w:r w:rsidRPr="006A6DED">
        <w:rPr>
          <w:rFonts w:ascii="Times New Roman" w:hAnsi="Times New Roman" w:cs="Times New Roman"/>
          <w:sz w:val="24"/>
          <w:szCs w:val="24"/>
          <w:vertAlign w:val="superscript"/>
        </w:rPr>
        <w:footnoteReference w:id="114"/>
      </w:r>
      <w:r w:rsidRPr="006A6DED">
        <w:rPr>
          <w:rFonts w:ascii="Times New Roman" w:hAnsi="Times New Roman" w:cs="Times New Roman"/>
          <w:sz w:val="24"/>
          <w:szCs w:val="24"/>
        </w:rPr>
        <w:t xml:space="preserve"> His service began with a posting as an Assistant Engineer for the military district including Washington, D.C., where he aided in the construction of defenses of the nation’s capital.</w:t>
      </w:r>
      <w:r w:rsidRPr="006A6DED">
        <w:rPr>
          <w:rFonts w:ascii="Times New Roman" w:hAnsi="Times New Roman" w:cs="Times New Roman"/>
          <w:sz w:val="24"/>
          <w:szCs w:val="24"/>
          <w:vertAlign w:val="superscript"/>
        </w:rPr>
        <w:footnoteReference w:id="115"/>
      </w:r>
      <w:r w:rsidRPr="006A6DED">
        <w:rPr>
          <w:rFonts w:ascii="Times New Roman" w:hAnsi="Times New Roman" w:cs="Times New Roman"/>
          <w:sz w:val="24"/>
          <w:szCs w:val="24"/>
        </w:rPr>
        <w:t xml:space="preserve"> Two months into his post, in July 1861, Babcock was assigned to the Department of Pennsylvania, and in August he received his commission as a second lieutenant retroactive to his </w:t>
      </w:r>
      <w:r w:rsidRPr="006A6DED">
        <w:rPr>
          <w:rFonts w:ascii="Times New Roman" w:hAnsi="Times New Roman" w:cs="Times New Roman"/>
          <w:sz w:val="24"/>
          <w:szCs w:val="24"/>
        </w:rPr>
        <w:lastRenderedPageBreak/>
        <w:t>graduation from West Point in May.</w:t>
      </w:r>
      <w:r w:rsidRPr="006A6DED">
        <w:rPr>
          <w:rFonts w:ascii="Times New Roman" w:hAnsi="Times New Roman" w:cs="Times New Roman"/>
          <w:sz w:val="24"/>
          <w:szCs w:val="24"/>
          <w:vertAlign w:val="superscript"/>
        </w:rPr>
        <w:footnoteReference w:id="116"/>
      </w:r>
      <w:r w:rsidRPr="006A6DED">
        <w:rPr>
          <w:rFonts w:ascii="Times New Roman" w:hAnsi="Times New Roman" w:cs="Times New Roman"/>
          <w:sz w:val="24"/>
          <w:szCs w:val="24"/>
        </w:rPr>
        <w:t xml:space="preserve"> He was then assigned to the Department of Shenandoah, where he built fortifications in the Shenandoah Valley and along the Potomac River while serving as an </w:t>
      </w:r>
      <w:r w:rsidRPr="006A6DED">
        <w:rPr>
          <w:rFonts w:ascii="Times New Roman" w:hAnsi="Times New Roman" w:cs="Times New Roman"/>
          <w:i/>
          <w:iCs/>
          <w:sz w:val="24"/>
          <w:szCs w:val="24"/>
        </w:rPr>
        <w:t>aide-de-campe</w:t>
      </w:r>
      <w:r w:rsidRPr="006A6DED">
        <w:rPr>
          <w:rFonts w:ascii="Times New Roman" w:hAnsi="Times New Roman" w:cs="Times New Roman"/>
          <w:sz w:val="24"/>
          <w:szCs w:val="24"/>
        </w:rPr>
        <w:t xml:space="preserve"> under Major General Nathaniel P. Banks.</w:t>
      </w:r>
      <w:r w:rsidRPr="006A6DED">
        <w:rPr>
          <w:rFonts w:ascii="Times New Roman" w:hAnsi="Times New Roman" w:cs="Times New Roman"/>
          <w:sz w:val="24"/>
          <w:szCs w:val="24"/>
          <w:vertAlign w:val="superscript"/>
        </w:rPr>
        <w:footnoteReference w:id="117"/>
      </w:r>
      <w:r w:rsidRPr="006A6DED">
        <w:rPr>
          <w:rFonts w:ascii="Times New Roman" w:hAnsi="Times New Roman" w:cs="Times New Roman"/>
          <w:sz w:val="24"/>
          <w:szCs w:val="24"/>
        </w:rPr>
        <w:t xml:space="preserve"> Babcock aid</w:t>
      </w:r>
      <w:r w:rsidR="00E860BD">
        <w:rPr>
          <w:rFonts w:ascii="Times New Roman" w:hAnsi="Times New Roman" w:cs="Times New Roman"/>
          <w:sz w:val="24"/>
          <w:szCs w:val="24"/>
        </w:rPr>
        <w:t>ed</w:t>
      </w:r>
      <w:r w:rsidRPr="006A6DED">
        <w:rPr>
          <w:rFonts w:ascii="Times New Roman" w:hAnsi="Times New Roman" w:cs="Times New Roman"/>
          <w:sz w:val="24"/>
          <w:szCs w:val="24"/>
        </w:rPr>
        <w:t xml:space="preserve"> in the construction and re</w:t>
      </w:r>
      <w:r w:rsidR="00E860BD">
        <w:rPr>
          <w:rFonts w:ascii="Times New Roman" w:hAnsi="Times New Roman" w:cs="Times New Roman"/>
          <w:sz w:val="24"/>
          <w:szCs w:val="24"/>
        </w:rPr>
        <w:t>building</w:t>
      </w:r>
      <w:r w:rsidRPr="006A6DED">
        <w:rPr>
          <w:rFonts w:ascii="Times New Roman" w:hAnsi="Times New Roman" w:cs="Times New Roman"/>
          <w:sz w:val="24"/>
          <w:szCs w:val="24"/>
        </w:rPr>
        <w:t xml:space="preserve"> of fortifications around Washington for several months as many in the North worr</w:t>
      </w:r>
      <w:r w:rsidR="00341DE4">
        <w:rPr>
          <w:rFonts w:ascii="Times New Roman" w:hAnsi="Times New Roman" w:cs="Times New Roman"/>
          <w:sz w:val="24"/>
          <w:szCs w:val="24"/>
        </w:rPr>
        <w:t>ied</w:t>
      </w:r>
      <w:r w:rsidRPr="006A6DED">
        <w:rPr>
          <w:rFonts w:ascii="Times New Roman" w:hAnsi="Times New Roman" w:cs="Times New Roman"/>
          <w:sz w:val="24"/>
          <w:szCs w:val="24"/>
        </w:rPr>
        <w:t xml:space="preserve"> about the possibility of a Confederate assault on the capital of the Union.</w:t>
      </w:r>
      <w:r w:rsidRPr="006A6DED">
        <w:rPr>
          <w:rFonts w:ascii="Times New Roman" w:hAnsi="Times New Roman" w:cs="Times New Roman"/>
          <w:sz w:val="24"/>
          <w:szCs w:val="24"/>
          <w:vertAlign w:val="superscript"/>
        </w:rPr>
        <w:footnoteReference w:id="118"/>
      </w:r>
    </w:p>
    <w:p w14:paraId="2BF3682F" w14:textId="3775F840"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In November 1861, Babcock was promoted to First Lieutenant, Corps of Engineers, and assigned to the Army of the Potomac as it participated in the Peninsular Campaign.</w:t>
      </w:r>
      <w:r w:rsidRPr="006A6DED">
        <w:rPr>
          <w:rFonts w:ascii="Times New Roman" w:hAnsi="Times New Roman" w:cs="Times New Roman"/>
          <w:sz w:val="24"/>
          <w:szCs w:val="24"/>
          <w:vertAlign w:val="superscript"/>
        </w:rPr>
        <w:footnoteReference w:id="119"/>
      </w:r>
      <w:r w:rsidRPr="006A6DED">
        <w:rPr>
          <w:rFonts w:ascii="Times New Roman" w:hAnsi="Times New Roman" w:cs="Times New Roman"/>
          <w:sz w:val="24"/>
          <w:szCs w:val="24"/>
        </w:rPr>
        <w:t xml:space="preserve"> During the first quarter of </w:t>
      </w:r>
      <w:r w:rsidR="003B39F4">
        <w:rPr>
          <w:rFonts w:ascii="Times New Roman" w:hAnsi="Times New Roman" w:cs="Times New Roman"/>
          <w:sz w:val="24"/>
          <w:szCs w:val="24"/>
        </w:rPr>
        <w:t>1862</w:t>
      </w:r>
      <w:r w:rsidRPr="006A6DED">
        <w:rPr>
          <w:rFonts w:ascii="Times New Roman" w:hAnsi="Times New Roman" w:cs="Times New Roman"/>
          <w:sz w:val="24"/>
          <w:szCs w:val="24"/>
        </w:rPr>
        <w:t>, Babcock worked to establish the military fortifications at Harper’s Ferry and guarded the pontoon bridges that crossed the Potomac River while General Banks moved to Winchester, Virginia.</w:t>
      </w:r>
      <w:r w:rsidRPr="006A6DED">
        <w:rPr>
          <w:rFonts w:ascii="Times New Roman" w:hAnsi="Times New Roman" w:cs="Times New Roman"/>
          <w:sz w:val="24"/>
          <w:szCs w:val="24"/>
          <w:vertAlign w:val="superscript"/>
        </w:rPr>
        <w:footnoteReference w:id="120"/>
      </w:r>
      <w:r w:rsidRPr="006A6DED">
        <w:rPr>
          <w:rFonts w:ascii="Times New Roman" w:hAnsi="Times New Roman" w:cs="Times New Roman"/>
          <w:sz w:val="24"/>
          <w:szCs w:val="24"/>
        </w:rPr>
        <w:t xml:space="preserve"> As the Peninsula </w:t>
      </w:r>
      <w:r w:rsidR="00695B50">
        <w:rPr>
          <w:rFonts w:ascii="Times New Roman" w:hAnsi="Times New Roman" w:cs="Times New Roman"/>
          <w:sz w:val="24"/>
          <w:szCs w:val="24"/>
        </w:rPr>
        <w:t>C</w:t>
      </w:r>
      <w:r w:rsidRPr="006A6DED">
        <w:rPr>
          <w:rFonts w:ascii="Times New Roman" w:hAnsi="Times New Roman" w:cs="Times New Roman"/>
          <w:sz w:val="24"/>
          <w:szCs w:val="24"/>
        </w:rPr>
        <w:t>ampaign continued, Babcock serve</w:t>
      </w:r>
      <w:r w:rsidR="00507BF6">
        <w:rPr>
          <w:rFonts w:ascii="Times New Roman" w:hAnsi="Times New Roman" w:cs="Times New Roman"/>
          <w:sz w:val="24"/>
          <w:szCs w:val="24"/>
        </w:rPr>
        <w:t>d</w:t>
      </w:r>
      <w:r w:rsidRPr="006A6DED">
        <w:rPr>
          <w:rFonts w:ascii="Times New Roman" w:hAnsi="Times New Roman" w:cs="Times New Roman"/>
          <w:sz w:val="24"/>
          <w:szCs w:val="24"/>
        </w:rPr>
        <w:t xml:space="preserve"> valiantly alongside the Army of the Potomac’s Engineer Battalion in the Siege of Yorktown in Spring 1862 until he was brevetted as a captain in early May.</w:t>
      </w:r>
      <w:r w:rsidRPr="006A6DED">
        <w:rPr>
          <w:rFonts w:ascii="Times New Roman" w:hAnsi="Times New Roman" w:cs="Times New Roman"/>
          <w:sz w:val="24"/>
          <w:szCs w:val="24"/>
          <w:vertAlign w:val="superscript"/>
        </w:rPr>
        <w:footnoteReference w:id="121"/>
      </w:r>
      <w:r w:rsidR="002D4235">
        <w:rPr>
          <w:rFonts w:ascii="Times New Roman" w:hAnsi="Times New Roman" w:cs="Times New Roman"/>
          <w:sz w:val="24"/>
          <w:szCs w:val="24"/>
        </w:rPr>
        <w:t xml:space="preserve"> F</w:t>
      </w:r>
      <w:r w:rsidRPr="006A6DED">
        <w:rPr>
          <w:rFonts w:ascii="Times New Roman" w:hAnsi="Times New Roman" w:cs="Times New Roman"/>
          <w:sz w:val="24"/>
          <w:szCs w:val="24"/>
        </w:rPr>
        <w:t>or the remainder of 1862, Babcock c</w:t>
      </w:r>
      <w:r w:rsidR="002D4235">
        <w:rPr>
          <w:rFonts w:ascii="Times New Roman" w:hAnsi="Times New Roman" w:cs="Times New Roman"/>
          <w:sz w:val="24"/>
          <w:szCs w:val="24"/>
        </w:rPr>
        <w:t>arried</w:t>
      </w:r>
      <w:r w:rsidRPr="006A6DED">
        <w:rPr>
          <w:rFonts w:ascii="Times New Roman" w:hAnsi="Times New Roman" w:cs="Times New Roman"/>
          <w:sz w:val="24"/>
          <w:szCs w:val="24"/>
        </w:rPr>
        <w:t xml:space="preserve"> out his engineering duties, building bridges, roads, and field work for </w:t>
      </w:r>
      <w:r w:rsidR="002D4235">
        <w:rPr>
          <w:rFonts w:ascii="Times New Roman" w:hAnsi="Times New Roman" w:cs="Times New Roman"/>
          <w:sz w:val="24"/>
          <w:szCs w:val="24"/>
        </w:rPr>
        <w:t>multiple</w:t>
      </w:r>
      <w:r w:rsidRPr="006A6DED">
        <w:rPr>
          <w:rFonts w:ascii="Times New Roman" w:hAnsi="Times New Roman" w:cs="Times New Roman"/>
          <w:sz w:val="24"/>
          <w:szCs w:val="24"/>
        </w:rPr>
        <w:t xml:space="preserve"> units of the Un</w:t>
      </w:r>
      <w:r w:rsidR="00D66C87">
        <w:rPr>
          <w:rFonts w:ascii="Times New Roman" w:hAnsi="Times New Roman" w:cs="Times New Roman"/>
          <w:sz w:val="24"/>
          <w:szCs w:val="24"/>
        </w:rPr>
        <w:t>ited States</w:t>
      </w:r>
      <w:r w:rsidRPr="006A6DED">
        <w:rPr>
          <w:rFonts w:ascii="Times New Roman" w:hAnsi="Times New Roman" w:cs="Times New Roman"/>
          <w:sz w:val="24"/>
          <w:szCs w:val="24"/>
        </w:rPr>
        <w:t xml:space="preserve"> Army until he was promoted to Chief Engineer of the Left Grand Division of the Army of the Potomac in November 1862.</w:t>
      </w:r>
      <w:r w:rsidRPr="006A6DED">
        <w:rPr>
          <w:rFonts w:ascii="Times New Roman" w:hAnsi="Times New Roman" w:cs="Times New Roman"/>
          <w:sz w:val="24"/>
          <w:szCs w:val="24"/>
          <w:vertAlign w:val="superscript"/>
        </w:rPr>
        <w:footnoteReference w:id="122"/>
      </w:r>
      <w:r w:rsidRPr="006A6DED">
        <w:rPr>
          <w:rFonts w:ascii="Times New Roman" w:hAnsi="Times New Roman" w:cs="Times New Roman"/>
          <w:sz w:val="24"/>
          <w:szCs w:val="24"/>
        </w:rPr>
        <w:t xml:space="preserve"> </w:t>
      </w:r>
      <w:r w:rsidR="007E445A">
        <w:rPr>
          <w:rFonts w:ascii="Times New Roman" w:hAnsi="Times New Roman" w:cs="Times New Roman"/>
          <w:sz w:val="24"/>
          <w:szCs w:val="24"/>
        </w:rPr>
        <w:t>H</w:t>
      </w:r>
      <w:r w:rsidRPr="006A6DED">
        <w:rPr>
          <w:rFonts w:ascii="Times New Roman" w:hAnsi="Times New Roman" w:cs="Times New Roman"/>
          <w:sz w:val="24"/>
          <w:szCs w:val="24"/>
        </w:rPr>
        <w:t xml:space="preserve">e </w:t>
      </w:r>
      <w:r w:rsidR="007E445A">
        <w:rPr>
          <w:rFonts w:ascii="Times New Roman" w:hAnsi="Times New Roman" w:cs="Times New Roman"/>
          <w:sz w:val="24"/>
          <w:szCs w:val="24"/>
        </w:rPr>
        <w:t xml:space="preserve">then </w:t>
      </w:r>
      <w:r w:rsidRPr="006A6DED">
        <w:rPr>
          <w:rFonts w:ascii="Times New Roman" w:hAnsi="Times New Roman" w:cs="Times New Roman"/>
          <w:sz w:val="24"/>
          <w:szCs w:val="24"/>
        </w:rPr>
        <w:t>served on Brigadier General William B. Franklin’s engineering staff in the Union defeat at the Battle of Fredericksburg.</w:t>
      </w:r>
      <w:r w:rsidRPr="006A6DED">
        <w:rPr>
          <w:rFonts w:ascii="Times New Roman" w:hAnsi="Times New Roman" w:cs="Times New Roman"/>
          <w:sz w:val="24"/>
          <w:szCs w:val="24"/>
          <w:vertAlign w:val="superscript"/>
        </w:rPr>
        <w:footnoteReference w:id="123"/>
      </w:r>
    </w:p>
    <w:p w14:paraId="33F0A532" w14:textId="2B97DFF5"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 xml:space="preserve">In January 1863, Babcock was again promoted, this time to full </w:t>
      </w:r>
      <w:r w:rsidR="00F9459B">
        <w:rPr>
          <w:rFonts w:ascii="Times New Roman" w:hAnsi="Times New Roman" w:cs="Times New Roman"/>
          <w:sz w:val="24"/>
          <w:szCs w:val="24"/>
        </w:rPr>
        <w:t>c</w:t>
      </w:r>
      <w:r w:rsidRPr="006A6DED">
        <w:rPr>
          <w:rFonts w:ascii="Times New Roman" w:hAnsi="Times New Roman" w:cs="Times New Roman"/>
          <w:sz w:val="24"/>
          <w:szCs w:val="24"/>
        </w:rPr>
        <w:t>aptain, and his responsibilities increased as he was</w:t>
      </w:r>
      <w:r w:rsidR="00782826">
        <w:rPr>
          <w:rFonts w:ascii="Times New Roman" w:hAnsi="Times New Roman" w:cs="Times New Roman"/>
          <w:sz w:val="24"/>
          <w:szCs w:val="24"/>
        </w:rPr>
        <w:t xml:space="preserve"> also</w:t>
      </w:r>
      <w:r w:rsidRPr="006A6DED">
        <w:rPr>
          <w:rFonts w:ascii="Times New Roman" w:hAnsi="Times New Roman" w:cs="Times New Roman"/>
          <w:sz w:val="24"/>
          <w:szCs w:val="24"/>
        </w:rPr>
        <w:t xml:space="preserve"> named Assistant Inspector General of the VI Corps.</w:t>
      </w:r>
      <w:r w:rsidRPr="006A6DED">
        <w:rPr>
          <w:rFonts w:ascii="Times New Roman" w:hAnsi="Times New Roman" w:cs="Times New Roman"/>
          <w:sz w:val="24"/>
          <w:szCs w:val="24"/>
          <w:vertAlign w:val="superscript"/>
        </w:rPr>
        <w:footnoteReference w:id="124"/>
      </w:r>
      <w:r w:rsidRPr="006A6DED">
        <w:rPr>
          <w:rFonts w:ascii="Times New Roman" w:hAnsi="Times New Roman" w:cs="Times New Roman"/>
          <w:sz w:val="24"/>
          <w:szCs w:val="24"/>
        </w:rPr>
        <w:t xml:space="preserve"> </w:t>
      </w:r>
      <w:r w:rsidRPr="006A6DED">
        <w:rPr>
          <w:rFonts w:ascii="Times New Roman" w:hAnsi="Times New Roman" w:cs="Times New Roman"/>
          <w:sz w:val="24"/>
          <w:szCs w:val="24"/>
        </w:rPr>
        <w:lastRenderedPageBreak/>
        <w:t xml:space="preserve">In February 1863, </w:t>
      </w:r>
      <w:r w:rsidR="00295106">
        <w:rPr>
          <w:rFonts w:ascii="Times New Roman" w:hAnsi="Times New Roman" w:cs="Times New Roman"/>
          <w:sz w:val="24"/>
          <w:szCs w:val="24"/>
        </w:rPr>
        <w:t>his</w:t>
      </w:r>
      <w:r w:rsidRPr="006A6DED">
        <w:rPr>
          <w:rFonts w:ascii="Times New Roman" w:hAnsi="Times New Roman" w:cs="Times New Roman"/>
          <w:sz w:val="24"/>
          <w:szCs w:val="24"/>
        </w:rPr>
        <w:t xml:space="preserve"> responsibilities again shifted as he was named Assistant Inspector General and Chief Engineer of the IX Corps.</w:t>
      </w:r>
      <w:r w:rsidRPr="006A6DED">
        <w:rPr>
          <w:rFonts w:ascii="Times New Roman" w:hAnsi="Times New Roman" w:cs="Times New Roman"/>
          <w:sz w:val="24"/>
          <w:szCs w:val="24"/>
          <w:vertAlign w:val="superscript"/>
        </w:rPr>
        <w:footnoteReference w:id="125"/>
      </w:r>
      <w:r w:rsidRPr="006A6DED">
        <w:rPr>
          <w:rFonts w:ascii="Times New Roman" w:hAnsi="Times New Roman" w:cs="Times New Roman"/>
          <w:sz w:val="24"/>
          <w:szCs w:val="24"/>
        </w:rPr>
        <w:t xml:space="preserve"> In this role, Babcock surveyed and rebuilt defensive fortifications in Central Kentucky and Louisville for the benefit of Union forces.</w:t>
      </w:r>
      <w:r w:rsidRPr="006A6DED">
        <w:rPr>
          <w:rFonts w:ascii="Times New Roman" w:hAnsi="Times New Roman" w:cs="Times New Roman"/>
          <w:sz w:val="24"/>
          <w:szCs w:val="24"/>
          <w:vertAlign w:val="superscript"/>
        </w:rPr>
        <w:footnoteReference w:id="126"/>
      </w:r>
      <w:r w:rsidRPr="006A6DED">
        <w:rPr>
          <w:rFonts w:ascii="Times New Roman" w:hAnsi="Times New Roman" w:cs="Times New Roman"/>
          <w:sz w:val="24"/>
          <w:szCs w:val="24"/>
        </w:rPr>
        <w:t xml:space="preserve"> From this point he moved westward to </w:t>
      </w:r>
      <w:r w:rsidR="009854A1">
        <w:rPr>
          <w:rFonts w:ascii="Times New Roman" w:hAnsi="Times New Roman" w:cs="Times New Roman"/>
          <w:sz w:val="24"/>
          <w:szCs w:val="24"/>
        </w:rPr>
        <w:t xml:space="preserve">help </w:t>
      </w:r>
      <w:r w:rsidRPr="006A6DED">
        <w:rPr>
          <w:rFonts w:ascii="Times New Roman" w:hAnsi="Times New Roman" w:cs="Times New Roman"/>
          <w:sz w:val="24"/>
          <w:szCs w:val="24"/>
        </w:rPr>
        <w:t>wrest control of the Mississippi River from the Confederates based on the Union plan to split their enemy in twain.</w:t>
      </w:r>
      <w:r w:rsidRPr="006A6DED">
        <w:rPr>
          <w:rFonts w:ascii="Times New Roman" w:hAnsi="Times New Roman" w:cs="Times New Roman"/>
          <w:sz w:val="24"/>
          <w:szCs w:val="24"/>
          <w:vertAlign w:val="superscript"/>
        </w:rPr>
        <w:footnoteReference w:id="127"/>
      </w:r>
      <w:r w:rsidRPr="006A6DED">
        <w:rPr>
          <w:rFonts w:ascii="Times New Roman" w:hAnsi="Times New Roman" w:cs="Times New Roman"/>
          <w:sz w:val="24"/>
          <w:szCs w:val="24"/>
        </w:rPr>
        <w:t xml:space="preserve"> As part of this mission with his IX Corps, he fought in the Siege of Vicksburg in Mississippi in the Spring and </w:t>
      </w:r>
      <w:r w:rsidR="005606C4">
        <w:rPr>
          <w:rFonts w:ascii="Times New Roman" w:hAnsi="Times New Roman" w:cs="Times New Roman"/>
          <w:sz w:val="24"/>
          <w:szCs w:val="24"/>
        </w:rPr>
        <w:t>e</w:t>
      </w:r>
      <w:r w:rsidRPr="006A6DED">
        <w:rPr>
          <w:rFonts w:ascii="Times New Roman" w:hAnsi="Times New Roman" w:cs="Times New Roman"/>
          <w:sz w:val="24"/>
          <w:szCs w:val="24"/>
        </w:rPr>
        <w:t>arly Summer of 1863 before participating in key battles in the Tennessee theater such as the Battle of Blue Springs in October 1863 and the Battle of Campbell’s Station in November 1863.</w:t>
      </w:r>
      <w:r w:rsidRPr="006A6DED">
        <w:rPr>
          <w:rFonts w:ascii="Times New Roman" w:hAnsi="Times New Roman" w:cs="Times New Roman"/>
          <w:sz w:val="24"/>
          <w:szCs w:val="24"/>
          <w:vertAlign w:val="superscript"/>
        </w:rPr>
        <w:footnoteReference w:id="128"/>
      </w:r>
    </w:p>
    <w:p w14:paraId="31FE4C00" w14:textId="3C8CD91D"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Among Babcock’s most critical roles during the War of the Southern Rebellion was his participation in the Knoxville Campaign. After traveling east from the Battle of Campbell’s Station and pursued by Confederate Lieutenant General James Longstreet, Babcock joined the XXIII Corps under Captain Orlando Poe. Poe, Babcock, and their fellow Union engineers built bastioned earthwork forts in the hills of Knoxville, Tennessee to ensconce themselves in preparation for the incoming Confederate troops.</w:t>
      </w:r>
      <w:r w:rsidRPr="006A6DED">
        <w:rPr>
          <w:rFonts w:ascii="Times New Roman" w:hAnsi="Times New Roman" w:cs="Times New Roman"/>
          <w:sz w:val="24"/>
          <w:szCs w:val="24"/>
          <w:vertAlign w:val="superscript"/>
        </w:rPr>
        <w:footnoteReference w:id="129"/>
      </w:r>
      <w:r w:rsidRPr="006A6DED">
        <w:rPr>
          <w:rFonts w:ascii="Times New Roman" w:hAnsi="Times New Roman" w:cs="Times New Roman"/>
          <w:sz w:val="24"/>
          <w:szCs w:val="24"/>
        </w:rPr>
        <w:t xml:space="preserve"> The most notable of these fortifications was Fort Sanders, an earthen fortress </w:t>
      </w:r>
      <w:r w:rsidR="000D43E6" w:rsidRPr="006A6DED">
        <w:rPr>
          <w:rFonts w:ascii="Times New Roman" w:hAnsi="Times New Roman" w:cs="Times New Roman"/>
          <w:sz w:val="24"/>
          <w:szCs w:val="24"/>
        </w:rPr>
        <w:t>built just west of the city’s downtown neighborhoods</w:t>
      </w:r>
      <w:r w:rsidR="000D43E6">
        <w:rPr>
          <w:rFonts w:ascii="Times New Roman" w:hAnsi="Times New Roman" w:cs="Times New Roman"/>
          <w:sz w:val="24"/>
          <w:szCs w:val="24"/>
        </w:rPr>
        <w:t xml:space="preserve"> and</w:t>
      </w:r>
      <w:r w:rsidR="000D43E6" w:rsidRPr="006A6DED">
        <w:rPr>
          <w:rFonts w:ascii="Times New Roman" w:hAnsi="Times New Roman" w:cs="Times New Roman"/>
          <w:sz w:val="24"/>
          <w:szCs w:val="24"/>
        </w:rPr>
        <w:t xml:space="preserve"> named after Brigadier General William P. Sanders, who was mortally wounded outside the city just months prior</w:t>
      </w:r>
      <w:r w:rsidR="000D43E6">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130"/>
      </w:r>
      <w:r w:rsidRPr="006A6DED">
        <w:rPr>
          <w:rFonts w:ascii="Times New Roman" w:hAnsi="Times New Roman" w:cs="Times New Roman"/>
          <w:sz w:val="24"/>
          <w:szCs w:val="24"/>
        </w:rPr>
        <w:t xml:space="preserve"> The design of Fort Sanders was innovative given the existing standards, constructed as a V-shaped salient that stood out in the earthen structures surrounding the city.</w:t>
      </w:r>
      <w:r w:rsidRPr="006A6DED">
        <w:rPr>
          <w:rFonts w:ascii="Times New Roman" w:hAnsi="Times New Roman" w:cs="Times New Roman"/>
          <w:sz w:val="24"/>
          <w:szCs w:val="24"/>
          <w:vertAlign w:val="superscript"/>
        </w:rPr>
        <w:footnoteReference w:id="131"/>
      </w:r>
      <w:r w:rsidRPr="006A6DED">
        <w:rPr>
          <w:rFonts w:ascii="Times New Roman" w:hAnsi="Times New Roman" w:cs="Times New Roman"/>
          <w:sz w:val="24"/>
          <w:szCs w:val="24"/>
        </w:rPr>
        <w:t xml:space="preserve"> </w:t>
      </w:r>
      <w:r w:rsidRPr="006A6DED">
        <w:rPr>
          <w:rFonts w:ascii="Times New Roman" w:hAnsi="Times New Roman" w:cs="Times New Roman"/>
          <w:sz w:val="24"/>
          <w:szCs w:val="24"/>
        </w:rPr>
        <w:lastRenderedPageBreak/>
        <w:t>Though it was dug into the ground, the topography of the region established the fortress seventy feet above the surrounding area, and it was protected by a trench that was twelve feet wide and eight feet deep.</w:t>
      </w:r>
      <w:r w:rsidRPr="006A6DED">
        <w:rPr>
          <w:rFonts w:ascii="Times New Roman" w:hAnsi="Times New Roman" w:cs="Times New Roman"/>
          <w:sz w:val="24"/>
          <w:szCs w:val="24"/>
          <w:vertAlign w:val="superscript"/>
        </w:rPr>
        <w:footnoteReference w:id="132"/>
      </w:r>
      <w:r w:rsidRPr="006A6DED">
        <w:rPr>
          <w:rFonts w:ascii="Times New Roman" w:hAnsi="Times New Roman" w:cs="Times New Roman"/>
          <w:sz w:val="24"/>
          <w:szCs w:val="24"/>
        </w:rPr>
        <w:t xml:space="preserve"> The engineers constructed a vertical wall that rose fifteen feet above the ditch, and the wall was affected by winter conditions, making the ditch-wall combination a slippery and frozen hellscape for the invading forces.</w:t>
      </w:r>
      <w:r w:rsidRPr="006A6DED">
        <w:rPr>
          <w:rFonts w:ascii="Times New Roman" w:hAnsi="Times New Roman" w:cs="Times New Roman"/>
          <w:sz w:val="24"/>
          <w:szCs w:val="24"/>
          <w:vertAlign w:val="superscript"/>
        </w:rPr>
        <w:footnoteReference w:id="133"/>
      </w:r>
      <w:r w:rsidRPr="006A6DED">
        <w:rPr>
          <w:rFonts w:ascii="Times New Roman" w:hAnsi="Times New Roman" w:cs="Times New Roman"/>
          <w:sz w:val="24"/>
          <w:szCs w:val="24"/>
        </w:rPr>
        <w:t xml:space="preserve"> The engineers</w:t>
      </w:r>
      <w:r w:rsidR="006D6E7F">
        <w:rPr>
          <w:rFonts w:ascii="Times New Roman" w:hAnsi="Times New Roman" w:cs="Times New Roman"/>
          <w:sz w:val="24"/>
          <w:szCs w:val="24"/>
        </w:rPr>
        <w:t xml:space="preserve"> </w:t>
      </w:r>
      <w:r w:rsidRPr="006A6DED">
        <w:rPr>
          <w:rFonts w:ascii="Times New Roman" w:hAnsi="Times New Roman" w:cs="Times New Roman"/>
          <w:sz w:val="24"/>
          <w:szCs w:val="24"/>
        </w:rPr>
        <w:t>placed telegraph wires in front of the ditch atop tree stumps in an effort to entangle invaders on their approach, and some historians have suggested that this was the first use of such wire entrapments in the Civil War.</w:t>
      </w:r>
      <w:r w:rsidRPr="006A6DED">
        <w:rPr>
          <w:rFonts w:ascii="Times New Roman" w:hAnsi="Times New Roman" w:cs="Times New Roman"/>
          <w:sz w:val="24"/>
          <w:szCs w:val="24"/>
          <w:vertAlign w:val="superscript"/>
        </w:rPr>
        <w:footnoteReference w:id="134"/>
      </w:r>
      <w:r w:rsidRPr="006A6DED">
        <w:rPr>
          <w:rFonts w:ascii="Times New Roman" w:hAnsi="Times New Roman" w:cs="Times New Roman"/>
          <w:sz w:val="24"/>
          <w:szCs w:val="24"/>
        </w:rPr>
        <w:t xml:space="preserve"> The fortifications were bolstered by twelve cannons and manned by nearly 450 men from the 79</w:t>
      </w:r>
      <w:r w:rsidRPr="006A6DED">
        <w:rPr>
          <w:rFonts w:ascii="Times New Roman" w:hAnsi="Times New Roman" w:cs="Times New Roman"/>
          <w:sz w:val="24"/>
          <w:szCs w:val="24"/>
          <w:vertAlign w:val="superscript"/>
        </w:rPr>
        <w:t>th</w:t>
      </w:r>
      <w:r w:rsidRPr="006A6DED">
        <w:rPr>
          <w:rFonts w:ascii="Times New Roman" w:hAnsi="Times New Roman" w:cs="Times New Roman"/>
          <w:sz w:val="24"/>
          <w:szCs w:val="24"/>
        </w:rPr>
        <w:t xml:space="preserve"> New York Infantry.</w:t>
      </w:r>
      <w:r w:rsidRPr="006A6DED">
        <w:rPr>
          <w:rFonts w:ascii="Times New Roman" w:hAnsi="Times New Roman" w:cs="Times New Roman"/>
          <w:sz w:val="24"/>
          <w:szCs w:val="24"/>
          <w:vertAlign w:val="superscript"/>
        </w:rPr>
        <w:footnoteReference w:id="135"/>
      </w:r>
    </w:p>
    <w:p w14:paraId="3B136401" w14:textId="77777777" w:rsidR="009931C4" w:rsidRDefault="006A6DED" w:rsidP="00590271">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 xml:space="preserve">In late November 1863, the Battle of Fort Sanders </w:t>
      </w:r>
      <w:r w:rsidR="00596F37">
        <w:rPr>
          <w:rFonts w:ascii="Times New Roman" w:hAnsi="Times New Roman" w:cs="Times New Roman"/>
          <w:sz w:val="24"/>
          <w:szCs w:val="24"/>
        </w:rPr>
        <w:t>serv</w:t>
      </w:r>
      <w:r w:rsidRPr="006A6DED">
        <w:rPr>
          <w:rFonts w:ascii="Times New Roman" w:hAnsi="Times New Roman" w:cs="Times New Roman"/>
          <w:sz w:val="24"/>
          <w:szCs w:val="24"/>
        </w:rPr>
        <w:t>ed as the culminating moment of the Knoxville Campaign.</w:t>
      </w:r>
      <w:r w:rsidRPr="006A6DED">
        <w:rPr>
          <w:rFonts w:ascii="Times New Roman" w:hAnsi="Times New Roman" w:cs="Times New Roman"/>
          <w:sz w:val="24"/>
          <w:szCs w:val="24"/>
          <w:vertAlign w:val="superscript"/>
        </w:rPr>
        <w:footnoteReference w:id="136"/>
      </w:r>
      <w:r w:rsidRPr="006A6DED">
        <w:rPr>
          <w:rFonts w:ascii="Times New Roman" w:hAnsi="Times New Roman" w:cs="Times New Roman"/>
          <w:sz w:val="24"/>
          <w:szCs w:val="24"/>
        </w:rPr>
        <w:t xml:space="preserve"> It was a brutal battle by the standards of the era, as Major General Ambrose Burnside commanded his 400-</w:t>
      </w:r>
      <w:r w:rsidR="00BE2722">
        <w:rPr>
          <w:rFonts w:ascii="Times New Roman" w:hAnsi="Times New Roman" w:cs="Times New Roman"/>
          <w:sz w:val="24"/>
          <w:szCs w:val="24"/>
        </w:rPr>
        <w:t>plus</w:t>
      </w:r>
      <w:r w:rsidRPr="006A6DED">
        <w:rPr>
          <w:rFonts w:ascii="Times New Roman" w:hAnsi="Times New Roman" w:cs="Times New Roman"/>
          <w:sz w:val="24"/>
          <w:szCs w:val="24"/>
        </w:rPr>
        <w:t xml:space="preserve"> men against Longstreet’s </w:t>
      </w:r>
      <w:r w:rsidR="001C3334">
        <w:rPr>
          <w:rFonts w:ascii="Times New Roman" w:hAnsi="Times New Roman" w:cs="Times New Roman"/>
          <w:sz w:val="24"/>
          <w:szCs w:val="24"/>
        </w:rPr>
        <w:t>invading troops of approximately</w:t>
      </w:r>
      <w:r w:rsidRPr="006A6DED">
        <w:rPr>
          <w:rFonts w:ascii="Times New Roman" w:hAnsi="Times New Roman" w:cs="Times New Roman"/>
          <w:sz w:val="24"/>
          <w:szCs w:val="24"/>
        </w:rPr>
        <w:t xml:space="preserve"> 3,000.</w:t>
      </w:r>
      <w:r w:rsidRPr="006A6DED">
        <w:rPr>
          <w:rFonts w:ascii="Times New Roman" w:hAnsi="Times New Roman" w:cs="Times New Roman"/>
          <w:sz w:val="24"/>
          <w:szCs w:val="24"/>
          <w:vertAlign w:val="superscript"/>
        </w:rPr>
        <w:footnoteReference w:id="137"/>
      </w:r>
      <w:r w:rsidRPr="006A6DED">
        <w:rPr>
          <w:rFonts w:ascii="Times New Roman" w:hAnsi="Times New Roman" w:cs="Times New Roman"/>
          <w:sz w:val="24"/>
          <w:szCs w:val="24"/>
        </w:rPr>
        <w:t xml:space="preserve"> The Confederate forces moved</w:t>
      </w:r>
      <w:r w:rsidR="009055D7">
        <w:rPr>
          <w:rFonts w:ascii="Times New Roman" w:hAnsi="Times New Roman" w:cs="Times New Roman"/>
          <w:sz w:val="24"/>
          <w:szCs w:val="24"/>
        </w:rPr>
        <w:t xml:space="preserve"> within</w:t>
      </w:r>
      <w:r w:rsidRPr="006A6DED">
        <w:rPr>
          <w:rFonts w:ascii="Times New Roman" w:hAnsi="Times New Roman" w:cs="Times New Roman"/>
          <w:sz w:val="24"/>
          <w:szCs w:val="24"/>
        </w:rPr>
        <w:t xml:space="preserve"> 150 yards of the fortress on the night of November 29</w:t>
      </w:r>
      <w:r w:rsidRPr="006A6DED">
        <w:rPr>
          <w:rFonts w:ascii="Times New Roman" w:hAnsi="Times New Roman" w:cs="Times New Roman"/>
          <w:sz w:val="24"/>
          <w:szCs w:val="24"/>
          <w:vertAlign w:val="superscript"/>
        </w:rPr>
        <w:t>th</w:t>
      </w:r>
      <w:r w:rsidRPr="006A6DED">
        <w:rPr>
          <w:rFonts w:ascii="Times New Roman" w:hAnsi="Times New Roman" w:cs="Times New Roman"/>
          <w:sz w:val="24"/>
          <w:szCs w:val="24"/>
        </w:rPr>
        <w:t>, hunkering down amidst the snow and freezing rain while awaiting the order to attack.</w:t>
      </w:r>
      <w:r w:rsidRPr="006A6DED">
        <w:rPr>
          <w:rFonts w:ascii="Times New Roman" w:hAnsi="Times New Roman" w:cs="Times New Roman"/>
          <w:sz w:val="24"/>
          <w:szCs w:val="24"/>
          <w:vertAlign w:val="superscript"/>
        </w:rPr>
        <w:footnoteReference w:id="138"/>
      </w:r>
      <w:r w:rsidRPr="006A6DED">
        <w:rPr>
          <w:rFonts w:ascii="Times New Roman" w:hAnsi="Times New Roman" w:cs="Times New Roman"/>
          <w:sz w:val="24"/>
          <w:szCs w:val="24"/>
        </w:rPr>
        <w:t xml:space="preserve"> The Union soldiers atop the wall of the fortress shot at the Confederate forces beneath them as they became ensnarled in the </w:t>
      </w:r>
      <w:r w:rsidR="00DC1030">
        <w:rPr>
          <w:rFonts w:ascii="Times New Roman" w:hAnsi="Times New Roman" w:cs="Times New Roman"/>
          <w:sz w:val="24"/>
          <w:szCs w:val="24"/>
        </w:rPr>
        <w:t>tripwires</w:t>
      </w:r>
      <w:r w:rsidRPr="006A6DED">
        <w:rPr>
          <w:rFonts w:ascii="Times New Roman" w:hAnsi="Times New Roman" w:cs="Times New Roman"/>
          <w:sz w:val="24"/>
          <w:szCs w:val="24"/>
        </w:rPr>
        <w:t xml:space="preserve"> laid out in advance.</w:t>
      </w:r>
      <w:r w:rsidRPr="006A6DED">
        <w:rPr>
          <w:rFonts w:ascii="Times New Roman" w:hAnsi="Times New Roman" w:cs="Times New Roman"/>
          <w:sz w:val="24"/>
          <w:szCs w:val="24"/>
          <w:vertAlign w:val="superscript"/>
        </w:rPr>
        <w:footnoteReference w:id="139"/>
      </w:r>
      <w:r w:rsidRPr="006A6DED">
        <w:rPr>
          <w:rFonts w:ascii="Times New Roman" w:hAnsi="Times New Roman" w:cs="Times New Roman"/>
          <w:sz w:val="24"/>
          <w:szCs w:val="24"/>
        </w:rPr>
        <w:t xml:space="preserve"> The Confederates who escaped the wires and evaded the incoming fire were quickly faced with the large ditch and then the wall</w:t>
      </w:r>
      <w:r w:rsidR="00C70667">
        <w:rPr>
          <w:rFonts w:ascii="Times New Roman" w:hAnsi="Times New Roman" w:cs="Times New Roman"/>
          <w:sz w:val="24"/>
          <w:szCs w:val="24"/>
        </w:rPr>
        <w:t>.</w:t>
      </w:r>
      <w:r w:rsidR="00C70667">
        <w:rPr>
          <w:rStyle w:val="FootnoteReference"/>
          <w:rFonts w:ascii="Times New Roman" w:hAnsi="Times New Roman" w:cs="Times New Roman"/>
          <w:sz w:val="24"/>
          <w:szCs w:val="24"/>
        </w:rPr>
        <w:footnoteReference w:id="140"/>
      </w:r>
      <w:r w:rsidRPr="006A6DED">
        <w:rPr>
          <w:rFonts w:ascii="Times New Roman" w:hAnsi="Times New Roman" w:cs="Times New Roman"/>
          <w:sz w:val="24"/>
          <w:szCs w:val="24"/>
        </w:rPr>
        <w:t xml:space="preserve"> </w:t>
      </w:r>
      <w:r w:rsidR="00C70667">
        <w:rPr>
          <w:rFonts w:ascii="Times New Roman" w:hAnsi="Times New Roman" w:cs="Times New Roman"/>
          <w:sz w:val="24"/>
          <w:szCs w:val="24"/>
        </w:rPr>
        <w:t>These</w:t>
      </w:r>
      <w:r w:rsidRPr="006A6DED">
        <w:rPr>
          <w:rFonts w:ascii="Times New Roman" w:hAnsi="Times New Roman" w:cs="Times New Roman"/>
          <w:sz w:val="24"/>
          <w:szCs w:val="24"/>
        </w:rPr>
        <w:t xml:space="preserve"> men were unable to find sustainable footholds and resorted to climbing </w:t>
      </w:r>
      <w:r w:rsidRPr="006A6DED">
        <w:rPr>
          <w:rFonts w:ascii="Times New Roman" w:hAnsi="Times New Roman" w:cs="Times New Roman"/>
          <w:sz w:val="24"/>
          <w:szCs w:val="24"/>
        </w:rPr>
        <w:lastRenderedPageBreak/>
        <w:t>upon each other’s shoulders to reach the top of the wall.</w:t>
      </w:r>
      <w:r w:rsidRPr="006A6DED">
        <w:rPr>
          <w:rFonts w:ascii="Times New Roman" w:hAnsi="Times New Roman" w:cs="Times New Roman"/>
          <w:sz w:val="24"/>
          <w:szCs w:val="24"/>
          <w:vertAlign w:val="superscript"/>
        </w:rPr>
        <w:footnoteReference w:id="141"/>
      </w:r>
      <w:r w:rsidRPr="006A6DED">
        <w:rPr>
          <w:rFonts w:ascii="Times New Roman" w:hAnsi="Times New Roman" w:cs="Times New Roman"/>
          <w:sz w:val="24"/>
          <w:szCs w:val="24"/>
        </w:rPr>
        <w:t xml:space="preserve"> The Union forces launched an assault upon these men that included every type of ammunition they had available, even throwing artillery shells like modern hand grenades.</w:t>
      </w:r>
      <w:r w:rsidRPr="006A6DED">
        <w:rPr>
          <w:rFonts w:ascii="Times New Roman" w:hAnsi="Times New Roman" w:cs="Times New Roman"/>
          <w:sz w:val="24"/>
          <w:szCs w:val="24"/>
          <w:vertAlign w:val="superscript"/>
        </w:rPr>
        <w:footnoteReference w:id="142"/>
      </w:r>
      <w:r w:rsidRPr="006A6DED">
        <w:rPr>
          <w:rFonts w:ascii="Times New Roman" w:hAnsi="Times New Roman" w:cs="Times New Roman"/>
          <w:sz w:val="24"/>
          <w:szCs w:val="24"/>
        </w:rPr>
        <w:t xml:space="preserve"> Some Confederate forces reached the top of the wall and planted their flags, but they were shot down almost immediately by Union forces.</w:t>
      </w:r>
      <w:r w:rsidRPr="006A6DED">
        <w:rPr>
          <w:rFonts w:ascii="Times New Roman" w:hAnsi="Times New Roman" w:cs="Times New Roman"/>
          <w:sz w:val="24"/>
          <w:szCs w:val="24"/>
          <w:vertAlign w:val="superscript"/>
        </w:rPr>
        <w:footnoteReference w:id="143"/>
      </w:r>
      <w:r w:rsidRPr="006A6DED">
        <w:rPr>
          <w:rFonts w:ascii="Times New Roman" w:hAnsi="Times New Roman" w:cs="Times New Roman"/>
          <w:sz w:val="24"/>
          <w:szCs w:val="24"/>
        </w:rPr>
        <w:t xml:space="preserve"> After less than an hour of battle, the Confederate forces retreated, unable to overcome the physical structure of Fort Sanders</w:t>
      </w:r>
      <w:r w:rsidR="00533D14">
        <w:rPr>
          <w:rFonts w:ascii="Times New Roman" w:hAnsi="Times New Roman" w:cs="Times New Roman"/>
          <w:sz w:val="24"/>
          <w:szCs w:val="24"/>
        </w:rPr>
        <w:t xml:space="preserve"> (</w:t>
      </w:r>
      <w:r w:rsidR="00533D14">
        <w:rPr>
          <w:rFonts w:ascii="Times New Roman" w:hAnsi="Times New Roman" w:cs="Times New Roman"/>
          <w:b/>
          <w:bCs/>
          <w:sz w:val="24"/>
          <w:szCs w:val="24"/>
        </w:rPr>
        <w:t>Figure 1.2</w:t>
      </w:r>
      <w:r w:rsidR="00533D14">
        <w:rPr>
          <w:rFonts w:ascii="Times New Roman" w:hAnsi="Times New Roman" w:cs="Times New Roman"/>
          <w:sz w:val="24"/>
          <w:szCs w:val="24"/>
        </w:rPr>
        <w:t>)</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144"/>
      </w:r>
      <w:r w:rsidRPr="006A6DED">
        <w:rPr>
          <w:rFonts w:ascii="Times New Roman" w:hAnsi="Times New Roman" w:cs="Times New Roman"/>
          <w:sz w:val="24"/>
          <w:szCs w:val="24"/>
        </w:rPr>
        <w:t xml:space="preserve"> This lopsided Union victory drew attention </w:t>
      </w:r>
      <w:r w:rsidR="00D70FE0">
        <w:rPr>
          <w:rFonts w:ascii="Times New Roman" w:hAnsi="Times New Roman" w:cs="Times New Roman"/>
          <w:sz w:val="24"/>
          <w:szCs w:val="24"/>
        </w:rPr>
        <w:t>to</w:t>
      </w:r>
      <w:r w:rsidRPr="006A6DED">
        <w:rPr>
          <w:rFonts w:ascii="Times New Roman" w:hAnsi="Times New Roman" w:cs="Times New Roman"/>
          <w:sz w:val="24"/>
          <w:szCs w:val="24"/>
        </w:rPr>
        <w:t xml:space="preserve"> the construction of the fort, bringing Babcock and his fellow engineers an increased reputation in the wake of the victory in Knoxville.</w:t>
      </w:r>
      <w:r w:rsidRPr="006A6DED">
        <w:rPr>
          <w:rFonts w:ascii="Times New Roman" w:hAnsi="Times New Roman" w:cs="Times New Roman"/>
          <w:sz w:val="24"/>
          <w:szCs w:val="24"/>
          <w:vertAlign w:val="superscript"/>
        </w:rPr>
        <w:footnoteReference w:id="145"/>
      </w:r>
    </w:p>
    <w:p w14:paraId="0A21274A" w14:textId="5589EB04" w:rsidR="006A6DED" w:rsidRDefault="009931C4" w:rsidP="009931C4">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Perhaps because of the notoriety he gained in East Tennessee, Babcock was promoted twice, first to </w:t>
      </w:r>
      <w:r>
        <w:rPr>
          <w:rFonts w:ascii="Times New Roman" w:hAnsi="Times New Roman" w:cs="Times New Roman"/>
          <w:sz w:val="24"/>
          <w:szCs w:val="24"/>
        </w:rPr>
        <w:t>B</w:t>
      </w:r>
      <w:r w:rsidRPr="006A6DED">
        <w:rPr>
          <w:rFonts w:ascii="Times New Roman" w:hAnsi="Times New Roman" w:cs="Times New Roman"/>
          <w:sz w:val="24"/>
          <w:szCs w:val="24"/>
        </w:rPr>
        <w:t xml:space="preserve">revet </w:t>
      </w:r>
      <w:r>
        <w:rPr>
          <w:rFonts w:ascii="Times New Roman" w:hAnsi="Times New Roman" w:cs="Times New Roman"/>
          <w:sz w:val="24"/>
          <w:szCs w:val="24"/>
        </w:rPr>
        <w:t>M</w:t>
      </w:r>
      <w:r w:rsidRPr="006A6DED">
        <w:rPr>
          <w:rFonts w:ascii="Times New Roman" w:hAnsi="Times New Roman" w:cs="Times New Roman"/>
          <w:sz w:val="24"/>
          <w:szCs w:val="24"/>
        </w:rPr>
        <w:t>ajor and Chief Engineer of the Department of the Ohio in November</w:t>
      </w:r>
      <w:r>
        <w:rPr>
          <w:rFonts w:ascii="Times New Roman" w:hAnsi="Times New Roman" w:cs="Times New Roman"/>
          <w:sz w:val="24"/>
          <w:szCs w:val="24"/>
        </w:rPr>
        <w:t xml:space="preserve"> 1863, </w:t>
      </w:r>
      <w:r w:rsidRPr="006A6DED">
        <w:rPr>
          <w:rFonts w:ascii="Times New Roman" w:hAnsi="Times New Roman" w:cs="Times New Roman"/>
          <w:sz w:val="24"/>
          <w:szCs w:val="24"/>
        </w:rPr>
        <w:t xml:space="preserve">and then to </w:t>
      </w:r>
      <w:r>
        <w:rPr>
          <w:rFonts w:ascii="Times New Roman" w:hAnsi="Times New Roman" w:cs="Times New Roman"/>
          <w:sz w:val="24"/>
          <w:szCs w:val="24"/>
        </w:rPr>
        <w:t>L</w:t>
      </w:r>
      <w:r w:rsidRPr="006A6DED">
        <w:rPr>
          <w:rFonts w:ascii="Times New Roman" w:hAnsi="Times New Roman" w:cs="Times New Roman"/>
          <w:sz w:val="24"/>
          <w:szCs w:val="24"/>
        </w:rPr>
        <w:t xml:space="preserve">ieutenant </w:t>
      </w:r>
      <w:r>
        <w:rPr>
          <w:rFonts w:ascii="Times New Roman" w:hAnsi="Times New Roman" w:cs="Times New Roman"/>
          <w:sz w:val="24"/>
          <w:szCs w:val="24"/>
        </w:rPr>
        <w:t>C</w:t>
      </w:r>
      <w:r w:rsidRPr="006A6DED">
        <w:rPr>
          <w:rFonts w:ascii="Times New Roman" w:hAnsi="Times New Roman" w:cs="Times New Roman"/>
          <w:sz w:val="24"/>
          <w:szCs w:val="24"/>
        </w:rPr>
        <w:t>olonel in the regular army in March 1864.</w:t>
      </w:r>
      <w:r w:rsidRPr="006A6DED">
        <w:rPr>
          <w:rFonts w:ascii="Times New Roman" w:hAnsi="Times New Roman" w:cs="Times New Roman"/>
          <w:sz w:val="24"/>
          <w:szCs w:val="24"/>
          <w:vertAlign w:val="superscript"/>
        </w:rPr>
        <w:footnoteReference w:id="146"/>
      </w:r>
      <w:r w:rsidRPr="009931C4">
        <w:rPr>
          <w:rFonts w:ascii="Times New Roman" w:hAnsi="Times New Roman" w:cs="Times New Roman"/>
          <w:sz w:val="24"/>
          <w:szCs w:val="24"/>
        </w:rPr>
        <w:t xml:space="preserve"> </w:t>
      </w:r>
      <w:r w:rsidRPr="006A6DED">
        <w:rPr>
          <w:rFonts w:ascii="Times New Roman" w:hAnsi="Times New Roman" w:cs="Times New Roman"/>
          <w:sz w:val="24"/>
          <w:szCs w:val="24"/>
        </w:rPr>
        <w:t xml:space="preserve">Perhaps more </w:t>
      </w:r>
    </w:p>
    <w:p w14:paraId="34ECF8BB" w14:textId="77777777" w:rsidR="006A6DED" w:rsidRPr="006A6DED" w:rsidRDefault="006A6DED" w:rsidP="006A6DED">
      <w:pPr>
        <w:jc w:val="center"/>
        <w:rPr>
          <w:rFonts w:ascii="Times New Roman" w:hAnsi="Times New Roman" w:cs="Times New Roman"/>
          <w:sz w:val="24"/>
          <w:szCs w:val="24"/>
        </w:rPr>
      </w:pPr>
      <w:r w:rsidRPr="006A6DED">
        <w:rPr>
          <w:noProof/>
        </w:rPr>
        <w:drawing>
          <wp:inline distT="0" distB="0" distL="0" distR="0" wp14:anchorId="2106021C" wp14:editId="147CE26A">
            <wp:extent cx="3279913" cy="2286000"/>
            <wp:effectExtent l="0" t="0" r="0" b="0"/>
            <wp:docPr id="460126720" name="Picture 1" descr="A person and person standing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26720" name="Picture 1" descr="A person and person standing in a field&#10;&#10;AI-generated content may be incorrect."/>
                    <pic:cNvPicPr/>
                  </pic:nvPicPr>
                  <pic:blipFill rotWithShape="1">
                    <a:blip r:embed="rId13"/>
                    <a:srcRect l="12564" t="6382" r="15513" b="4502"/>
                    <a:stretch/>
                  </pic:blipFill>
                  <pic:spPr bwMode="auto">
                    <a:xfrm>
                      <a:off x="0" y="0"/>
                      <a:ext cx="3298085" cy="2298665"/>
                    </a:xfrm>
                    <a:prstGeom prst="rect">
                      <a:avLst/>
                    </a:prstGeom>
                    <a:ln>
                      <a:noFill/>
                    </a:ln>
                    <a:extLst>
                      <a:ext uri="{53640926-AAD7-44D8-BBD7-CCE9431645EC}">
                        <a14:shadowObscured xmlns:a14="http://schemas.microsoft.com/office/drawing/2010/main"/>
                      </a:ext>
                    </a:extLst>
                  </pic:spPr>
                </pic:pic>
              </a:graphicData>
            </a:graphic>
          </wp:inline>
        </w:drawing>
      </w:r>
    </w:p>
    <w:p w14:paraId="020EF647" w14:textId="266EA4C6" w:rsidR="006A6DED" w:rsidRPr="006A6DED" w:rsidRDefault="00E1766C" w:rsidP="0043552B">
      <w:pPr>
        <w:rPr>
          <w:rFonts w:ascii="Times New Roman" w:hAnsi="Times New Roman" w:cs="Times New Roman"/>
          <w:sz w:val="20"/>
          <w:szCs w:val="20"/>
        </w:rPr>
      </w:pPr>
      <w:r>
        <w:rPr>
          <w:rFonts w:ascii="Times New Roman" w:hAnsi="Times New Roman" w:cs="Times New Roman"/>
          <w:b/>
          <w:bCs/>
          <w:sz w:val="20"/>
          <w:szCs w:val="20"/>
        </w:rPr>
        <w:t xml:space="preserve">Figure 1.2: </w:t>
      </w:r>
      <w:r w:rsidR="00102CF2">
        <w:rPr>
          <w:rFonts w:ascii="Times New Roman" w:hAnsi="Times New Roman" w:cs="Times New Roman"/>
          <w:b/>
          <w:bCs/>
          <w:sz w:val="20"/>
          <w:szCs w:val="20"/>
        </w:rPr>
        <w:t xml:space="preserve">Fort Sanders: </w:t>
      </w:r>
      <w:r w:rsidR="006A6DED" w:rsidRPr="006A6DED">
        <w:rPr>
          <w:rFonts w:ascii="Times New Roman" w:hAnsi="Times New Roman" w:cs="Times New Roman"/>
          <w:sz w:val="20"/>
          <w:szCs w:val="20"/>
        </w:rPr>
        <w:t>Photo of Colonel Orville Babcock and Colonel Orlando M. Poe at Fort Sanders, Knoxville, TN</w:t>
      </w:r>
      <w:r w:rsidR="006A6DED" w:rsidRPr="006A6DED">
        <w:rPr>
          <w:rFonts w:ascii="Times New Roman" w:hAnsi="Times New Roman" w:cs="Times New Roman"/>
          <w:sz w:val="20"/>
          <w:szCs w:val="20"/>
          <w:vertAlign w:val="superscript"/>
        </w:rPr>
        <w:footnoteReference w:id="147"/>
      </w:r>
    </w:p>
    <w:p w14:paraId="130ABB31" w14:textId="3F8790E6" w:rsidR="006A6DED" w:rsidRPr="006A6DED" w:rsidRDefault="009931C4"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lastRenderedPageBreak/>
        <w:t xml:space="preserve">importantly, </w:t>
      </w:r>
      <w:r>
        <w:rPr>
          <w:rFonts w:ascii="Times New Roman" w:hAnsi="Times New Roman" w:cs="Times New Roman"/>
          <w:sz w:val="24"/>
          <w:szCs w:val="24"/>
        </w:rPr>
        <w:t>Babcock</w:t>
      </w:r>
      <w:r w:rsidRPr="006A6DED">
        <w:rPr>
          <w:rFonts w:ascii="Times New Roman" w:hAnsi="Times New Roman" w:cs="Times New Roman"/>
          <w:sz w:val="24"/>
          <w:szCs w:val="24"/>
        </w:rPr>
        <w:t xml:space="preserve"> was</w:t>
      </w:r>
      <w:r w:rsidRPr="006A6DED">
        <w:rPr>
          <w:rFonts w:ascii="Times New Roman" w:hAnsi="Times New Roman" w:cs="Times New Roman"/>
          <w:sz w:val="24"/>
          <w:szCs w:val="24"/>
        </w:rPr>
        <w:t xml:space="preserve"> </w:t>
      </w:r>
      <w:r w:rsidR="006A6DED" w:rsidRPr="006A6DED">
        <w:rPr>
          <w:rFonts w:ascii="Times New Roman" w:hAnsi="Times New Roman" w:cs="Times New Roman"/>
          <w:sz w:val="24"/>
          <w:szCs w:val="24"/>
        </w:rPr>
        <w:t xml:space="preserve">made one of the </w:t>
      </w:r>
      <w:r w:rsidR="006A6DED" w:rsidRPr="007B1A34">
        <w:rPr>
          <w:rFonts w:ascii="Times New Roman" w:hAnsi="Times New Roman" w:cs="Times New Roman"/>
          <w:i/>
          <w:iCs/>
          <w:sz w:val="24"/>
          <w:szCs w:val="24"/>
        </w:rPr>
        <w:t>aides-de-camp</w:t>
      </w:r>
      <w:r w:rsidR="006A6DED" w:rsidRPr="006A6DED">
        <w:rPr>
          <w:rFonts w:ascii="Times New Roman" w:hAnsi="Times New Roman" w:cs="Times New Roman"/>
          <w:sz w:val="24"/>
          <w:szCs w:val="24"/>
        </w:rPr>
        <w:t xml:space="preserve"> of Lieutenant General Ulysses S. Grant at the time of his promotion to </w:t>
      </w:r>
      <w:r w:rsidR="00463AB2">
        <w:rPr>
          <w:rFonts w:ascii="Times New Roman" w:hAnsi="Times New Roman" w:cs="Times New Roman"/>
          <w:sz w:val="24"/>
          <w:szCs w:val="24"/>
        </w:rPr>
        <w:t>L</w:t>
      </w:r>
      <w:r w:rsidR="006A6DED" w:rsidRPr="006A6DED">
        <w:rPr>
          <w:rFonts w:ascii="Times New Roman" w:hAnsi="Times New Roman" w:cs="Times New Roman"/>
          <w:sz w:val="24"/>
          <w:szCs w:val="24"/>
        </w:rPr>
        <w:t xml:space="preserve">ieutenant </w:t>
      </w:r>
      <w:r w:rsidR="00463AB2">
        <w:rPr>
          <w:rFonts w:ascii="Times New Roman" w:hAnsi="Times New Roman" w:cs="Times New Roman"/>
          <w:sz w:val="24"/>
          <w:szCs w:val="24"/>
        </w:rPr>
        <w:t>C</w:t>
      </w:r>
      <w:r w:rsidR="006A6DED" w:rsidRPr="006A6DED">
        <w:rPr>
          <w:rFonts w:ascii="Times New Roman" w:hAnsi="Times New Roman" w:cs="Times New Roman"/>
          <w:sz w:val="24"/>
          <w:szCs w:val="24"/>
        </w:rPr>
        <w:t>olonel.</w:t>
      </w:r>
      <w:r w:rsidR="006A6DED" w:rsidRPr="006A6DED">
        <w:rPr>
          <w:rFonts w:ascii="Times New Roman" w:hAnsi="Times New Roman" w:cs="Times New Roman"/>
          <w:sz w:val="24"/>
          <w:szCs w:val="24"/>
          <w:vertAlign w:val="superscript"/>
        </w:rPr>
        <w:footnoteReference w:id="148"/>
      </w:r>
      <w:r w:rsidR="006A6DED" w:rsidRPr="006A6DED">
        <w:rPr>
          <w:rFonts w:ascii="Times New Roman" w:hAnsi="Times New Roman" w:cs="Times New Roman"/>
          <w:sz w:val="24"/>
          <w:szCs w:val="24"/>
        </w:rPr>
        <w:t xml:space="preserve"> Babcock served under General Grant for the remainder of the war, beginning with the Overland Campaign as Grant’s forces pursued Confederate General Robert E. Lee and his Army of Northern Virginia.</w:t>
      </w:r>
      <w:r w:rsidR="006A6DED" w:rsidRPr="006A6DED">
        <w:rPr>
          <w:rFonts w:ascii="Times New Roman" w:hAnsi="Times New Roman" w:cs="Times New Roman"/>
          <w:sz w:val="24"/>
          <w:szCs w:val="24"/>
          <w:vertAlign w:val="superscript"/>
        </w:rPr>
        <w:footnoteReference w:id="149"/>
      </w:r>
      <w:r w:rsidR="006A6DED" w:rsidRPr="006A6DED">
        <w:rPr>
          <w:rFonts w:ascii="Times New Roman" w:hAnsi="Times New Roman" w:cs="Times New Roman"/>
          <w:sz w:val="24"/>
          <w:szCs w:val="24"/>
        </w:rPr>
        <w:t xml:space="preserve"> In this new post, Babcock became Grant’s military majordomo, serving as his staff engineer while also accomplishing </w:t>
      </w:r>
      <w:r w:rsidR="007652A1">
        <w:rPr>
          <w:rFonts w:ascii="Times New Roman" w:hAnsi="Times New Roman" w:cs="Times New Roman"/>
          <w:sz w:val="24"/>
          <w:szCs w:val="24"/>
        </w:rPr>
        <w:t>many</w:t>
      </w:r>
      <w:r w:rsidR="006A6DED" w:rsidRPr="006A6DED">
        <w:rPr>
          <w:rFonts w:ascii="Times New Roman" w:hAnsi="Times New Roman" w:cs="Times New Roman"/>
          <w:sz w:val="24"/>
          <w:szCs w:val="24"/>
        </w:rPr>
        <w:t xml:space="preserve"> other tasks on behalf of his commander like running dispatches between Grant and Major General William Tecumseh Sherman during Sherman’s March to the Sea through Georgia.</w:t>
      </w:r>
      <w:r w:rsidR="006A6DED" w:rsidRPr="006A6DED">
        <w:rPr>
          <w:rFonts w:ascii="Times New Roman" w:hAnsi="Times New Roman" w:cs="Times New Roman"/>
          <w:sz w:val="24"/>
          <w:szCs w:val="24"/>
          <w:vertAlign w:val="superscript"/>
        </w:rPr>
        <w:footnoteReference w:id="150"/>
      </w:r>
      <w:r w:rsidR="006A6DED" w:rsidRPr="006A6DED">
        <w:rPr>
          <w:rFonts w:ascii="Times New Roman" w:hAnsi="Times New Roman" w:cs="Times New Roman"/>
          <w:sz w:val="24"/>
          <w:szCs w:val="24"/>
        </w:rPr>
        <w:t xml:space="preserve"> Babcock engaged in the conflict itself in such battles as </w:t>
      </w:r>
      <w:r w:rsidR="004B6D86">
        <w:rPr>
          <w:rFonts w:ascii="Times New Roman" w:hAnsi="Times New Roman" w:cs="Times New Roman"/>
          <w:sz w:val="24"/>
          <w:szCs w:val="24"/>
        </w:rPr>
        <w:t>The</w:t>
      </w:r>
      <w:r w:rsidR="006A6DED" w:rsidRPr="006A6DED">
        <w:rPr>
          <w:rFonts w:ascii="Times New Roman" w:hAnsi="Times New Roman" w:cs="Times New Roman"/>
          <w:sz w:val="24"/>
          <w:szCs w:val="24"/>
        </w:rPr>
        <w:t xml:space="preserve"> Wilderness, Spotsylvania Court House, and Cold Harbor.</w:t>
      </w:r>
      <w:r w:rsidR="006A6DED" w:rsidRPr="006A6DED">
        <w:rPr>
          <w:rFonts w:ascii="Times New Roman" w:hAnsi="Times New Roman" w:cs="Times New Roman"/>
          <w:sz w:val="24"/>
          <w:szCs w:val="24"/>
          <w:vertAlign w:val="superscript"/>
        </w:rPr>
        <w:footnoteReference w:id="151"/>
      </w:r>
      <w:r w:rsidR="006A6DED" w:rsidRPr="006A6DED">
        <w:rPr>
          <w:rFonts w:ascii="Times New Roman" w:hAnsi="Times New Roman" w:cs="Times New Roman"/>
          <w:sz w:val="24"/>
          <w:szCs w:val="24"/>
        </w:rPr>
        <w:t xml:space="preserve"> On May 6, 1864, for gallantry in service at </w:t>
      </w:r>
      <w:r w:rsidR="00E23D42">
        <w:rPr>
          <w:rFonts w:ascii="Times New Roman" w:hAnsi="Times New Roman" w:cs="Times New Roman"/>
          <w:sz w:val="24"/>
          <w:szCs w:val="24"/>
        </w:rPr>
        <w:t>T</w:t>
      </w:r>
      <w:r w:rsidR="006A6DED" w:rsidRPr="006A6DED">
        <w:rPr>
          <w:rFonts w:ascii="Times New Roman" w:hAnsi="Times New Roman" w:cs="Times New Roman"/>
          <w:sz w:val="24"/>
          <w:szCs w:val="24"/>
        </w:rPr>
        <w:t xml:space="preserve">he Wilderness, Babcock was appointed </w:t>
      </w:r>
      <w:r w:rsidR="00E23D42">
        <w:rPr>
          <w:rFonts w:ascii="Times New Roman" w:hAnsi="Times New Roman" w:cs="Times New Roman"/>
          <w:sz w:val="24"/>
          <w:szCs w:val="24"/>
        </w:rPr>
        <w:t>B</w:t>
      </w:r>
      <w:r w:rsidR="006A6DED" w:rsidRPr="006A6DED">
        <w:rPr>
          <w:rFonts w:ascii="Times New Roman" w:hAnsi="Times New Roman" w:cs="Times New Roman"/>
          <w:sz w:val="24"/>
          <w:szCs w:val="24"/>
        </w:rPr>
        <w:t xml:space="preserve">revet </w:t>
      </w:r>
      <w:r w:rsidR="00E23D42">
        <w:rPr>
          <w:rFonts w:ascii="Times New Roman" w:hAnsi="Times New Roman" w:cs="Times New Roman"/>
          <w:sz w:val="24"/>
          <w:szCs w:val="24"/>
        </w:rPr>
        <w:t>L</w:t>
      </w:r>
      <w:r w:rsidR="006A6DED" w:rsidRPr="006A6DED">
        <w:rPr>
          <w:rFonts w:ascii="Times New Roman" w:hAnsi="Times New Roman" w:cs="Times New Roman"/>
          <w:sz w:val="24"/>
          <w:szCs w:val="24"/>
        </w:rPr>
        <w:t xml:space="preserve">ieutenant </w:t>
      </w:r>
      <w:r w:rsidR="00E23D42">
        <w:rPr>
          <w:rFonts w:ascii="Times New Roman" w:hAnsi="Times New Roman" w:cs="Times New Roman"/>
          <w:sz w:val="24"/>
          <w:szCs w:val="24"/>
        </w:rPr>
        <w:t>C</w:t>
      </w:r>
      <w:r w:rsidR="006A6DED" w:rsidRPr="006A6DED">
        <w:rPr>
          <w:rFonts w:ascii="Times New Roman" w:hAnsi="Times New Roman" w:cs="Times New Roman"/>
          <w:sz w:val="24"/>
          <w:szCs w:val="24"/>
        </w:rPr>
        <w:t>olonel of U.S. Volunteers.</w:t>
      </w:r>
      <w:r w:rsidR="006A6DED" w:rsidRPr="006A6DED">
        <w:rPr>
          <w:rFonts w:ascii="Times New Roman" w:hAnsi="Times New Roman" w:cs="Times New Roman"/>
          <w:sz w:val="24"/>
          <w:szCs w:val="24"/>
          <w:vertAlign w:val="superscript"/>
        </w:rPr>
        <w:footnoteReference w:id="152"/>
      </w:r>
      <w:r w:rsidR="006A6DED" w:rsidRPr="006A6DED">
        <w:rPr>
          <w:rFonts w:ascii="Times New Roman" w:hAnsi="Times New Roman" w:cs="Times New Roman"/>
          <w:sz w:val="24"/>
          <w:szCs w:val="24"/>
        </w:rPr>
        <w:t xml:space="preserve"> On August 9, 1864, Babcock was injured while stationed at Union Headquarters in City Point, Virginia as Confederate spies blew up an ammunition barge near the city’s bluffs.</w:t>
      </w:r>
      <w:r w:rsidR="006A6DED" w:rsidRPr="006A6DED">
        <w:rPr>
          <w:rFonts w:ascii="Times New Roman" w:hAnsi="Times New Roman" w:cs="Times New Roman"/>
          <w:sz w:val="24"/>
          <w:szCs w:val="24"/>
          <w:vertAlign w:val="superscript"/>
        </w:rPr>
        <w:footnoteReference w:id="153"/>
      </w:r>
      <w:r w:rsidR="006A6DED" w:rsidRPr="006A6DED">
        <w:rPr>
          <w:rFonts w:ascii="Times New Roman" w:hAnsi="Times New Roman" w:cs="Times New Roman"/>
          <w:sz w:val="24"/>
          <w:szCs w:val="24"/>
        </w:rPr>
        <w:t xml:space="preserve"> To Babcock’s relief, he only injured his hand in the explosion, and not so much</w:t>
      </w:r>
      <w:r w:rsidR="00E03B15">
        <w:rPr>
          <w:rFonts w:ascii="Times New Roman" w:hAnsi="Times New Roman" w:cs="Times New Roman"/>
          <w:sz w:val="24"/>
          <w:szCs w:val="24"/>
        </w:rPr>
        <w:t xml:space="preserve"> as</w:t>
      </w:r>
      <w:r w:rsidR="006A6DED" w:rsidRPr="006A6DED">
        <w:rPr>
          <w:rFonts w:ascii="Times New Roman" w:hAnsi="Times New Roman" w:cs="Times New Roman"/>
          <w:sz w:val="24"/>
          <w:szCs w:val="24"/>
        </w:rPr>
        <w:t xml:space="preserve"> to leave him permanently disabled as was the case for so many of his fellow Civil War soldiers.</w:t>
      </w:r>
      <w:r w:rsidR="006A6DED" w:rsidRPr="006A6DED">
        <w:rPr>
          <w:rFonts w:ascii="Times New Roman" w:hAnsi="Times New Roman" w:cs="Times New Roman"/>
          <w:sz w:val="24"/>
          <w:szCs w:val="24"/>
          <w:vertAlign w:val="superscript"/>
        </w:rPr>
        <w:footnoteReference w:id="154"/>
      </w:r>
    </w:p>
    <w:p w14:paraId="11CFAB0B" w14:textId="77777777" w:rsidR="00DF7ED7" w:rsidRDefault="006A6DED" w:rsidP="00DF7ED7">
      <w:pPr>
        <w:spacing w:after="0" w:line="480" w:lineRule="auto"/>
        <w:rPr>
          <w:rFonts w:ascii="Times New Roman" w:hAnsi="Times New Roman" w:cs="Times New Roman"/>
          <w:sz w:val="24"/>
          <w:szCs w:val="24"/>
        </w:rPr>
      </w:pPr>
      <w:r w:rsidRPr="006A6DED">
        <w:rPr>
          <w:rFonts w:ascii="Times New Roman" w:hAnsi="Times New Roman" w:cs="Times New Roman"/>
          <w:sz w:val="24"/>
          <w:szCs w:val="24"/>
        </w:rPr>
        <w:tab/>
        <w:t>Babcock played an incredibly significant role in the cessation of fighting in the Eastern Theater of the Civil War. On April 9</w:t>
      </w:r>
      <w:r w:rsidRPr="006A6DED">
        <w:rPr>
          <w:rFonts w:ascii="Times New Roman" w:hAnsi="Times New Roman" w:cs="Times New Roman"/>
          <w:sz w:val="24"/>
          <w:szCs w:val="24"/>
          <w:vertAlign w:val="superscript"/>
        </w:rPr>
        <w:t>th</w:t>
      </w:r>
      <w:r w:rsidRPr="006A6DED">
        <w:rPr>
          <w:rFonts w:ascii="Times New Roman" w:hAnsi="Times New Roman" w:cs="Times New Roman"/>
          <w:sz w:val="24"/>
          <w:szCs w:val="24"/>
        </w:rPr>
        <w:t>, 1865, after months of pursuit by General Grant’s Army of the Potomac, Confederate General Robert E. Lee took his final defeat as a commander at the Battle of Appomattox and formally requested to discuss the terms of surrender with Grant.</w:t>
      </w:r>
      <w:r w:rsidRPr="006A6DED">
        <w:rPr>
          <w:rFonts w:ascii="Times New Roman" w:hAnsi="Times New Roman" w:cs="Times New Roman"/>
          <w:sz w:val="24"/>
          <w:szCs w:val="24"/>
          <w:vertAlign w:val="superscript"/>
        </w:rPr>
        <w:footnoteReference w:id="155"/>
      </w:r>
      <w:r w:rsidRPr="006A6DED">
        <w:rPr>
          <w:rFonts w:ascii="Times New Roman" w:hAnsi="Times New Roman" w:cs="Times New Roman"/>
          <w:sz w:val="24"/>
          <w:szCs w:val="24"/>
        </w:rPr>
        <w:t xml:space="preserve"> </w:t>
      </w:r>
      <w:r w:rsidRPr="006A6DED">
        <w:rPr>
          <w:rFonts w:ascii="Times New Roman" w:hAnsi="Times New Roman" w:cs="Times New Roman"/>
          <w:sz w:val="24"/>
          <w:szCs w:val="24"/>
        </w:rPr>
        <w:lastRenderedPageBreak/>
        <w:t>Grant ordered Babcock to find a suitable site for the two generals to meet and then to cross enemy lines and escort Lee to the chosen site.</w:t>
      </w:r>
      <w:r w:rsidRPr="006A6DED">
        <w:rPr>
          <w:rFonts w:ascii="Times New Roman" w:hAnsi="Times New Roman" w:cs="Times New Roman"/>
          <w:sz w:val="24"/>
          <w:szCs w:val="24"/>
          <w:vertAlign w:val="superscript"/>
        </w:rPr>
        <w:footnoteReference w:id="156"/>
      </w:r>
      <w:r w:rsidRPr="006A6DED">
        <w:rPr>
          <w:rFonts w:ascii="Times New Roman" w:hAnsi="Times New Roman" w:cs="Times New Roman"/>
          <w:sz w:val="24"/>
          <w:szCs w:val="24"/>
        </w:rPr>
        <w:t xml:space="preserve"> Babcock selected the McLean House in Appomattox Court House as the </w:t>
      </w:r>
      <w:r w:rsidR="00E95080">
        <w:rPr>
          <w:rFonts w:ascii="Times New Roman" w:hAnsi="Times New Roman" w:cs="Times New Roman"/>
          <w:sz w:val="24"/>
          <w:szCs w:val="24"/>
        </w:rPr>
        <w:t>most suitable</w:t>
      </w:r>
      <w:r w:rsidRPr="006A6DED">
        <w:rPr>
          <w:rFonts w:ascii="Times New Roman" w:hAnsi="Times New Roman" w:cs="Times New Roman"/>
          <w:sz w:val="24"/>
          <w:szCs w:val="24"/>
        </w:rPr>
        <w:t xml:space="preserve"> site and set out to </w:t>
      </w:r>
      <w:r w:rsidR="00760172">
        <w:rPr>
          <w:rFonts w:ascii="Times New Roman" w:hAnsi="Times New Roman" w:cs="Times New Roman"/>
          <w:sz w:val="24"/>
          <w:szCs w:val="24"/>
        </w:rPr>
        <w:t>retrieve</w:t>
      </w:r>
      <w:r w:rsidRPr="006A6DED">
        <w:rPr>
          <w:rFonts w:ascii="Times New Roman" w:hAnsi="Times New Roman" w:cs="Times New Roman"/>
          <w:sz w:val="24"/>
          <w:szCs w:val="24"/>
        </w:rPr>
        <w:t xml:space="preserve"> General Lee.</w:t>
      </w:r>
      <w:r w:rsidRPr="006A6DED">
        <w:rPr>
          <w:rFonts w:ascii="Times New Roman" w:hAnsi="Times New Roman" w:cs="Times New Roman"/>
          <w:sz w:val="24"/>
          <w:szCs w:val="24"/>
          <w:vertAlign w:val="superscript"/>
        </w:rPr>
        <w:footnoteReference w:id="157"/>
      </w:r>
      <w:r w:rsidRPr="006A6DED">
        <w:rPr>
          <w:rFonts w:ascii="Times New Roman" w:hAnsi="Times New Roman" w:cs="Times New Roman"/>
          <w:sz w:val="24"/>
          <w:szCs w:val="24"/>
        </w:rPr>
        <w:t xml:space="preserve"> Legend tells us that Babcock </w:t>
      </w:r>
      <w:r w:rsidR="00A04652">
        <w:rPr>
          <w:rFonts w:ascii="Times New Roman" w:hAnsi="Times New Roman" w:cs="Times New Roman"/>
          <w:sz w:val="24"/>
          <w:szCs w:val="24"/>
        </w:rPr>
        <w:t>met</w:t>
      </w:r>
      <w:r w:rsidRPr="006A6DED">
        <w:rPr>
          <w:rFonts w:ascii="Times New Roman" w:hAnsi="Times New Roman" w:cs="Times New Roman"/>
          <w:sz w:val="24"/>
          <w:szCs w:val="24"/>
        </w:rPr>
        <w:t xml:space="preserve"> Lee beneath an apple tree in an orchard and that some Confederate soldiers mistook Babcock as Grant himself arriving to discuss terms with Lee.</w:t>
      </w:r>
      <w:r w:rsidRPr="006A6DED">
        <w:rPr>
          <w:rFonts w:ascii="Times New Roman" w:hAnsi="Times New Roman" w:cs="Times New Roman"/>
          <w:sz w:val="24"/>
          <w:szCs w:val="24"/>
          <w:vertAlign w:val="superscript"/>
        </w:rPr>
        <w:footnoteReference w:id="158"/>
      </w:r>
      <w:r w:rsidRPr="006A6DED">
        <w:rPr>
          <w:rFonts w:ascii="Times New Roman" w:hAnsi="Times New Roman" w:cs="Times New Roman"/>
          <w:sz w:val="24"/>
          <w:szCs w:val="24"/>
        </w:rPr>
        <w:t xml:space="preserve"> Babcock promptly delivered Lee to the McLean House and stood as one witness to the historic surrender of Lee’s army to Grant.</w:t>
      </w:r>
      <w:r w:rsidRPr="006A6DED">
        <w:rPr>
          <w:rFonts w:ascii="Times New Roman" w:hAnsi="Times New Roman" w:cs="Times New Roman"/>
          <w:sz w:val="24"/>
          <w:szCs w:val="24"/>
          <w:vertAlign w:val="superscript"/>
        </w:rPr>
        <w:footnoteReference w:id="159"/>
      </w:r>
      <w:r w:rsidRPr="006A6DED">
        <w:rPr>
          <w:rFonts w:ascii="Times New Roman" w:hAnsi="Times New Roman" w:cs="Times New Roman"/>
          <w:sz w:val="24"/>
          <w:szCs w:val="24"/>
        </w:rPr>
        <w:t xml:space="preserve"> For his many meritorious contributions to the Union </w:t>
      </w:r>
      <w:r w:rsidR="00FA0F8E">
        <w:rPr>
          <w:rFonts w:ascii="Times New Roman" w:hAnsi="Times New Roman" w:cs="Times New Roman"/>
          <w:sz w:val="24"/>
          <w:szCs w:val="24"/>
        </w:rPr>
        <w:t>c</w:t>
      </w:r>
      <w:r w:rsidRPr="006A6DED">
        <w:rPr>
          <w:rFonts w:ascii="Times New Roman" w:hAnsi="Times New Roman" w:cs="Times New Roman"/>
          <w:sz w:val="24"/>
          <w:szCs w:val="24"/>
        </w:rPr>
        <w:t>ause in the Civil War, Babcock was appointed a brevet colonel r</w:t>
      </w:r>
      <w:r w:rsidR="003A3C3F">
        <w:rPr>
          <w:rFonts w:ascii="Times New Roman" w:hAnsi="Times New Roman" w:cs="Times New Roman"/>
          <w:sz w:val="24"/>
          <w:szCs w:val="24"/>
        </w:rPr>
        <w:t>etroactive to</w:t>
      </w:r>
      <w:r w:rsidRPr="006A6DED">
        <w:rPr>
          <w:rFonts w:ascii="Times New Roman" w:hAnsi="Times New Roman" w:cs="Times New Roman"/>
          <w:sz w:val="24"/>
          <w:szCs w:val="24"/>
        </w:rPr>
        <w:t xml:space="preserve"> March 1865, and in July 1866, President Andrew Johnson nominated him for </w:t>
      </w:r>
      <w:r w:rsidR="00A20082">
        <w:rPr>
          <w:rFonts w:ascii="Times New Roman" w:hAnsi="Times New Roman" w:cs="Times New Roman"/>
          <w:sz w:val="24"/>
          <w:szCs w:val="24"/>
        </w:rPr>
        <w:t>B</w:t>
      </w:r>
      <w:r w:rsidRPr="006A6DED">
        <w:rPr>
          <w:rFonts w:ascii="Times New Roman" w:hAnsi="Times New Roman" w:cs="Times New Roman"/>
          <w:sz w:val="24"/>
          <w:szCs w:val="24"/>
        </w:rPr>
        <w:t xml:space="preserve">revet </w:t>
      </w:r>
      <w:r w:rsidR="00A20082">
        <w:rPr>
          <w:rFonts w:ascii="Times New Roman" w:hAnsi="Times New Roman" w:cs="Times New Roman"/>
          <w:sz w:val="24"/>
          <w:szCs w:val="24"/>
        </w:rPr>
        <w:t>B</w:t>
      </w:r>
      <w:r w:rsidRPr="006A6DED">
        <w:rPr>
          <w:rFonts w:ascii="Times New Roman" w:hAnsi="Times New Roman" w:cs="Times New Roman"/>
          <w:sz w:val="24"/>
          <w:szCs w:val="24"/>
        </w:rPr>
        <w:t xml:space="preserve">rigadier </w:t>
      </w:r>
      <w:r w:rsidR="00A20082">
        <w:rPr>
          <w:rFonts w:ascii="Times New Roman" w:hAnsi="Times New Roman" w:cs="Times New Roman"/>
          <w:sz w:val="24"/>
          <w:szCs w:val="24"/>
        </w:rPr>
        <w:t>G</w:t>
      </w:r>
      <w:r w:rsidRPr="006A6DED">
        <w:rPr>
          <w:rFonts w:ascii="Times New Roman" w:hAnsi="Times New Roman" w:cs="Times New Roman"/>
          <w:sz w:val="24"/>
          <w:szCs w:val="24"/>
        </w:rPr>
        <w:t>eneral in the regular army, which the Senate quickly confirmed, leaving him with the reputation of a general for the rest of his life.</w:t>
      </w:r>
      <w:r w:rsidRPr="006A6DED">
        <w:rPr>
          <w:rFonts w:ascii="Times New Roman" w:hAnsi="Times New Roman" w:cs="Times New Roman"/>
          <w:sz w:val="24"/>
          <w:szCs w:val="24"/>
          <w:vertAlign w:val="superscript"/>
        </w:rPr>
        <w:footnoteReference w:id="160"/>
      </w:r>
    </w:p>
    <w:p w14:paraId="28A3EF21" w14:textId="77777777" w:rsidR="00DF7ED7" w:rsidRDefault="006A6DED" w:rsidP="00DF7ED7">
      <w:pPr>
        <w:spacing w:after="0" w:line="480" w:lineRule="auto"/>
        <w:jc w:val="center"/>
        <w:rPr>
          <w:rFonts w:ascii="Times New Roman" w:hAnsi="Times New Roman" w:cs="Times New Roman"/>
          <w:sz w:val="24"/>
          <w:szCs w:val="24"/>
        </w:rPr>
      </w:pPr>
      <w:r w:rsidRPr="006A6DED">
        <w:rPr>
          <w:rFonts w:ascii="Times New Roman" w:hAnsi="Times New Roman" w:cs="Times New Roman"/>
          <w:sz w:val="24"/>
          <w:szCs w:val="24"/>
        </w:rPr>
        <w:t>The Spoiled Federal Governmen</w:t>
      </w:r>
      <w:r w:rsidR="00DF7ED7">
        <w:rPr>
          <w:rFonts w:ascii="Times New Roman" w:hAnsi="Times New Roman" w:cs="Times New Roman"/>
          <w:sz w:val="24"/>
          <w:szCs w:val="24"/>
        </w:rPr>
        <w:t>t</w:t>
      </w:r>
    </w:p>
    <w:p w14:paraId="558DE0F4" w14:textId="326004C6" w:rsidR="000C4584" w:rsidRDefault="006A6DED" w:rsidP="00DF7ED7">
      <w:pPr>
        <w:spacing w:after="0"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Babcock’s meteoric rise to a significant post in the American military system coincided with a rapid expansion of the federal government during the mid-1800s. During its first century, the United States faced internal debates over the power that should be wielded by the federal government. These debates were exacerbated at different points in history by current events, perhaps none more so than the Civil War, which required a massive increase in the powers of the federal government in order to deal with the southern uprising and its related effects. </w:t>
      </w:r>
    </w:p>
    <w:p w14:paraId="0834819E" w14:textId="2DA41E45" w:rsidR="006A6DED" w:rsidRPr="006A6DED" w:rsidRDefault="006A6DED" w:rsidP="000C4584">
      <w:pPr>
        <w:spacing w:before="240"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As th</w:t>
      </w:r>
      <w:r w:rsidR="000C4584">
        <w:rPr>
          <w:rFonts w:ascii="Times New Roman" w:hAnsi="Times New Roman" w:cs="Times New Roman"/>
          <w:sz w:val="24"/>
          <w:szCs w:val="24"/>
        </w:rPr>
        <w:t>e power wielded by the federal government</w:t>
      </w:r>
      <w:r w:rsidRPr="006A6DED">
        <w:rPr>
          <w:rFonts w:ascii="Times New Roman" w:hAnsi="Times New Roman" w:cs="Times New Roman"/>
          <w:sz w:val="24"/>
          <w:szCs w:val="24"/>
        </w:rPr>
        <w:t xml:space="preserve"> swelled to new heights, so too did the infamous “spoils system” that ingrained itself into the American polity. Beginning with </w:t>
      </w:r>
      <w:r w:rsidRPr="006A6DED">
        <w:rPr>
          <w:rFonts w:ascii="Times New Roman" w:hAnsi="Times New Roman" w:cs="Times New Roman"/>
          <w:sz w:val="24"/>
          <w:szCs w:val="24"/>
        </w:rPr>
        <w:lastRenderedPageBreak/>
        <w:t>appointments via patronage and growing into attempts by rings of private citizens seeking to control the political realm, the federal government became plagued with corrupt individuals, and this plague festered within the body politic to pandemic-like levels during and after the Civil War. Once Ulysses S. Grant was tasked with the highest office in the land, he was forced to reckon with ongoing efforts to reform the system as well as the expectations</w:t>
      </w:r>
      <w:r w:rsidR="007A52A6">
        <w:rPr>
          <w:rFonts w:ascii="Times New Roman" w:hAnsi="Times New Roman" w:cs="Times New Roman"/>
          <w:sz w:val="24"/>
          <w:szCs w:val="24"/>
        </w:rPr>
        <w:t xml:space="preserve"> to maintain the very same system with</w:t>
      </w:r>
      <w:r w:rsidRPr="006A6DED">
        <w:rPr>
          <w:rFonts w:ascii="Times New Roman" w:hAnsi="Times New Roman" w:cs="Times New Roman"/>
          <w:sz w:val="24"/>
          <w:szCs w:val="24"/>
        </w:rPr>
        <w:t xml:space="preserve"> patronage by entrenched politicians and private citizens alike, not to mention the fact that the system had expanded and needed new employees to handle the larger role of the government. It is only by understanding the intertwined rise of the federal government and the spoils system that we can grasp the layout of the political </w:t>
      </w:r>
      <w:r w:rsidR="00646E4E">
        <w:rPr>
          <w:rFonts w:ascii="Times New Roman" w:hAnsi="Times New Roman" w:cs="Times New Roman"/>
          <w:sz w:val="24"/>
          <w:szCs w:val="24"/>
        </w:rPr>
        <w:t>arena</w:t>
      </w:r>
      <w:r w:rsidRPr="006A6DED">
        <w:rPr>
          <w:rFonts w:ascii="Times New Roman" w:hAnsi="Times New Roman" w:cs="Times New Roman"/>
          <w:sz w:val="24"/>
          <w:szCs w:val="24"/>
        </w:rPr>
        <w:t xml:space="preserve"> that Babcock entered.</w:t>
      </w:r>
    </w:p>
    <w:p w14:paraId="615D45BD" w14:textId="536EEE26"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 xml:space="preserve">The origins of the American </w:t>
      </w:r>
      <w:r w:rsidR="00E73410">
        <w:rPr>
          <w:rFonts w:ascii="Times New Roman" w:hAnsi="Times New Roman" w:cs="Times New Roman"/>
          <w:sz w:val="24"/>
          <w:szCs w:val="24"/>
        </w:rPr>
        <w:t>C</w:t>
      </w:r>
      <w:r w:rsidRPr="006A6DED">
        <w:rPr>
          <w:rFonts w:ascii="Times New Roman" w:hAnsi="Times New Roman" w:cs="Times New Roman"/>
          <w:sz w:val="24"/>
          <w:szCs w:val="24"/>
        </w:rPr>
        <w:t xml:space="preserve">ivil </w:t>
      </w:r>
      <w:r w:rsidR="00E73410">
        <w:rPr>
          <w:rFonts w:ascii="Times New Roman" w:hAnsi="Times New Roman" w:cs="Times New Roman"/>
          <w:sz w:val="24"/>
          <w:szCs w:val="24"/>
        </w:rPr>
        <w:t>S</w:t>
      </w:r>
      <w:r w:rsidRPr="006A6DED">
        <w:rPr>
          <w:rFonts w:ascii="Times New Roman" w:hAnsi="Times New Roman" w:cs="Times New Roman"/>
          <w:sz w:val="24"/>
          <w:szCs w:val="24"/>
        </w:rPr>
        <w:t>ervice date to its era as a British colonial experiment. Many British colonial officers obtained their posts through political connections, as was typical in England.</w:t>
      </w:r>
      <w:r w:rsidRPr="006A6DED">
        <w:rPr>
          <w:rFonts w:ascii="Times New Roman" w:hAnsi="Times New Roman" w:cs="Times New Roman"/>
          <w:sz w:val="24"/>
          <w:szCs w:val="24"/>
          <w:vertAlign w:val="superscript"/>
        </w:rPr>
        <w:footnoteReference w:id="161"/>
      </w:r>
      <w:r w:rsidRPr="006A6DED">
        <w:rPr>
          <w:rFonts w:ascii="Times New Roman" w:hAnsi="Times New Roman" w:cs="Times New Roman"/>
          <w:sz w:val="24"/>
          <w:szCs w:val="24"/>
        </w:rPr>
        <w:t xml:space="preserve"> Once the colonists decided to reject British control and declare</w:t>
      </w:r>
      <w:r w:rsidR="00CD4FF6">
        <w:rPr>
          <w:rFonts w:ascii="Times New Roman" w:hAnsi="Times New Roman" w:cs="Times New Roman"/>
          <w:sz w:val="24"/>
          <w:szCs w:val="24"/>
        </w:rPr>
        <w:t>d</w:t>
      </w:r>
      <w:r w:rsidRPr="006A6DED">
        <w:rPr>
          <w:rFonts w:ascii="Times New Roman" w:hAnsi="Times New Roman" w:cs="Times New Roman"/>
          <w:sz w:val="24"/>
          <w:szCs w:val="24"/>
        </w:rPr>
        <w:t xml:space="preserve"> independence, the Founders implemented their vision for the federal government and those in its civil service. This began with the Articles of Confederation, America’s first attempt at a federal government, which established the newly-independent states as a loose confederation of affiliated state governments.</w:t>
      </w:r>
      <w:r w:rsidRPr="006A6DED">
        <w:rPr>
          <w:rFonts w:ascii="Times New Roman" w:hAnsi="Times New Roman" w:cs="Times New Roman"/>
          <w:sz w:val="24"/>
          <w:szCs w:val="24"/>
          <w:vertAlign w:val="superscript"/>
        </w:rPr>
        <w:footnoteReference w:id="162"/>
      </w:r>
      <w:r w:rsidRPr="006A6DED">
        <w:rPr>
          <w:rFonts w:ascii="Times New Roman" w:hAnsi="Times New Roman" w:cs="Times New Roman"/>
          <w:sz w:val="24"/>
          <w:szCs w:val="24"/>
        </w:rPr>
        <w:t xml:space="preserve"> However, when the Articles proved to be too weak to hold any true affect, the Founders rebooted the government under the Constitution.</w:t>
      </w:r>
      <w:r w:rsidRPr="006A6DED">
        <w:rPr>
          <w:rFonts w:ascii="Times New Roman" w:hAnsi="Times New Roman" w:cs="Times New Roman"/>
          <w:sz w:val="24"/>
          <w:szCs w:val="24"/>
          <w:vertAlign w:val="superscript"/>
        </w:rPr>
        <w:footnoteReference w:id="163"/>
      </w:r>
    </w:p>
    <w:p w14:paraId="52495E78" w14:textId="71E586E3"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As discussions surrounding the formation of the government </w:t>
      </w:r>
      <w:r w:rsidR="00636FAE">
        <w:rPr>
          <w:rFonts w:ascii="Times New Roman" w:hAnsi="Times New Roman" w:cs="Times New Roman"/>
          <w:sz w:val="24"/>
          <w:szCs w:val="24"/>
        </w:rPr>
        <w:t>evolv</w:t>
      </w:r>
      <w:r w:rsidRPr="006A6DED">
        <w:rPr>
          <w:rFonts w:ascii="Times New Roman" w:hAnsi="Times New Roman" w:cs="Times New Roman"/>
          <w:sz w:val="24"/>
          <w:szCs w:val="24"/>
        </w:rPr>
        <w:t>ed, many weighed in on what they believed the role of the federal government should be, with perhaps none so important to our history as the</w:t>
      </w:r>
      <w:r w:rsidR="000B0F6C">
        <w:rPr>
          <w:rFonts w:ascii="Times New Roman" w:hAnsi="Times New Roman" w:cs="Times New Roman"/>
          <w:sz w:val="24"/>
          <w:szCs w:val="24"/>
        </w:rPr>
        <w:t xml:space="preserve"> authors of the</w:t>
      </w:r>
      <w:r w:rsidRPr="006A6DED">
        <w:rPr>
          <w:rFonts w:ascii="Times New Roman" w:hAnsi="Times New Roman" w:cs="Times New Roman"/>
          <w:sz w:val="24"/>
          <w:szCs w:val="24"/>
        </w:rPr>
        <w:t xml:space="preserve"> Federalist Papers. These 85 essays were written </w:t>
      </w:r>
      <w:r w:rsidRPr="006A6DED">
        <w:rPr>
          <w:rFonts w:ascii="Times New Roman" w:hAnsi="Times New Roman" w:cs="Times New Roman"/>
          <w:sz w:val="24"/>
          <w:szCs w:val="24"/>
        </w:rPr>
        <w:lastRenderedPageBreak/>
        <w:t>under the pseudonym “Publius” by John Jay, James Madison, and Alexander Hamilton for the purpose of promoting ratification of the Constitution.</w:t>
      </w:r>
      <w:r w:rsidRPr="006A6DED">
        <w:rPr>
          <w:rFonts w:ascii="Times New Roman" w:hAnsi="Times New Roman" w:cs="Times New Roman"/>
          <w:sz w:val="24"/>
          <w:szCs w:val="24"/>
          <w:vertAlign w:val="superscript"/>
        </w:rPr>
        <w:footnoteReference w:id="164"/>
      </w:r>
      <w:r w:rsidRPr="006A6DED">
        <w:rPr>
          <w:rFonts w:ascii="Times New Roman" w:hAnsi="Times New Roman" w:cs="Times New Roman"/>
          <w:sz w:val="24"/>
          <w:szCs w:val="24"/>
        </w:rPr>
        <w:t xml:space="preserve"> In the first of these essays, Hamilton outlines the advantages of the proposed Constitution by discussing topics that would propel forth the argument in the following 84, including “the utility of the UNION to your [collective] political prosperity,” the “insufficiency of the present Confederation to preserve that Union,” and the “necessity of a government at least equally energetic with the one proposed to the attainment of this object,” among others.</w:t>
      </w:r>
      <w:r w:rsidRPr="006A6DED">
        <w:rPr>
          <w:rFonts w:ascii="Times New Roman" w:hAnsi="Times New Roman" w:cs="Times New Roman"/>
          <w:sz w:val="24"/>
          <w:szCs w:val="24"/>
          <w:vertAlign w:val="superscript"/>
        </w:rPr>
        <w:footnoteReference w:id="165"/>
      </w:r>
      <w:r w:rsidRPr="006A6DED">
        <w:rPr>
          <w:rFonts w:ascii="Times New Roman" w:hAnsi="Times New Roman" w:cs="Times New Roman"/>
          <w:sz w:val="24"/>
          <w:szCs w:val="24"/>
        </w:rPr>
        <w:t xml:space="preserve"> By arguing that the existing government was insufficient for the problems the new nation faced, the authors made their case that a stronger central government was needed, and that the Constitution before the nation for con</w:t>
      </w:r>
      <w:r w:rsidR="00AD6D54">
        <w:rPr>
          <w:rFonts w:ascii="Times New Roman" w:hAnsi="Times New Roman" w:cs="Times New Roman"/>
          <w:sz w:val="24"/>
          <w:szCs w:val="24"/>
        </w:rPr>
        <w:t>sideration</w:t>
      </w:r>
      <w:r w:rsidRPr="006A6DED">
        <w:rPr>
          <w:rFonts w:ascii="Times New Roman" w:hAnsi="Times New Roman" w:cs="Times New Roman"/>
          <w:sz w:val="24"/>
          <w:szCs w:val="24"/>
        </w:rPr>
        <w:t xml:space="preserve"> was the solution for the issues </w:t>
      </w:r>
      <w:r w:rsidR="00AD6D54">
        <w:rPr>
          <w:rFonts w:ascii="Times New Roman" w:hAnsi="Times New Roman" w:cs="Times New Roman"/>
          <w:sz w:val="24"/>
          <w:szCs w:val="24"/>
        </w:rPr>
        <w:t>that</w:t>
      </w:r>
      <w:r w:rsidRPr="006A6DED">
        <w:rPr>
          <w:rFonts w:ascii="Times New Roman" w:hAnsi="Times New Roman" w:cs="Times New Roman"/>
          <w:sz w:val="24"/>
          <w:szCs w:val="24"/>
        </w:rPr>
        <w:t xml:space="preserve"> plagued them.</w:t>
      </w:r>
    </w:p>
    <w:p w14:paraId="63B9F044" w14:textId="07A904E3"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The Founders who wrote the Constitution outlined their desired role for the federal government and for those in its service.</w:t>
      </w:r>
      <w:r w:rsidRPr="006A6DED">
        <w:rPr>
          <w:rFonts w:ascii="Times New Roman" w:hAnsi="Times New Roman" w:cs="Times New Roman"/>
          <w:sz w:val="24"/>
          <w:szCs w:val="24"/>
          <w:vertAlign w:val="superscript"/>
        </w:rPr>
        <w:footnoteReference w:id="166"/>
      </w:r>
      <w:r w:rsidRPr="006A6DED">
        <w:rPr>
          <w:rFonts w:ascii="Times New Roman" w:hAnsi="Times New Roman" w:cs="Times New Roman"/>
          <w:sz w:val="24"/>
          <w:szCs w:val="24"/>
        </w:rPr>
        <w:t xml:space="preserve"> The Legislature ha</w:t>
      </w:r>
      <w:r w:rsidR="00FB08B9">
        <w:rPr>
          <w:rFonts w:ascii="Times New Roman" w:hAnsi="Times New Roman" w:cs="Times New Roman"/>
          <w:sz w:val="24"/>
          <w:szCs w:val="24"/>
        </w:rPr>
        <w:t>s</w:t>
      </w:r>
      <w:r w:rsidRPr="006A6DED">
        <w:rPr>
          <w:rFonts w:ascii="Times New Roman" w:hAnsi="Times New Roman" w:cs="Times New Roman"/>
          <w:sz w:val="24"/>
          <w:szCs w:val="24"/>
        </w:rPr>
        <w:t xml:space="preserve"> the powers to craft the law; the Executive serv</w:t>
      </w:r>
      <w:r w:rsidR="00FB08B9">
        <w:rPr>
          <w:rFonts w:ascii="Times New Roman" w:hAnsi="Times New Roman" w:cs="Times New Roman"/>
          <w:sz w:val="24"/>
          <w:szCs w:val="24"/>
        </w:rPr>
        <w:t>es</w:t>
      </w:r>
      <w:r w:rsidRPr="006A6DED">
        <w:rPr>
          <w:rFonts w:ascii="Times New Roman" w:hAnsi="Times New Roman" w:cs="Times New Roman"/>
          <w:sz w:val="24"/>
          <w:szCs w:val="24"/>
        </w:rPr>
        <w:t xml:space="preserve"> as the head of the government and affairs of state; and the Judiciary </w:t>
      </w:r>
      <w:r w:rsidR="00FB08B9">
        <w:rPr>
          <w:rFonts w:ascii="Times New Roman" w:hAnsi="Times New Roman" w:cs="Times New Roman"/>
          <w:sz w:val="24"/>
          <w:szCs w:val="24"/>
        </w:rPr>
        <w:t>holds</w:t>
      </w:r>
      <w:r w:rsidRPr="006A6DED">
        <w:rPr>
          <w:rFonts w:ascii="Times New Roman" w:hAnsi="Times New Roman" w:cs="Times New Roman"/>
          <w:sz w:val="24"/>
          <w:szCs w:val="24"/>
        </w:rPr>
        <w:t xml:space="preserve"> the power to interpret the laws.</w:t>
      </w:r>
      <w:r w:rsidRPr="006A6DED">
        <w:rPr>
          <w:rFonts w:ascii="Times New Roman" w:hAnsi="Times New Roman" w:cs="Times New Roman"/>
          <w:sz w:val="24"/>
          <w:szCs w:val="24"/>
          <w:vertAlign w:val="superscript"/>
        </w:rPr>
        <w:footnoteReference w:id="167"/>
      </w:r>
      <w:r w:rsidRPr="006A6DED">
        <w:rPr>
          <w:rFonts w:ascii="Times New Roman" w:hAnsi="Times New Roman" w:cs="Times New Roman"/>
          <w:sz w:val="24"/>
          <w:szCs w:val="24"/>
        </w:rPr>
        <w:t xml:space="preserve"> Each of these branches receives its own focus with a Constitutional Article dedicated to the powers granted to it, with further articles outlining the </w:t>
      </w:r>
      <w:r w:rsidRPr="006A6DED">
        <w:rPr>
          <w:rFonts w:ascii="Times New Roman" w:hAnsi="Times New Roman" w:cs="Times New Roman"/>
          <w:sz w:val="24"/>
          <w:szCs w:val="24"/>
        </w:rPr>
        <w:lastRenderedPageBreak/>
        <w:t xml:space="preserve">powers of both </w:t>
      </w:r>
      <w:r w:rsidR="003B2D5F">
        <w:rPr>
          <w:rFonts w:ascii="Times New Roman" w:hAnsi="Times New Roman" w:cs="Times New Roman"/>
          <w:sz w:val="24"/>
          <w:szCs w:val="24"/>
        </w:rPr>
        <w:t>state</w:t>
      </w:r>
      <w:r w:rsidRPr="006A6DED">
        <w:rPr>
          <w:rFonts w:ascii="Times New Roman" w:hAnsi="Times New Roman" w:cs="Times New Roman"/>
          <w:sz w:val="24"/>
          <w:szCs w:val="24"/>
        </w:rPr>
        <w:t xml:space="preserve"> and federal government</w:t>
      </w:r>
      <w:r w:rsidR="003B2D5F">
        <w:rPr>
          <w:rFonts w:ascii="Times New Roman" w:hAnsi="Times New Roman" w:cs="Times New Roman"/>
          <w:sz w:val="24"/>
          <w:szCs w:val="24"/>
        </w:rPr>
        <w:t>s</w:t>
      </w:r>
      <w:r w:rsidRPr="006A6DED">
        <w:rPr>
          <w:rFonts w:ascii="Times New Roman" w:hAnsi="Times New Roman" w:cs="Times New Roman"/>
          <w:sz w:val="24"/>
          <w:szCs w:val="24"/>
        </w:rPr>
        <w:t>, respectively.</w:t>
      </w:r>
      <w:r w:rsidRPr="006A6DED">
        <w:rPr>
          <w:rFonts w:ascii="Times New Roman" w:hAnsi="Times New Roman" w:cs="Times New Roman"/>
          <w:sz w:val="24"/>
          <w:szCs w:val="24"/>
          <w:vertAlign w:val="superscript"/>
        </w:rPr>
        <w:footnoteReference w:id="168"/>
      </w:r>
      <w:r w:rsidRPr="006A6DED">
        <w:rPr>
          <w:rFonts w:ascii="Times New Roman" w:hAnsi="Times New Roman" w:cs="Times New Roman"/>
          <w:sz w:val="24"/>
          <w:szCs w:val="24"/>
        </w:rPr>
        <w:t xml:space="preserve"> The structure of the federal government under the Constitution was far stronger than it was under its predecessor, with such powers granted as requiring states to uphold laws from other states with “full faith and credit” and giving the power to arbitrate and regulate interstate concerns and commerce.</w:t>
      </w:r>
      <w:r w:rsidRPr="006A6DED">
        <w:rPr>
          <w:rFonts w:ascii="Times New Roman" w:hAnsi="Times New Roman" w:cs="Times New Roman"/>
          <w:sz w:val="24"/>
          <w:szCs w:val="24"/>
          <w:vertAlign w:val="superscript"/>
        </w:rPr>
        <w:footnoteReference w:id="169"/>
      </w:r>
      <w:r w:rsidRPr="006A6DED">
        <w:rPr>
          <w:rFonts w:ascii="Times New Roman" w:hAnsi="Times New Roman" w:cs="Times New Roman"/>
          <w:sz w:val="24"/>
          <w:szCs w:val="24"/>
        </w:rPr>
        <w:t xml:space="preserve"> With the Federalist Papers presenting the case for the adoption of a stronger federal government publicly, the Constitution was ratified in 1788 and adopted in 1789, shaping the government moving forward.</w:t>
      </w:r>
    </w:p>
    <w:p w14:paraId="6F435643" w14:textId="4A5324E4"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With the new Constitution empowering the federal government, George Washington, the nation’s first president, went to work to set the standard for how American civil service was to function. In the early weeks of the Washington Administration, Congress determined that the powers of appointment and removal of executive officials belonged to the President as Chief Executive, an interpretation of the Constitution that stood through the Civil War.</w:t>
      </w:r>
      <w:r w:rsidRPr="006A6DED">
        <w:rPr>
          <w:rFonts w:ascii="Times New Roman" w:hAnsi="Times New Roman" w:cs="Times New Roman"/>
          <w:sz w:val="24"/>
          <w:szCs w:val="24"/>
          <w:vertAlign w:val="superscript"/>
        </w:rPr>
        <w:footnoteReference w:id="170"/>
      </w:r>
      <w:r w:rsidRPr="006A6DED">
        <w:rPr>
          <w:rFonts w:ascii="Times New Roman" w:hAnsi="Times New Roman" w:cs="Times New Roman"/>
          <w:sz w:val="24"/>
          <w:szCs w:val="24"/>
        </w:rPr>
        <w:t xml:space="preserve"> Washington attempted to choose nominees with care based on their ability and reputation, obtaining information from as many prominent individuals as possible before offering posts in the civil service.</w:t>
      </w:r>
      <w:r w:rsidRPr="006A6DED">
        <w:rPr>
          <w:rFonts w:ascii="Times New Roman" w:hAnsi="Times New Roman" w:cs="Times New Roman"/>
          <w:sz w:val="24"/>
          <w:szCs w:val="24"/>
          <w:vertAlign w:val="superscript"/>
        </w:rPr>
        <w:footnoteReference w:id="171"/>
      </w:r>
      <w:r w:rsidRPr="006A6DED">
        <w:rPr>
          <w:rFonts w:ascii="Times New Roman" w:hAnsi="Times New Roman" w:cs="Times New Roman"/>
          <w:sz w:val="24"/>
          <w:szCs w:val="24"/>
        </w:rPr>
        <w:t xml:space="preserve"> He factored in such considerations as adherence to the colonial cause before the Revolution and geographic distribution across the nation in his nomination process.</w:t>
      </w:r>
      <w:r w:rsidRPr="006A6DED">
        <w:rPr>
          <w:rFonts w:ascii="Times New Roman" w:hAnsi="Times New Roman" w:cs="Times New Roman"/>
          <w:sz w:val="24"/>
          <w:szCs w:val="24"/>
          <w:vertAlign w:val="superscript"/>
        </w:rPr>
        <w:footnoteReference w:id="172"/>
      </w:r>
      <w:r w:rsidRPr="006A6DED">
        <w:rPr>
          <w:rFonts w:ascii="Times New Roman" w:hAnsi="Times New Roman" w:cs="Times New Roman"/>
          <w:sz w:val="24"/>
          <w:szCs w:val="24"/>
        </w:rPr>
        <w:t xml:space="preserve"> Washington was not in the practice of engaging in rotation, or the removal and replacement of officers after a period of time </w:t>
      </w:r>
      <w:r w:rsidR="00BA7787">
        <w:rPr>
          <w:rFonts w:ascii="Times New Roman" w:hAnsi="Times New Roman" w:cs="Times New Roman"/>
          <w:sz w:val="24"/>
          <w:szCs w:val="24"/>
        </w:rPr>
        <w:t xml:space="preserve">in an effort </w:t>
      </w:r>
      <w:r w:rsidRPr="006A6DED">
        <w:rPr>
          <w:rFonts w:ascii="Times New Roman" w:hAnsi="Times New Roman" w:cs="Times New Roman"/>
          <w:sz w:val="24"/>
          <w:szCs w:val="24"/>
        </w:rPr>
        <w:t>to prevent entrenched officers from becoming corrupt</w:t>
      </w:r>
      <w:r w:rsidR="00BA7787">
        <w:rPr>
          <w:rFonts w:ascii="Times New Roman" w:hAnsi="Times New Roman" w:cs="Times New Roman"/>
          <w:sz w:val="24"/>
          <w:szCs w:val="24"/>
        </w:rPr>
        <w:t>, instead believing that those who held office benefitted from experience</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173"/>
      </w:r>
      <w:r w:rsidRPr="006A6DED">
        <w:rPr>
          <w:rFonts w:ascii="Times New Roman" w:hAnsi="Times New Roman" w:cs="Times New Roman"/>
          <w:sz w:val="24"/>
          <w:szCs w:val="24"/>
        </w:rPr>
        <w:t xml:space="preserve"> Washington asked </w:t>
      </w:r>
      <w:r w:rsidRPr="006A6DED">
        <w:rPr>
          <w:rFonts w:ascii="Times New Roman" w:hAnsi="Times New Roman" w:cs="Times New Roman"/>
          <w:sz w:val="24"/>
          <w:szCs w:val="24"/>
        </w:rPr>
        <w:lastRenderedPageBreak/>
        <w:t xml:space="preserve">members of Congress for advice on people in their districts, which was a successful practice in verification of ability but led to the precedent of </w:t>
      </w:r>
      <w:r w:rsidRPr="004D1185">
        <w:rPr>
          <w:rFonts w:ascii="Times New Roman" w:hAnsi="Times New Roman" w:cs="Times New Roman"/>
          <w:i/>
          <w:iCs/>
          <w:sz w:val="24"/>
          <w:szCs w:val="24"/>
        </w:rPr>
        <w:t>de facto</w:t>
      </w:r>
      <w:r w:rsidRPr="006A6DED">
        <w:rPr>
          <w:rFonts w:ascii="Times New Roman" w:hAnsi="Times New Roman" w:cs="Times New Roman"/>
          <w:sz w:val="24"/>
          <w:szCs w:val="24"/>
        </w:rPr>
        <w:t xml:space="preserve"> Congressional advisement on appointments.</w:t>
      </w:r>
      <w:r w:rsidRPr="006A6DED">
        <w:rPr>
          <w:rFonts w:ascii="Times New Roman" w:hAnsi="Times New Roman" w:cs="Times New Roman"/>
          <w:sz w:val="24"/>
          <w:szCs w:val="24"/>
          <w:vertAlign w:val="superscript"/>
        </w:rPr>
        <w:footnoteReference w:id="174"/>
      </w:r>
      <w:r w:rsidRPr="006A6DED">
        <w:rPr>
          <w:rFonts w:ascii="Times New Roman" w:hAnsi="Times New Roman" w:cs="Times New Roman"/>
          <w:sz w:val="24"/>
          <w:szCs w:val="24"/>
        </w:rPr>
        <w:t xml:space="preserve"> Many Senators and Representatives quickly became convinced that they were the true appointers, and the patronage system took root in the fledgling nation’s fertile soil.</w:t>
      </w:r>
      <w:r w:rsidRPr="006A6DED">
        <w:rPr>
          <w:rFonts w:ascii="Times New Roman" w:hAnsi="Times New Roman" w:cs="Times New Roman"/>
          <w:sz w:val="24"/>
          <w:szCs w:val="24"/>
          <w:vertAlign w:val="superscript"/>
        </w:rPr>
        <w:footnoteReference w:id="175"/>
      </w:r>
    </w:p>
    <w:p w14:paraId="05514852" w14:textId="7BD409C8"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It did not take long for that standard to be challenged, as Washington’s </w:t>
      </w:r>
      <w:r w:rsidR="00D50A23">
        <w:rPr>
          <w:rFonts w:ascii="Times New Roman" w:hAnsi="Times New Roman" w:cs="Times New Roman"/>
          <w:sz w:val="24"/>
          <w:szCs w:val="24"/>
        </w:rPr>
        <w:t xml:space="preserve">first </w:t>
      </w:r>
      <w:r w:rsidRPr="006A6DED">
        <w:rPr>
          <w:rFonts w:ascii="Times New Roman" w:hAnsi="Times New Roman" w:cs="Times New Roman"/>
          <w:sz w:val="24"/>
          <w:szCs w:val="24"/>
        </w:rPr>
        <w:t>two successors, John Adams and Thomas Jefferson, each made effort</w:t>
      </w:r>
      <w:r w:rsidR="00825BEB">
        <w:rPr>
          <w:rFonts w:ascii="Times New Roman" w:hAnsi="Times New Roman" w:cs="Times New Roman"/>
          <w:sz w:val="24"/>
          <w:szCs w:val="24"/>
        </w:rPr>
        <w:t>s</w:t>
      </w:r>
      <w:r w:rsidRPr="006A6DED">
        <w:rPr>
          <w:rFonts w:ascii="Times New Roman" w:hAnsi="Times New Roman" w:cs="Times New Roman"/>
          <w:sz w:val="24"/>
          <w:szCs w:val="24"/>
        </w:rPr>
        <w:t xml:space="preserve"> to shape the government for their own political desires. Adams typically adhered to Washington’s policy of using fitness for office as the measuring stick for candidates, and he similarly adopted Washington’s disdain of rotation and removal simply for removal’s sake.</w:t>
      </w:r>
      <w:r w:rsidRPr="006A6DED">
        <w:rPr>
          <w:rFonts w:ascii="Times New Roman" w:hAnsi="Times New Roman" w:cs="Times New Roman"/>
          <w:sz w:val="24"/>
          <w:szCs w:val="24"/>
          <w:vertAlign w:val="superscript"/>
        </w:rPr>
        <w:footnoteReference w:id="176"/>
      </w:r>
      <w:r w:rsidRPr="006A6DED">
        <w:rPr>
          <w:rFonts w:ascii="Times New Roman" w:hAnsi="Times New Roman" w:cs="Times New Roman"/>
          <w:sz w:val="24"/>
          <w:szCs w:val="24"/>
        </w:rPr>
        <w:t xml:space="preserve"> Adams tended to restrict his nominations to members of his Federalist Party with a particular focus on party opinion over party service.</w:t>
      </w:r>
      <w:r w:rsidRPr="006A6DED">
        <w:rPr>
          <w:rFonts w:ascii="Times New Roman" w:hAnsi="Times New Roman" w:cs="Times New Roman"/>
          <w:sz w:val="24"/>
          <w:szCs w:val="24"/>
          <w:vertAlign w:val="superscript"/>
        </w:rPr>
        <w:footnoteReference w:id="177"/>
      </w:r>
      <w:r w:rsidRPr="006A6DED">
        <w:rPr>
          <w:rFonts w:ascii="Times New Roman" w:hAnsi="Times New Roman" w:cs="Times New Roman"/>
          <w:sz w:val="24"/>
          <w:szCs w:val="24"/>
        </w:rPr>
        <w:t xml:space="preserve"> However</w:t>
      </w:r>
      <w:r w:rsidR="00825BEB">
        <w:rPr>
          <w:rFonts w:ascii="Times New Roman" w:hAnsi="Times New Roman" w:cs="Times New Roman"/>
          <w:sz w:val="24"/>
          <w:szCs w:val="24"/>
        </w:rPr>
        <w:t>,</w:t>
      </w:r>
      <w:r w:rsidRPr="006A6DED">
        <w:rPr>
          <w:rFonts w:ascii="Times New Roman" w:hAnsi="Times New Roman" w:cs="Times New Roman"/>
          <w:sz w:val="24"/>
          <w:szCs w:val="24"/>
        </w:rPr>
        <w:t xml:space="preserve"> in the final days of the Adams Administration, knowing that he was to be succeeded by the opposition party, Adams scrambled to fill and confirm many new positions at the eleventh hour to ensure Federalist control of important government posts in what became infamously known as the “midnight appointments.”</w:t>
      </w:r>
      <w:r w:rsidRPr="006A6DED">
        <w:rPr>
          <w:rFonts w:ascii="Times New Roman" w:hAnsi="Times New Roman" w:cs="Times New Roman"/>
          <w:sz w:val="24"/>
          <w:szCs w:val="24"/>
          <w:vertAlign w:val="superscript"/>
        </w:rPr>
        <w:footnoteReference w:id="178"/>
      </w:r>
      <w:r w:rsidRPr="006A6DED">
        <w:rPr>
          <w:rFonts w:ascii="Times New Roman" w:hAnsi="Times New Roman" w:cs="Times New Roman"/>
          <w:sz w:val="24"/>
          <w:szCs w:val="24"/>
        </w:rPr>
        <w:t xml:space="preserve"> This set a dangerous precedent for the establishment of the spoils system in America, as party opponents held hard feelings about this deceitful tactic and sought the removal of those who were hastily appointed, as was the case under Thomas Jefferson and his Democratic-Republican Party.</w:t>
      </w:r>
      <w:r w:rsidRPr="006A6DED">
        <w:rPr>
          <w:rFonts w:ascii="Times New Roman" w:hAnsi="Times New Roman" w:cs="Times New Roman"/>
          <w:sz w:val="24"/>
          <w:szCs w:val="24"/>
          <w:vertAlign w:val="superscript"/>
        </w:rPr>
        <w:footnoteReference w:id="179"/>
      </w:r>
      <w:r w:rsidRPr="006A6DED">
        <w:rPr>
          <w:rFonts w:ascii="Times New Roman" w:hAnsi="Times New Roman" w:cs="Times New Roman"/>
          <w:sz w:val="24"/>
          <w:szCs w:val="24"/>
        </w:rPr>
        <w:t xml:space="preserve"> </w:t>
      </w:r>
    </w:p>
    <w:p w14:paraId="1A502E8F" w14:textId="70B4CF08"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President Jefferson sought a return to balance after the midnight appointments, attempting to fill new openings with capable Republican candidates until an equilibrium was </w:t>
      </w:r>
      <w:r w:rsidRPr="006A6DED">
        <w:rPr>
          <w:rFonts w:ascii="Times New Roman" w:hAnsi="Times New Roman" w:cs="Times New Roman"/>
          <w:sz w:val="24"/>
          <w:szCs w:val="24"/>
        </w:rPr>
        <w:lastRenderedPageBreak/>
        <w:t>reached in the civil service.</w:t>
      </w:r>
      <w:r w:rsidRPr="006A6DED">
        <w:rPr>
          <w:rFonts w:ascii="Times New Roman" w:hAnsi="Times New Roman" w:cs="Times New Roman"/>
          <w:sz w:val="24"/>
          <w:szCs w:val="24"/>
          <w:vertAlign w:val="superscript"/>
        </w:rPr>
        <w:footnoteReference w:id="180"/>
      </w:r>
      <w:r w:rsidRPr="006A6DED">
        <w:rPr>
          <w:rFonts w:ascii="Times New Roman" w:hAnsi="Times New Roman" w:cs="Times New Roman"/>
          <w:sz w:val="24"/>
          <w:szCs w:val="24"/>
        </w:rPr>
        <w:t xml:space="preserve"> Once this equilibrium was met, Jefferson desired a return “with joy to the state of things when the only questions concerning a candidate shall be, Is he honest? Is he capable? Is he faithful to the Constitution?”</w:t>
      </w:r>
      <w:r w:rsidRPr="006A6DED">
        <w:rPr>
          <w:rFonts w:ascii="Times New Roman" w:hAnsi="Times New Roman" w:cs="Times New Roman"/>
          <w:sz w:val="24"/>
          <w:szCs w:val="24"/>
          <w:vertAlign w:val="superscript"/>
        </w:rPr>
        <w:footnoteReference w:id="181"/>
      </w:r>
      <w:r w:rsidRPr="006A6DED">
        <w:rPr>
          <w:rFonts w:ascii="Times New Roman" w:hAnsi="Times New Roman" w:cs="Times New Roman"/>
          <w:sz w:val="24"/>
          <w:szCs w:val="24"/>
        </w:rPr>
        <w:t xml:space="preserve"> Jefferson advocated for rotation in office and for merit-based appointments throughout his time in office.</w:t>
      </w:r>
      <w:r w:rsidRPr="006A6DED">
        <w:rPr>
          <w:rFonts w:ascii="Times New Roman" w:hAnsi="Times New Roman" w:cs="Times New Roman"/>
          <w:sz w:val="24"/>
          <w:szCs w:val="24"/>
          <w:vertAlign w:val="superscript"/>
        </w:rPr>
        <w:footnoteReference w:id="182"/>
      </w:r>
      <w:r w:rsidR="00580885">
        <w:rPr>
          <w:rFonts w:ascii="Times New Roman" w:hAnsi="Times New Roman" w:cs="Times New Roman"/>
          <w:sz w:val="24"/>
          <w:szCs w:val="24"/>
        </w:rPr>
        <w:t xml:space="preserve"> </w:t>
      </w:r>
      <w:r w:rsidRPr="006A6DED">
        <w:rPr>
          <w:rFonts w:ascii="Times New Roman" w:hAnsi="Times New Roman" w:cs="Times New Roman"/>
          <w:sz w:val="24"/>
          <w:szCs w:val="24"/>
        </w:rPr>
        <w:t xml:space="preserve">In addition to replacements made in instances of death and resignations, Jefferson sought additional reasons to replace a limited number of civil servants from the Federalist </w:t>
      </w:r>
      <w:r w:rsidR="005F0199">
        <w:rPr>
          <w:rFonts w:ascii="Times New Roman" w:hAnsi="Times New Roman" w:cs="Times New Roman"/>
          <w:sz w:val="24"/>
          <w:szCs w:val="24"/>
        </w:rPr>
        <w:t>P</w:t>
      </w:r>
      <w:r w:rsidRPr="006A6DED">
        <w:rPr>
          <w:rFonts w:ascii="Times New Roman" w:hAnsi="Times New Roman" w:cs="Times New Roman"/>
          <w:sz w:val="24"/>
          <w:szCs w:val="24"/>
        </w:rPr>
        <w:t>arty.</w:t>
      </w:r>
      <w:r w:rsidRPr="006A6DED">
        <w:rPr>
          <w:rFonts w:ascii="Times New Roman" w:hAnsi="Times New Roman" w:cs="Times New Roman"/>
          <w:sz w:val="24"/>
          <w:szCs w:val="24"/>
          <w:vertAlign w:val="superscript"/>
        </w:rPr>
        <w:footnoteReference w:id="183"/>
      </w:r>
      <w:r w:rsidRPr="006A6DED">
        <w:rPr>
          <w:rFonts w:ascii="Times New Roman" w:hAnsi="Times New Roman" w:cs="Times New Roman"/>
          <w:sz w:val="24"/>
          <w:szCs w:val="24"/>
        </w:rPr>
        <w:t xml:space="preserve"> Jefferson further began spoils system precedent by rewarding Congress members through appointments in the executive service, establishing the party convention system as a major force in the nomination process.</w:t>
      </w:r>
      <w:r w:rsidRPr="006A6DED">
        <w:rPr>
          <w:rFonts w:ascii="Times New Roman" w:hAnsi="Times New Roman" w:cs="Times New Roman"/>
          <w:sz w:val="24"/>
          <w:szCs w:val="24"/>
          <w:vertAlign w:val="superscript"/>
        </w:rPr>
        <w:footnoteReference w:id="184"/>
      </w:r>
      <w:r w:rsidRPr="006A6DED">
        <w:rPr>
          <w:rFonts w:ascii="Times New Roman" w:hAnsi="Times New Roman" w:cs="Times New Roman"/>
          <w:sz w:val="24"/>
          <w:szCs w:val="24"/>
        </w:rPr>
        <w:t xml:space="preserve"> </w:t>
      </w:r>
    </w:p>
    <w:p w14:paraId="1116E357" w14:textId="53138920"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Following the attempts by the first three presidents to establish the civil service to fit their ideas for good government, the nation progressed into what some historians referred to as the “Era of Good Feelings.”</w:t>
      </w:r>
      <w:r w:rsidRPr="006A6DED">
        <w:rPr>
          <w:rFonts w:ascii="Times New Roman" w:hAnsi="Times New Roman" w:cs="Times New Roman"/>
          <w:sz w:val="24"/>
          <w:szCs w:val="24"/>
          <w:vertAlign w:val="superscript"/>
        </w:rPr>
        <w:footnoteReference w:id="185"/>
      </w:r>
      <w:r w:rsidRPr="006A6DED">
        <w:rPr>
          <w:rFonts w:ascii="Times New Roman" w:hAnsi="Times New Roman" w:cs="Times New Roman"/>
          <w:sz w:val="24"/>
          <w:szCs w:val="24"/>
        </w:rPr>
        <w:t xml:space="preserve"> Given the growing population and territory of the United States, the federal civil service </w:t>
      </w:r>
      <w:r w:rsidR="0054441F">
        <w:rPr>
          <w:rFonts w:ascii="Times New Roman" w:hAnsi="Times New Roman" w:cs="Times New Roman"/>
          <w:sz w:val="24"/>
          <w:szCs w:val="24"/>
        </w:rPr>
        <w:t>grew</w:t>
      </w:r>
      <w:r w:rsidRPr="006A6DED">
        <w:rPr>
          <w:rFonts w:ascii="Times New Roman" w:hAnsi="Times New Roman" w:cs="Times New Roman"/>
          <w:sz w:val="24"/>
          <w:szCs w:val="24"/>
        </w:rPr>
        <w:t xml:space="preserve"> alongside the nation, and new positions and responsibilities quickly emerged.</w:t>
      </w:r>
      <w:r w:rsidRPr="006A6DED">
        <w:rPr>
          <w:rFonts w:ascii="Times New Roman" w:hAnsi="Times New Roman" w:cs="Times New Roman"/>
          <w:sz w:val="24"/>
          <w:szCs w:val="24"/>
          <w:vertAlign w:val="superscript"/>
        </w:rPr>
        <w:footnoteReference w:id="186"/>
      </w:r>
      <w:r w:rsidRPr="006A6DED">
        <w:rPr>
          <w:rFonts w:ascii="Times New Roman" w:hAnsi="Times New Roman" w:cs="Times New Roman"/>
          <w:sz w:val="24"/>
          <w:szCs w:val="24"/>
        </w:rPr>
        <w:t xml:space="preserve"> President James Madison declared the “wanton removal of a meritorious officer” to be impeachable and stopped the practice of rotation, and his successor James Monroe carried on many of the practices established by Madison and their shared political party.</w:t>
      </w:r>
      <w:r w:rsidRPr="006A6DED">
        <w:rPr>
          <w:rFonts w:ascii="Times New Roman" w:hAnsi="Times New Roman" w:cs="Times New Roman"/>
          <w:sz w:val="24"/>
          <w:szCs w:val="24"/>
          <w:vertAlign w:val="superscript"/>
        </w:rPr>
        <w:footnoteReference w:id="187"/>
      </w:r>
      <w:r w:rsidRPr="006A6DED">
        <w:rPr>
          <w:rFonts w:ascii="Times New Roman" w:hAnsi="Times New Roman" w:cs="Times New Roman"/>
          <w:sz w:val="24"/>
          <w:szCs w:val="24"/>
        </w:rPr>
        <w:t xml:space="preserve"> Monroe specifically adopted the “amalgamation policy,” which sought to select appointees regardless of party affiliation, showing that the balance of the civil service was returning to a near-equal level.</w:t>
      </w:r>
      <w:r w:rsidRPr="006A6DED">
        <w:rPr>
          <w:rFonts w:ascii="Times New Roman" w:hAnsi="Times New Roman" w:cs="Times New Roman"/>
          <w:sz w:val="24"/>
          <w:szCs w:val="24"/>
          <w:vertAlign w:val="superscript"/>
        </w:rPr>
        <w:footnoteReference w:id="188"/>
      </w:r>
      <w:r w:rsidRPr="006A6DED">
        <w:rPr>
          <w:rFonts w:ascii="Times New Roman" w:hAnsi="Times New Roman" w:cs="Times New Roman"/>
          <w:sz w:val="24"/>
          <w:szCs w:val="24"/>
        </w:rPr>
        <w:t xml:space="preserve"> During Monroe’s tenure in 1820, a new law was enacted entitled the Tenure of Office </w:t>
      </w:r>
      <w:r w:rsidRPr="006A6DED">
        <w:rPr>
          <w:rFonts w:ascii="Times New Roman" w:hAnsi="Times New Roman" w:cs="Times New Roman"/>
          <w:sz w:val="24"/>
          <w:szCs w:val="24"/>
        </w:rPr>
        <w:lastRenderedPageBreak/>
        <w:t>Act, limiting certain posts to a four year term.</w:t>
      </w:r>
      <w:r w:rsidRPr="006A6DED">
        <w:rPr>
          <w:rFonts w:ascii="Times New Roman" w:hAnsi="Times New Roman" w:cs="Times New Roman"/>
          <w:sz w:val="24"/>
          <w:szCs w:val="24"/>
          <w:vertAlign w:val="superscript"/>
        </w:rPr>
        <w:footnoteReference w:id="189"/>
      </w:r>
      <w:r w:rsidRPr="006A6DED">
        <w:rPr>
          <w:rFonts w:ascii="Times New Roman" w:hAnsi="Times New Roman" w:cs="Times New Roman"/>
          <w:sz w:val="24"/>
          <w:szCs w:val="24"/>
        </w:rPr>
        <w:t xml:space="preserve"> This law became a critical piece of the spoils system as it served as a means to remove incumbent officers and replace them with members of the new party in control.</w:t>
      </w:r>
      <w:r w:rsidRPr="006A6DED">
        <w:rPr>
          <w:rFonts w:ascii="Times New Roman" w:hAnsi="Times New Roman" w:cs="Times New Roman"/>
          <w:sz w:val="24"/>
          <w:szCs w:val="24"/>
          <w:vertAlign w:val="superscript"/>
        </w:rPr>
        <w:footnoteReference w:id="190"/>
      </w:r>
      <w:r w:rsidRPr="006A6DED">
        <w:rPr>
          <w:rFonts w:ascii="Times New Roman" w:hAnsi="Times New Roman" w:cs="Times New Roman"/>
          <w:sz w:val="24"/>
          <w:szCs w:val="24"/>
        </w:rPr>
        <w:t xml:space="preserve"> Monroe was succeeded by John Quincy Adams, who in no uncertain terms hated the spoils system</w:t>
      </w:r>
      <w:r w:rsidR="00AD54B1">
        <w:rPr>
          <w:rFonts w:ascii="Times New Roman" w:hAnsi="Times New Roman" w:cs="Times New Roman"/>
          <w:sz w:val="24"/>
          <w:szCs w:val="24"/>
        </w:rPr>
        <w:t xml:space="preserve"> and</w:t>
      </w:r>
      <w:r w:rsidRPr="006A6DED">
        <w:rPr>
          <w:rFonts w:ascii="Times New Roman" w:hAnsi="Times New Roman" w:cs="Times New Roman"/>
          <w:sz w:val="24"/>
          <w:szCs w:val="24"/>
        </w:rPr>
        <w:t xml:space="preserve"> was determined to make no appointments or removals based on political reasons, yet this meant he maintained officers who were in the opposition party and stood in the way of advancing his political agenda.</w:t>
      </w:r>
      <w:r w:rsidRPr="006A6DED">
        <w:rPr>
          <w:rFonts w:ascii="Times New Roman" w:hAnsi="Times New Roman" w:cs="Times New Roman"/>
          <w:sz w:val="24"/>
          <w:szCs w:val="24"/>
          <w:vertAlign w:val="superscript"/>
        </w:rPr>
        <w:footnoteReference w:id="191"/>
      </w:r>
    </w:p>
    <w:p w14:paraId="361C4DB5" w14:textId="12E32E65"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The debate surrounding the role of the federal government and the civil service was amplified by the political rise of Andrew Jackson. During John Quincy Adams’s presidency, members of his opposition consistently </w:t>
      </w:r>
      <w:r w:rsidR="00D753D1">
        <w:rPr>
          <w:rFonts w:ascii="Times New Roman" w:hAnsi="Times New Roman" w:cs="Times New Roman"/>
          <w:sz w:val="24"/>
          <w:szCs w:val="24"/>
        </w:rPr>
        <w:t>argu</w:t>
      </w:r>
      <w:r w:rsidRPr="006A6DED">
        <w:rPr>
          <w:rFonts w:ascii="Times New Roman" w:hAnsi="Times New Roman" w:cs="Times New Roman"/>
          <w:sz w:val="24"/>
          <w:szCs w:val="24"/>
        </w:rPr>
        <w:t>ed that he won an unjust victory over Jackson in the 1824 election, noting that another of his competitors, Senator Henry Clay, was awarded the post of Secretary of State</w:t>
      </w:r>
      <w:r w:rsidR="00423ECC">
        <w:rPr>
          <w:rFonts w:ascii="Times New Roman" w:hAnsi="Times New Roman" w:cs="Times New Roman"/>
          <w:sz w:val="24"/>
          <w:szCs w:val="24"/>
        </w:rPr>
        <w:t xml:space="preserve"> for conceding</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192"/>
      </w:r>
      <w:r w:rsidRPr="006A6DED">
        <w:rPr>
          <w:rFonts w:ascii="Times New Roman" w:hAnsi="Times New Roman" w:cs="Times New Roman"/>
          <w:sz w:val="24"/>
          <w:szCs w:val="24"/>
        </w:rPr>
        <w:t xml:space="preserve"> Even though Quincy Adams made conservative use of the power to appoint and remove officers, Jackson’s party cried foul, and when Jackson was elected in 1828, he and his Democratic Party sought revenge with a rallying cry to “Turn the damned rascals out!”</w:t>
      </w:r>
      <w:r w:rsidRPr="006A6DED">
        <w:rPr>
          <w:rFonts w:ascii="Times New Roman" w:hAnsi="Times New Roman" w:cs="Times New Roman"/>
          <w:sz w:val="24"/>
          <w:szCs w:val="24"/>
          <w:vertAlign w:val="superscript"/>
        </w:rPr>
        <w:footnoteReference w:id="193"/>
      </w:r>
      <w:r w:rsidRPr="006A6DED">
        <w:rPr>
          <w:rFonts w:ascii="Times New Roman" w:hAnsi="Times New Roman" w:cs="Times New Roman"/>
          <w:sz w:val="24"/>
          <w:szCs w:val="24"/>
        </w:rPr>
        <w:t xml:space="preserve"> Under Jackson, the spoils system reached a new level of entrenchment. However, to Jackson, this was not a result of corruption, but instead the result of democracy manifest countering an entrenched bureaucracy through a rejection of their perceived right to remain in office.</w:t>
      </w:r>
      <w:r w:rsidRPr="006A6DED">
        <w:rPr>
          <w:rFonts w:ascii="Times New Roman" w:hAnsi="Times New Roman" w:cs="Times New Roman"/>
          <w:sz w:val="24"/>
          <w:szCs w:val="24"/>
          <w:vertAlign w:val="superscript"/>
        </w:rPr>
        <w:footnoteReference w:id="194"/>
      </w:r>
      <w:r w:rsidRPr="006A6DED">
        <w:rPr>
          <w:rFonts w:ascii="Times New Roman" w:hAnsi="Times New Roman" w:cs="Times New Roman"/>
          <w:sz w:val="24"/>
          <w:szCs w:val="24"/>
        </w:rPr>
        <w:t xml:space="preserve"> According to historian Carl </w:t>
      </w:r>
      <w:r w:rsidR="00C14A8C">
        <w:rPr>
          <w:rFonts w:ascii="Times New Roman" w:hAnsi="Times New Roman" w:cs="Times New Roman"/>
          <w:sz w:val="24"/>
          <w:szCs w:val="24"/>
        </w:rPr>
        <w:t>Joachim</w:t>
      </w:r>
      <w:r w:rsidRPr="006A6DED">
        <w:rPr>
          <w:rFonts w:ascii="Times New Roman" w:hAnsi="Times New Roman" w:cs="Times New Roman"/>
          <w:sz w:val="24"/>
          <w:szCs w:val="24"/>
        </w:rPr>
        <w:t xml:space="preserve"> F</w:t>
      </w:r>
      <w:r w:rsidR="00C14A8C">
        <w:rPr>
          <w:rFonts w:ascii="Times New Roman" w:hAnsi="Times New Roman" w:cs="Times New Roman"/>
          <w:sz w:val="24"/>
          <w:szCs w:val="24"/>
        </w:rPr>
        <w:t>riedrich</w:t>
      </w:r>
      <w:r w:rsidRPr="006A6DED">
        <w:rPr>
          <w:rFonts w:ascii="Times New Roman" w:hAnsi="Times New Roman" w:cs="Times New Roman"/>
          <w:sz w:val="24"/>
          <w:szCs w:val="24"/>
        </w:rPr>
        <w:t xml:space="preserve">, the spoils system under Jackson boiled </w:t>
      </w:r>
      <w:r w:rsidRPr="006A6DED">
        <w:rPr>
          <w:rFonts w:ascii="Times New Roman" w:hAnsi="Times New Roman" w:cs="Times New Roman"/>
          <w:sz w:val="24"/>
          <w:szCs w:val="24"/>
        </w:rPr>
        <w:lastRenderedPageBreak/>
        <w:t>down to two elements: “the custom of using public offices openly and continuously as ammunition in party warfare,” and “the evolution of the idea of rotation in office.”</w:t>
      </w:r>
      <w:r w:rsidRPr="006A6DED">
        <w:rPr>
          <w:rFonts w:ascii="Times New Roman" w:hAnsi="Times New Roman" w:cs="Times New Roman"/>
          <w:sz w:val="24"/>
          <w:szCs w:val="24"/>
          <w:vertAlign w:val="superscript"/>
        </w:rPr>
        <w:footnoteReference w:id="195"/>
      </w:r>
      <w:r w:rsidRPr="006A6DED">
        <w:rPr>
          <w:rFonts w:ascii="Times New Roman" w:hAnsi="Times New Roman" w:cs="Times New Roman"/>
          <w:sz w:val="24"/>
          <w:szCs w:val="24"/>
        </w:rPr>
        <w:t xml:space="preserve"> Under Jackson, rotation took on a new level based on his belief that “more is lost by the continuance of men in office than is generally gained by their experience.</w:t>
      </w:r>
      <w:r w:rsidR="002A4F9C">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196"/>
      </w:r>
      <w:r w:rsidRPr="006A6DED">
        <w:rPr>
          <w:rFonts w:ascii="Times New Roman" w:hAnsi="Times New Roman" w:cs="Times New Roman"/>
          <w:sz w:val="24"/>
          <w:szCs w:val="24"/>
        </w:rPr>
        <w:t xml:space="preserve"> Thousands flocked to Washington hoping for an appointment from the newly-elected president under the system so well defined by Senator William L. Marcy of New York: “to the victor belong the spoils of the enemy.”</w:t>
      </w:r>
      <w:r w:rsidRPr="006A6DED">
        <w:rPr>
          <w:rFonts w:ascii="Times New Roman" w:hAnsi="Times New Roman" w:cs="Times New Roman"/>
          <w:sz w:val="24"/>
          <w:szCs w:val="24"/>
          <w:vertAlign w:val="superscript"/>
        </w:rPr>
        <w:footnoteReference w:id="197"/>
      </w:r>
      <w:r w:rsidRPr="006A6DED">
        <w:rPr>
          <w:rFonts w:ascii="Times New Roman" w:hAnsi="Times New Roman" w:cs="Times New Roman"/>
          <w:sz w:val="24"/>
          <w:szCs w:val="24"/>
        </w:rPr>
        <w:t xml:space="preserve"> As a result of this policy, however, many individuals were placed in positions with short tenures and little training, so once they finally learned to do their jobs, their time in office was up.</w:t>
      </w:r>
      <w:r w:rsidRPr="006A6DED">
        <w:rPr>
          <w:rFonts w:ascii="Times New Roman" w:hAnsi="Times New Roman" w:cs="Times New Roman"/>
          <w:sz w:val="24"/>
          <w:szCs w:val="24"/>
          <w:vertAlign w:val="superscript"/>
        </w:rPr>
        <w:footnoteReference w:id="198"/>
      </w:r>
      <w:r w:rsidRPr="006A6DED">
        <w:rPr>
          <w:rFonts w:ascii="Times New Roman" w:hAnsi="Times New Roman" w:cs="Times New Roman"/>
          <w:sz w:val="24"/>
          <w:szCs w:val="24"/>
        </w:rPr>
        <w:t xml:space="preserve"> Jackson wielded patronage as his favorite weapon, using it to secure the abolition of the Bank of the United States and support from partisan newspapers while entrenching the spoils system even in spite of instances of fraud and disloyalty to the government.</w:t>
      </w:r>
      <w:r w:rsidRPr="006A6DED">
        <w:rPr>
          <w:rFonts w:ascii="Times New Roman" w:hAnsi="Times New Roman" w:cs="Times New Roman"/>
          <w:sz w:val="24"/>
          <w:szCs w:val="24"/>
          <w:vertAlign w:val="superscript"/>
        </w:rPr>
        <w:footnoteReference w:id="199"/>
      </w:r>
    </w:p>
    <w:p w14:paraId="76DDEF11" w14:textId="7B7F129E"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Further changes were made to the civil service under Jackson’s protégé, Martin Van Buren. Many have considered Van Buren as the person responsible for the most recent iteration of the spoils system as one of Jackson’s political advisers and as a student of the growing New York State political machine who</w:t>
      </w:r>
      <w:r w:rsidR="00554474">
        <w:rPr>
          <w:rFonts w:ascii="Times New Roman" w:hAnsi="Times New Roman" w:cs="Times New Roman"/>
          <w:sz w:val="24"/>
          <w:szCs w:val="24"/>
        </w:rPr>
        <w:t xml:space="preserve"> in turn</w:t>
      </w:r>
      <w:r w:rsidRPr="006A6DED">
        <w:rPr>
          <w:rFonts w:ascii="Times New Roman" w:hAnsi="Times New Roman" w:cs="Times New Roman"/>
          <w:sz w:val="24"/>
          <w:szCs w:val="24"/>
        </w:rPr>
        <w:t xml:space="preserve"> imparted these experiences upon Jackson.</w:t>
      </w:r>
      <w:r w:rsidRPr="006A6DED">
        <w:rPr>
          <w:rFonts w:ascii="Times New Roman" w:hAnsi="Times New Roman" w:cs="Times New Roman"/>
          <w:sz w:val="24"/>
          <w:szCs w:val="24"/>
          <w:vertAlign w:val="superscript"/>
        </w:rPr>
        <w:footnoteReference w:id="200"/>
      </w:r>
      <w:r w:rsidRPr="006A6DED">
        <w:rPr>
          <w:rFonts w:ascii="Times New Roman" w:hAnsi="Times New Roman" w:cs="Times New Roman"/>
          <w:sz w:val="24"/>
          <w:szCs w:val="24"/>
        </w:rPr>
        <w:t xml:space="preserve"> Van Buren reaped the rewards of the spoils system during his political career, as he served as Secretary of </w:t>
      </w:r>
      <w:r w:rsidRPr="006A6DED">
        <w:rPr>
          <w:rFonts w:ascii="Times New Roman" w:hAnsi="Times New Roman" w:cs="Times New Roman"/>
          <w:sz w:val="24"/>
          <w:szCs w:val="24"/>
        </w:rPr>
        <w:lastRenderedPageBreak/>
        <w:t>State, Minister to Great Britain, and Vice President under President Jackson before rising to the presidency himself.</w:t>
      </w:r>
      <w:r w:rsidRPr="006A6DED">
        <w:rPr>
          <w:rFonts w:ascii="Times New Roman" w:hAnsi="Times New Roman" w:cs="Times New Roman"/>
          <w:sz w:val="24"/>
          <w:szCs w:val="24"/>
          <w:vertAlign w:val="superscript"/>
        </w:rPr>
        <w:footnoteReference w:id="201"/>
      </w:r>
      <w:r w:rsidRPr="006A6DED">
        <w:rPr>
          <w:rFonts w:ascii="Times New Roman" w:hAnsi="Times New Roman" w:cs="Times New Roman"/>
          <w:sz w:val="24"/>
          <w:szCs w:val="24"/>
        </w:rPr>
        <w:t xml:space="preserve"> Some have attributed his election as an “example of success won through the new spoils system.”</w:t>
      </w:r>
      <w:r w:rsidRPr="006A6DED">
        <w:rPr>
          <w:rFonts w:ascii="Times New Roman" w:hAnsi="Times New Roman" w:cs="Times New Roman"/>
          <w:sz w:val="24"/>
          <w:szCs w:val="24"/>
          <w:vertAlign w:val="superscript"/>
        </w:rPr>
        <w:footnoteReference w:id="202"/>
      </w:r>
      <w:r w:rsidRPr="006A6DED">
        <w:rPr>
          <w:rFonts w:ascii="Times New Roman" w:hAnsi="Times New Roman" w:cs="Times New Roman"/>
          <w:sz w:val="24"/>
          <w:szCs w:val="24"/>
        </w:rPr>
        <w:t xml:space="preserve"> However, under Van Buren, the levee broke as an unprecedented number of public office</w:t>
      </w:r>
      <w:r w:rsidR="00445C47">
        <w:rPr>
          <w:rFonts w:ascii="Times New Roman" w:hAnsi="Times New Roman" w:cs="Times New Roman"/>
          <w:sz w:val="24"/>
          <w:szCs w:val="24"/>
        </w:rPr>
        <w:t>rs defaulted on loans</w:t>
      </w:r>
      <w:r w:rsidRPr="006A6DED">
        <w:rPr>
          <w:rFonts w:ascii="Times New Roman" w:hAnsi="Times New Roman" w:cs="Times New Roman"/>
          <w:sz w:val="24"/>
          <w:szCs w:val="24"/>
        </w:rPr>
        <w:t xml:space="preserve"> </w:t>
      </w:r>
      <w:r w:rsidR="000A3D86">
        <w:rPr>
          <w:rFonts w:ascii="Times New Roman" w:hAnsi="Times New Roman" w:cs="Times New Roman"/>
          <w:sz w:val="24"/>
          <w:szCs w:val="24"/>
        </w:rPr>
        <w:t>while</w:t>
      </w:r>
      <w:r w:rsidRPr="006A6DED">
        <w:rPr>
          <w:rFonts w:ascii="Times New Roman" w:hAnsi="Times New Roman" w:cs="Times New Roman"/>
          <w:sz w:val="24"/>
          <w:szCs w:val="24"/>
        </w:rPr>
        <w:t xml:space="preserve"> banks that were chosen as government repositories for political reasons failed in the Panic of 1837, leading to a depression that elicited calls for reforms to the spoils system from the masses.</w:t>
      </w:r>
      <w:r w:rsidRPr="006A6DED">
        <w:rPr>
          <w:rFonts w:ascii="Times New Roman" w:hAnsi="Times New Roman" w:cs="Times New Roman"/>
          <w:sz w:val="24"/>
          <w:szCs w:val="24"/>
          <w:vertAlign w:val="superscript"/>
        </w:rPr>
        <w:footnoteReference w:id="203"/>
      </w:r>
    </w:p>
    <w:p w14:paraId="3B2968F8" w14:textId="754ECA0E"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Following Jackson and Van Buren’s administration</w:t>
      </w:r>
      <w:r w:rsidR="00FE698F">
        <w:rPr>
          <w:rFonts w:ascii="Times New Roman" w:hAnsi="Times New Roman" w:cs="Times New Roman"/>
          <w:sz w:val="24"/>
          <w:szCs w:val="24"/>
        </w:rPr>
        <w:t>s</w:t>
      </w:r>
      <w:r w:rsidRPr="006A6DED">
        <w:rPr>
          <w:rFonts w:ascii="Times New Roman" w:hAnsi="Times New Roman" w:cs="Times New Roman"/>
          <w:sz w:val="24"/>
          <w:szCs w:val="24"/>
        </w:rPr>
        <w:t>, the civil service was established by both parties amid a back-and-forth during the second party system. After Jackson’s presidency, the political realm consisted largely of two parties: the Democratic Party, which sought adherence to the ideas promulgated by Jackson and Van Buren; and the Whigs, who were a loose amalgamation of individuals who, for one reason or another, held disdain for Jackson’s ideals.</w:t>
      </w:r>
      <w:r w:rsidRPr="006A6DED">
        <w:rPr>
          <w:rFonts w:ascii="Times New Roman" w:hAnsi="Times New Roman" w:cs="Times New Roman"/>
          <w:sz w:val="24"/>
          <w:szCs w:val="24"/>
          <w:vertAlign w:val="superscript"/>
        </w:rPr>
        <w:footnoteReference w:id="204"/>
      </w:r>
      <w:r w:rsidRPr="006A6DED">
        <w:rPr>
          <w:rFonts w:ascii="Times New Roman" w:hAnsi="Times New Roman" w:cs="Times New Roman"/>
          <w:sz w:val="24"/>
          <w:szCs w:val="24"/>
        </w:rPr>
        <w:t xml:space="preserve"> After Van Buren, William Henry Harrison was elected to the presidency. He served but a month before passing, but during that time, he made it clear that he wanted to remove many officials for political </w:t>
      </w:r>
      <w:r w:rsidR="00B628C8" w:rsidRPr="006A6DED">
        <w:rPr>
          <w:rFonts w:ascii="Times New Roman" w:hAnsi="Times New Roman" w:cs="Times New Roman"/>
          <w:sz w:val="24"/>
          <w:szCs w:val="24"/>
        </w:rPr>
        <w:t>reasons</w:t>
      </w:r>
      <w:r w:rsidRPr="006A6DED">
        <w:rPr>
          <w:rFonts w:ascii="Times New Roman" w:hAnsi="Times New Roman" w:cs="Times New Roman"/>
          <w:sz w:val="24"/>
          <w:szCs w:val="24"/>
        </w:rPr>
        <w:t xml:space="preserve"> while decrying political activity by appointees.</w:t>
      </w:r>
      <w:r w:rsidRPr="006A6DED">
        <w:rPr>
          <w:rFonts w:ascii="Times New Roman" w:hAnsi="Times New Roman" w:cs="Times New Roman"/>
          <w:sz w:val="24"/>
          <w:szCs w:val="24"/>
          <w:vertAlign w:val="superscript"/>
        </w:rPr>
        <w:footnoteReference w:id="205"/>
      </w:r>
      <w:r w:rsidRPr="006A6DED">
        <w:rPr>
          <w:rFonts w:ascii="Times New Roman" w:hAnsi="Times New Roman" w:cs="Times New Roman"/>
          <w:sz w:val="24"/>
          <w:szCs w:val="24"/>
        </w:rPr>
        <w:t xml:space="preserve">  After falling ill at his inauguration, Harrison passed quickly without making much of a dent in the </w:t>
      </w:r>
      <w:r w:rsidR="00095D82">
        <w:rPr>
          <w:rFonts w:ascii="Times New Roman" w:hAnsi="Times New Roman" w:cs="Times New Roman"/>
          <w:sz w:val="24"/>
          <w:szCs w:val="24"/>
        </w:rPr>
        <w:t>issue</w:t>
      </w:r>
      <w:r w:rsidRPr="006A6DED">
        <w:rPr>
          <w:rFonts w:ascii="Times New Roman" w:hAnsi="Times New Roman" w:cs="Times New Roman"/>
          <w:sz w:val="24"/>
          <w:szCs w:val="24"/>
        </w:rPr>
        <w:t xml:space="preserve"> of reform. Harrison’s Vice President-turned-successor, John Tyler, felt compelled to carry out Harrison’s desires in appointments and removals, though he did so with moderation, and he wielded some patronage power in an attempt at reelection that, when hope was lost, turned into an attempt to </w:t>
      </w:r>
      <w:r w:rsidRPr="006A6DED">
        <w:rPr>
          <w:rFonts w:ascii="Times New Roman" w:hAnsi="Times New Roman" w:cs="Times New Roman"/>
          <w:sz w:val="24"/>
          <w:szCs w:val="24"/>
        </w:rPr>
        <w:lastRenderedPageBreak/>
        <w:t>wield patronage for his opponent so that Tyler himself could remain politically viable.</w:t>
      </w:r>
      <w:r w:rsidRPr="006A6DED">
        <w:rPr>
          <w:rFonts w:ascii="Times New Roman" w:hAnsi="Times New Roman" w:cs="Times New Roman"/>
          <w:sz w:val="24"/>
          <w:szCs w:val="24"/>
          <w:vertAlign w:val="superscript"/>
        </w:rPr>
        <w:footnoteReference w:id="206"/>
      </w:r>
      <w:r w:rsidRPr="006A6DED">
        <w:rPr>
          <w:rFonts w:ascii="Times New Roman" w:hAnsi="Times New Roman" w:cs="Times New Roman"/>
          <w:sz w:val="24"/>
          <w:szCs w:val="24"/>
        </w:rPr>
        <w:t xml:space="preserve"> When Tyler lost the presidency in 1844, James K. Polk took power and continued to </w:t>
      </w:r>
      <w:r w:rsidR="00302049">
        <w:rPr>
          <w:rFonts w:ascii="Times New Roman" w:hAnsi="Times New Roman" w:cs="Times New Roman"/>
          <w:sz w:val="24"/>
          <w:szCs w:val="24"/>
        </w:rPr>
        <w:t>utilize</w:t>
      </w:r>
      <w:r w:rsidRPr="006A6DED">
        <w:rPr>
          <w:rFonts w:ascii="Times New Roman" w:hAnsi="Times New Roman" w:cs="Times New Roman"/>
          <w:sz w:val="24"/>
          <w:szCs w:val="24"/>
        </w:rPr>
        <w:t xml:space="preserve"> the spoils system with the tacit agreement of Congress, even extending the system into the military through volunteer officer appointments during the Mexican-American War.</w:t>
      </w:r>
      <w:r w:rsidRPr="006A6DED">
        <w:rPr>
          <w:rFonts w:ascii="Times New Roman" w:hAnsi="Times New Roman" w:cs="Times New Roman"/>
          <w:sz w:val="24"/>
          <w:szCs w:val="24"/>
          <w:vertAlign w:val="superscript"/>
        </w:rPr>
        <w:footnoteReference w:id="207"/>
      </w:r>
      <w:r w:rsidRPr="006A6DED">
        <w:rPr>
          <w:rFonts w:ascii="Times New Roman" w:hAnsi="Times New Roman" w:cs="Times New Roman"/>
          <w:sz w:val="24"/>
          <w:szCs w:val="24"/>
        </w:rPr>
        <w:t xml:space="preserve"> </w:t>
      </w:r>
    </w:p>
    <w:p w14:paraId="3EACCD6F" w14:textId="6CA5DC57"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During the 1850s, some politicians made </w:t>
      </w:r>
      <w:r w:rsidR="00D63490" w:rsidRPr="006A6DED">
        <w:rPr>
          <w:rFonts w:ascii="Times New Roman" w:hAnsi="Times New Roman" w:cs="Times New Roman"/>
          <w:sz w:val="24"/>
          <w:szCs w:val="24"/>
        </w:rPr>
        <w:t>efforts</w:t>
      </w:r>
      <w:r w:rsidRPr="006A6DED">
        <w:rPr>
          <w:rFonts w:ascii="Times New Roman" w:hAnsi="Times New Roman" w:cs="Times New Roman"/>
          <w:sz w:val="24"/>
          <w:szCs w:val="24"/>
        </w:rPr>
        <w:t xml:space="preserve"> to reform the system they found to be </w:t>
      </w:r>
      <w:r w:rsidR="006E5506">
        <w:rPr>
          <w:rFonts w:ascii="Times New Roman" w:hAnsi="Times New Roman" w:cs="Times New Roman"/>
          <w:sz w:val="24"/>
          <w:szCs w:val="24"/>
        </w:rPr>
        <w:t>flawed</w:t>
      </w:r>
      <w:r w:rsidRPr="006A6DED">
        <w:rPr>
          <w:rFonts w:ascii="Times New Roman" w:hAnsi="Times New Roman" w:cs="Times New Roman"/>
          <w:sz w:val="24"/>
          <w:szCs w:val="24"/>
        </w:rPr>
        <w:t>. It is important to recognize that at this point, many of the cries for reform were simply attempts by political opposition to acquire someone else’s job for themselves, so the concept of “reform” took on many different perspectives as parties cried foul of one another.</w:t>
      </w:r>
      <w:r w:rsidRPr="006A6DED">
        <w:rPr>
          <w:rFonts w:ascii="Times New Roman" w:hAnsi="Times New Roman" w:cs="Times New Roman"/>
          <w:sz w:val="24"/>
          <w:szCs w:val="24"/>
          <w:vertAlign w:val="superscript"/>
        </w:rPr>
        <w:footnoteReference w:id="208"/>
      </w:r>
      <w:r w:rsidRPr="006A6DED">
        <w:rPr>
          <w:rFonts w:ascii="Times New Roman" w:hAnsi="Times New Roman" w:cs="Times New Roman"/>
          <w:sz w:val="24"/>
          <w:szCs w:val="24"/>
        </w:rPr>
        <w:t xml:space="preserve"> </w:t>
      </w:r>
      <w:r w:rsidR="005A7D4F">
        <w:rPr>
          <w:rFonts w:ascii="Times New Roman" w:hAnsi="Times New Roman" w:cs="Times New Roman"/>
          <w:sz w:val="24"/>
          <w:szCs w:val="24"/>
        </w:rPr>
        <w:t>O</w:t>
      </w:r>
      <w:r w:rsidRPr="006A6DED">
        <w:rPr>
          <w:rFonts w:ascii="Times New Roman" w:hAnsi="Times New Roman" w:cs="Times New Roman"/>
          <w:sz w:val="24"/>
          <w:szCs w:val="24"/>
        </w:rPr>
        <w:t xml:space="preserve">thers made true efforts at reforming the system they saw to be broken, while others </w:t>
      </w:r>
      <w:r w:rsidR="005A7D4F">
        <w:rPr>
          <w:rFonts w:ascii="Times New Roman" w:hAnsi="Times New Roman" w:cs="Times New Roman"/>
          <w:sz w:val="24"/>
          <w:szCs w:val="24"/>
        </w:rPr>
        <w:t xml:space="preserve">still </w:t>
      </w:r>
      <w:r w:rsidRPr="006A6DED">
        <w:rPr>
          <w:rFonts w:ascii="Times New Roman" w:hAnsi="Times New Roman" w:cs="Times New Roman"/>
          <w:sz w:val="24"/>
          <w:szCs w:val="24"/>
        </w:rPr>
        <w:t xml:space="preserve">wanted to stick to the </w:t>
      </w:r>
      <w:r w:rsidRPr="006A6DED">
        <w:rPr>
          <w:rFonts w:ascii="Times New Roman" w:hAnsi="Times New Roman" w:cs="Times New Roman"/>
          <w:i/>
          <w:iCs/>
          <w:sz w:val="24"/>
          <w:szCs w:val="24"/>
        </w:rPr>
        <w:t>status quo</w:t>
      </w:r>
      <w:r w:rsidRPr="006A6DED">
        <w:rPr>
          <w:rFonts w:ascii="Times New Roman" w:hAnsi="Times New Roman" w:cs="Times New Roman"/>
          <w:sz w:val="24"/>
          <w:szCs w:val="24"/>
        </w:rPr>
        <w:t xml:space="preserve"> of the spoils system.</w:t>
      </w:r>
      <w:r w:rsidRPr="006A6DED">
        <w:rPr>
          <w:rFonts w:ascii="Times New Roman" w:hAnsi="Times New Roman" w:cs="Times New Roman"/>
          <w:sz w:val="24"/>
          <w:szCs w:val="24"/>
          <w:vertAlign w:val="superscript"/>
        </w:rPr>
        <w:footnoteReference w:id="209"/>
      </w:r>
      <w:r w:rsidRPr="006A6DED">
        <w:rPr>
          <w:rFonts w:ascii="Times New Roman" w:hAnsi="Times New Roman" w:cs="Times New Roman"/>
          <w:sz w:val="24"/>
          <w:szCs w:val="24"/>
        </w:rPr>
        <w:t xml:space="preserve"> This began with the election of Zachary Taylor in 1848, who served for but a year before his death but continued the tradition of inserting members of his party into power and removing the opposition.</w:t>
      </w:r>
      <w:r w:rsidRPr="006A6DED">
        <w:rPr>
          <w:rFonts w:ascii="Times New Roman" w:hAnsi="Times New Roman" w:cs="Times New Roman"/>
          <w:sz w:val="24"/>
          <w:szCs w:val="24"/>
          <w:vertAlign w:val="superscript"/>
        </w:rPr>
        <w:footnoteReference w:id="210"/>
      </w:r>
      <w:r w:rsidRPr="006A6DED">
        <w:rPr>
          <w:rFonts w:ascii="Times New Roman" w:hAnsi="Times New Roman" w:cs="Times New Roman"/>
          <w:sz w:val="24"/>
          <w:szCs w:val="24"/>
        </w:rPr>
        <w:t xml:space="preserve"> Under Taylor’s successor Millard Fillmore, removals continued as they had under Taylor, but Congress began to discuss actual reform efforts more fervently.</w:t>
      </w:r>
      <w:r w:rsidRPr="006A6DED">
        <w:rPr>
          <w:rFonts w:ascii="Times New Roman" w:hAnsi="Times New Roman" w:cs="Times New Roman"/>
          <w:sz w:val="24"/>
          <w:szCs w:val="24"/>
          <w:vertAlign w:val="superscript"/>
        </w:rPr>
        <w:footnoteReference w:id="211"/>
      </w:r>
      <w:r w:rsidRPr="006A6DED">
        <w:rPr>
          <w:rFonts w:ascii="Times New Roman" w:hAnsi="Times New Roman" w:cs="Times New Roman"/>
          <w:sz w:val="24"/>
          <w:szCs w:val="24"/>
        </w:rPr>
        <w:t xml:space="preserve"> The legislature instituted new structures of “grades” for clerks in federal offices in an effort to establish standards and apportion salaries while also introducing </w:t>
      </w:r>
      <w:r w:rsidRPr="006A6DED">
        <w:rPr>
          <w:rFonts w:ascii="Times New Roman" w:hAnsi="Times New Roman" w:cs="Times New Roman"/>
          <w:sz w:val="24"/>
          <w:szCs w:val="24"/>
        </w:rPr>
        <w:br/>
        <w:t>“Pass” examinations as standards for appointments, all efforts to prevent the spread of the spoils system</w:t>
      </w:r>
      <w:r w:rsidR="00B4381D">
        <w:rPr>
          <w:rFonts w:ascii="Times New Roman" w:hAnsi="Times New Roman" w:cs="Times New Roman"/>
          <w:sz w:val="24"/>
          <w:szCs w:val="24"/>
        </w:rPr>
        <w:t>’s ills</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212"/>
      </w:r>
      <w:r w:rsidRPr="006A6DED">
        <w:rPr>
          <w:rFonts w:ascii="Times New Roman" w:hAnsi="Times New Roman" w:cs="Times New Roman"/>
          <w:sz w:val="24"/>
          <w:szCs w:val="24"/>
        </w:rPr>
        <w:t xml:space="preserve"> Even with these efforts, by the time Franklin Pierce was inaugurated in 1853, the </w:t>
      </w:r>
      <w:r w:rsidRPr="006A6DED">
        <w:rPr>
          <w:rFonts w:ascii="Times New Roman" w:hAnsi="Times New Roman" w:cs="Times New Roman"/>
          <w:sz w:val="24"/>
          <w:szCs w:val="24"/>
        </w:rPr>
        <w:lastRenderedPageBreak/>
        <w:t>spoils system proved to be the unofficial standard as the first month of the administration was spent with matters of state on hold as leadership sought to fill open positions via patronage.</w:t>
      </w:r>
      <w:r w:rsidRPr="006A6DED">
        <w:rPr>
          <w:rFonts w:ascii="Times New Roman" w:hAnsi="Times New Roman" w:cs="Times New Roman"/>
          <w:sz w:val="24"/>
          <w:szCs w:val="24"/>
          <w:vertAlign w:val="superscript"/>
        </w:rPr>
        <w:footnoteReference w:id="213"/>
      </w:r>
      <w:r w:rsidRPr="006A6DED">
        <w:rPr>
          <w:rFonts w:ascii="Times New Roman" w:hAnsi="Times New Roman" w:cs="Times New Roman"/>
          <w:sz w:val="24"/>
          <w:szCs w:val="24"/>
        </w:rPr>
        <w:t xml:space="preserve"> Following Pierce was </w:t>
      </w:r>
      <w:r w:rsidR="009C0D05">
        <w:rPr>
          <w:rFonts w:ascii="Times New Roman" w:hAnsi="Times New Roman" w:cs="Times New Roman"/>
          <w:sz w:val="24"/>
          <w:szCs w:val="24"/>
        </w:rPr>
        <w:t xml:space="preserve">James </w:t>
      </w:r>
      <w:r w:rsidRPr="006A6DED">
        <w:rPr>
          <w:rFonts w:ascii="Times New Roman" w:hAnsi="Times New Roman" w:cs="Times New Roman"/>
          <w:sz w:val="24"/>
          <w:szCs w:val="24"/>
        </w:rPr>
        <w:t xml:space="preserve">Buchanan, who fell in line with each of his predecessors by perpetuating the spoils system by </w:t>
      </w:r>
      <w:r w:rsidR="007D1B0E">
        <w:rPr>
          <w:rFonts w:ascii="Times New Roman" w:hAnsi="Times New Roman" w:cs="Times New Roman"/>
          <w:sz w:val="24"/>
          <w:szCs w:val="24"/>
        </w:rPr>
        <w:t>removing</w:t>
      </w:r>
      <w:r w:rsidRPr="006A6DED">
        <w:rPr>
          <w:rFonts w:ascii="Times New Roman" w:hAnsi="Times New Roman" w:cs="Times New Roman"/>
          <w:sz w:val="24"/>
          <w:szCs w:val="24"/>
        </w:rPr>
        <w:t xml:space="preserve"> any individual </w:t>
      </w:r>
      <w:r w:rsidR="007D1B0E">
        <w:rPr>
          <w:rFonts w:ascii="Times New Roman" w:hAnsi="Times New Roman" w:cs="Times New Roman"/>
          <w:sz w:val="24"/>
          <w:szCs w:val="24"/>
        </w:rPr>
        <w:t>from</w:t>
      </w:r>
      <w:r w:rsidRPr="006A6DED">
        <w:rPr>
          <w:rFonts w:ascii="Times New Roman" w:hAnsi="Times New Roman" w:cs="Times New Roman"/>
          <w:sz w:val="24"/>
          <w:szCs w:val="24"/>
        </w:rPr>
        <w:t xml:space="preserve"> a post they served for a four year tenure</w:t>
      </w:r>
      <w:r w:rsidR="00D03B74">
        <w:rPr>
          <w:rFonts w:ascii="Times New Roman" w:hAnsi="Times New Roman" w:cs="Times New Roman"/>
          <w:sz w:val="24"/>
          <w:szCs w:val="24"/>
        </w:rPr>
        <w:t>.</w:t>
      </w:r>
      <w:r w:rsidR="00D03B74" w:rsidRPr="00D03B74">
        <w:rPr>
          <w:rFonts w:ascii="Times New Roman" w:hAnsi="Times New Roman" w:cs="Times New Roman"/>
          <w:sz w:val="24"/>
          <w:szCs w:val="24"/>
          <w:vertAlign w:val="superscript"/>
        </w:rPr>
        <w:t xml:space="preserve"> </w:t>
      </w:r>
      <w:r w:rsidR="00D03B74" w:rsidRPr="006A6DED">
        <w:rPr>
          <w:rFonts w:ascii="Times New Roman" w:hAnsi="Times New Roman" w:cs="Times New Roman"/>
          <w:sz w:val="24"/>
          <w:szCs w:val="24"/>
          <w:vertAlign w:val="superscript"/>
        </w:rPr>
        <w:footnoteReference w:id="214"/>
      </w:r>
      <w:r w:rsidR="00D03B74">
        <w:rPr>
          <w:rFonts w:ascii="Times New Roman" w:hAnsi="Times New Roman" w:cs="Times New Roman"/>
          <w:sz w:val="24"/>
          <w:szCs w:val="24"/>
        </w:rPr>
        <w:t xml:space="preserve"> H</w:t>
      </w:r>
      <w:r w:rsidRPr="006A6DED">
        <w:rPr>
          <w:rFonts w:ascii="Times New Roman" w:hAnsi="Times New Roman" w:cs="Times New Roman"/>
          <w:sz w:val="24"/>
          <w:szCs w:val="24"/>
        </w:rPr>
        <w:t>e did cease the publication of the official party newspaper, the public-facing branch which promoted patronage efforts by the party.</w:t>
      </w:r>
      <w:r w:rsidR="00D03B74">
        <w:rPr>
          <w:rStyle w:val="FootnoteReference"/>
          <w:rFonts w:ascii="Times New Roman" w:hAnsi="Times New Roman" w:cs="Times New Roman"/>
          <w:sz w:val="24"/>
          <w:szCs w:val="24"/>
        </w:rPr>
        <w:footnoteReference w:id="215"/>
      </w:r>
    </w:p>
    <w:p w14:paraId="3C333DC1" w14:textId="77777777" w:rsidR="00C055D4"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Even with these efforts </w:t>
      </w:r>
      <w:r w:rsidR="007C275D">
        <w:rPr>
          <w:rFonts w:ascii="Times New Roman" w:hAnsi="Times New Roman" w:cs="Times New Roman"/>
          <w:sz w:val="24"/>
          <w:szCs w:val="24"/>
        </w:rPr>
        <w:t>at</w:t>
      </w:r>
      <w:r w:rsidRPr="006A6DED">
        <w:rPr>
          <w:rFonts w:ascii="Times New Roman" w:hAnsi="Times New Roman" w:cs="Times New Roman"/>
          <w:sz w:val="24"/>
          <w:szCs w:val="24"/>
        </w:rPr>
        <w:t xml:space="preserve"> reform, new organizations began to emerge across the nation in the mid-1800s that took advantage of the system as it existed: rings. Rings were organizations akin to local political machines that were controlled by a “boss” to gain near complete control of a city</w:t>
      </w:r>
      <w:r w:rsidR="00D04B3F">
        <w:rPr>
          <w:rFonts w:ascii="Times New Roman" w:hAnsi="Times New Roman" w:cs="Times New Roman"/>
          <w:sz w:val="24"/>
          <w:szCs w:val="24"/>
        </w:rPr>
        <w:t>’s</w:t>
      </w:r>
      <w:r w:rsidRPr="006A6DED">
        <w:rPr>
          <w:rFonts w:ascii="Times New Roman" w:hAnsi="Times New Roman" w:cs="Times New Roman"/>
          <w:sz w:val="24"/>
          <w:szCs w:val="24"/>
        </w:rPr>
        <w:t xml:space="preserve"> or region’s government structure through patronage and financial coercion.</w:t>
      </w:r>
      <w:r w:rsidRPr="006A6DED">
        <w:rPr>
          <w:rFonts w:ascii="Times New Roman" w:hAnsi="Times New Roman" w:cs="Times New Roman"/>
          <w:sz w:val="24"/>
          <w:szCs w:val="24"/>
          <w:vertAlign w:val="superscript"/>
        </w:rPr>
        <w:footnoteReference w:id="216"/>
      </w:r>
      <w:r w:rsidRPr="006A6DED">
        <w:rPr>
          <w:rFonts w:ascii="Times New Roman" w:hAnsi="Times New Roman" w:cs="Times New Roman"/>
          <w:sz w:val="24"/>
          <w:szCs w:val="24"/>
        </w:rPr>
        <w:t xml:space="preserve"> Rings were more prominent during Reconstruction and the Gilded Age, but their </w:t>
      </w:r>
      <w:r w:rsidR="00C422BB">
        <w:rPr>
          <w:rFonts w:ascii="Times New Roman" w:hAnsi="Times New Roman" w:cs="Times New Roman"/>
          <w:sz w:val="24"/>
          <w:szCs w:val="24"/>
        </w:rPr>
        <w:t>gene</w:t>
      </w:r>
      <w:r w:rsidRPr="006A6DED">
        <w:rPr>
          <w:rFonts w:ascii="Times New Roman" w:hAnsi="Times New Roman" w:cs="Times New Roman"/>
          <w:sz w:val="24"/>
          <w:szCs w:val="24"/>
        </w:rPr>
        <w:t>sis comes from the antebellum period, if not dating back to the eighteenth century in some instances.</w:t>
      </w:r>
      <w:r w:rsidRPr="006A6DED">
        <w:rPr>
          <w:rFonts w:ascii="Times New Roman" w:hAnsi="Times New Roman" w:cs="Times New Roman"/>
          <w:sz w:val="24"/>
          <w:szCs w:val="24"/>
          <w:vertAlign w:val="superscript"/>
        </w:rPr>
        <w:footnoteReference w:id="217"/>
      </w:r>
      <w:r w:rsidRPr="006A6DED">
        <w:rPr>
          <w:rFonts w:ascii="Times New Roman" w:hAnsi="Times New Roman" w:cs="Times New Roman"/>
          <w:sz w:val="24"/>
          <w:szCs w:val="24"/>
        </w:rPr>
        <w:t xml:space="preserve"> The most infamous and well-known of these organizations was the ring based in New York’s Tammany Hall headed by “Boss” William Tweed.</w:t>
      </w:r>
      <w:r w:rsidRPr="006A6DED">
        <w:rPr>
          <w:rFonts w:ascii="Times New Roman" w:hAnsi="Times New Roman" w:cs="Times New Roman"/>
          <w:sz w:val="24"/>
          <w:szCs w:val="24"/>
          <w:vertAlign w:val="superscript"/>
        </w:rPr>
        <w:footnoteReference w:id="218"/>
      </w:r>
      <w:r w:rsidRPr="006A6DED">
        <w:rPr>
          <w:rFonts w:ascii="Times New Roman" w:hAnsi="Times New Roman" w:cs="Times New Roman"/>
          <w:sz w:val="24"/>
          <w:szCs w:val="24"/>
        </w:rPr>
        <w:t xml:space="preserve"> Under Tweed’s control, the New York Democratic Party played a key role in both city and state politics, seizing control of their governance and patronage powers to become the key factor in the New York </w:t>
      </w:r>
      <w:r w:rsidR="00A25F91">
        <w:rPr>
          <w:rFonts w:ascii="Times New Roman" w:hAnsi="Times New Roman" w:cs="Times New Roman"/>
          <w:sz w:val="24"/>
          <w:szCs w:val="24"/>
        </w:rPr>
        <w:t>g</w:t>
      </w:r>
      <w:r w:rsidRPr="006A6DED">
        <w:rPr>
          <w:rFonts w:ascii="Times New Roman" w:hAnsi="Times New Roman" w:cs="Times New Roman"/>
          <w:sz w:val="24"/>
          <w:szCs w:val="24"/>
        </w:rPr>
        <w:t>overnment</w:t>
      </w:r>
      <w:r w:rsidR="00972B90">
        <w:rPr>
          <w:rFonts w:ascii="Times New Roman" w:hAnsi="Times New Roman" w:cs="Times New Roman"/>
          <w:sz w:val="24"/>
          <w:szCs w:val="24"/>
        </w:rPr>
        <w:t>s</w:t>
      </w:r>
      <w:r w:rsidRPr="006A6DED">
        <w:rPr>
          <w:rFonts w:ascii="Times New Roman" w:hAnsi="Times New Roman" w:cs="Times New Roman"/>
          <w:sz w:val="24"/>
          <w:szCs w:val="24"/>
        </w:rPr>
        <w:t xml:space="preserve"> by the end of the 1850s</w:t>
      </w:r>
      <w:r w:rsidR="00C055D4">
        <w:rPr>
          <w:rFonts w:ascii="Times New Roman" w:hAnsi="Times New Roman" w:cs="Times New Roman"/>
          <w:sz w:val="24"/>
          <w:szCs w:val="24"/>
        </w:rPr>
        <w:t xml:space="preserve"> (</w:t>
      </w:r>
      <w:r w:rsidR="00C055D4">
        <w:rPr>
          <w:rFonts w:ascii="Times New Roman" w:hAnsi="Times New Roman" w:cs="Times New Roman"/>
          <w:b/>
          <w:bCs/>
          <w:sz w:val="24"/>
          <w:szCs w:val="24"/>
        </w:rPr>
        <w:t>Figure 1.3</w:t>
      </w:r>
      <w:r w:rsidR="00C055D4">
        <w:rPr>
          <w:rFonts w:ascii="Times New Roman" w:hAnsi="Times New Roman" w:cs="Times New Roman"/>
          <w:sz w:val="24"/>
          <w:szCs w:val="24"/>
        </w:rPr>
        <w:t>)</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219"/>
      </w:r>
      <w:r w:rsidRPr="006A6DED">
        <w:rPr>
          <w:rFonts w:ascii="Times New Roman" w:hAnsi="Times New Roman" w:cs="Times New Roman"/>
          <w:sz w:val="24"/>
          <w:szCs w:val="24"/>
        </w:rPr>
        <w:t xml:space="preserve"> Over the second half of the nineteenth century, similar political machines </w:t>
      </w:r>
      <w:r w:rsidRPr="006A6DED">
        <w:rPr>
          <w:rFonts w:ascii="Times New Roman" w:hAnsi="Times New Roman" w:cs="Times New Roman"/>
          <w:sz w:val="24"/>
          <w:szCs w:val="24"/>
        </w:rPr>
        <w:lastRenderedPageBreak/>
        <w:t xml:space="preserve">emerged in many other prominent cities, such as Boston, Chicago, Philadelphia, and St. Louis, and these organizations </w:t>
      </w:r>
      <w:r w:rsidR="007C4398">
        <w:rPr>
          <w:rFonts w:ascii="Times New Roman" w:hAnsi="Times New Roman" w:cs="Times New Roman"/>
          <w:sz w:val="24"/>
          <w:szCs w:val="24"/>
        </w:rPr>
        <w:t xml:space="preserve">created corrupt political officials who </w:t>
      </w:r>
      <w:r w:rsidRPr="006A6DED">
        <w:rPr>
          <w:rFonts w:ascii="Times New Roman" w:hAnsi="Times New Roman" w:cs="Times New Roman"/>
          <w:sz w:val="24"/>
          <w:szCs w:val="24"/>
        </w:rPr>
        <w:t>wielded the power they accrued to benefit their locales and to stir up numerous problems along the way.</w:t>
      </w:r>
      <w:r w:rsidRPr="006A6DED">
        <w:rPr>
          <w:rFonts w:ascii="Times New Roman" w:hAnsi="Times New Roman" w:cs="Times New Roman"/>
          <w:sz w:val="24"/>
          <w:szCs w:val="24"/>
          <w:vertAlign w:val="superscript"/>
        </w:rPr>
        <w:footnoteReference w:id="220"/>
      </w:r>
    </w:p>
    <w:p w14:paraId="0651DEEA" w14:textId="5C90DB20" w:rsidR="006A6DED" w:rsidRPr="006A6DED" w:rsidRDefault="00C055D4" w:rsidP="006A6DED">
      <w:pPr>
        <w:spacing w:line="480" w:lineRule="auto"/>
        <w:ind w:firstLine="720"/>
        <w:rPr>
          <w:rFonts w:ascii="Times New Roman" w:hAnsi="Times New Roman" w:cs="Times New Roman"/>
          <w:sz w:val="24"/>
          <w:szCs w:val="24"/>
        </w:rPr>
      </w:pPr>
      <w:r w:rsidRPr="00C055D4">
        <w:rPr>
          <w:rFonts w:ascii="Times New Roman" w:hAnsi="Times New Roman" w:cs="Times New Roman"/>
          <w:sz w:val="24"/>
          <w:szCs w:val="24"/>
        </w:rPr>
        <w:t xml:space="preserve"> </w:t>
      </w:r>
      <w:r w:rsidRPr="006A6DED">
        <w:rPr>
          <w:rFonts w:ascii="Times New Roman" w:hAnsi="Times New Roman" w:cs="Times New Roman"/>
          <w:sz w:val="24"/>
          <w:szCs w:val="24"/>
        </w:rPr>
        <w:t>It is important to acknowledge the limitations of the federal government to this point in the American experiment. Legal historian William Novak suggests that the government desired to create a “well-regulated society” during the nineteenth century, one which was based in common law and in which man, society, and government existed symbiotically.</w:t>
      </w:r>
      <w:r w:rsidRPr="006A6DED">
        <w:rPr>
          <w:rFonts w:ascii="Times New Roman" w:hAnsi="Times New Roman" w:cs="Times New Roman"/>
          <w:sz w:val="24"/>
          <w:szCs w:val="24"/>
          <w:vertAlign w:val="superscript"/>
        </w:rPr>
        <w:footnoteReference w:id="221"/>
      </w:r>
      <w:r w:rsidRPr="006A6DED">
        <w:rPr>
          <w:rFonts w:ascii="Times New Roman" w:hAnsi="Times New Roman" w:cs="Times New Roman"/>
          <w:sz w:val="24"/>
          <w:szCs w:val="24"/>
        </w:rPr>
        <w:t xml:space="preserve"> Novak suggests that the people’s welfare stood above all, and that accordingly, a “state police power”</w:t>
      </w:r>
    </w:p>
    <w:p w14:paraId="0DE16458" w14:textId="77777777" w:rsidR="006A6DED" w:rsidRPr="006A6DED" w:rsidRDefault="006A6DED" w:rsidP="006A6DED">
      <w:pPr>
        <w:jc w:val="center"/>
        <w:rPr>
          <w:rFonts w:ascii="Times New Roman" w:hAnsi="Times New Roman" w:cs="Times New Roman"/>
          <w:sz w:val="24"/>
          <w:szCs w:val="24"/>
        </w:rPr>
      </w:pPr>
      <w:r w:rsidRPr="006A6DED">
        <w:rPr>
          <w:rFonts w:ascii="Times New Roman" w:hAnsi="Times New Roman" w:cs="Times New Roman"/>
          <w:noProof/>
          <w:sz w:val="24"/>
          <w:szCs w:val="24"/>
        </w:rPr>
        <w:drawing>
          <wp:inline distT="0" distB="0" distL="0" distR="0" wp14:anchorId="50B72F9A" wp14:editId="0A53CF42">
            <wp:extent cx="1973580" cy="2745071"/>
            <wp:effectExtent l="0" t="0" r="7620" b="0"/>
            <wp:docPr id="149504995" name="Picture 2" descr="A black and white picture of a person in a white r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4995" name="Picture 2" descr="A black and white picture of a person in a white rob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1420" cy="2769884"/>
                    </a:xfrm>
                    <a:prstGeom prst="rect">
                      <a:avLst/>
                    </a:prstGeom>
                    <a:noFill/>
                  </pic:spPr>
                </pic:pic>
              </a:graphicData>
            </a:graphic>
          </wp:inline>
        </w:drawing>
      </w:r>
    </w:p>
    <w:p w14:paraId="1AD33353" w14:textId="490CA06E" w:rsidR="006A6DED" w:rsidRPr="006A6DED" w:rsidRDefault="00E1766C" w:rsidP="0043552B">
      <w:pPr>
        <w:rPr>
          <w:rFonts w:ascii="Times New Roman" w:hAnsi="Times New Roman" w:cs="Times New Roman"/>
          <w:sz w:val="20"/>
          <w:szCs w:val="20"/>
        </w:rPr>
      </w:pPr>
      <w:r>
        <w:rPr>
          <w:rFonts w:ascii="Times New Roman" w:hAnsi="Times New Roman" w:cs="Times New Roman"/>
          <w:b/>
          <w:bCs/>
          <w:sz w:val="20"/>
          <w:szCs w:val="20"/>
        </w:rPr>
        <w:t xml:space="preserve">Figure 1.3: </w:t>
      </w:r>
      <w:bookmarkStart w:id="17" w:name="_Hlk200793133"/>
      <w:r w:rsidR="006A6DED" w:rsidRPr="00E06483">
        <w:rPr>
          <w:rFonts w:ascii="Times New Roman" w:hAnsi="Times New Roman" w:cs="Times New Roman"/>
          <w:b/>
          <w:bCs/>
          <w:sz w:val="20"/>
          <w:szCs w:val="20"/>
        </w:rPr>
        <w:t>“The Tammany Kingdom: The Power behind the Throne. He Cannot Call His Soul His Own</w:t>
      </w:r>
      <w:r w:rsidR="00E06483">
        <w:rPr>
          <w:rFonts w:ascii="Times New Roman" w:hAnsi="Times New Roman" w:cs="Times New Roman"/>
          <w:b/>
          <w:bCs/>
          <w:sz w:val="20"/>
          <w:szCs w:val="20"/>
        </w:rPr>
        <w:t>.</w:t>
      </w:r>
      <w:r w:rsidR="006A6DED" w:rsidRPr="00E06483">
        <w:rPr>
          <w:rFonts w:ascii="Times New Roman" w:hAnsi="Times New Roman" w:cs="Times New Roman"/>
          <w:b/>
          <w:bCs/>
          <w:sz w:val="20"/>
          <w:szCs w:val="20"/>
        </w:rPr>
        <w:t>”</w:t>
      </w:r>
      <w:r w:rsidR="006A6DED" w:rsidRPr="006A6DED">
        <w:rPr>
          <w:rFonts w:ascii="Times New Roman" w:hAnsi="Times New Roman" w:cs="Times New Roman"/>
          <w:sz w:val="20"/>
          <w:szCs w:val="20"/>
        </w:rPr>
        <w:t xml:space="preserve"> </w:t>
      </w:r>
      <w:r w:rsidR="00E06483">
        <w:rPr>
          <w:rFonts w:ascii="Times New Roman" w:hAnsi="Times New Roman" w:cs="Times New Roman"/>
          <w:sz w:val="20"/>
          <w:szCs w:val="20"/>
        </w:rPr>
        <w:t xml:space="preserve">The </w:t>
      </w:r>
      <w:bookmarkEnd w:id="17"/>
      <w:r w:rsidR="00E06483">
        <w:rPr>
          <w:rFonts w:ascii="Times New Roman" w:hAnsi="Times New Roman" w:cs="Times New Roman"/>
          <w:sz w:val="20"/>
          <w:szCs w:val="20"/>
        </w:rPr>
        <w:t>artist, Thomas</w:t>
      </w:r>
      <w:r w:rsidR="006A6DED" w:rsidRPr="006A6DED">
        <w:rPr>
          <w:rFonts w:ascii="Times New Roman" w:hAnsi="Times New Roman" w:cs="Times New Roman"/>
          <w:sz w:val="20"/>
          <w:szCs w:val="20"/>
        </w:rPr>
        <w:t xml:space="preserve"> Nast, a longtime critic of the Tweed Ring in New York, here depicts Boss Tweed atop his throne with his underbosses and those his political influence controlled behind him as the power behind the throne. At the bottom in </w:t>
      </w:r>
      <w:r w:rsidR="00210577">
        <w:rPr>
          <w:rFonts w:ascii="Times New Roman" w:hAnsi="Times New Roman" w:cs="Times New Roman"/>
          <w:sz w:val="20"/>
          <w:szCs w:val="20"/>
        </w:rPr>
        <w:t>the</w:t>
      </w:r>
      <w:r w:rsidR="006A6DED" w:rsidRPr="006A6DED">
        <w:rPr>
          <w:rFonts w:ascii="Times New Roman" w:hAnsi="Times New Roman" w:cs="Times New Roman"/>
          <w:sz w:val="20"/>
          <w:szCs w:val="20"/>
        </w:rPr>
        <w:t xml:space="preserve"> crest is the Tammany Tiger, which became the unofficial symbol of the corrupt political organization.</w:t>
      </w:r>
      <w:r w:rsidR="006A6DED" w:rsidRPr="006A6DED">
        <w:rPr>
          <w:rFonts w:ascii="Times New Roman" w:hAnsi="Times New Roman" w:cs="Times New Roman"/>
          <w:sz w:val="20"/>
          <w:szCs w:val="20"/>
          <w:vertAlign w:val="superscript"/>
        </w:rPr>
        <w:footnoteReference w:id="222"/>
      </w:r>
    </w:p>
    <w:p w14:paraId="3364C933" w14:textId="3968DE5D" w:rsidR="006A6DED" w:rsidRPr="006A6DED" w:rsidRDefault="006A6DED" w:rsidP="00C055D4">
      <w:pPr>
        <w:spacing w:line="480" w:lineRule="auto"/>
        <w:rPr>
          <w:rFonts w:ascii="Times New Roman" w:hAnsi="Times New Roman" w:cs="Times New Roman"/>
          <w:sz w:val="24"/>
          <w:szCs w:val="24"/>
        </w:rPr>
      </w:pPr>
      <w:r w:rsidRPr="006A6DED">
        <w:rPr>
          <w:rFonts w:ascii="Times New Roman" w:hAnsi="Times New Roman" w:cs="Times New Roman"/>
          <w:sz w:val="24"/>
          <w:szCs w:val="24"/>
        </w:rPr>
        <w:lastRenderedPageBreak/>
        <w:t>was maintained to put the needs of the many above the needs of the few or the one, giving the state an arm of enforcement that it</w:t>
      </w:r>
      <w:r w:rsidR="00744865">
        <w:rPr>
          <w:rFonts w:ascii="Times New Roman" w:hAnsi="Times New Roman" w:cs="Times New Roman"/>
          <w:sz w:val="24"/>
          <w:szCs w:val="24"/>
        </w:rPr>
        <w:t xml:space="preserve"> utiliz</w:t>
      </w:r>
      <w:r w:rsidRPr="006A6DED">
        <w:rPr>
          <w:rFonts w:ascii="Times New Roman" w:hAnsi="Times New Roman" w:cs="Times New Roman"/>
          <w:sz w:val="24"/>
          <w:szCs w:val="24"/>
        </w:rPr>
        <w:t xml:space="preserve">ed to regulate such issues as public works, the economy, public transportation, public health, and </w:t>
      </w:r>
      <w:r w:rsidR="00350608">
        <w:rPr>
          <w:rFonts w:ascii="Times New Roman" w:hAnsi="Times New Roman" w:cs="Times New Roman"/>
          <w:sz w:val="24"/>
          <w:szCs w:val="24"/>
        </w:rPr>
        <w:t xml:space="preserve">even </w:t>
      </w:r>
      <w:r w:rsidRPr="006A6DED">
        <w:rPr>
          <w:rFonts w:ascii="Times New Roman" w:hAnsi="Times New Roman" w:cs="Times New Roman"/>
          <w:sz w:val="24"/>
          <w:szCs w:val="24"/>
        </w:rPr>
        <w:t>morality reform efforts.</w:t>
      </w:r>
      <w:r w:rsidRPr="006A6DED">
        <w:rPr>
          <w:rFonts w:ascii="Times New Roman" w:hAnsi="Times New Roman" w:cs="Times New Roman"/>
          <w:sz w:val="24"/>
          <w:szCs w:val="24"/>
          <w:vertAlign w:val="superscript"/>
        </w:rPr>
        <w:footnoteReference w:id="223"/>
      </w:r>
      <w:r w:rsidRPr="006A6DED">
        <w:rPr>
          <w:rFonts w:ascii="Times New Roman" w:hAnsi="Times New Roman" w:cs="Times New Roman"/>
          <w:sz w:val="24"/>
          <w:szCs w:val="24"/>
        </w:rPr>
        <w:t xml:space="preserve"> Historian Gary Gerstle offers that the division of powers in the early United States was rooted in the debates over federalism, and that within this system, the federal government was expected to provide a limited role in protecting citizens, guiding settlement, and subsidizing the Postal Service.</w:t>
      </w:r>
      <w:r w:rsidRPr="006A6DED">
        <w:rPr>
          <w:rFonts w:ascii="Times New Roman" w:hAnsi="Times New Roman" w:cs="Times New Roman"/>
          <w:sz w:val="24"/>
          <w:szCs w:val="24"/>
          <w:vertAlign w:val="superscript"/>
        </w:rPr>
        <w:footnoteReference w:id="224"/>
      </w:r>
      <w:r w:rsidRPr="006A6DED">
        <w:rPr>
          <w:rFonts w:ascii="Times New Roman" w:hAnsi="Times New Roman" w:cs="Times New Roman"/>
          <w:sz w:val="24"/>
          <w:szCs w:val="24"/>
        </w:rPr>
        <w:t xml:space="preserve"> Gerstle found that the limited powers of the federal government stood in stark contrast to the powerful state governments, which proved to be so mighty because they “operate[d] according to a different governing principle than did the central state,” the previously identified “police power” which “allowed state governments to engage in extensive regulation of the economy, society, and morality” for better or worse.</w:t>
      </w:r>
      <w:r w:rsidRPr="006A6DED">
        <w:rPr>
          <w:rFonts w:ascii="Times New Roman" w:hAnsi="Times New Roman" w:cs="Times New Roman"/>
          <w:sz w:val="24"/>
          <w:szCs w:val="24"/>
          <w:vertAlign w:val="superscript"/>
        </w:rPr>
        <w:footnoteReference w:id="225"/>
      </w:r>
      <w:r w:rsidRPr="006A6DED">
        <w:rPr>
          <w:rFonts w:ascii="Times New Roman" w:hAnsi="Times New Roman" w:cs="Times New Roman"/>
          <w:sz w:val="24"/>
          <w:szCs w:val="24"/>
        </w:rPr>
        <w:t xml:space="preserve"> This power was awarded to the states under the Constitution, the most liberal of documents at the time, which established many obstacles in the path of the national government to prevent too strong a federal system emerging, yet the federal government began to find</w:t>
      </w:r>
      <w:r w:rsidR="00450798">
        <w:rPr>
          <w:rFonts w:ascii="Times New Roman" w:hAnsi="Times New Roman" w:cs="Times New Roman"/>
          <w:sz w:val="24"/>
          <w:szCs w:val="24"/>
        </w:rPr>
        <w:t xml:space="preserve"> small</w:t>
      </w:r>
      <w:r w:rsidRPr="006A6DED">
        <w:rPr>
          <w:rFonts w:ascii="Times New Roman" w:hAnsi="Times New Roman" w:cs="Times New Roman"/>
          <w:sz w:val="24"/>
          <w:szCs w:val="24"/>
        </w:rPr>
        <w:t xml:space="preserve"> constitutional loopholes that eventually amassed </w:t>
      </w:r>
      <w:r w:rsidR="0042427E">
        <w:rPr>
          <w:rFonts w:ascii="Times New Roman" w:hAnsi="Times New Roman" w:cs="Times New Roman"/>
          <w:sz w:val="24"/>
          <w:szCs w:val="24"/>
        </w:rPr>
        <w:t xml:space="preserve">limited </w:t>
      </w:r>
      <w:r w:rsidRPr="006A6DED">
        <w:rPr>
          <w:rFonts w:ascii="Times New Roman" w:hAnsi="Times New Roman" w:cs="Times New Roman"/>
          <w:sz w:val="24"/>
          <w:szCs w:val="24"/>
        </w:rPr>
        <w:t>power against the state system in place.</w:t>
      </w:r>
      <w:r w:rsidRPr="006A6DED">
        <w:rPr>
          <w:rFonts w:ascii="Times New Roman" w:hAnsi="Times New Roman" w:cs="Times New Roman"/>
          <w:sz w:val="24"/>
          <w:szCs w:val="24"/>
          <w:vertAlign w:val="superscript"/>
        </w:rPr>
        <w:footnoteReference w:id="226"/>
      </w:r>
      <w:r w:rsidRPr="006A6DED">
        <w:rPr>
          <w:rFonts w:ascii="Times New Roman" w:hAnsi="Times New Roman" w:cs="Times New Roman"/>
          <w:sz w:val="24"/>
          <w:szCs w:val="24"/>
        </w:rPr>
        <w:t xml:space="preserve"> The aforementioned rings that developed across the United States took advantage of the lack of federal power to seize control of these local powers and develop networks of impropriety they used to take control of the true power in the civil service: local officers.</w:t>
      </w:r>
    </w:p>
    <w:p w14:paraId="3C877F65" w14:textId="106D2EC2"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The Civil War changed everything for the United States- this is a statement that cannot be disputed. Family was pitted against itself. Ways of life that had existed since the earliest </w:t>
      </w:r>
      <w:r w:rsidRPr="006A6DED">
        <w:rPr>
          <w:rFonts w:ascii="Times New Roman" w:hAnsi="Times New Roman" w:cs="Times New Roman"/>
          <w:sz w:val="24"/>
          <w:szCs w:val="24"/>
        </w:rPr>
        <w:lastRenderedPageBreak/>
        <w:t>European settlers set foot on the continent faced upheaval. In addition to massive sociocultural changes in the United States, significant changes in the political system were made. For one, the Democratic Party, which held its power base in the southern states, was drastically weakened by secession, leaving the nascent Republican Party with nigh-complete control of the government.</w:t>
      </w:r>
      <w:r w:rsidRPr="006A6DED">
        <w:rPr>
          <w:rFonts w:ascii="Times New Roman" w:hAnsi="Times New Roman" w:cs="Times New Roman"/>
          <w:sz w:val="24"/>
          <w:szCs w:val="24"/>
          <w:vertAlign w:val="superscript"/>
        </w:rPr>
        <w:footnoteReference w:id="227"/>
      </w:r>
      <w:r w:rsidRPr="006A6DED">
        <w:rPr>
          <w:rFonts w:ascii="Times New Roman" w:hAnsi="Times New Roman" w:cs="Times New Roman"/>
          <w:sz w:val="24"/>
          <w:szCs w:val="24"/>
        </w:rPr>
        <w:t xml:space="preserve"> What’s more, several individuals with political experience left the civil service in order to fight for their state and</w:t>
      </w:r>
      <w:r w:rsidR="00B947BD">
        <w:rPr>
          <w:rFonts w:ascii="Times New Roman" w:hAnsi="Times New Roman" w:cs="Times New Roman"/>
          <w:sz w:val="24"/>
          <w:szCs w:val="24"/>
        </w:rPr>
        <w:t>/or</w:t>
      </w:r>
      <w:r w:rsidRPr="006A6DED">
        <w:rPr>
          <w:rFonts w:ascii="Times New Roman" w:hAnsi="Times New Roman" w:cs="Times New Roman"/>
          <w:sz w:val="24"/>
          <w:szCs w:val="24"/>
        </w:rPr>
        <w:t xml:space="preserve"> country, leaving a party without an established power structure and without several experienced agents to both run the nation and to fight a war.</w:t>
      </w:r>
      <w:r w:rsidRPr="006A6DED">
        <w:rPr>
          <w:rFonts w:ascii="Times New Roman" w:hAnsi="Times New Roman" w:cs="Times New Roman"/>
          <w:sz w:val="24"/>
          <w:szCs w:val="24"/>
          <w:vertAlign w:val="superscript"/>
        </w:rPr>
        <w:footnoteReference w:id="228"/>
      </w:r>
      <w:r w:rsidRPr="006A6DED">
        <w:rPr>
          <w:rFonts w:ascii="Times New Roman" w:hAnsi="Times New Roman" w:cs="Times New Roman"/>
          <w:sz w:val="24"/>
          <w:szCs w:val="24"/>
        </w:rPr>
        <w:t xml:space="preserve"> </w:t>
      </w:r>
    </w:p>
    <w:p w14:paraId="352F25AD" w14:textId="77777777"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Among the many changes that took place during the Civil War was the emergence of a new standard surrounding the federal government and the civil service due to the needs of the war and the nation it impacted. Many scholars have discussed this expansion. Political scholar Richard Bensel suggests that the antebellum government was merely an arena in which socioeconomic forces made decisions with the government simply serving as the forum for these discussions.</w:t>
      </w:r>
      <w:r w:rsidRPr="006A6DED">
        <w:rPr>
          <w:rFonts w:ascii="Times New Roman" w:hAnsi="Times New Roman" w:cs="Times New Roman"/>
          <w:sz w:val="24"/>
          <w:szCs w:val="24"/>
          <w:vertAlign w:val="superscript"/>
        </w:rPr>
        <w:footnoteReference w:id="229"/>
      </w:r>
      <w:r w:rsidRPr="006A6DED">
        <w:rPr>
          <w:rFonts w:ascii="Times New Roman" w:hAnsi="Times New Roman" w:cs="Times New Roman"/>
          <w:sz w:val="24"/>
          <w:szCs w:val="24"/>
        </w:rPr>
        <w:t xml:space="preserve"> Gary Gerstle suggests that, in its first eighty years, the federal government was ill-equipped by the Constitution to carry out the liberal ideas laid out in the very same document.</w:t>
      </w:r>
      <w:r w:rsidRPr="006A6DED">
        <w:rPr>
          <w:rFonts w:ascii="Times New Roman" w:hAnsi="Times New Roman" w:cs="Times New Roman"/>
          <w:sz w:val="24"/>
          <w:szCs w:val="24"/>
          <w:vertAlign w:val="superscript"/>
        </w:rPr>
        <w:footnoteReference w:id="230"/>
      </w:r>
      <w:r w:rsidRPr="006A6DED">
        <w:rPr>
          <w:rFonts w:ascii="Times New Roman" w:hAnsi="Times New Roman" w:cs="Times New Roman"/>
          <w:sz w:val="24"/>
          <w:szCs w:val="24"/>
        </w:rPr>
        <w:t xml:space="preserve"> Gerstle argues that the federal government typically used the power of exemption, among others, to exercise plenary power “beyond the reach of the Constitution” in times of </w:t>
      </w:r>
      <w:r w:rsidRPr="006A6DED">
        <w:rPr>
          <w:rFonts w:ascii="Times New Roman" w:hAnsi="Times New Roman" w:cs="Times New Roman"/>
          <w:sz w:val="24"/>
          <w:szCs w:val="24"/>
        </w:rPr>
        <w:lastRenderedPageBreak/>
        <w:t>external and internal security emergencies.</w:t>
      </w:r>
      <w:r w:rsidRPr="006A6DED">
        <w:rPr>
          <w:rFonts w:ascii="Times New Roman" w:hAnsi="Times New Roman" w:cs="Times New Roman"/>
          <w:sz w:val="24"/>
          <w:szCs w:val="24"/>
          <w:vertAlign w:val="superscript"/>
        </w:rPr>
        <w:footnoteReference w:id="231"/>
      </w:r>
      <w:r w:rsidRPr="006A6DED">
        <w:rPr>
          <w:rFonts w:ascii="Times New Roman" w:hAnsi="Times New Roman" w:cs="Times New Roman"/>
          <w:sz w:val="24"/>
          <w:szCs w:val="24"/>
        </w:rPr>
        <w:t xml:space="preserve"> During the Civil War, President Lincoln wielded this power of exemption to suspend habeas corpus, order the military arrest of civilians who expressed disloyalty to the Union cause, and shut down opposition newspapers, expressing a new level of federal powers during the state of emergency caused by the rebellion.</w:t>
      </w:r>
      <w:r w:rsidRPr="006A6DED">
        <w:rPr>
          <w:rFonts w:ascii="Times New Roman" w:hAnsi="Times New Roman" w:cs="Times New Roman"/>
          <w:sz w:val="24"/>
          <w:szCs w:val="24"/>
          <w:vertAlign w:val="superscript"/>
        </w:rPr>
        <w:footnoteReference w:id="232"/>
      </w:r>
      <w:r w:rsidRPr="006A6DED">
        <w:rPr>
          <w:rFonts w:ascii="Times New Roman" w:hAnsi="Times New Roman" w:cs="Times New Roman"/>
          <w:sz w:val="24"/>
          <w:szCs w:val="24"/>
        </w:rPr>
        <w:t xml:space="preserve"> Bensel argues that the Civil War era marked the origins of American central state authority because “the conflict settled long-standing questions on whether the national government was to possess the fundamental attributes of territorial and governmental sovereignty.”</w:t>
      </w:r>
      <w:r w:rsidRPr="006A6DED">
        <w:rPr>
          <w:rFonts w:ascii="Times New Roman" w:hAnsi="Times New Roman" w:cs="Times New Roman"/>
          <w:sz w:val="24"/>
          <w:szCs w:val="24"/>
          <w:vertAlign w:val="superscript"/>
        </w:rPr>
        <w:footnoteReference w:id="233"/>
      </w:r>
      <w:r w:rsidRPr="006A6DED">
        <w:rPr>
          <w:rFonts w:ascii="Times New Roman" w:hAnsi="Times New Roman" w:cs="Times New Roman"/>
          <w:sz w:val="24"/>
          <w:szCs w:val="24"/>
        </w:rPr>
        <w:t xml:space="preserve"> Scholars like Michael Les Benedict, Daniel Elazar, and Harold Hyman have all argued that the aftermath of the Civil War did not result in a stronger Union, but in a retention of the federalism desired by the founders.</w:t>
      </w:r>
      <w:r w:rsidRPr="006A6DED">
        <w:rPr>
          <w:rFonts w:ascii="Times New Roman" w:hAnsi="Times New Roman" w:cs="Times New Roman"/>
          <w:sz w:val="24"/>
          <w:szCs w:val="24"/>
          <w:vertAlign w:val="superscript"/>
        </w:rPr>
        <w:footnoteReference w:id="234"/>
      </w:r>
      <w:r w:rsidRPr="006A6DED">
        <w:rPr>
          <w:rFonts w:ascii="Times New Roman" w:hAnsi="Times New Roman" w:cs="Times New Roman"/>
          <w:sz w:val="24"/>
          <w:szCs w:val="24"/>
        </w:rPr>
        <w:t xml:space="preserve"> Bensel concludes that by the end of Reconstruction, a modern Weberian state was founded in America with a central authority that could implement and apply socioeconomic policies for the masses.</w:t>
      </w:r>
      <w:r w:rsidRPr="006A6DED">
        <w:rPr>
          <w:rFonts w:ascii="Times New Roman" w:hAnsi="Times New Roman" w:cs="Times New Roman"/>
          <w:sz w:val="24"/>
          <w:szCs w:val="24"/>
          <w:vertAlign w:val="superscript"/>
        </w:rPr>
        <w:footnoteReference w:id="235"/>
      </w:r>
    </w:p>
    <w:p w14:paraId="6CC52B79" w14:textId="4AF78E0D"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Lincoln’s considerations of the role of civil service are important, but so too are his understandings of the realities that lay before him as the nation fell apart. Though he found the existing system problematic as he was constantly pestered by office seekers, he still realized that it was a tool he could use to gain and maintain political power and support he desperately needed during his presidency.</w:t>
      </w:r>
      <w:r w:rsidRPr="006A6DED">
        <w:rPr>
          <w:rFonts w:ascii="Times New Roman" w:hAnsi="Times New Roman" w:cs="Times New Roman"/>
          <w:sz w:val="24"/>
          <w:szCs w:val="24"/>
          <w:vertAlign w:val="superscript"/>
        </w:rPr>
        <w:footnoteReference w:id="236"/>
      </w:r>
      <w:r w:rsidRPr="006A6DED">
        <w:rPr>
          <w:rFonts w:ascii="Times New Roman" w:hAnsi="Times New Roman" w:cs="Times New Roman"/>
          <w:sz w:val="24"/>
          <w:szCs w:val="24"/>
        </w:rPr>
        <w:t xml:space="preserve"> Lincoln was responsible for the largest percentage of officeholders </w:t>
      </w:r>
      <w:r w:rsidRPr="006A6DED">
        <w:rPr>
          <w:rFonts w:ascii="Times New Roman" w:hAnsi="Times New Roman" w:cs="Times New Roman"/>
          <w:sz w:val="24"/>
          <w:szCs w:val="24"/>
        </w:rPr>
        <w:lastRenderedPageBreak/>
        <w:t>removed to that point in American history with over 1400 removed, more than doubling the next closest, Franklin Pierce.</w:t>
      </w:r>
      <w:r w:rsidRPr="006A6DED">
        <w:rPr>
          <w:rFonts w:ascii="Times New Roman" w:hAnsi="Times New Roman" w:cs="Times New Roman"/>
          <w:sz w:val="24"/>
          <w:szCs w:val="24"/>
          <w:vertAlign w:val="superscript"/>
        </w:rPr>
        <w:footnoteReference w:id="237"/>
      </w:r>
      <w:r w:rsidRPr="006A6DED">
        <w:rPr>
          <w:rFonts w:ascii="Times New Roman" w:hAnsi="Times New Roman" w:cs="Times New Roman"/>
          <w:sz w:val="24"/>
          <w:szCs w:val="24"/>
        </w:rPr>
        <w:t xml:space="preserve"> During the course of the Civil War, true civil service reform movements began to effectively rattle the cages. Senator Charles Sumner introduced a bill to Congress to require appointees to take competitive examinations in order to qualify for posts while also recommending that promotions be made mostly in terms of seniority while also considering ability.</w:t>
      </w:r>
      <w:r w:rsidRPr="006A6DED">
        <w:rPr>
          <w:rFonts w:ascii="Times New Roman" w:hAnsi="Times New Roman" w:cs="Times New Roman"/>
          <w:sz w:val="24"/>
          <w:szCs w:val="24"/>
          <w:vertAlign w:val="superscript"/>
        </w:rPr>
        <w:footnoteReference w:id="238"/>
      </w:r>
      <w:r w:rsidRPr="006A6DED">
        <w:rPr>
          <w:rFonts w:ascii="Times New Roman" w:hAnsi="Times New Roman" w:cs="Times New Roman"/>
          <w:sz w:val="24"/>
          <w:szCs w:val="24"/>
        </w:rPr>
        <w:t xml:space="preserve"> The American Consul General in Paris submitted a report on the French civil service, further recommending competitive examinations for the American system.</w:t>
      </w:r>
      <w:r w:rsidRPr="006A6DED">
        <w:rPr>
          <w:rFonts w:ascii="Times New Roman" w:hAnsi="Times New Roman" w:cs="Times New Roman"/>
          <w:sz w:val="24"/>
          <w:szCs w:val="24"/>
          <w:vertAlign w:val="superscript"/>
        </w:rPr>
        <w:footnoteReference w:id="239"/>
      </w:r>
      <w:r w:rsidRPr="006A6DED">
        <w:rPr>
          <w:rFonts w:ascii="Times New Roman" w:hAnsi="Times New Roman" w:cs="Times New Roman"/>
          <w:sz w:val="24"/>
          <w:szCs w:val="24"/>
        </w:rPr>
        <w:t xml:space="preserve"> Rhode Island Representative Thomas Jenckes made several attempts to reform the civil service through examinations, first through research and finally by presenting numerous bills on the matter, though these came mostly postbellum.</w:t>
      </w:r>
      <w:r w:rsidRPr="006A6DED">
        <w:rPr>
          <w:rFonts w:ascii="Times New Roman" w:hAnsi="Times New Roman" w:cs="Times New Roman"/>
          <w:sz w:val="24"/>
          <w:szCs w:val="24"/>
          <w:vertAlign w:val="superscript"/>
        </w:rPr>
        <w:footnoteReference w:id="240"/>
      </w:r>
      <w:r w:rsidRPr="006A6DED">
        <w:rPr>
          <w:rFonts w:ascii="Times New Roman" w:hAnsi="Times New Roman" w:cs="Times New Roman"/>
          <w:sz w:val="24"/>
          <w:szCs w:val="24"/>
        </w:rPr>
        <w:t xml:space="preserve"> Once the war was over, Lincoln desired to escape from the perils of both rotation and the spoils system, though he would not live long enough to see the end of either practice.</w:t>
      </w:r>
      <w:r w:rsidRPr="006A6DED">
        <w:rPr>
          <w:rFonts w:ascii="Times New Roman" w:hAnsi="Times New Roman" w:cs="Times New Roman"/>
          <w:sz w:val="24"/>
          <w:szCs w:val="24"/>
          <w:vertAlign w:val="superscript"/>
        </w:rPr>
        <w:footnoteReference w:id="241"/>
      </w:r>
    </w:p>
    <w:p w14:paraId="6321A1B0" w14:textId="7897767E"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Beginning with the election of Lincoln, the third-party system, headlined by the battle between Republicans and Democrats during and after the Civil War, shaped the political </w:t>
      </w:r>
      <w:r w:rsidR="00E879BD">
        <w:rPr>
          <w:rFonts w:ascii="Times New Roman" w:hAnsi="Times New Roman" w:cs="Times New Roman"/>
          <w:sz w:val="24"/>
          <w:szCs w:val="24"/>
        </w:rPr>
        <w:t>landscape</w:t>
      </w:r>
      <w:r w:rsidRPr="006A6DED">
        <w:rPr>
          <w:rFonts w:ascii="Times New Roman" w:hAnsi="Times New Roman" w:cs="Times New Roman"/>
          <w:sz w:val="24"/>
          <w:szCs w:val="24"/>
        </w:rPr>
        <w:t xml:space="preserve"> in new ways. The political divisions of the nation were marked by discussions of emancipation and Reconstruction after the Civil War.</w:t>
      </w:r>
      <w:r w:rsidRPr="006A6DED">
        <w:rPr>
          <w:rFonts w:ascii="Times New Roman" w:hAnsi="Times New Roman" w:cs="Times New Roman"/>
          <w:sz w:val="24"/>
          <w:szCs w:val="24"/>
          <w:vertAlign w:val="superscript"/>
        </w:rPr>
        <w:footnoteReference w:id="242"/>
      </w:r>
      <w:r w:rsidRPr="006A6DED">
        <w:rPr>
          <w:rFonts w:ascii="Times New Roman" w:hAnsi="Times New Roman" w:cs="Times New Roman"/>
          <w:sz w:val="24"/>
          <w:szCs w:val="24"/>
        </w:rPr>
        <w:t xml:space="preserve"> The two major political parties, the Republicans and the Democrats, largely took on a north-south division, with the Democrats finding their strength in the American South and lower Mid-Atlantic while the Republicans held </w:t>
      </w:r>
      <w:r w:rsidRPr="006A6DED">
        <w:rPr>
          <w:rFonts w:ascii="Times New Roman" w:hAnsi="Times New Roman" w:cs="Times New Roman"/>
          <w:sz w:val="24"/>
          <w:szCs w:val="24"/>
        </w:rPr>
        <w:lastRenderedPageBreak/>
        <w:t>their base in New England, the West, and the Midwest.</w:t>
      </w:r>
      <w:r w:rsidRPr="006A6DED">
        <w:rPr>
          <w:rFonts w:ascii="Times New Roman" w:hAnsi="Times New Roman" w:cs="Times New Roman"/>
          <w:sz w:val="24"/>
          <w:szCs w:val="24"/>
          <w:vertAlign w:val="superscript"/>
        </w:rPr>
        <w:footnoteReference w:id="243"/>
      </w:r>
      <w:r w:rsidRPr="006A6DED">
        <w:rPr>
          <w:rFonts w:ascii="Times New Roman" w:hAnsi="Times New Roman" w:cs="Times New Roman"/>
          <w:sz w:val="24"/>
          <w:szCs w:val="24"/>
        </w:rPr>
        <w:t xml:space="preserve"> The era is marked by the dominance of the new Republican Party, who benefitted from the effects of Reconstruction that penalized Democrats in the formerly-seceded states from using their geographic base as a site of power until they fulfilled the necessary terms for readmission to the Union.</w:t>
      </w:r>
      <w:r w:rsidRPr="006A6DED">
        <w:rPr>
          <w:rFonts w:ascii="Times New Roman" w:hAnsi="Times New Roman" w:cs="Times New Roman"/>
          <w:sz w:val="24"/>
          <w:szCs w:val="24"/>
          <w:vertAlign w:val="superscript"/>
        </w:rPr>
        <w:footnoteReference w:id="244"/>
      </w:r>
      <w:r w:rsidRPr="006A6DED">
        <w:rPr>
          <w:rFonts w:ascii="Times New Roman" w:hAnsi="Times New Roman" w:cs="Times New Roman"/>
          <w:sz w:val="24"/>
          <w:szCs w:val="24"/>
        </w:rPr>
        <w:t xml:space="preserve"> Though the end of Reconstruction in 1877 left the Democratic Party with more power than before, the new system which pitted Republicans against Democrats as the two major political parties became entrenched as the primary driver of politics, and those seeking patronage posts typically looked to members of these two organizations for entrance into the civil service.</w:t>
      </w:r>
      <w:r w:rsidRPr="006A6DED">
        <w:rPr>
          <w:rFonts w:ascii="Times New Roman" w:hAnsi="Times New Roman" w:cs="Times New Roman"/>
          <w:sz w:val="24"/>
          <w:szCs w:val="24"/>
          <w:vertAlign w:val="superscript"/>
        </w:rPr>
        <w:footnoteReference w:id="245"/>
      </w:r>
      <w:r w:rsidRPr="006A6DED">
        <w:rPr>
          <w:rFonts w:ascii="Times New Roman" w:hAnsi="Times New Roman" w:cs="Times New Roman"/>
          <w:sz w:val="24"/>
          <w:szCs w:val="24"/>
        </w:rPr>
        <w:t xml:space="preserve"> The third party system, even in its infancy, became the path for politics in the Civil War Era.</w:t>
      </w:r>
      <w:r w:rsidRPr="006A6DED">
        <w:rPr>
          <w:rFonts w:ascii="Times New Roman" w:hAnsi="Times New Roman" w:cs="Times New Roman"/>
          <w:sz w:val="24"/>
          <w:szCs w:val="24"/>
          <w:vertAlign w:val="superscript"/>
        </w:rPr>
        <w:footnoteReference w:id="246"/>
      </w:r>
      <w:r w:rsidRPr="006A6DED">
        <w:rPr>
          <w:rFonts w:ascii="Times New Roman" w:hAnsi="Times New Roman" w:cs="Times New Roman"/>
          <w:sz w:val="24"/>
          <w:szCs w:val="24"/>
        </w:rPr>
        <w:t xml:space="preserve"> </w:t>
      </w:r>
    </w:p>
    <w:p w14:paraId="1C44C9F6" w14:textId="04867DE7"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 xml:space="preserve">As the nation came to grips with a new status quo after the fall of the Confederacy, the </w:t>
      </w:r>
      <w:r w:rsidR="00A6197E" w:rsidRPr="006A6DED">
        <w:rPr>
          <w:rFonts w:ascii="Times New Roman" w:hAnsi="Times New Roman" w:cs="Times New Roman"/>
          <w:sz w:val="24"/>
          <w:szCs w:val="24"/>
        </w:rPr>
        <w:t>newly</w:t>
      </w:r>
      <w:r w:rsidR="00A6197E">
        <w:rPr>
          <w:rFonts w:ascii="Times New Roman" w:hAnsi="Times New Roman" w:cs="Times New Roman"/>
          <w:sz w:val="24"/>
          <w:szCs w:val="24"/>
        </w:rPr>
        <w:t>-</w:t>
      </w:r>
      <w:r w:rsidR="00A6197E" w:rsidRPr="006A6DED">
        <w:rPr>
          <w:rFonts w:ascii="Times New Roman" w:hAnsi="Times New Roman" w:cs="Times New Roman"/>
          <w:sz w:val="24"/>
          <w:szCs w:val="24"/>
        </w:rPr>
        <w:t>expanded</w:t>
      </w:r>
      <w:r w:rsidRPr="006A6DED">
        <w:rPr>
          <w:rFonts w:ascii="Times New Roman" w:hAnsi="Times New Roman" w:cs="Times New Roman"/>
          <w:sz w:val="24"/>
          <w:szCs w:val="24"/>
        </w:rPr>
        <w:t xml:space="preserve"> centralized government required new personnel and new approaches to cope with the realit</w:t>
      </w:r>
      <w:r w:rsidR="007A767F">
        <w:rPr>
          <w:rFonts w:ascii="Times New Roman" w:hAnsi="Times New Roman" w:cs="Times New Roman"/>
          <w:sz w:val="24"/>
          <w:szCs w:val="24"/>
        </w:rPr>
        <w:t>ies</w:t>
      </w:r>
      <w:r w:rsidRPr="006A6DED">
        <w:rPr>
          <w:rFonts w:ascii="Times New Roman" w:hAnsi="Times New Roman" w:cs="Times New Roman"/>
          <w:sz w:val="24"/>
          <w:szCs w:val="24"/>
        </w:rPr>
        <w:t xml:space="preserve"> </w:t>
      </w:r>
      <w:r w:rsidR="007A767F">
        <w:rPr>
          <w:rFonts w:ascii="Times New Roman" w:hAnsi="Times New Roman" w:cs="Times New Roman"/>
          <w:sz w:val="24"/>
          <w:szCs w:val="24"/>
        </w:rPr>
        <w:t>of</w:t>
      </w:r>
      <w:r w:rsidRPr="006A6DED">
        <w:rPr>
          <w:rFonts w:ascii="Times New Roman" w:hAnsi="Times New Roman" w:cs="Times New Roman"/>
          <w:sz w:val="24"/>
          <w:szCs w:val="24"/>
        </w:rPr>
        <w:t xml:space="preserve"> the American way of governing. Unfortunately, before many of the </w:t>
      </w:r>
      <w:r w:rsidRPr="006A6DED">
        <w:rPr>
          <w:rFonts w:ascii="Times New Roman" w:hAnsi="Times New Roman" w:cs="Times New Roman"/>
          <w:sz w:val="24"/>
          <w:szCs w:val="24"/>
        </w:rPr>
        <w:lastRenderedPageBreak/>
        <w:t>particulars regarding how the politics of reconstructing the nation could be determined, tragedy struck. On April 14</w:t>
      </w:r>
      <w:r w:rsidRPr="006A6DED">
        <w:rPr>
          <w:rFonts w:ascii="Times New Roman" w:hAnsi="Times New Roman" w:cs="Times New Roman"/>
          <w:sz w:val="24"/>
          <w:szCs w:val="24"/>
          <w:vertAlign w:val="superscript"/>
        </w:rPr>
        <w:t>th</w:t>
      </w:r>
      <w:r w:rsidRPr="006A6DED">
        <w:rPr>
          <w:rFonts w:ascii="Times New Roman" w:hAnsi="Times New Roman" w:cs="Times New Roman"/>
          <w:sz w:val="24"/>
          <w:szCs w:val="24"/>
        </w:rPr>
        <w:t>, 1865, less than a week after the fateful meeting between Grant and Lee at Appomattox that effectively ended the Civil War, President Abraham Lincoln was assassinated by actor John Wilkes Booth while watching the play “Our American Cousin” at Ford’s Theater in Washington, DC.</w:t>
      </w:r>
      <w:r w:rsidRPr="006A6DED">
        <w:rPr>
          <w:rFonts w:ascii="Times New Roman" w:hAnsi="Times New Roman" w:cs="Times New Roman"/>
          <w:sz w:val="24"/>
          <w:szCs w:val="24"/>
          <w:vertAlign w:val="superscript"/>
        </w:rPr>
        <w:footnoteReference w:id="247"/>
      </w:r>
      <w:r w:rsidRPr="006A6DED">
        <w:rPr>
          <w:rFonts w:ascii="Times New Roman" w:hAnsi="Times New Roman" w:cs="Times New Roman"/>
          <w:sz w:val="24"/>
          <w:szCs w:val="24"/>
        </w:rPr>
        <w:t xml:space="preserve"> While in some way this united the nation in mourning, in </w:t>
      </w:r>
      <w:r w:rsidR="002D3CB5">
        <w:rPr>
          <w:rFonts w:ascii="Times New Roman" w:hAnsi="Times New Roman" w:cs="Times New Roman"/>
          <w:sz w:val="24"/>
          <w:szCs w:val="24"/>
        </w:rPr>
        <w:t xml:space="preserve">so many </w:t>
      </w:r>
      <w:r w:rsidRPr="006A6DED">
        <w:rPr>
          <w:rFonts w:ascii="Times New Roman" w:hAnsi="Times New Roman" w:cs="Times New Roman"/>
          <w:sz w:val="24"/>
          <w:szCs w:val="24"/>
        </w:rPr>
        <w:t>others it left it in chaos. The man who oversaw the most turbulent time in the nation’s history and who had a plan for reunification was gone, and his plan was gone with him. Yes, he had discussed his plan with others of political importance like General Grant and his cabinet, but the change to the presidential ticket in 1864 left Lincoln with a new Vice President meant to appease southern voters, Andrew Johnson of Tennessee, who had not spent much time with Lincoln.</w:t>
      </w:r>
      <w:r w:rsidRPr="006A6DED">
        <w:rPr>
          <w:rFonts w:ascii="Times New Roman" w:hAnsi="Times New Roman" w:cs="Times New Roman"/>
          <w:sz w:val="24"/>
          <w:szCs w:val="24"/>
          <w:vertAlign w:val="superscript"/>
        </w:rPr>
        <w:footnoteReference w:id="248"/>
      </w:r>
      <w:r w:rsidRPr="006A6DED">
        <w:rPr>
          <w:rFonts w:ascii="Times New Roman" w:hAnsi="Times New Roman" w:cs="Times New Roman"/>
          <w:sz w:val="24"/>
          <w:szCs w:val="24"/>
        </w:rPr>
        <w:t xml:space="preserve"> What, then, was to be of the United States that still suffered disunity in the wake of civil war?</w:t>
      </w:r>
    </w:p>
    <w:p w14:paraId="1604A0DC" w14:textId="616F5B31"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After Lincoln’s assassination, the political landscape of the United States was in a tizzy. The newly promoted President Johnson was quickly put into a position of power for which he could not have been fully prepared, and now his plans for the nation’s reconstruction were the foremost topic of discussion.</w:t>
      </w:r>
      <w:r w:rsidRPr="006A6DED">
        <w:rPr>
          <w:rFonts w:ascii="Times New Roman" w:hAnsi="Times New Roman" w:cs="Times New Roman"/>
          <w:sz w:val="24"/>
          <w:szCs w:val="24"/>
          <w:vertAlign w:val="superscript"/>
        </w:rPr>
        <w:footnoteReference w:id="249"/>
      </w:r>
      <w:r w:rsidRPr="006A6DED">
        <w:rPr>
          <w:rFonts w:ascii="Times New Roman" w:hAnsi="Times New Roman" w:cs="Times New Roman"/>
          <w:sz w:val="24"/>
          <w:szCs w:val="24"/>
        </w:rPr>
        <w:t xml:space="preserve"> Southerners hoped that, since the new president was from their section of the nation, that perhaps they would not be penalized as stringently for their secession.</w:t>
      </w:r>
      <w:r w:rsidRPr="006A6DED">
        <w:rPr>
          <w:rFonts w:ascii="Times New Roman" w:hAnsi="Times New Roman" w:cs="Times New Roman"/>
          <w:sz w:val="24"/>
          <w:szCs w:val="24"/>
          <w:vertAlign w:val="superscript"/>
        </w:rPr>
        <w:footnoteReference w:id="250"/>
      </w:r>
      <w:r w:rsidRPr="006A6DED">
        <w:rPr>
          <w:rFonts w:ascii="Times New Roman" w:hAnsi="Times New Roman" w:cs="Times New Roman"/>
          <w:sz w:val="24"/>
          <w:szCs w:val="24"/>
        </w:rPr>
        <w:t xml:space="preserve"> The Radical Republicans desired exactly the opposite, that harsh punishments be levied against the states and individuals who threw the nation into turmoil as recompense for their crimes.</w:t>
      </w:r>
      <w:r w:rsidRPr="006A6DED">
        <w:rPr>
          <w:rFonts w:ascii="Times New Roman" w:hAnsi="Times New Roman" w:cs="Times New Roman"/>
          <w:sz w:val="24"/>
          <w:szCs w:val="24"/>
          <w:vertAlign w:val="superscript"/>
        </w:rPr>
        <w:footnoteReference w:id="251"/>
      </w:r>
      <w:r w:rsidRPr="006A6DED">
        <w:rPr>
          <w:rFonts w:ascii="Times New Roman" w:hAnsi="Times New Roman" w:cs="Times New Roman"/>
          <w:sz w:val="24"/>
          <w:szCs w:val="24"/>
        </w:rPr>
        <w:t xml:space="preserve"> There were others who sought a middle ground, and the newly enfranchised </w:t>
      </w:r>
      <w:r w:rsidRPr="006A6DED">
        <w:rPr>
          <w:rFonts w:ascii="Times New Roman" w:hAnsi="Times New Roman" w:cs="Times New Roman"/>
          <w:sz w:val="24"/>
          <w:szCs w:val="24"/>
        </w:rPr>
        <w:lastRenderedPageBreak/>
        <w:t>African Americans sought to support causes that would benefit their new place as citizens.</w:t>
      </w:r>
      <w:r w:rsidRPr="006A6DED">
        <w:rPr>
          <w:rFonts w:ascii="Times New Roman" w:hAnsi="Times New Roman" w:cs="Times New Roman"/>
          <w:sz w:val="24"/>
          <w:szCs w:val="24"/>
          <w:vertAlign w:val="superscript"/>
        </w:rPr>
        <w:footnoteReference w:id="252"/>
      </w:r>
      <w:r w:rsidRPr="006A6DED">
        <w:rPr>
          <w:rFonts w:ascii="Times New Roman" w:hAnsi="Times New Roman" w:cs="Times New Roman"/>
          <w:sz w:val="24"/>
          <w:szCs w:val="24"/>
        </w:rPr>
        <w:t xml:space="preserve"> Several paths lay before the United States, but it was unclear which path the nation would take.</w:t>
      </w:r>
    </w:p>
    <w:p w14:paraId="4A9BDE21" w14:textId="77777777"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As the dust settled, it became clear that the new President Johnson did not have the same ideas for Reconstruction as either his predecessor or the group of Radical Republicans who controlled the halls of Congress. Johnson was a staunch Unionist who also believed in states’ rights, giving him a foot in both the Northern and Southern camps of reconstruction considerations. Johnson’s plan was to enforce the establishment of new state constitutions in the South, uphold abolition, and force those who defected to pay war debts and swear oaths of loyalty.</w:t>
      </w:r>
      <w:r w:rsidRPr="006A6DED">
        <w:rPr>
          <w:rFonts w:ascii="Times New Roman" w:hAnsi="Times New Roman" w:cs="Times New Roman"/>
          <w:sz w:val="24"/>
          <w:szCs w:val="24"/>
          <w:vertAlign w:val="superscript"/>
        </w:rPr>
        <w:footnoteReference w:id="253"/>
      </w:r>
      <w:r w:rsidRPr="006A6DED">
        <w:rPr>
          <w:rFonts w:ascii="Times New Roman" w:hAnsi="Times New Roman" w:cs="Times New Roman"/>
          <w:sz w:val="24"/>
          <w:szCs w:val="24"/>
        </w:rPr>
        <w:t xml:space="preserve"> Other than this, Johnson’s desire was to return to a </w:t>
      </w:r>
      <w:r w:rsidRPr="006A6DED">
        <w:rPr>
          <w:rFonts w:ascii="Times New Roman" w:hAnsi="Times New Roman" w:cs="Times New Roman"/>
          <w:i/>
          <w:iCs/>
          <w:sz w:val="24"/>
          <w:szCs w:val="24"/>
        </w:rPr>
        <w:t>status quo antebellum</w:t>
      </w:r>
      <w:r w:rsidRPr="006A6DED">
        <w:rPr>
          <w:rFonts w:ascii="Times New Roman" w:hAnsi="Times New Roman" w:cs="Times New Roman"/>
          <w:sz w:val="24"/>
          <w:szCs w:val="24"/>
        </w:rPr>
        <w:t>, just without slavery. Johnson’s actions enabled Southern states to begin the process of enacting black codes to limit the actions of African Americans in the political realm.</w:t>
      </w:r>
      <w:r w:rsidRPr="006A6DED">
        <w:rPr>
          <w:rFonts w:ascii="Times New Roman" w:hAnsi="Times New Roman" w:cs="Times New Roman"/>
          <w:sz w:val="24"/>
          <w:szCs w:val="24"/>
          <w:vertAlign w:val="superscript"/>
        </w:rPr>
        <w:footnoteReference w:id="254"/>
      </w:r>
      <w:r w:rsidRPr="006A6DED">
        <w:rPr>
          <w:rFonts w:ascii="Times New Roman" w:hAnsi="Times New Roman" w:cs="Times New Roman"/>
          <w:sz w:val="24"/>
          <w:szCs w:val="24"/>
        </w:rPr>
        <w:t xml:space="preserve"> Congress combatted this by passing several pieces of legislation, including the 1866 Civil Rights Bill which was passed by a veto override against the wishes of President Johnson.</w:t>
      </w:r>
      <w:r w:rsidRPr="006A6DED">
        <w:rPr>
          <w:rFonts w:ascii="Times New Roman" w:hAnsi="Times New Roman" w:cs="Times New Roman"/>
          <w:sz w:val="24"/>
          <w:szCs w:val="24"/>
          <w:vertAlign w:val="superscript"/>
        </w:rPr>
        <w:footnoteReference w:id="255"/>
      </w:r>
      <w:r w:rsidRPr="006A6DED">
        <w:rPr>
          <w:rFonts w:ascii="Times New Roman" w:hAnsi="Times New Roman" w:cs="Times New Roman"/>
          <w:sz w:val="24"/>
          <w:szCs w:val="24"/>
        </w:rPr>
        <w:t xml:space="preserve"> The tensions between Johnson and Congress grew to such a head that Johnson became the first American president to be impeached in 1868, effectively neutering his power as the executive and giving control of Reconstruction to Congress until Grant’s election to the highest elected office.</w:t>
      </w:r>
      <w:r w:rsidRPr="006A6DED">
        <w:rPr>
          <w:rFonts w:ascii="Times New Roman" w:hAnsi="Times New Roman" w:cs="Times New Roman"/>
          <w:sz w:val="24"/>
          <w:szCs w:val="24"/>
          <w:vertAlign w:val="superscript"/>
        </w:rPr>
        <w:t xml:space="preserve"> </w:t>
      </w:r>
      <w:r w:rsidRPr="006A6DED">
        <w:rPr>
          <w:rFonts w:ascii="Times New Roman" w:hAnsi="Times New Roman" w:cs="Times New Roman"/>
          <w:sz w:val="24"/>
          <w:szCs w:val="24"/>
          <w:vertAlign w:val="superscript"/>
        </w:rPr>
        <w:footnoteReference w:id="256"/>
      </w:r>
      <w:r w:rsidRPr="006A6DED">
        <w:rPr>
          <w:rFonts w:ascii="Times New Roman" w:hAnsi="Times New Roman" w:cs="Times New Roman"/>
          <w:sz w:val="24"/>
          <w:szCs w:val="24"/>
        </w:rPr>
        <w:t xml:space="preserve"> Johnson’s impeachment, which occurred as a result of his mishandling a patronage post in the Cabinet that was protected from </w:t>
      </w:r>
      <w:r w:rsidRPr="006A6DED">
        <w:rPr>
          <w:rFonts w:ascii="Times New Roman" w:hAnsi="Times New Roman" w:cs="Times New Roman"/>
          <w:sz w:val="24"/>
          <w:szCs w:val="24"/>
        </w:rPr>
        <w:lastRenderedPageBreak/>
        <w:t>removal, led to the development of the new political status quo in Reconstruction which more effectively penalized the South for its secession.</w:t>
      </w:r>
    </w:p>
    <w:p w14:paraId="58A57965" w14:textId="7EF7BA74"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In addition to chaos at the top of the political realm, the Reconstruction Era saw political pandemonium from the perspective of those working in </w:t>
      </w:r>
      <w:r w:rsidR="00286F7E">
        <w:rPr>
          <w:rFonts w:ascii="Times New Roman" w:hAnsi="Times New Roman" w:cs="Times New Roman"/>
          <w:sz w:val="24"/>
          <w:szCs w:val="24"/>
        </w:rPr>
        <w:t>the lower levels of the government</w:t>
      </w:r>
      <w:r w:rsidRPr="006A6DED">
        <w:rPr>
          <w:rFonts w:ascii="Times New Roman" w:hAnsi="Times New Roman" w:cs="Times New Roman"/>
          <w:sz w:val="24"/>
          <w:szCs w:val="24"/>
        </w:rPr>
        <w:t xml:space="preserve">. Many new positions were created in the federal government, be </w:t>
      </w:r>
      <w:r w:rsidR="003E4112" w:rsidRPr="006A6DED">
        <w:rPr>
          <w:rFonts w:ascii="Times New Roman" w:hAnsi="Times New Roman" w:cs="Times New Roman"/>
          <w:sz w:val="24"/>
          <w:szCs w:val="24"/>
        </w:rPr>
        <w:t>they</w:t>
      </w:r>
      <w:r w:rsidRPr="006A6DED">
        <w:rPr>
          <w:rFonts w:ascii="Times New Roman" w:hAnsi="Times New Roman" w:cs="Times New Roman"/>
          <w:sz w:val="24"/>
          <w:szCs w:val="24"/>
        </w:rPr>
        <w:t xml:space="preserve"> in new branches like the Freedmen’s Bureau or in necessary new posts to assist with the influx of new responsibilities in existing branches.</w:t>
      </w:r>
      <w:r w:rsidRPr="006A6DED">
        <w:rPr>
          <w:rFonts w:ascii="Times New Roman" w:hAnsi="Times New Roman" w:cs="Times New Roman"/>
          <w:sz w:val="24"/>
          <w:szCs w:val="24"/>
          <w:vertAlign w:val="superscript"/>
        </w:rPr>
        <w:footnoteReference w:id="257"/>
      </w:r>
      <w:r w:rsidRPr="006A6DED">
        <w:rPr>
          <w:rFonts w:ascii="Times New Roman" w:hAnsi="Times New Roman" w:cs="Times New Roman"/>
          <w:sz w:val="24"/>
          <w:szCs w:val="24"/>
        </w:rPr>
        <w:t xml:space="preserve"> This upturned political system with new individuals holding unknown amounts of unchecked power created a system that was rife for corruption. In some cases, there were questions </w:t>
      </w:r>
      <w:r w:rsidR="000E31AE" w:rsidRPr="006A6DED">
        <w:rPr>
          <w:rFonts w:ascii="Times New Roman" w:hAnsi="Times New Roman" w:cs="Times New Roman"/>
          <w:sz w:val="24"/>
          <w:szCs w:val="24"/>
        </w:rPr>
        <w:t>about</w:t>
      </w:r>
      <w:r w:rsidRPr="006A6DED">
        <w:rPr>
          <w:rFonts w:ascii="Times New Roman" w:hAnsi="Times New Roman" w:cs="Times New Roman"/>
          <w:sz w:val="24"/>
          <w:szCs w:val="24"/>
        </w:rPr>
        <w:t xml:space="preserve"> the hierarchy of certain systems of the government, and there existed many, many questions regarding funding that was allocated and reallocated in the newly empowered federal government.</w:t>
      </w:r>
    </w:p>
    <w:p w14:paraId="56CD297F" w14:textId="77777777" w:rsidR="00A61739" w:rsidRDefault="006A6DED" w:rsidP="00A61739">
      <w:pPr>
        <w:spacing w:after="0" w:line="480" w:lineRule="auto"/>
        <w:rPr>
          <w:rFonts w:ascii="Times New Roman" w:hAnsi="Times New Roman" w:cs="Times New Roman"/>
          <w:sz w:val="24"/>
          <w:szCs w:val="24"/>
        </w:rPr>
      </w:pPr>
      <w:r w:rsidRPr="006A6DED">
        <w:rPr>
          <w:rFonts w:ascii="Times New Roman" w:hAnsi="Times New Roman" w:cs="Times New Roman"/>
          <w:sz w:val="24"/>
          <w:szCs w:val="24"/>
        </w:rPr>
        <w:tab/>
        <w:t xml:space="preserve">As a result of this new and flawed system, corrupt organizations began to emerge in an attempt to exploit the system for both public and private benefits. The most prominent type of organization that took advantage of the quick rise of federal powers without appropriate checks on that power were rings, </w:t>
      </w:r>
      <w:r w:rsidR="00567041">
        <w:rPr>
          <w:rFonts w:ascii="Times New Roman" w:hAnsi="Times New Roman" w:cs="Times New Roman"/>
          <w:sz w:val="24"/>
          <w:szCs w:val="24"/>
        </w:rPr>
        <w:t xml:space="preserve">those </w:t>
      </w:r>
      <w:r w:rsidRPr="006A6DED">
        <w:rPr>
          <w:rFonts w:ascii="Times New Roman" w:hAnsi="Times New Roman" w:cs="Times New Roman"/>
          <w:sz w:val="24"/>
          <w:szCs w:val="24"/>
        </w:rPr>
        <w:t>organizations that, as former New York Governor Samuel Tilden put it, were groups of people with political and social power “that encircle[d] enough influential men in the organization of each party to control the action of both party machines.”</w:t>
      </w:r>
      <w:r w:rsidRPr="006A6DED">
        <w:rPr>
          <w:rFonts w:ascii="Times New Roman" w:hAnsi="Times New Roman" w:cs="Times New Roman"/>
          <w:sz w:val="24"/>
          <w:szCs w:val="24"/>
          <w:vertAlign w:val="superscript"/>
        </w:rPr>
        <w:footnoteReference w:id="258"/>
      </w:r>
      <w:r w:rsidRPr="006A6DED">
        <w:rPr>
          <w:rFonts w:ascii="Times New Roman" w:hAnsi="Times New Roman" w:cs="Times New Roman"/>
          <w:sz w:val="24"/>
          <w:szCs w:val="24"/>
        </w:rPr>
        <w:t xml:space="preserve"> These rings had many forerunners, specifically New York’s Tweed Ring, to </w:t>
      </w:r>
      <w:r w:rsidR="00567041">
        <w:rPr>
          <w:rFonts w:ascii="Times New Roman" w:hAnsi="Times New Roman" w:cs="Times New Roman"/>
          <w:sz w:val="24"/>
          <w:szCs w:val="24"/>
        </w:rPr>
        <w:t xml:space="preserve">again </w:t>
      </w:r>
      <w:r w:rsidRPr="006A6DED">
        <w:rPr>
          <w:rFonts w:ascii="Times New Roman" w:hAnsi="Times New Roman" w:cs="Times New Roman"/>
          <w:sz w:val="24"/>
          <w:szCs w:val="24"/>
        </w:rPr>
        <w:t xml:space="preserve">serve as examples for the groups that emerged during Reconstruction. As one historian put it, “the advent of the ring as a volatile form of governance, a ‘semi-political business … half political and half </w:t>
      </w:r>
      <w:r w:rsidRPr="006A6DED">
        <w:rPr>
          <w:rFonts w:ascii="Times New Roman" w:hAnsi="Times New Roman" w:cs="Times New Roman"/>
          <w:sz w:val="24"/>
          <w:szCs w:val="24"/>
        </w:rPr>
        <w:lastRenderedPageBreak/>
        <w:t>financial,’” left many to consider the merging of the business with the political in new ways, particularly those that could be exploited, as these rings were “audacious in their treatment of public office like ‘merchandise, to be bartered and sold.’”</w:t>
      </w:r>
      <w:r w:rsidRPr="006A6DED">
        <w:rPr>
          <w:rFonts w:ascii="Times New Roman" w:hAnsi="Times New Roman" w:cs="Times New Roman"/>
          <w:sz w:val="24"/>
          <w:szCs w:val="24"/>
          <w:vertAlign w:val="superscript"/>
        </w:rPr>
        <w:footnoteReference w:id="259"/>
      </w:r>
      <w:r w:rsidRPr="006A6DED">
        <w:rPr>
          <w:rFonts w:ascii="Times New Roman" w:hAnsi="Times New Roman" w:cs="Times New Roman"/>
          <w:sz w:val="24"/>
          <w:szCs w:val="24"/>
        </w:rPr>
        <w:t xml:space="preserve"> Many rings reached across the nation at different points after the Civil War as new powers came forth with claims to reshape the government, and in other cases </w:t>
      </w:r>
      <w:r w:rsidR="00584A32">
        <w:rPr>
          <w:rFonts w:ascii="Times New Roman" w:hAnsi="Times New Roman" w:cs="Times New Roman"/>
          <w:sz w:val="24"/>
          <w:szCs w:val="24"/>
        </w:rPr>
        <w:t>citizens</w:t>
      </w:r>
      <w:r w:rsidRPr="006A6DED">
        <w:rPr>
          <w:rFonts w:ascii="Times New Roman" w:hAnsi="Times New Roman" w:cs="Times New Roman"/>
          <w:sz w:val="24"/>
          <w:szCs w:val="24"/>
        </w:rPr>
        <w:t xml:space="preserve"> cried foul of new political methods by assuming they were done by rings even if they were not. The system that emerged was one of “booty capitalism,” or the accumulation of riches by plunder, which </w:t>
      </w:r>
      <w:r w:rsidR="006329BD">
        <w:rPr>
          <w:rFonts w:ascii="Times New Roman" w:hAnsi="Times New Roman" w:cs="Times New Roman"/>
          <w:sz w:val="24"/>
          <w:szCs w:val="24"/>
        </w:rPr>
        <w:t>churn</w:t>
      </w:r>
      <w:r w:rsidRPr="006A6DED">
        <w:rPr>
          <w:rFonts w:ascii="Times New Roman" w:hAnsi="Times New Roman" w:cs="Times New Roman"/>
          <w:sz w:val="24"/>
          <w:szCs w:val="24"/>
        </w:rPr>
        <w:t>ed</w:t>
      </w:r>
      <w:r w:rsidR="006329BD">
        <w:rPr>
          <w:rFonts w:ascii="Times New Roman" w:hAnsi="Times New Roman" w:cs="Times New Roman"/>
          <w:sz w:val="24"/>
          <w:szCs w:val="24"/>
        </w:rPr>
        <w:t xml:space="preserve"> up</w:t>
      </w:r>
      <w:r w:rsidRPr="006A6DED">
        <w:rPr>
          <w:rFonts w:ascii="Times New Roman" w:hAnsi="Times New Roman" w:cs="Times New Roman"/>
          <w:sz w:val="24"/>
          <w:szCs w:val="24"/>
        </w:rPr>
        <w:t xml:space="preserve"> the political terrain and made it possible for some nefarious individuals to reap their </w:t>
      </w:r>
      <w:r w:rsidR="00F86DD0">
        <w:rPr>
          <w:rFonts w:ascii="Times New Roman" w:hAnsi="Times New Roman" w:cs="Times New Roman"/>
          <w:sz w:val="24"/>
          <w:szCs w:val="24"/>
        </w:rPr>
        <w:t xml:space="preserve">pirated </w:t>
      </w:r>
      <w:r w:rsidRPr="006A6DED">
        <w:rPr>
          <w:rFonts w:ascii="Times New Roman" w:hAnsi="Times New Roman" w:cs="Times New Roman"/>
          <w:sz w:val="24"/>
          <w:szCs w:val="24"/>
        </w:rPr>
        <w:t>rewards at the expense of the masses.</w:t>
      </w:r>
      <w:r w:rsidRPr="006A6DED">
        <w:rPr>
          <w:rFonts w:ascii="Times New Roman" w:hAnsi="Times New Roman" w:cs="Times New Roman"/>
          <w:sz w:val="24"/>
          <w:szCs w:val="24"/>
          <w:vertAlign w:val="superscript"/>
        </w:rPr>
        <w:footnoteReference w:id="260"/>
      </w:r>
      <w:r w:rsidRPr="006A6DED">
        <w:rPr>
          <w:rFonts w:ascii="Times New Roman" w:hAnsi="Times New Roman" w:cs="Times New Roman"/>
          <w:sz w:val="24"/>
          <w:szCs w:val="24"/>
        </w:rPr>
        <w:t xml:space="preserve"> Rings such as the Star Route Postal Ring, the District Ring, the New York Customs House Ring, and the Whiskey Ring, many of which will be discussed further in the coming chapters, emerged to take control of local and national systems for private gain, further eliciting the desire by some to champion civil service reform.</w:t>
      </w:r>
      <w:r w:rsidRPr="006A6DED">
        <w:rPr>
          <w:rFonts w:ascii="Times New Roman" w:hAnsi="Times New Roman" w:cs="Times New Roman"/>
          <w:sz w:val="24"/>
          <w:szCs w:val="24"/>
          <w:vertAlign w:val="superscript"/>
        </w:rPr>
        <w:footnoteReference w:id="261"/>
      </w:r>
    </w:p>
    <w:p w14:paraId="482336EC" w14:textId="6ADA6121" w:rsidR="00DF7ED7" w:rsidRDefault="006A6DED" w:rsidP="00A61739">
      <w:pPr>
        <w:spacing w:after="0" w:line="480" w:lineRule="auto"/>
        <w:jc w:val="center"/>
        <w:rPr>
          <w:rFonts w:ascii="Times New Roman" w:hAnsi="Times New Roman" w:cs="Times New Roman"/>
          <w:sz w:val="24"/>
          <w:szCs w:val="24"/>
        </w:rPr>
      </w:pPr>
      <w:r w:rsidRPr="006A6DED">
        <w:rPr>
          <w:rFonts w:ascii="Times New Roman" w:hAnsi="Times New Roman" w:cs="Times New Roman"/>
          <w:sz w:val="24"/>
          <w:szCs w:val="24"/>
        </w:rPr>
        <w:t>Grasping Grant’s Coattails: Babcock Utilizes his Engineer Training</w:t>
      </w:r>
    </w:p>
    <w:p w14:paraId="3227810C" w14:textId="5ACEBC86" w:rsidR="006A6DED" w:rsidRPr="006A6DED" w:rsidRDefault="006A6DED" w:rsidP="005A6874">
      <w:pPr>
        <w:spacing w:after="0"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As the new state of governmental affairs was being determined, Babcock commenced his rise to political prominence by aligning himself squarely with his patron, General Grant. After the peace talks at Appomattox, Babcock remained on Grant’s staff as he transitioned into his new postbellum career as General-in-Chief of the Army in Washington, D.C.</w:t>
      </w:r>
      <w:r w:rsidRPr="006A6DED">
        <w:rPr>
          <w:rFonts w:ascii="Times New Roman" w:hAnsi="Times New Roman" w:cs="Times New Roman"/>
          <w:sz w:val="24"/>
          <w:szCs w:val="24"/>
          <w:vertAlign w:val="superscript"/>
        </w:rPr>
        <w:footnoteReference w:id="262"/>
      </w:r>
      <w:r w:rsidRPr="006A6DED">
        <w:rPr>
          <w:rFonts w:ascii="Times New Roman" w:hAnsi="Times New Roman" w:cs="Times New Roman"/>
          <w:sz w:val="24"/>
          <w:szCs w:val="24"/>
        </w:rPr>
        <w:t xml:space="preserve"> This post for Grant was akin to that of a Cabinet post and kept him in control of the military after the war, meaning he oversaw the military </w:t>
      </w:r>
      <w:r w:rsidR="00696D8E">
        <w:rPr>
          <w:rFonts w:ascii="Times New Roman" w:hAnsi="Times New Roman" w:cs="Times New Roman"/>
          <w:sz w:val="24"/>
          <w:szCs w:val="24"/>
        </w:rPr>
        <w:t>after the Civil War</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263"/>
      </w:r>
      <w:r w:rsidRPr="006A6DED">
        <w:rPr>
          <w:rFonts w:ascii="Times New Roman" w:hAnsi="Times New Roman" w:cs="Times New Roman"/>
          <w:sz w:val="24"/>
          <w:szCs w:val="24"/>
        </w:rPr>
        <w:t xml:space="preserve"> Here Grant oversaw </w:t>
      </w:r>
      <w:r w:rsidR="00C600AE">
        <w:rPr>
          <w:rFonts w:ascii="Times New Roman" w:hAnsi="Times New Roman" w:cs="Times New Roman"/>
          <w:sz w:val="24"/>
          <w:szCs w:val="24"/>
        </w:rPr>
        <w:t>M</w:t>
      </w:r>
      <w:r w:rsidRPr="006A6DED">
        <w:rPr>
          <w:rFonts w:ascii="Times New Roman" w:hAnsi="Times New Roman" w:cs="Times New Roman"/>
          <w:sz w:val="24"/>
          <w:szCs w:val="24"/>
        </w:rPr>
        <w:t xml:space="preserve">ilitary Reconstruction in </w:t>
      </w:r>
      <w:r w:rsidRPr="006A6DED">
        <w:rPr>
          <w:rFonts w:ascii="Times New Roman" w:hAnsi="Times New Roman" w:cs="Times New Roman"/>
          <w:sz w:val="24"/>
          <w:szCs w:val="24"/>
        </w:rPr>
        <w:lastRenderedPageBreak/>
        <w:t>the former Confederate states while also supervising the conflicts with the indigenous people in the American West and handling the French invasion and occupation of Mexico.</w:t>
      </w:r>
      <w:r w:rsidRPr="006A6DED">
        <w:rPr>
          <w:rFonts w:ascii="Times New Roman" w:hAnsi="Times New Roman" w:cs="Times New Roman"/>
          <w:sz w:val="24"/>
          <w:szCs w:val="24"/>
          <w:vertAlign w:val="superscript"/>
        </w:rPr>
        <w:footnoteReference w:id="264"/>
      </w:r>
      <w:r w:rsidRPr="006A6DED">
        <w:rPr>
          <w:rFonts w:ascii="Times New Roman" w:hAnsi="Times New Roman" w:cs="Times New Roman"/>
          <w:sz w:val="24"/>
          <w:szCs w:val="24"/>
        </w:rPr>
        <w:t xml:space="preserve"> With such a loaded agenda before him, General Grant realized that having a trusted staff was extremely important, and he brought several of his former Civil War staffers, including Babcock, with him </w:t>
      </w:r>
      <w:r w:rsidR="00573205">
        <w:rPr>
          <w:rFonts w:ascii="Times New Roman" w:hAnsi="Times New Roman" w:cs="Times New Roman"/>
          <w:sz w:val="24"/>
          <w:szCs w:val="24"/>
        </w:rPr>
        <w:t>to</w:t>
      </w:r>
      <w:r w:rsidRPr="006A6DED">
        <w:rPr>
          <w:rFonts w:ascii="Times New Roman" w:hAnsi="Times New Roman" w:cs="Times New Roman"/>
          <w:sz w:val="24"/>
          <w:szCs w:val="24"/>
        </w:rPr>
        <w:t xml:space="preserve"> this new </w:t>
      </w:r>
      <w:r w:rsidR="00573205">
        <w:rPr>
          <w:rFonts w:ascii="Times New Roman" w:hAnsi="Times New Roman" w:cs="Times New Roman"/>
          <w:sz w:val="24"/>
          <w:szCs w:val="24"/>
        </w:rPr>
        <w:t>post</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265"/>
      </w:r>
      <w:r w:rsidRPr="006A6DED">
        <w:rPr>
          <w:rFonts w:ascii="Times New Roman" w:hAnsi="Times New Roman" w:cs="Times New Roman"/>
          <w:sz w:val="24"/>
          <w:szCs w:val="24"/>
        </w:rPr>
        <w:t xml:space="preserve"> Babcock was officially commissioned as a colonel of volunteers and </w:t>
      </w:r>
      <w:r w:rsidRPr="006A6DED">
        <w:rPr>
          <w:rFonts w:ascii="Times New Roman" w:hAnsi="Times New Roman" w:cs="Times New Roman"/>
          <w:i/>
          <w:iCs/>
          <w:sz w:val="24"/>
          <w:szCs w:val="24"/>
        </w:rPr>
        <w:t>aide-de-campe</w:t>
      </w:r>
      <w:r w:rsidRPr="006A6DED">
        <w:rPr>
          <w:rFonts w:ascii="Times New Roman" w:hAnsi="Times New Roman" w:cs="Times New Roman"/>
          <w:sz w:val="24"/>
          <w:szCs w:val="24"/>
        </w:rPr>
        <w:t xml:space="preserve"> for General Grant on July 25</w:t>
      </w:r>
      <w:r w:rsidRPr="006A6DED">
        <w:rPr>
          <w:rFonts w:ascii="Times New Roman" w:hAnsi="Times New Roman" w:cs="Times New Roman"/>
          <w:sz w:val="24"/>
          <w:szCs w:val="24"/>
          <w:vertAlign w:val="superscript"/>
        </w:rPr>
        <w:t>th</w:t>
      </w:r>
      <w:r w:rsidRPr="006A6DED">
        <w:rPr>
          <w:rFonts w:ascii="Times New Roman" w:hAnsi="Times New Roman" w:cs="Times New Roman"/>
          <w:sz w:val="24"/>
          <w:szCs w:val="24"/>
        </w:rPr>
        <w:t>, 1866.</w:t>
      </w:r>
      <w:r w:rsidRPr="006A6DED">
        <w:rPr>
          <w:rFonts w:ascii="Times New Roman" w:hAnsi="Times New Roman" w:cs="Times New Roman"/>
          <w:sz w:val="24"/>
          <w:szCs w:val="24"/>
          <w:vertAlign w:val="superscript"/>
        </w:rPr>
        <w:footnoteReference w:id="266"/>
      </w:r>
      <w:r w:rsidRPr="006A6DED">
        <w:rPr>
          <w:rFonts w:ascii="Times New Roman" w:hAnsi="Times New Roman" w:cs="Times New Roman"/>
          <w:sz w:val="24"/>
          <w:szCs w:val="24"/>
        </w:rPr>
        <w:t xml:space="preserve"> He further received a </w:t>
      </w:r>
      <w:r w:rsidR="004454F7">
        <w:rPr>
          <w:rFonts w:ascii="Times New Roman" w:hAnsi="Times New Roman" w:cs="Times New Roman"/>
          <w:sz w:val="24"/>
          <w:szCs w:val="24"/>
        </w:rPr>
        <w:t>r</w:t>
      </w:r>
      <w:r w:rsidRPr="006A6DED">
        <w:rPr>
          <w:rFonts w:ascii="Times New Roman" w:hAnsi="Times New Roman" w:cs="Times New Roman"/>
          <w:sz w:val="24"/>
          <w:szCs w:val="24"/>
        </w:rPr>
        <w:t xml:space="preserve">egular </w:t>
      </w:r>
      <w:r w:rsidR="004454F7">
        <w:rPr>
          <w:rFonts w:ascii="Times New Roman" w:hAnsi="Times New Roman" w:cs="Times New Roman"/>
          <w:sz w:val="24"/>
          <w:szCs w:val="24"/>
        </w:rPr>
        <w:t>a</w:t>
      </w:r>
      <w:r w:rsidRPr="006A6DED">
        <w:rPr>
          <w:rFonts w:ascii="Times New Roman" w:hAnsi="Times New Roman" w:cs="Times New Roman"/>
          <w:sz w:val="24"/>
          <w:szCs w:val="24"/>
        </w:rPr>
        <w:t>rmy commission as a major in the Army Corps of Engineers on March 21, 1867.</w:t>
      </w:r>
      <w:r w:rsidRPr="006A6DED">
        <w:rPr>
          <w:rFonts w:ascii="Times New Roman" w:hAnsi="Times New Roman" w:cs="Times New Roman"/>
          <w:sz w:val="24"/>
          <w:szCs w:val="24"/>
          <w:vertAlign w:val="superscript"/>
        </w:rPr>
        <w:footnoteReference w:id="267"/>
      </w:r>
      <w:r w:rsidRPr="006A6DED">
        <w:rPr>
          <w:rFonts w:ascii="Times New Roman" w:hAnsi="Times New Roman" w:cs="Times New Roman"/>
          <w:sz w:val="24"/>
          <w:szCs w:val="24"/>
        </w:rPr>
        <w:t xml:space="preserve"> These military commissions ensured Babcock’s role in the capital from both a military staff position and as an engineer, both of which would prove invaluable during his time in the capital.</w:t>
      </w:r>
    </w:p>
    <w:p w14:paraId="308E6BD2" w14:textId="3100915B"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 xml:space="preserve">Babcock did briefly </w:t>
      </w:r>
      <w:r w:rsidR="008F01AB">
        <w:rPr>
          <w:rFonts w:ascii="Times New Roman" w:hAnsi="Times New Roman" w:cs="Times New Roman"/>
          <w:sz w:val="24"/>
          <w:szCs w:val="24"/>
        </w:rPr>
        <w:t>take</w:t>
      </w:r>
      <w:r w:rsidRPr="006A6DED">
        <w:rPr>
          <w:rFonts w:ascii="Times New Roman" w:hAnsi="Times New Roman" w:cs="Times New Roman"/>
          <w:sz w:val="24"/>
          <w:szCs w:val="24"/>
        </w:rPr>
        <w:t xml:space="preserve"> some time for himself during his early postwar career, </w:t>
      </w:r>
      <w:r w:rsidR="000D7322">
        <w:rPr>
          <w:rFonts w:ascii="Times New Roman" w:hAnsi="Times New Roman" w:cs="Times New Roman"/>
          <w:sz w:val="24"/>
          <w:szCs w:val="24"/>
        </w:rPr>
        <w:t>specifical</w:t>
      </w:r>
      <w:r w:rsidRPr="006A6DED">
        <w:rPr>
          <w:rFonts w:ascii="Times New Roman" w:hAnsi="Times New Roman" w:cs="Times New Roman"/>
          <w:sz w:val="24"/>
          <w:szCs w:val="24"/>
        </w:rPr>
        <w:t>ly so that he could begin his family. In November 1866, just months after receiving his commission in Washington, Orville Babcock married his sweetheart Anne Eliza Campbell in Galena, Illinois.</w:t>
      </w:r>
      <w:r w:rsidRPr="006A6DED">
        <w:rPr>
          <w:rFonts w:ascii="Times New Roman" w:hAnsi="Times New Roman" w:cs="Times New Roman"/>
          <w:sz w:val="24"/>
          <w:szCs w:val="24"/>
          <w:vertAlign w:val="superscript"/>
        </w:rPr>
        <w:footnoteReference w:id="268"/>
      </w:r>
      <w:r w:rsidRPr="006A6DED">
        <w:rPr>
          <w:rFonts w:ascii="Times New Roman" w:hAnsi="Times New Roman" w:cs="Times New Roman"/>
          <w:sz w:val="24"/>
          <w:szCs w:val="24"/>
        </w:rPr>
        <w:t xml:space="preserve"> Together, the Babcocks would have four children: Campbell, Orville Jr, Adolph, and Benjamin, though Benjamin died in his infancy.</w:t>
      </w:r>
      <w:r w:rsidRPr="006A6DED">
        <w:rPr>
          <w:rFonts w:ascii="Times New Roman" w:hAnsi="Times New Roman" w:cs="Times New Roman"/>
          <w:sz w:val="24"/>
          <w:szCs w:val="24"/>
          <w:vertAlign w:val="superscript"/>
        </w:rPr>
        <w:footnoteReference w:id="269"/>
      </w:r>
      <w:r w:rsidRPr="006A6DED">
        <w:rPr>
          <w:rFonts w:ascii="Times New Roman" w:hAnsi="Times New Roman" w:cs="Times New Roman"/>
          <w:sz w:val="24"/>
          <w:szCs w:val="24"/>
        </w:rPr>
        <w:t xml:space="preserve"> Anne moved to Washington with Orville and took up her place as a woman of Washington society, though she never quite became the socialite that other political figures’ wives did during Reconstruction.</w:t>
      </w:r>
      <w:r w:rsidRPr="006A6DED">
        <w:rPr>
          <w:rFonts w:ascii="Times New Roman" w:hAnsi="Times New Roman" w:cs="Times New Roman"/>
          <w:sz w:val="24"/>
          <w:szCs w:val="24"/>
          <w:vertAlign w:val="superscript"/>
        </w:rPr>
        <w:footnoteReference w:id="270"/>
      </w:r>
      <w:r w:rsidRPr="006A6DED">
        <w:rPr>
          <w:rFonts w:ascii="Times New Roman" w:hAnsi="Times New Roman" w:cs="Times New Roman"/>
          <w:sz w:val="24"/>
          <w:szCs w:val="24"/>
        </w:rPr>
        <w:t xml:space="preserve"> Still, the Babcocks </w:t>
      </w:r>
      <w:r w:rsidRPr="006A6DED">
        <w:rPr>
          <w:rFonts w:ascii="Times New Roman" w:hAnsi="Times New Roman" w:cs="Times New Roman"/>
          <w:sz w:val="24"/>
          <w:szCs w:val="24"/>
        </w:rPr>
        <w:lastRenderedPageBreak/>
        <w:t>embarked on a new adventure together in the nation’s capital as Orville return</w:t>
      </w:r>
      <w:r w:rsidR="00195A31">
        <w:rPr>
          <w:rFonts w:ascii="Times New Roman" w:hAnsi="Times New Roman" w:cs="Times New Roman"/>
          <w:sz w:val="24"/>
          <w:szCs w:val="24"/>
        </w:rPr>
        <w:t>ed</w:t>
      </w:r>
      <w:r w:rsidRPr="006A6DED">
        <w:rPr>
          <w:rFonts w:ascii="Times New Roman" w:hAnsi="Times New Roman" w:cs="Times New Roman"/>
          <w:sz w:val="24"/>
          <w:szCs w:val="24"/>
        </w:rPr>
        <w:t xml:space="preserve"> to the service of his commander.</w:t>
      </w:r>
    </w:p>
    <w:p w14:paraId="62CB358C" w14:textId="17870549"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Once Babcock was back on duty, General Grant began to utilize his observational skills and his engineering knowledge by sending him to report on various military posts. On April 17, 1866, Grant ordered Babcock to complete a tour of military posts in the American West.</w:t>
      </w:r>
      <w:r w:rsidRPr="006A6DED">
        <w:rPr>
          <w:rFonts w:ascii="Times New Roman" w:hAnsi="Times New Roman" w:cs="Times New Roman"/>
          <w:sz w:val="24"/>
          <w:szCs w:val="24"/>
          <w:vertAlign w:val="superscript"/>
        </w:rPr>
        <w:footnoteReference w:id="271"/>
      </w:r>
      <w:r w:rsidRPr="006A6DED">
        <w:rPr>
          <w:rFonts w:ascii="Times New Roman" w:hAnsi="Times New Roman" w:cs="Times New Roman"/>
          <w:sz w:val="24"/>
          <w:szCs w:val="24"/>
        </w:rPr>
        <w:t xml:space="preserve"> This began with a journey to St. Louis to meet with General William Tecumseh Sherman, a man </w:t>
      </w:r>
      <w:r w:rsidR="000619D2">
        <w:rPr>
          <w:rFonts w:ascii="Times New Roman" w:hAnsi="Times New Roman" w:cs="Times New Roman"/>
          <w:sz w:val="24"/>
          <w:szCs w:val="24"/>
        </w:rPr>
        <w:t xml:space="preserve">with </w:t>
      </w:r>
      <w:r w:rsidRPr="006A6DED">
        <w:rPr>
          <w:rFonts w:ascii="Times New Roman" w:hAnsi="Times New Roman" w:cs="Times New Roman"/>
          <w:sz w:val="24"/>
          <w:szCs w:val="24"/>
        </w:rPr>
        <w:t>whom Babcock was</w:t>
      </w:r>
      <w:r w:rsidR="000619D2">
        <w:rPr>
          <w:rFonts w:ascii="Times New Roman" w:hAnsi="Times New Roman" w:cs="Times New Roman"/>
          <w:sz w:val="24"/>
          <w:szCs w:val="24"/>
        </w:rPr>
        <w:t xml:space="preserve"> already</w:t>
      </w:r>
      <w:r w:rsidRPr="006A6DED">
        <w:rPr>
          <w:rFonts w:ascii="Times New Roman" w:hAnsi="Times New Roman" w:cs="Times New Roman"/>
          <w:sz w:val="24"/>
          <w:szCs w:val="24"/>
        </w:rPr>
        <w:t xml:space="preserve"> connected given his many trips between Sherman and Grant during the Civil War.</w:t>
      </w:r>
      <w:r w:rsidRPr="006A6DED">
        <w:rPr>
          <w:rFonts w:ascii="Times New Roman" w:hAnsi="Times New Roman" w:cs="Times New Roman"/>
          <w:sz w:val="24"/>
          <w:szCs w:val="24"/>
          <w:vertAlign w:val="superscript"/>
        </w:rPr>
        <w:footnoteReference w:id="272"/>
      </w:r>
      <w:r w:rsidRPr="006A6DED">
        <w:rPr>
          <w:rFonts w:ascii="Times New Roman" w:hAnsi="Times New Roman" w:cs="Times New Roman"/>
          <w:sz w:val="24"/>
          <w:szCs w:val="24"/>
        </w:rPr>
        <w:t xml:space="preserve"> Here Sherman filled him in on the locations he would visit and also gave him additional secret tasks to undertake on his journey before Babcock set out from St. Louis on May 2</w:t>
      </w:r>
      <w:r w:rsidRPr="006A6DED">
        <w:rPr>
          <w:rFonts w:ascii="Times New Roman" w:hAnsi="Times New Roman" w:cs="Times New Roman"/>
          <w:sz w:val="24"/>
          <w:szCs w:val="24"/>
          <w:vertAlign w:val="superscript"/>
        </w:rPr>
        <w:t>nd</w:t>
      </w:r>
      <w:r w:rsidRPr="006A6DED">
        <w:rPr>
          <w:rFonts w:ascii="Times New Roman" w:hAnsi="Times New Roman" w:cs="Times New Roman"/>
          <w:sz w:val="24"/>
          <w:szCs w:val="24"/>
        </w:rPr>
        <w:t>, journeying to Fort Leavenworth in Kansas and arriving on May 10</w:t>
      </w:r>
      <w:r w:rsidRPr="006A6DED">
        <w:rPr>
          <w:rFonts w:ascii="Times New Roman" w:hAnsi="Times New Roman" w:cs="Times New Roman"/>
          <w:sz w:val="24"/>
          <w:szCs w:val="24"/>
          <w:vertAlign w:val="superscript"/>
        </w:rPr>
        <w:t>th</w:t>
      </w:r>
      <w:r w:rsidR="004B424E">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273"/>
      </w:r>
      <w:r w:rsidRPr="006A6DED">
        <w:rPr>
          <w:rFonts w:ascii="Times New Roman" w:hAnsi="Times New Roman" w:cs="Times New Roman"/>
          <w:sz w:val="24"/>
          <w:szCs w:val="24"/>
        </w:rPr>
        <w:t xml:space="preserve"> </w:t>
      </w:r>
    </w:p>
    <w:p w14:paraId="28D22908" w14:textId="77777777"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Babcock’s journey consisted of visits to more than a dozen military posts as he traveled throughout the West, and while his reports varied on each individual location, he found that many of the difficulties of command at these forts “arose from the independent position of the officers of the staff departments, particularly the quartermaster department.”</w:t>
      </w:r>
      <w:r w:rsidRPr="006A6DED">
        <w:rPr>
          <w:rFonts w:ascii="Times New Roman" w:hAnsi="Times New Roman" w:cs="Times New Roman"/>
          <w:sz w:val="24"/>
          <w:szCs w:val="24"/>
          <w:vertAlign w:val="superscript"/>
        </w:rPr>
        <w:footnoteReference w:id="274"/>
      </w:r>
      <w:r w:rsidRPr="006A6DED">
        <w:rPr>
          <w:rFonts w:ascii="Times New Roman" w:hAnsi="Times New Roman" w:cs="Times New Roman"/>
          <w:sz w:val="24"/>
          <w:szCs w:val="24"/>
        </w:rPr>
        <w:t xml:space="preserve"> At his first stop at Fort Leavenworth, he found that it should be under the control of  “our most experienced staff officers…so long as Leavenworth is the depot for so many of the Territories” in the West.</w:t>
      </w:r>
      <w:r w:rsidRPr="006A6DED">
        <w:rPr>
          <w:rFonts w:ascii="Times New Roman" w:hAnsi="Times New Roman" w:cs="Times New Roman"/>
          <w:sz w:val="24"/>
          <w:szCs w:val="24"/>
          <w:vertAlign w:val="superscript"/>
        </w:rPr>
        <w:footnoteReference w:id="275"/>
      </w:r>
      <w:r w:rsidRPr="006A6DED">
        <w:rPr>
          <w:rFonts w:ascii="Times New Roman" w:hAnsi="Times New Roman" w:cs="Times New Roman"/>
          <w:sz w:val="24"/>
          <w:szCs w:val="24"/>
        </w:rPr>
        <w:t xml:space="preserve"> He suggested that the farm on the property should be shut down as the government could not compete with private industry, and that if the federal government did not own the land then it should be abandoned, but stated that as long as the government desired a reserve depot on the </w:t>
      </w:r>
      <w:r w:rsidRPr="006A6DED">
        <w:rPr>
          <w:rFonts w:ascii="Times New Roman" w:hAnsi="Times New Roman" w:cs="Times New Roman"/>
          <w:sz w:val="24"/>
          <w:szCs w:val="24"/>
        </w:rPr>
        <w:lastRenderedPageBreak/>
        <w:t>Missouri River, this likely was the best site.</w:t>
      </w:r>
      <w:r w:rsidRPr="006A6DED">
        <w:rPr>
          <w:rFonts w:ascii="Times New Roman" w:hAnsi="Times New Roman" w:cs="Times New Roman"/>
          <w:sz w:val="24"/>
          <w:szCs w:val="24"/>
          <w:vertAlign w:val="superscript"/>
        </w:rPr>
        <w:footnoteReference w:id="276"/>
      </w:r>
      <w:r w:rsidRPr="006A6DED">
        <w:rPr>
          <w:rFonts w:ascii="Times New Roman" w:hAnsi="Times New Roman" w:cs="Times New Roman"/>
          <w:sz w:val="24"/>
          <w:szCs w:val="24"/>
        </w:rPr>
        <w:t xml:space="preserve"> Babcock then visited Fort Kearny in Nebraska, which was a transitory post whose soldiers were preparing to move to Fort Reno, and accordingly he suggested dispensing with the fort and relocating its garrisons.</w:t>
      </w:r>
      <w:r w:rsidRPr="006A6DED">
        <w:rPr>
          <w:rFonts w:ascii="Times New Roman" w:hAnsi="Times New Roman" w:cs="Times New Roman"/>
          <w:sz w:val="24"/>
          <w:szCs w:val="24"/>
          <w:vertAlign w:val="superscript"/>
        </w:rPr>
        <w:footnoteReference w:id="277"/>
      </w:r>
      <w:r w:rsidRPr="006A6DED">
        <w:rPr>
          <w:rFonts w:ascii="Times New Roman" w:hAnsi="Times New Roman" w:cs="Times New Roman"/>
          <w:sz w:val="24"/>
          <w:szCs w:val="24"/>
        </w:rPr>
        <w:t xml:space="preserve"> He then traveled ninety miles to Fort McPherson, popularly known as Fort Cottonwood, which he found to be commendable and suitable for its small garrison before moving on to Julesburg to investigate Fort Sedgwick.</w:t>
      </w:r>
      <w:r w:rsidRPr="006A6DED">
        <w:rPr>
          <w:rFonts w:ascii="Times New Roman" w:hAnsi="Times New Roman" w:cs="Times New Roman"/>
          <w:sz w:val="24"/>
          <w:szCs w:val="24"/>
          <w:vertAlign w:val="superscript"/>
        </w:rPr>
        <w:footnoteReference w:id="278"/>
      </w:r>
      <w:r w:rsidRPr="006A6DED">
        <w:rPr>
          <w:rFonts w:ascii="Times New Roman" w:hAnsi="Times New Roman" w:cs="Times New Roman"/>
          <w:sz w:val="24"/>
          <w:szCs w:val="24"/>
        </w:rPr>
        <w:t xml:space="preserve"> Babcock noted that Fort Sedgwick was “one of the most expensive posts in the country, partly on account of its situation, but principally, I think, from fraud of the officers stationed here,” and stated that other than its proximity to a fork in the road between Denver and the Great Salt Lake, it was not nearly worth the expenses on the federal government.</w:t>
      </w:r>
      <w:r w:rsidRPr="006A6DED">
        <w:rPr>
          <w:rFonts w:ascii="Times New Roman" w:hAnsi="Times New Roman" w:cs="Times New Roman"/>
          <w:sz w:val="24"/>
          <w:szCs w:val="24"/>
          <w:vertAlign w:val="superscript"/>
        </w:rPr>
        <w:footnoteReference w:id="279"/>
      </w:r>
      <w:r w:rsidRPr="006A6DED">
        <w:rPr>
          <w:rFonts w:ascii="Times New Roman" w:hAnsi="Times New Roman" w:cs="Times New Roman"/>
          <w:sz w:val="24"/>
          <w:szCs w:val="24"/>
        </w:rPr>
        <w:t xml:space="preserve"> He quickly stopped by the two-garrison Camp Wardwell before continuing on to Denver to which he dedicated nearly two pages in his sixteen-page report.</w:t>
      </w:r>
      <w:r w:rsidRPr="006A6DED">
        <w:rPr>
          <w:rFonts w:ascii="Times New Roman" w:hAnsi="Times New Roman" w:cs="Times New Roman"/>
          <w:sz w:val="24"/>
          <w:szCs w:val="24"/>
          <w:vertAlign w:val="superscript"/>
        </w:rPr>
        <w:footnoteReference w:id="280"/>
      </w:r>
      <w:r w:rsidRPr="006A6DED">
        <w:rPr>
          <w:rFonts w:ascii="Times New Roman" w:hAnsi="Times New Roman" w:cs="Times New Roman"/>
          <w:sz w:val="24"/>
          <w:szCs w:val="24"/>
        </w:rPr>
        <w:t xml:space="preserve"> </w:t>
      </w:r>
    </w:p>
    <w:p w14:paraId="217CE456" w14:textId="479F34AC"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Babcock spent such a significant amount of his report on Denver and the Colorado Territory as a result of one of the covert missions he was given by General Sherman before leaving St. Louis: he was to investigate and report on the status of various groups of indigenous people in the region.</w:t>
      </w:r>
      <w:r w:rsidRPr="006A6DED">
        <w:rPr>
          <w:rFonts w:ascii="Times New Roman" w:hAnsi="Times New Roman" w:cs="Times New Roman"/>
          <w:sz w:val="24"/>
          <w:szCs w:val="24"/>
          <w:vertAlign w:val="superscript"/>
        </w:rPr>
        <w:footnoteReference w:id="281"/>
      </w:r>
      <w:r w:rsidRPr="006A6DED">
        <w:rPr>
          <w:rFonts w:ascii="Times New Roman" w:hAnsi="Times New Roman" w:cs="Times New Roman"/>
          <w:sz w:val="24"/>
          <w:szCs w:val="24"/>
        </w:rPr>
        <w:t xml:space="preserve"> He found that additional military posts were needed in the surrounding Indian territory, as the existing distances between forts made it impossible for appropriately protecting people along the roads in between from attacks by the indigenous.</w:t>
      </w:r>
      <w:r w:rsidRPr="006A6DED">
        <w:rPr>
          <w:rFonts w:ascii="Times New Roman" w:hAnsi="Times New Roman" w:cs="Times New Roman"/>
          <w:sz w:val="24"/>
          <w:szCs w:val="24"/>
          <w:vertAlign w:val="superscript"/>
        </w:rPr>
        <w:footnoteReference w:id="282"/>
      </w:r>
      <w:r w:rsidRPr="006A6DED">
        <w:rPr>
          <w:rFonts w:ascii="Times New Roman" w:hAnsi="Times New Roman" w:cs="Times New Roman"/>
          <w:sz w:val="24"/>
          <w:szCs w:val="24"/>
        </w:rPr>
        <w:t xml:space="preserve"> He found that the current protocols </w:t>
      </w:r>
      <w:r w:rsidR="00E65CAC">
        <w:rPr>
          <w:rFonts w:ascii="Times New Roman" w:hAnsi="Times New Roman" w:cs="Times New Roman"/>
          <w:sz w:val="24"/>
          <w:szCs w:val="24"/>
        </w:rPr>
        <w:t>regard</w:t>
      </w:r>
      <w:r w:rsidRPr="006A6DED">
        <w:rPr>
          <w:rFonts w:ascii="Times New Roman" w:hAnsi="Times New Roman" w:cs="Times New Roman"/>
          <w:sz w:val="24"/>
          <w:szCs w:val="24"/>
        </w:rPr>
        <w:t xml:space="preserve">ing the indigenous was unsustainable because the care for the groups in question was divided between the Indian </w:t>
      </w:r>
      <w:r w:rsidR="00912322">
        <w:rPr>
          <w:rFonts w:ascii="Times New Roman" w:hAnsi="Times New Roman" w:cs="Times New Roman"/>
          <w:sz w:val="24"/>
          <w:szCs w:val="24"/>
        </w:rPr>
        <w:t>D</w:t>
      </w:r>
      <w:r w:rsidRPr="006A6DED">
        <w:rPr>
          <w:rFonts w:ascii="Times New Roman" w:hAnsi="Times New Roman" w:cs="Times New Roman"/>
          <w:sz w:val="24"/>
          <w:szCs w:val="24"/>
        </w:rPr>
        <w:t>epartment and the War Department.</w:t>
      </w:r>
      <w:r w:rsidRPr="006A6DED">
        <w:rPr>
          <w:rFonts w:ascii="Times New Roman" w:hAnsi="Times New Roman" w:cs="Times New Roman"/>
          <w:sz w:val="24"/>
          <w:szCs w:val="24"/>
          <w:vertAlign w:val="superscript"/>
        </w:rPr>
        <w:footnoteReference w:id="283"/>
      </w:r>
      <w:r w:rsidRPr="006A6DED">
        <w:rPr>
          <w:rFonts w:ascii="Times New Roman" w:hAnsi="Times New Roman" w:cs="Times New Roman"/>
          <w:sz w:val="24"/>
          <w:szCs w:val="24"/>
        </w:rPr>
        <w:t xml:space="preserve"> He stated that </w:t>
      </w:r>
      <w:r w:rsidRPr="006A6DED">
        <w:rPr>
          <w:rFonts w:ascii="Times New Roman" w:hAnsi="Times New Roman" w:cs="Times New Roman"/>
          <w:sz w:val="24"/>
          <w:szCs w:val="24"/>
        </w:rPr>
        <w:lastRenderedPageBreak/>
        <w:t>“none of the settlers in these Territories believe in treating with Indians until the Indian has been made to sue for peace. The nature of the Indian, they think, forbids his keeping a treaty made otherwise, any longer than is profitable to him,” but to that point the indigenous faced no fear of being compelled to uphold any such treaty.</w:t>
      </w:r>
      <w:r w:rsidRPr="006A6DED">
        <w:rPr>
          <w:rFonts w:ascii="Times New Roman" w:hAnsi="Times New Roman" w:cs="Times New Roman"/>
          <w:sz w:val="24"/>
          <w:szCs w:val="24"/>
          <w:vertAlign w:val="superscript"/>
        </w:rPr>
        <w:footnoteReference w:id="284"/>
      </w:r>
      <w:r w:rsidRPr="006A6DED">
        <w:rPr>
          <w:rFonts w:ascii="Times New Roman" w:hAnsi="Times New Roman" w:cs="Times New Roman"/>
          <w:sz w:val="24"/>
          <w:szCs w:val="24"/>
        </w:rPr>
        <w:t xml:space="preserve"> Babcock believed that an increased military presence in the region could resolve some of these issues, but that until such steps were taken, “robberies, murders, destruction of trains and ranches, will continue until the superior race has exterminated the other.”</w:t>
      </w:r>
      <w:r w:rsidRPr="006A6DED">
        <w:rPr>
          <w:rFonts w:ascii="Times New Roman" w:hAnsi="Times New Roman" w:cs="Times New Roman"/>
          <w:sz w:val="24"/>
          <w:szCs w:val="24"/>
          <w:vertAlign w:val="superscript"/>
        </w:rPr>
        <w:footnoteReference w:id="285"/>
      </w:r>
      <w:r w:rsidRPr="006A6DED">
        <w:rPr>
          <w:rFonts w:ascii="Times New Roman" w:hAnsi="Times New Roman" w:cs="Times New Roman"/>
          <w:sz w:val="24"/>
          <w:szCs w:val="24"/>
        </w:rPr>
        <w:t xml:space="preserve"> Babcock’s interpretation of the existing state of affairs with the indigenous in the region reflected the existing social </w:t>
      </w:r>
      <w:r w:rsidR="00564B08">
        <w:rPr>
          <w:rFonts w:ascii="Times New Roman" w:hAnsi="Times New Roman" w:cs="Times New Roman"/>
          <w:sz w:val="24"/>
          <w:szCs w:val="24"/>
        </w:rPr>
        <w:t>attitude</w:t>
      </w:r>
      <w:r w:rsidRPr="006A6DED">
        <w:rPr>
          <w:rFonts w:ascii="Times New Roman" w:hAnsi="Times New Roman" w:cs="Times New Roman"/>
          <w:sz w:val="24"/>
          <w:szCs w:val="24"/>
        </w:rPr>
        <w:t xml:space="preserve">s </w:t>
      </w:r>
      <w:r w:rsidR="00564B08">
        <w:rPr>
          <w:rFonts w:ascii="Times New Roman" w:hAnsi="Times New Roman" w:cs="Times New Roman"/>
          <w:sz w:val="24"/>
          <w:szCs w:val="24"/>
        </w:rPr>
        <w:t>towards</w:t>
      </w:r>
      <w:r w:rsidRPr="006A6DED">
        <w:rPr>
          <w:rFonts w:ascii="Times New Roman" w:hAnsi="Times New Roman" w:cs="Times New Roman"/>
          <w:sz w:val="24"/>
          <w:szCs w:val="24"/>
        </w:rPr>
        <w:t xml:space="preserve"> the indigenous peoples in the American West, and while he engages in harmful stereotypes of indigenous people throughout this report, he still reflected the </w:t>
      </w:r>
      <w:r w:rsidR="00564B08">
        <w:rPr>
          <w:rFonts w:ascii="Times New Roman" w:hAnsi="Times New Roman" w:cs="Times New Roman"/>
          <w:sz w:val="24"/>
          <w:szCs w:val="24"/>
        </w:rPr>
        <w:t>handlings</w:t>
      </w:r>
      <w:r w:rsidRPr="006A6DED">
        <w:rPr>
          <w:rFonts w:ascii="Times New Roman" w:hAnsi="Times New Roman" w:cs="Times New Roman"/>
          <w:sz w:val="24"/>
          <w:szCs w:val="24"/>
        </w:rPr>
        <w:t xml:space="preserve"> of post-Civil War military personnel and their interactions with the indigenous as best he could.</w:t>
      </w:r>
      <w:r w:rsidRPr="006A6DED">
        <w:rPr>
          <w:rFonts w:ascii="Times New Roman" w:hAnsi="Times New Roman" w:cs="Times New Roman"/>
          <w:sz w:val="24"/>
          <w:szCs w:val="24"/>
          <w:vertAlign w:val="superscript"/>
        </w:rPr>
        <w:footnoteReference w:id="286"/>
      </w:r>
    </w:p>
    <w:p w14:paraId="4F507535" w14:textId="20D579EB"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As far as the military status of Denver was concerned, Babcock reported that an increased presence was necessary in the area. He reported that there existed a company of troops alongside a commissary and a quartermaster, but that a greater presence was necessary and that the government would do well to purchase land in the area for a more formal fort rather than continuing to rent existing structures.</w:t>
      </w:r>
      <w:r w:rsidRPr="006A6DED">
        <w:rPr>
          <w:rFonts w:ascii="Times New Roman" w:hAnsi="Times New Roman" w:cs="Times New Roman"/>
          <w:sz w:val="24"/>
          <w:szCs w:val="24"/>
          <w:vertAlign w:val="superscript"/>
        </w:rPr>
        <w:footnoteReference w:id="287"/>
      </w:r>
      <w:r w:rsidRPr="006A6DED">
        <w:rPr>
          <w:rFonts w:ascii="Times New Roman" w:hAnsi="Times New Roman" w:cs="Times New Roman"/>
          <w:sz w:val="24"/>
          <w:szCs w:val="24"/>
        </w:rPr>
        <w:t xml:space="preserve"> He further noted that there were many resources available for the military in Denver, and that the people of the region desired an increased military presence for their own feelings of safety.</w:t>
      </w:r>
      <w:r w:rsidRPr="006A6DED">
        <w:rPr>
          <w:rFonts w:ascii="Times New Roman" w:hAnsi="Times New Roman" w:cs="Times New Roman"/>
          <w:sz w:val="24"/>
          <w:szCs w:val="24"/>
          <w:vertAlign w:val="superscript"/>
        </w:rPr>
        <w:footnoteReference w:id="288"/>
      </w:r>
      <w:r w:rsidRPr="006A6DED">
        <w:rPr>
          <w:rFonts w:ascii="Times New Roman" w:hAnsi="Times New Roman" w:cs="Times New Roman"/>
          <w:sz w:val="24"/>
          <w:szCs w:val="24"/>
        </w:rPr>
        <w:t xml:space="preserve"> He suggested two locations for fortifications in the area, one in Denver and another in the Middle Park of the Rocky Mountains, both </w:t>
      </w:r>
      <w:r w:rsidR="0051040F">
        <w:rPr>
          <w:rFonts w:ascii="Times New Roman" w:hAnsi="Times New Roman" w:cs="Times New Roman"/>
          <w:sz w:val="24"/>
          <w:szCs w:val="24"/>
        </w:rPr>
        <w:t xml:space="preserve">of </w:t>
      </w:r>
      <w:r w:rsidRPr="006A6DED">
        <w:rPr>
          <w:rFonts w:ascii="Times New Roman" w:hAnsi="Times New Roman" w:cs="Times New Roman"/>
          <w:sz w:val="24"/>
          <w:szCs w:val="24"/>
        </w:rPr>
        <w:t xml:space="preserve">which </w:t>
      </w:r>
      <w:r w:rsidRPr="006A6DED">
        <w:rPr>
          <w:rFonts w:ascii="Times New Roman" w:hAnsi="Times New Roman" w:cs="Times New Roman"/>
          <w:sz w:val="24"/>
          <w:szCs w:val="24"/>
        </w:rPr>
        <w:lastRenderedPageBreak/>
        <w:t>had unique strategic values militarily.</w:t>
      </w:r>
      <w:r w:rsidRPr="006A6DED">
        <w:rPr>
          <w:rFonts w:ascii="Times New Roman" w:hAnsi="Times New Roman" w:cs="Times New Roman"/>
          <w:sz w:val="24"/>
          <w:szCs w:val="24"/>
          <w:vertAlign w:val="superscript"/>
        </w:rPr>
        <w:footnoteReference w:id="289"/>
      </w:r>
      <w:r w:rsidRPr="006A6DED">
        <w:rPr>
          <w:rFonts w:ascii="Times New Roman" w:hAnsi="Times New Roman" w:cs="Times New Roman"/>
          <w:sz w:val="24"/>
          <w:szCs w:val="24"/>
        </w:rPr>
        <w:t xml:space="preserve"> He stated that “Denver, as the central point and the largest and most promising town along the eastern slope of the Rocky mountains, mak</w:t>
      </w:r>
      <w:r w:rsidR="00FE7942">
        <w:rPr>
          <w:rFonts w:ascii="Times New Roman" w:hAnsi="Times New Roman" w:cs="Times New Roman"/>
          <w:sz w:val="24"/>
          <w:szCs w:val="24"/>
        </w:rPr>
        <w:t>e</w:t>
      </w:r>
      <w:r w:rsidRPr="006A6DED">
        <w:rPr>
          <w:rFonts w:ascii="Times New Roman" w:hAnsi="Times New Roman" w:cs="Times New Roman"/>
          <w:sz w:val="24"/>
          <w:szCs w:val="24"/>
        </w:rPr>
        <w:t>s it a place where supplies such as</w:t>
      </w:r>
      <w:r w:rsidR="00C6613C">
        <w:rPr>
          <w:rFonts w:ascii="Times New Roman" w:hAnsi="Times New Roman" w:cs="Times New Roman"/>
          <w:sz w:val="24"/>
          <w:szCs w:val="24"/>
        </w:rPr>
        <w:t xml:space="preserve"> [sic]</w:t>
      </w:r>
      <w:r w:rsidRPr="006A6DED">
        <w:rPr>
          <w:rFonts w:ascii="Times New Roman" w:hAnsi="Times New Roman" w:cs="Times New Roman"/>
          <w:sz w:val="24"/>
          <w:szCs w:val="24"/>
        </w:rPr>
        <w:t xml:space="preserve"> are grown in the Territory </w:t>
      </w:r>
      <w:r w:rsidR="002B3BFC">
        <w:rPr>
          <w:rFonts w:ascii="Times New Roman" w:hAnsi="Times New Roman" w:cs="Times New Roman"/>
          <w:sz w:val="24"/>
          <w:szCs w:val="24"/>
        </w:rPr>
        <w:t xml:space="preserve">[sic] </w:t>
      </w:r>
      <w:r w:rsidRPr="006A6DED">
        <w:rPr>
          <w:rFonts w:ascii="Times New Roman" w:hAnsi="Times New Roman" w:cs="Times New Roman"/>
          <w:sz w:val="24"/>
          <w:szCs w:val="24"/>
        </w:rPr>
        <w:t>can be advantageously purchased,” offering an economic justification in addition to security concerns for better establishing military presence in the region.</w:t>
      </w:r>
      <w:r w:rsidRPr="006A6DED">
        <w:rPr>
          <w:rFonts w:ascii="Times New Roman" w:hAnsi="Times New Roman" w:cs="Times New Roman"/>
          <w:sz w:val="24"/>
          <w:szCs w:val="24"/>
          <w:vertAlign w:val="superscript"/>
        </w:rPr>
        <w:footnoteReference w:id="290"/>
      </w:r>
    </w:p>
    <w:p w14:paraId="5CAD5469" w14:textId="1DCB0C95"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From Denver, Babcock set out to Camp Collins, or Fort Collins Military Reservation, sixty-five miles away.</w:t>
      </w:r>
      <w:r w:rsidRPr="006A6DED">
        <w:rPr>
          <w:rFonts w:ascii="Times New Roman" w:hAnsi="Times New Roman" w:cs="Times New Roman"/>
          <w:sz w:val="24"/>
          <w:szCs w:val="24"/>
          <w:vertAlign w:val="superscript"/>
        </w:rPr>
        <w:footnoteReference w:id="291"/>
      </w:r>
      <w:r w:rsidRPr="006A6DED">
        <w:rPr>
          <w:rFonts w:ascii="Times New Roman" w:hAnsi="Times New Roman" w:cs="Times New Roman"/>
          <w:sz w:val="24"/>
          <w:szCs w:val="24"/>
        </w:rPr>
        <w:t xml:space="preserve"> He again found issues with the local indigenous as the commanding officer </w:t>
      </w:r>
      <w:r w:rsidR="00BF71C3">
        <w:rPr>
          <w:rFonts w:ascii="Times New Roman" w:hAnsi="Times New Roman" w:cs="Times New Roman"/>
          <w:sz w:val="24"/>
          <w:szCs w:val="24"/>
        </w:rPr>
        <w:t xml:space="preserve">here </w:t>
      </w:r>
      <w:r w:rsidRPr="006A6DED">
        <w:rPr>
          <w:rFonts w:ascii="Times New Roman" w:hAnsi="Times New Roman" w:cs="Times New Roman"/>
          <w:sz w:val="24"/>
          <w:szCs w:val="24"/>
        </w:rPr>
        <w:t>was in the process of ascertaining</w:t>
      </w:r>
      <w:r w:rsidR="00F1578D">
        <w:rPr>
          <w:rFonts w:ascii="Times New Roman" w:hAnsi="Times New Roman" w:cs="Times New Roman"/>
          <w:sz w:val="24"/>
          <w:szCs w:val="24"/>
        </w:rPr>
        <w:t xml:space="preserve"> details</w:t>
      </w:r>
      <w:r w:rsidRPr="006A6DED">
        <w:rPr>
          <w:rFonts w:ascii="Times New Roman" w:hAnsi="Times New Roman" w:cs="Times New Roman"/>
          <w:sz w:val="24"/>
          <w:szCs w:val="24"/>
        </w:rPr>
        <w:t xml:space="preserve"> about a “threatened Indian outbreak,” showing the ever-existing fears surrounding assaults, but the rumors proved to be false.</w:t>
      </w:r>
      <w:r w:rsidRPr="006A6DED">
        <w:rPr>
          <w:rFonts w:ascii="Times New Roman" w:hAnsi="Times New Roman" w:cs="Times New Roman"/>
          <w:sz w:val="24"/>
          <w:szCs w:val="24"/>
          <w:vertAlign w:val="superscript"/>
        </w:rPr>
        <w:footnoteReference w:id="292"/>
      </w:r>
      <w:r w:rsidRPr="006A6DED">
        <w:rPr>
          <w:rFonts w:ascii="Times New Roman" w:hAnsi="Times New Roman" w:cs="Times New Roman"/>
          <w:sz w:val="24"/>
          <w:szCs w:val="24"/>
        </w:rPr>
        <w:t xml:space="preserve"> He found Camp Collins to be a “fine reservation,” but that “the necessity of this post after this year is very questionable” as it served as little more than a storage depot for surrounding posts.</w:t>
      </w:r>
      <w:r w:rsidRPr="006A6DED">
        <w:rPr>
          <w:rFonts w:ascii="Times New Roman" w:hAnsi="Times New Roman" w:cs="Times New Roman"/>
          <w:sz w:val="24"/>
          <w:szCs w:val="24"/>
          <w:vertAlign w:val="superscript"/>
        </w:rPr>
        <w:footnoteReference w:id="293"/>
      </w:r>
      <w:r w:rsidRPr="006A6DED">
        <w:rPr>
          <w:rFonts w:ascii="Times New Roman" w:hAnsi="Times New Roman" w:cs="Times New Roman"/>
          <w:sz w:val="24"/>
          <w:szCs w:val="24"/>
        </w:rPr>
        <w:t xml:space="preserve"> Babcock learned of plans for a new military post on the Big Laramie plain, though he encouraged them to reconsider the specific location to “a locality on the North Platte” to avoid “bleak and very cold winters” and to better keep an eye on the local indigenous groups.</w:t>
      </w:r>
      <w:r w:rsidRPr="006A6DED">
        <w:rPr>
          <w:rFonts w:ascii="Times New Roman" w:hAnsi="Times New Roman" w:cs="Times New Roman"/>
          <w:sz w:val="24"/>
          <w:szCs w:val="24"/>
          <w:vertAlign w:val="superscript"/>
        </w:rPr>
        <w:footnoteReference w:id="294"/>
      </w:r>
      <w:r w:rsidRPr="006A6DED">
        <w:rPr>
          <w:rFonts w:ascii="Times New Roman" w:hAnsi="Times New Roman" w:cs="Times New Roman"/>
          <w:sz w:val="24"/>
          <w:szCs w:val="24"/>
        </w:rPr>
        <w:t xml:space="preserve"> Despite the Denver quartermasters’ opposition to his suggestion, he made it part of his mission to examine the North Platte area as part of his report.</w:t>
      </w:r>
      <w:r w:rsidRPr="006A6DED">
        <w:rPr>
          <w:rFonts w:ascii="Times New Roman" w:hAnsi="Times New Roman" w:cs="Times New Roman"/>
          <w:sz w:val="24"/>
          <w:szCs w:val="24"/>
          <w:vertAlign w:val="superscript"/>
        </w:rPr>
        <w:footnoteReference w:id="295"/>
      </w:r>
      <w:r w:rsidRPr="006A6DED">
        <w:rPr>
          <w:rFonts w:ascii="Times New Roman" w:hAnsi="Times New Roman" w:cs="Times New Roman"/>
          <w:sz w:val="24"/>
          <w:szCs w:val="24"/>
        </w:rPr>
        <w:t xml:space="preserve"> He made suggestions to General Grant, General Sherman, and Major General John Rawlins, Grant’s Chief of Staff, but was rebuffed in his efforts by </w:t>
      </w:r>
      <w:r w:rsidR="00E72E11">
        <w:rPr>
          <w:rFonts w:ascii="Times New Roman" w:hAnsi="Times New Roman" w:cs="Times New Roman"/>
          <w:sz w:val="24"/>
          <w:szCs w:val="24"/>
        </w:rPr>
        <w:t>M</w:t>
      </w:r>
      <w:r w:rsidRPr="006A6DED">
        <w:rPr>
          <w:rFonts w:ascii="Times New Roman" w:hAnsi="Times New Roman" w:cs="Times New Roman"/>
          <w:sz w:val="24"/>
          <w:szCs w:val="24"/>
        </w:rPr>
        <w:t>ajor General John Pope, who insisted on Big Laramie as the desired site of the new fort.</w:t>
      </w:r>
      <w:r w:rsidRPr="006A6DED">
        <w:rPr>
          <w:rFonts w:ascii="Times New Roman" w:hAnsi="Times New Roman" w:cs="Times New Roman"/>
          <w:sz w:val="24"/>
          <w:szCs w:val="24"/>
          <w:vertAlign w:val="superscript"/>
        </w:rPr>
        <w:footnoteReference w:id="296"/>
      </w:r>
      <w:r w:rsidRPr="006A6DED">
        <w:rPr>
          <w:rFonts w:ascii="Times New Roman" w:hAnsi="Times New Roman" w:cs="Times New Roman"/>
          <w:sz w:val="24"/>
          <w:szCs w:val="24"/>
        </w:rPr>
        <w:t xml:space="preserve"> After leaving North Platte, Babcock slipped passed Fort Halleck in Wyoming one </w:t>
      </w:r>
      <w:r w:rsidRPr="006A6DED">
        <w:rPr>
          <w:rFonts w:ascii="Times New Roman" w:hAnsi="Times New Roman" w:cs="Times New Roman"/>
          <w:sz w:val="24"/>
          <w:szCs w:val="24"/>
        </w:rPr>
        <w:lastRenderedPageBreak/>
        <w:t>evening, not bothering to inspect it fully as it was already ordered that the post would be changed, so he instead continued to Fort Bridger in Utah.</w:t>
      </w:r>
      <w:r w:rsidRPr="006A6DED">
        <w:rPr>
          <w:rFonts w:ascii="Times New Roman" w:hAnsi="Times New Roman" w:cs="Times New Roman"/>
          <w:sz w:val="24"/>
          <w:szCs w:val="24"/>
          <w:vertAlign w:val="superscript"/>
        </w:rPr>
        <w:footnoteReference w:id="297"/>
      </w:r>
      <w:r w:rsidRPr="006A6DED">
        <w:rPr>
          <w:rFonts w:ascii="Times New Roman" w:hAnsi="Times New Roman" w:cs="Times New Roman"/>
          <w:sz w:val="24"/>
          <w:szCs w:val="24"/>
        </w:rPr>
        <w:t xml:space="preserve"> Babcock arrived at Fort Bridger on June 17</w:t>
      </w:r>
      <w:r w:rsidRPr="006A6DED">
        <w:rPr>
          <w:rFonts w:ascii="Times New Roman" w:hAnsi="Times New Roman" w:cs="Times New Roman"/>
          <w:sz w:val="24"/>
          <w:szCs w:val="24"/>
          <w:vertAlign w:val="superscript"/>
        </w:rPr>
        <w:t>th</w:t>
      </w:r>
      <w:r w:rsidRPr="006A6DED">
        <w:rPr>
          <w:rFonts w:ascii="Times New Roman" w:hAnsi="Times New Roman" w:cs="Times New Roman"/>
          <w:sz w:val="24"/>
          <w:szCs w:val="24"/>
        </w:rPr>
        <w:t xml:space="preserve"> and found it in “shameful condition,” noting that the grounds were not policed by soldiers and that many of the structures built for the military were burned and broken.</w:t>
      </w:r>
      <w:r w:rsidRPr="006A6DED">
        <w:rPr>
          <w:rFonts w:ascii="Times New Roman" w:hAnsi="Times New Roman" w:cs="Times New Roman"/>
          <w:sz w:val="24"/>
          <w:szCs w:val="24"/>
          <w:vertAlign w:val="superscript"/>
        </w:rPr>
        <w:footnoteReference w:id="298"/>
      </w:r>
      <w:r w:rsidRPr="006A6DED">
        <w:rPr>
          <w:rFonts w:ascii="Times New Roman" w:hAnsi="Times New Roman" w:cs="Times New Roman"/>
          <w:sz w:val="24"/>
          <w:szCs w:val="24"/>
        </w:rPr>
        <w:t xml:space="preserve"> He met with the commander who attested they did not have appropriate men to care for the fort, but as there were reinforcements on the way, Babcock made no orders.</w:t>
      </w:r>
      <w:r w:rsidRPr="006A6DED">
        <w:rPr>
          <w:rFonts w:ascii="Times New Roman" w:hAnsi="Times New Roman" w:cs="Times New Roman"/>
          <w:sz w:val="24"/>
          <w:szCs w:val="24"/>
          <w:vertAlign w:val="superscript"/>
        </w:rPr>
        <w:footnoteReference w:id="299"/>
      </w:r>
      <w:r w:rsidRPr="006A6DED">
        <w:rPr>
          <w:rFonts w:ascii="Times New Roman" w:hAnsi="Times New Roman" w:cs="Times New Roman"/>
          <w:sz w:val="24"/>
          <w:szCs w:val="24"/>
        </w:rPr>
        <w:t xml:space="preserve"> He did however note that the post was not suitable as an economic market given its remote location and suggested that two to four companies could manage it, at least until the Pacific railroad neared completion and presented new opportunities for travel, commerce, and settlement.</w:t>
      </w:r>
      <w:r w:rsidRPr="006A6DED">
        <w:rPr>
          <w:rFonts w:ascii="Times New Roman" w:hAnsi="Times New Roman" w:cs="Times New Roman"/>
          <w:sz w:val="24"/>
          <w:szCs w:val="24"/>
          <w:vertAlign w:val="superscript"/>
        </w:rPr>
        <w:footnoteReference w:id="300"/>
      </w:r>
    </w:p>
    <w:p w14:paraId="008C180A" w14:textId="53C7ED3A"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After leaving Fort Bridger, Babcock set out for Utah to engage in </w:t>
      </w:r>
      <w:r w:rsidR="004F593A">
        <w:rPr>
          <w:rFonts w:ascii="Times New Roman" w:hAnsi="Times New Roman" w:cs="Times New Roman"/>
          <w:sz w:val="24"/>
          <w:szCs w:val="24"/>
        </w:rPr>
        <w:t>a</w:t>
      </w:r>
      <w:r w:rsidRPr="006A6DED">
        <w:rPr>
          <w:rFonts w:ascii="Times New Roman" w:hAnsi="Times New Roman" w:cs="Times New Roman"/>
          <w:sz w:val="24"/>
          <w:szCs w:val="24"/>
        </w:rPr>
        <w:t xml:space="preserve"> covert mission </w:t>
      </w:r>
      <w:r w:rsidR="0063208E">
        <w:rPr>
          <w:rFonts w:ascii="Times New Roman" w:hAnsi="Times New Roman" w:cs="Times New Roman"/>
          <w:sz w:val="24"/>
          <w:szCs w:val="24"/>
        </w:rPr>
        <w:t xml:space="preserve">with which </w:t>
      </w:r>
      <w:r w:rsidRPr="006A6DED">
        <w:rPr>
          <w:rFonts w:ascii="Times New Roman" w:hAnsi="Times New Roman" w:cs="Times New Roman"/>
          <w:sz w:val="24"/>
          <w:szCs w:val="24"/>
        </w:rPr>
        <w:t>he was tasked as a part of his journey: to engage with Brigham Young</w:t>
      </w:r>
      <w:r w:rsidR="0063208E">
        <w:rPr>
          <w:rFonts w:ascii="Times New Roman" w:hAnsi="Times New Roman" w:cs="Times New Roman"/>
          <w:sz w:val="24"/>
          <w:szCs w:val="24"/>
        </w:rPr>
        <w:t>, learn</w:t>
      </w:r>
      <w:r w:rsidR="00A4413E">
        <w:rPr>
          <w:rFonts w:ascii="Times New Roman" w:hAnsi="Times New Roman" w:cs="Times New Roman"/>
          <w:sz w:val="24"/>
          <w:szCs w:val="24"/>
        </w:rPr>
        <w:t xml:space="preserve"> about</w:t>
      </w:r>
      <w:r w:rsidR="0063208E">
        <w:rPr>
          <w:rFonts w:ascii="Times New Roman" w:hAnsi="Times New Roman" w:cs="Times New Roman"/>
          <w:sz w:val="24"/>
          <w:szCs w:val="24"/>
        </w:rPr>
        <w:t>,</w:t>
      </w:r>
      <w:r w:rsidRPr="006A6DED">
        <w:rPr>
          <w:rFonts w:ascii="Times New Roman" w:hAnsi="Times New Roman" w:cs="Times New Roman"/>
          <w:sz w:val="24"/>
          <w:szCs w:val="24"/>
        </w:rPr>
        <w:t xml:space="preserve"> and report on the existing status of the Mormons. While in St. Louis, General Sherman tasked Babcock with remaining “in Salt Lake valley at least four weeks, to fully acquaint [him]self with the threatening, difficult question between the United States government and the sect of people known as the Mormons, suggesting…the propriety of talking freely and plainly with these people, and particularly their leader, President [Brigham] Young.”</w:t>
      </w:r>
      <w:r w:rsidRPr="006A6DED">
        <w:rPr>
          <w:rFonts w:ascii="Times New Roman" w:hAnsi="Times New Roman" w:cs="Times New Roman"/>
          <w:sz w:val="24"/>
          <w:szCs w:val="24"/>
          <w:vertAlign w:val="superscript"/>
        </w:rPr>
        <w:footnoteReference w:id="301"/>
      </w:r>
      <w:r w:rsidRPr="006A6DED">
        <w:rPr>
          <w:rFonts w:ascii="Times New Roman" w:hAnsi="Times New Roman" w:cs="Times New Roman"/>
          <w:sz w:val="24"/>
          <w:szCs w:val="24"/>
        </w:rPr>
        <w:t xml:space="preserve"> This hidden agenda may have actually been the true reason behind Babcock’s journey to the West, as there was a growing fear that the Mormons represented a military threat to the United States.</w:t>
      </w:r>
      <w:r w:rsidRPr="006A6DED">
        <w:rPr>
          <w:rFonts w:ascii="Times New Roman" w:hAnsi="Times New Roman" w:cs="Times New Roman"/>
          <w:sz w:val="24"/>
          <w:szCs w:val="24"/>
          <w:vertAlign w:val="superscript"/>
        </w:rPr>
        <w:footnoteReference w:id="302"/>
      </w:r>
      <w:r w:rsidRPr="006A6DED">
        <w:rPr>
          <w:rFonts w:ascii="Times New Roman" w:hAnsi="Times New Roman" w:cs="Times New Roman"/>
          <w:sz w:val="24"/>
          <w:szCs w:val="24"/>
        </w:rPr>
        <w:t xml:space="preserve"> In speaking with Sherman, Babcock learned that the government might be “compelled to force these people [the </w:t>
      </w:r>
      <w:r w:rsidRPr="006A6DED">
        <w:rPr>
          <w:rFonts w:ascii="Times New Roman" w:hAnsi="Times New Roman" w:cs="Times New Roman"/>
          <w:sz w:val="24"/>
          <w:szCs w:val="24"/>
        </w:rPr>
        <w:lastRenderedPageBreak/>
        <w:t>Mormons] to obey the laws of the land,” specifically 1863’s Morrill Act banning polygamy.</w:t>
      </w:r>
      <w:r w:rsidRPr="006A6DED">
        <w:rPr>
          <w:rFonts w:ascii="Times New Roman" w:hAnsi="Times New Roman" w:cs="Times New Roman"/>
          <w:sz w:val="24"/>
          <w:szCs w:val="24"/>
          <w:vertAlign w:val="superscript"/>
        </w:rPr>
        <w:footnoteReference w:id="303"/>
      </w:r>
      <w:r w:rsidRPr="006A6DED">
        <w:rPr>
          <w:rFonts w:ascii="Times New Roman" w:hAnsi="Times New Roman" w:cs="Times New Roman"/>
          <w:sz w:val="24"/>
          <w:szCs w:val="24"/>
        </w:rPr>
        <w:t xml:space="preserve"> As such, Sherman told Babcock to “talk freely and often with Mormons and Gentiles – thus, if possible, to collect such information as would suggest a policy toward these people.”</w:t>
      </w:r>
      <w:r w:rsidRPr="006A6DED">
        <w:rPr>
          <w:rFonts w:ascii="Times New Roman" w:hAnsi="Times New Roman" w:cs="Times New Roman"/>
          <w:sz w:val="24"/>
          <w:szCs w:val="24"/>
          <w:vertAlign w:val="superscript"/>
        </w:rPr>
        <w:footnoteReference w:id="304"/>
      </w:r>
      <w:r w:rsidRPr="006A6DED">
        <w:rPr>
          <w:rFonts w:ascii="Times New Roman" w:hAnsi="Times New Roman" w:cs="Times New Roman"/>
          <w:sz w:val="24"/>
          <w:szCs w:val="24"/>
        </w:rPr>
        <w:t xml:space="preserve"> In other words, Babcock was to provide reconnaissance during his four week stay in Utah regarding the coexistence of the Mormons and other Americans in the region and determine if the growth of the Mormon population represented a potential problem for the United States moving forward.</w:t>
      </w:r>
      <w:r w:rsidRPr="006A6DED">
        <w:rPr>
          <w:rFonts w:ascii="Times New Roman" w:hAnsi="Times New Roman" w:cs="Times New Roman"/>
          <w:sz w:val="24"/>
          <w:szCs w:val="24"/>
          <w:vertAlign w:val="superscript"/>
        </w:rPr>
        <w:footnoteReference w:id="305"/>
      </w:r>
    </w:p>
    <w:p w14:paraId="1982ED95" w14:textId="77777777"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General Babcock arrived in Salt Lake City on June 19</w:t>
      </w:r>
      <w:r w:rsidRPr="006A6DED">
        <w:rPr>
          <w:rFonts w:ascii="Times New Roman" w:hAnsi="Times New Roman" w:cs="Times New Roman"/>
          <w:sz w:val="24"/>
          <w:szCs w:val="24"/>
          <w:vertAlign w:val="superscript"/>
        </w:rPr>
        <w:t>th</w:t>
      </w:r>
      <w:r w:rsidRPr="006A6DED">
        <w:rPr>
          <w:rFonts w:ascii="Times New Roman" w:hAnsi="Times New Roman" w:cs="Times New Roman"/>
          <w:sz w:val="24"/>
          <w:szCs w:val="24"/>
        </w:rPr>
        <w:t xml:space="preserve"> and stayed until July 20</w:t>
      </w:r>
      <w:r w:rsidRPr="006A6DED">
        <w:rPr>
          <w:rFonts w:ascii="Times New Roman" w:hAnsi="Times New Roman" w:cs="Times New Roman"/>
          <w:sz w:val="24"/>
          <w:szCs w:val="24"/>
          <w:vertAlign w:val="superscript"/>
        </w:rPr>
        <w:t>th</w:t>
      </w:r>
      <w:r w:rsidRPr="006A6DED">
        <w:rPr>
          <w:rFonts w:ascii="Times New Roman" w:hAnsi="Times New Roman" w:cs="Times New Roman"/>
          <w:sz w:val="24"/>
          <w:szCs w:val="24"/>
        </w:rPr>
        <w:t>, and during his month in Utah, he spoke with many people in the area, Mormon and gentile alike.</w:t>
      </w:r>
      <w:r w:rsidRPr="006A6DED">
        <w:rPr>
          <w:rFonts w:ascii="Times New Roman" w:hAnsi="Times New Roman" w:cs="Times New Roman"/>
          <w:sz w:val="24"/>
          <w:szCs w:val="24"/>
          <w:vertAlign w:val="superscript"/>
        </w:rPr>
        <w:footnoteReference w:id="306"/>
      </w:r>
      <w:r w:rsidRPr="006A6DED">
        <w:rPr>
          <w:rFonts w:ascii="Times New Roman" w:hAnsi="Times New Roman" w:cs="Times New Roman"/>
          <w:sz w:val="24"/>
          <w:szCs w:val="24"/>
        </w:rPr>
        <w:t xml:space="preserve"> During his stay in Utah, Babcock met with many such people and “was treated civilly by both.”</w:t>
      </w:r>
      <w:r w:rsidRPr="006A6DED">
        <w:rPr>
          <w:rFonts w:ascii="Times New Roman" w:hAnsi="Times New Roman" w:cs="Times New Roman"/>
          <w:sz w:val="24"/>
          <w:szCs w:val="24"/>
          <w:vertAlign w:val="superscript"/>
        </w:rPr>
        <w:footnoteReference w:id="307"/>
      </w:r>
      <w:r w:rsidRPr="006A6DED">
        <w:rPr>
          <w:rFonts w:ascii="Times New Roman" w:hAnsi="Times New Roman" w:cs="Times New Roman"/>
          <w:sz w:val="24"/>
          <w:szCs w:val="24"/>
        </w:rPr>
        <w:t xml:space="preserve"> He stated that “the marked peculiarity of [Mormon] religion is the claim of a religious right to have a plurality of wives,” but that “in other respects their religion does not offend public opinion.”</w:t>
      </w:r>
      <w:r w:rsidRPr="006A6DED">
        <w:rPr>
          <w:rFonts w:ascii="Times New Roman" w:hAnsi="Times New Roman" w:cs="Times New Roman"/>
          <w:sz w:val="24"/>
          <w:szCs w:val="24"/>
          <w:vertAlign w:val="superscript"/>
        </w:rPr>
        <w:footnoteReference w:id="308"/>
      </w:r>
      <w:r w:rsidRPr="006A6DED">
        <w:rPr>
          <w:rFonts w:ascii="Times New Roman" w:hAnsi="Times New Roman" w:cs="Times New Roman"/>
          <w:sz w:val="24"/>
          <w:szCs w:val="24"/>
        </w:rPr>
        <w:t xml:space="preserve"> He acknowledged that Mormon believers held that their leader, Brigham Young, was a prophet “through whom God reveals his wishes,” and that accordingly he serves as the “head of their church and styled president” who led them to this region in July 1847.</w:t>
      </w:r>
      <w:r w:rsidRPr="006A6DED">
        <w:rPr>
          <w:rFonts w:ascii="Times New Roman" w:hAnsi="Times New Roman" w:cs="Times New Roman"/>
          <w:sz w:val="24"/>
          <w:szCs w:val="24"/>
          <w:vertAlign w:val="superscript"/>
        </w:rPr>
        <w:footnoteReference w:id="309"/>
      </w:r>
      <w:r w:rsidRPr="006A6DED">
        <w:rPr>
          <w:rFonts w:ascii="Times New Roman" w:hAnsi="Times New Roman" w:cs="Times New Roman"/>
          <w:sz w:val="24"/>
          <w:szCs w:val="24"/>
        </w:rPr>
        <w:t xml:space="preserve"> Babcock commended Young and the Mormons for their work transforming the land from outright wilderness into a fully settled territory with, as the Mormons claimed, an unverified population of nearly 150,000 across the entire territory who mainly focused on the necessities of life like agriculture and raising livestock.</w:t>
      </w:r>
      <w:r w:rsidRPr="006A6DED">
        <w:rPr>
          <w:rFonts w:ascii="Times New Roman" w:hAnsi="Times New Roman" w:cs="Times New Roman"/>
          <w:sz w:val="24"/>
          <w:szCs w:val="24"/>
          <w:vertAlign w:val="superscript"/>
        </w:rPr>
        <w:footnoteReference w:id="310"/>
      </w:r>
      <w:r w:rsidRPr="006A6DED">
        <w:rPr>
          <w:rFonts w:ascii="Times New Roman" w:hAnsi="Times New Roman" w:cs="Times New Roman"/>
          <w:sz w:val="24"/>
          <w:szCs w:val="24"/>
        </w:rPr>
        <w:t xml:space="preserve"> The territory itself maintained a wealth of minerals, but </w:t>
      </w:r>
      <w:r w:rsidRPr="006A6DED">
        <w:rPr>
          <w:rFonts w:ascii="Times New Roman" w:hAnsi="Times New Roman" w:cs="Times New Roman"/>
          <w:sz w:val="24"/>
          <w:szCs w:val="24"/>
        </w:rPr>
        <w:lastRenderedPageBreak/>
        <w:t>Young maintained their focus on cultivating the soil rather than mining, and Babcock noted that he ”saw a less number of idle people in Utah Territory than in any locality I ever visited.”</w:t>
      </w:r>
      <w:r w:rsidRPr="006A6DED">
        <w:rPr>
          <w:rFonts w:ascii="Times New Roman" w:hAnsi="Times New Roman" w:cs="Times New Roman"/>
          <w:sz w:val="24"/>
          <w:szCs w:val="24"/>
          <w:vertAlign w:val="superscript"/>
        </w:rPr>
        <w:footnoteReference w:id="311"/>
      </w:r>
    </w:p>
    <w:p w14:paraId="4EE13E94" w14:textId="77777777"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During Babcock’s visit, he met often with “President Young,” who appeared formal and dignified at first but afterwards spoke freely regarding his sect and the government, particularly regarding the Morrill Act.</w:t>
      </w:r>
      <w:r w:rsidRPr="006A6DED">
        <w:rPr>
          <w:rFonts w:ascii="Times New Roman" w:hAnsi="Times New Roman" w:cs="Times New Roman"/>
          <w:sz w:val="24"/>
          <w:szCs w:val="24"/>
          <w:vertAlign w:val="superscript"/>
        </w:rPr>
        <w:footnoteReference w:id="312"/>
      </w:r>
      <w:r w:rsidRPr="006A6DED">
        <w:rPr>
          <w:rFonts w:ascii="Times New Roman" w:hAnsi="Times New Roman" w:cs="Times New Roman"/>
          <w:sz w:val="24"/>
          <w:szCs w:val="24"/>
        </w:rPr>
        <w:t xml:space="preserve"> Babcock noted that the Morrill Act was never enforced, and that Young actually wanted it brought before the courts, as he believed it was unconstitutional on the grounds that it suppressed their religious freedoms.</w:t>
      </w:r>
      <w:r w:rsidRPr="006A6DED">
        <w:rPr>
          <w:rFonts w:ascii="Times New Roman" w:hAnsi="Times New Roman" w:cs="Times New Roman"/>
          <w:sz w:val="24"/>
          <w:szCs w:val="24"/>
          <w:vertAlign w:val="superscript"/>
        </w:rPr>
        <w:footnoteReference w:id="313"/>
      </w:r>
      <w:r w:rsidRPr="006A6DED">
        <w:rPr>
          <w:rFonts w:ascii="Times New Roman" w:hAnsi="Times New Roman" w:cs="Times New Roman"/>
          <w:sz w:val="24"/>
          <w:szCs w:val="24"/>
        </w:rPr>
        <w:t xml:space="preserve"> According to Babcock, Young sincerely stated that “the Mormons would never have had more than one wife had not God revealed it to them that it was his wish,” and it was clear to him that the this was a widely held belief among his followers.</w:t>
      </w:r>
      <w:r w:rsidRPr="006A6DED">
        <w:rPr>
          <w:rFonts w:ascii="Times New Roman" w:hAnsi="Times New Roman" w:cs="Times New Roman"/>
          <w:sz w:val="24"/>
          <w:szCs w:val="24"/>
          <w:vertAlign w:val="superscript"/>
        </w:rPr>
        <w:footnoteReference w:id="314"/>
      </w:r>
      <w:r w:rsidRPr="006A6DED">
        <w:rPr>
          <w:rFonts w:ascii="Times New Roman" w:hAnsi="Times New Roman" w:cs="Times New Roman"/>
          <w:sz w:val="24"/>
          <w:szCs w:val="24"/>
        </w:rPr>
        <w:t xml:space="preserve"> Babcock suggested that the Morrill Act would be impossible to enforce in the region, as a jury of peers who would deliberate on the case would consist entirely of Mormons, and that “No Mormon can see a crime in taking two or more wives in accordance with God’s revelation,” meaning that anyone accused would certainly be indicted of any charges.</w:t>
      </w:r>
      <w:r w:rsidRPr="006A6DED">
        <w:rPr>
          <w:rFonts w:ascii="Times New Roman" w:hAnsi="Times New Roman" w:cs="Times New Roman"/>
          <w:sz w:val="24"/>
          <w:szCs w:val="24"/>
          <w:vertAlign w:val="superscript"/>
        </w:rPr>
        <w:footnoteReference w:id="315"/>
      </w:r>
      <w:r w:rsidRPr="006A6DED">
        <w:rPr>
          <w:rFonts w:ascii="Times New Roman" w:hAnsi="Times New Roman" w:cs="Times New Roman"/>
          <w:sz w:val="24"/>
          <w:szCs w:val="24"/>
        </w:rPr>
        <w:t xml:space="preserve"> </w:t>
      </w:r>
    </w:p>
    <w:p w14:paraId="322A83C1" w14:textId="77777777"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Babcock met with many others to discuss the potential Mormon issue in Utah, including Judge John Titus, the Chief Justice of the Utah Territorial Supreme Court.</w:t>
      </w:r>
      <w:r w:rsidRPr="006A6DED">
        <w:rPr>
          <w:rFonts w:ascii="Times New Roman" w:hAnsi="Times New Roman" w:cs="Times New Roman"/>
          <w:sz w:val="24"/>
          <w:szCs w:val="24"/>
          <w:vertAlign w:val="superscript"/>
        </w:rPr>
        <w:footnoteReference w:id="316"/>
      </w:r>
      <w:r w:rsidRPr="006A6DED">
        <w:rPr>
          <w:rFonts w:ascii="Times New Roman" w:hAnsi="Times New Roman" w:cs="Times New Roman"/>
          <w:sz w:val="24"/>
          <w:szCs w:val="24"/>
        </w:rPr>
        <w:t xml:space="preserve"> Babcock believed Judge Titus to be “a very upright man” who held “no prejudice in favor of the Mormons.”</w:t>
      </w:r>
      <w:r w:rsidRPr="006A6DED">
        <w:rPr>
          <w:rFonts w:ascii="Times New Roman" w:hAnsi="Times New Roman" w:cs="Times New Roman"/>
          <w:sz w:val="24"/>
          <w:szCs w:val="24"/>
          <w:vertAlign w:val="superscript"/>
        </w:rPr>
        <w:footnoteReference w:id="317"/>
      </w:r>
      <w:r w:rsidRPr="006A6DED">
        <w:rPr>
          <w:rFonts w:ascii="Times New Roman" w:hAnsi="Times New Roman" w:cs="Times New Roman"/>
          <w:sz w:val="24"/>
          <w:szCs w:val="24"/>
        </w:rPr>
        <w:t xml:space="preserve"> According to Babcock, Judge Titus informed him that only about a tenth of the Mormons in the territory were polygamists and that the law did have some effect in both preventing polygamy and separating some from all but one wife.</w:t>
      </w:r>
      <w:r w:rsidRPr="006A6DED">
        <w:rPr>
          <w:rFonts w:ascii="Times New Roman" w:hAnsi="Times New Roman" w:cs="Times New Roman"/>
          <w:sz w:val="24"/>
          <w:szCs w:val="24"/>
          <w:vertAlign w:val="superscript"/>
        </w:rPr>
        <w:footnoteReference w:id="318"/>
      </w:r>
      <w:r w:rsidRPr="006A6DED">
        <w:rPr>
          <w:rFonts w:ascii="Times New Roman" w:hAnsi="Times New Roman" w:cs="Times New Roman"/>
          <w:sz w:val="24"/>
          <w:szCs w:val="24"/>
        </w:rPr>
        <w:t xml:space="preserve"> Many inhabitants of the territory were not citizens, </w:t>
      </w:r>
      <w:r w:rsidRPr="006A6DED">
        <w:rPr>
          <w:rFonts w:ascii="Times New Roman" w:hAnsi="Times New Roman" w:cs="Times New Roman"/>
          <w:sz w:val="24"/>
          <w:szCs w:val="24"/>
        </w:rPr>
        <w:lastRenderedPageBreak/>
        <w:t>but those that came before Judge Titus to become citizens were required to obey the Morrill Act.</w:t>
      </w:r>
      <w:r w:rsidRPr="006A6DED">
        <w:rPr>
          <w:rFonts w:ascii="Times New Roman" w:hAnsi="Times New Roman" w:cs="Times New Roman"/>
          <w:sz w:val="24"/>
          <w:szCs w:val="24"/>
          <w:vertAlign w:val="superscript"/>
        </w:rPr>
        <w:footnoteReference w:id="319"/>
      </w:r>
      <w:r w:rsidRPr="006A6DED">
        <w:rPr>
          <w:rFonts w:ascii="Times New Roman" w:hAnsi="Times New Roman" w:cs="Times New Roman"/>
          <w:sz w:val="24"/>
          <w:szCs w:val="24"/>
        </w:rPr>
        <w:t xml:space="preserve"> </w:t>
      </w:r>
    </w:p>
    <w:p w14:paraId="240D45F4" w14:textId="768B0B32"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 xml:space="preserve">In his discussions with Judge Titus and other </w:t>
      </w:r>
      <w:r w:rsidR="00EC2C99">
        <w:rPr>
          <w:rFonts w:ascii="Times New Roman" w:hAnsi="Times New Roman" w:cs="Times New Roman"/>
          <w:sz w:val="24"/>
          <w:szCs w:val="24"/>
        </w:rPr>
        <w:t>g</w:t>
      </w:r>
      <w:r w:rsidRPr="006A6DED">
        <w:rPr>
          <w:rFonts w:ascii="Times New Roman" w:hAnsi="Times New Roman" w:cs="Times New Roman"/>
          <w:sz w:val="24"/>
          <w:szCs w:val="24"/>
        </w:rPr>
        <w:t xml:space="preserve">entiles in Utah, Babcock discovered potential issues regarding the existing </w:t>
      </w:r>
      <w:r w:rsidRPr="006A6DED">
        <w:rPr>
          <w:rFonts w:ascii="Times New Roman" w:hAnsi="Times New Roman" w:cs="Times New Roman"/>
          <w:i/>
          <w:iCs/>
          <w:sz w:val="24"/>
          <w:szCs w:val="24"/>
        </w:rPr>
        <w:t>status quo</w:t>
      </w:r>
      <w:r w:rsidRPr="006A6DED">
        <w:rPr>
          <w:rFonts w:ascii="Times New Roman" w:hAnsi="Times New Roman" w:cs="Times New Roman"/>
          <w:sz w:val="24"/>
          <w:szCs w:val="24"/>
        </w:rPr>
        <w:t xml:space="preserve"> of the Mormon-controlled territory. Titus reported to Babcock that the </w:t>
      </w:r>
      <w:r w:rsidR="00EC2C99">
        <w:rPr>
          <w:rFonts w:ascii="Times New Roman" w:hAnsi="Times New Roman" w:cs="Times New Roman"/>
          <w:sz w:val="24"/>
          <w:szCs w:val="24"/>
        </w:rPr>
        <w:t>g</w:t>
      </w:r>
      <w:r w:rsidRPr="006A6DED">
        <w:rPr>
          <w:rFonts w:ascii="Times New Roman" w:hAnsi="Times New Roman" w:cs="Times New Roman"/>
          <w:sz w:val="24"/>
          <w:szCs w:val="24"/>
        </w:rPr>
        <w:t>entiles believed that they would have their own settlement in the territory, but that Congress had recently annexed that portion of Utah to the Nevada Territory, leaving Utah almost entirely under the control of the Mormons.</w:t>
      </w:r>
      <w:r w:rsidRPr="006A6DED">
        <w:rPr>
          <w:rFonts w:ascii="Times New Roman" w:hAnsi="Times New Roman" w:cs="Times New Roman"/>
          <w:sz w:val="24"/>
          <w:szCs w:val="24"/>
          <w:vertAlign w:val="superscript"/>
        </w:rPr>
        <w:footnoteReference w:id="320"/>
      </w:r>
      <w:r w:rsidRPr="006A6DED">
        <w:rPr>
          <w:rFonts w:ascii="Times New Roman" w:hAnsi="Times New Roman" w:cs="Times New Roman"/>
          <w:sz w:val="24"/>
          <w:szCs w:val="24"/>
        </w:rPr>
        <w:t xml:space="preserve"> Utah’s legislature placed high criminal trials in the hands of its lower courts in the territory, allowing for  the locals to have more control of the law, and he further pointed out that the local militia was not in control of the governor, but under the authority of Brigham Young and the church.</w:t>
      </w:r>
      <w:r w:rsidRPr="006A6DED">
        <w:rPr>
          <w:rFonts w:ascii="Times New Roman" w:hAnsi="Times New Roman" w:cs="Times New Roman"/>
          <w:sz w:val="24"/>
          <w:szCs w:val="24"/>
          <w:vertAlign w:val="superscript"/>
        </w:rPr>
        <w:footnoteReference w:id="321"/>
      </w:r>
      <w:r w:rsidRPr="006A6DED">
        <w:rPr>
          <w:rFonts w:ascii="Times New Roman" w:hAnsi="Times New Roman" w:cs="Times New Roman"/>
          <w:sz w:val="24"/>
          <w:szCs w:val="24"/>
        </w:rPr>
        <w:t xml:space="preserve"> These points confirmed the questions held by the federal government regarding the Mormons, and accordingly Babcock began to offer suggestions to limit the growing power of the sect. He suggested they be punished for past crimes, including the Meadow Mountain Massacre of 1858, and he suggested that many of the Mormons were Confederate sympathizers as a result of their belief in the overreach of the federal government.</w:t>
      </w:r>
      <w:r w:rsidRPr="006A6DED">
        <w:rPr>
          <w:rFonts w:ascii="Times New Roman" w:hAnsi="Times New Roman" w:cs="Times New Roman"/>
          <w:sz w:val="24"/>
          <w:szCs w:val="24"/>
          <w:vertAlign w:val="superscript"/>
        </w:rPr>
        <w:footnoteReference w:id="322"/>
      </w:r>
      <w:r w:rsidRPr="006A6DED">
        <w:rPr>
          <w:rFonts w:ascii="Times New Roman" w:hAnsi="Times New Roman" w:cs="Times New Roman"/>
          <w:sz w:val="24"/>
          <w:szCs w:val="24"/>
        </w:rPr>
        <w:t xml:space="preserve"> Still, he believed that if they were called upon to provide troops during the war they would have sent them promptly, as they had in dealing with local indigenous groups.</w:t>
      </w:r>
      <w:r w:rsidRPr="006A6DED">
        <w:rPr>
          <w:rFonts w:ascii="Times New Roman" w:hAnsi="Times New Roman" w:cs="Times New Roman"/>
          <w:sz w:val="24"/>
          <w:szCs w:val="24"/>
          <w:vertAlign w:val="superscript"/>
        </w:rPr>
        <w:footnoteReference w:id="323"/>
      </w:r>
    </w:p>
    <w:p w14:paraId="6078A5FC" w14:textId="0A3AB6DE" w:rsidR="004F593A" w:rsidRDefault="006A6DED" w:rsidP="000A54C3">
      <w:pPr>
        <w:spacing w:after="0" w:line="480" w:lineRule="auto"/>
        <w:rPr>
          <w:rFonts w:ascii="Times New Roman" w:hAnsi="Times New Roman" w:cs="Times New Roman"/>
          <w:sz w:val="24"/>
          <w:szCs w:val="24"/>
        </w:rPr>
      </w:pPr>
      <w:r w:rsidRPr="006A6DED">
        <w:rPr>
          <w:rFonts w:ascii="Times New Roman" w:hAnsi="Times New Roman" w:cs="Times New Roman"/>
          <w:sz w:val="24"/>
          <w:szCs w:val="24"/>
        </w:rPr>
        <w:tab/>
        <w:t>At the end of his report on the Mormons, Babcock stated that he enjoyed his stay in Utah, offering that “a more quiet or peaceable community I never passed four weeks with.”</w:t>
      </w:r>
      <w:r w:rsidRPr="006A6DED">
        <w:rPr>
          <w:rFonts w:ascii="Times New Roman" w:hAnsi="Times New Roman" w:cs="Times New Roman"/>
          <w:sz w:val="24"/>
          <w:szCs w:val="24"/>
          <w:vertAlign w:val="superscript"/>
        </w:rPr>
        <w:footnoteReference w:id="324"/>
      </w:r>
      <w:r w:rsidRPr="006A6DED">
        <w:rPr>
          <w:rFonts w:ascii="Times New Roman" w:hAnsi="Times New Roman" w:cs="Times New Roman"/>
          <w:sz w:val="24"/>
          <w:szCs w:val="24"/>
        </w:rPr>
        <w:t xml:space="preserve"> He </w:t>
      </w:r>
      <w:r w:rsidRPr="006A6DED">
        <w:rPr>
          <w:rFonts w:ascii="Times New Roman" w:hAnsi="Times New Roman" w:cs="Times New Roman"/>
          <w:sz w:val="24"/>
          <w:szCs w:val="24"/>
        </w:rPr>
        <w:lastRenderedPageBreak/>
        <w:t>finished by stating his suggestions regarding how to proceed with the federal question of the Mormons</w:t>
      </w:r>
      <w:r w:rsidR="000A54C3">
        <w:rPr>
          <w:rFonts w:ascii="Times New Roman" w:hAnsi="Times New Roman" w:cs="Times New Roman"/>
          <w:sz w:val="24"/>
          <w:szCs w:val="24"/>
        </w:rPr>
        <w:t>:</w:t>
      </w:r>
    </w:p>
    <w:p w14:paraId="618DB004" w14:textId="6A5F2E1B" w:rsidR="006A6DED" w:rsidRPr="006A6DED" w:rsidRDefault="006A6DED" w:rsidP="006A6DED">
      <w:pPr>
        <w:ind w:left="720" w:right="720"/>
        <w:rPr>
          <w:rFonts w:ascii="Times New Roman" w:hAnsi="Times New Roman" w:cs="Times New Roman"/>
          <w:sz w:val="24"/>
          <w:szCs w:val="24"/>
        </w:rPr>
      </w:pPr>
      <w:r w:rsidRPr="006A6DED">
        <w:rPr>
          <w:rFonts w:ascii="Times New Roman" w:hAnsi="Times New Roman" w:cs="Times New Roman"/>
          <w:sz w:val="24"/>
          <w:szCs w:val="24"/>
        </w:rPr>
        <w:t>“My opinion is that a policy by which the institution they cling to with fanatical faith shall be brought against public opinion, will be one that will soon cure the evil and save our country all the elements of good citizens they possess; while a coercive policy will, in accordance with the history of the world, increase fanaticism and destroy all the industry and wealth of 150,000 people and return that now fruitful valley to a desert again. A careful selection of civil and military officers, who with their families will give these ignorant people an example, with the enlightenment by the completion of railroad and telegraph lines, will do more to correct the error of these people than all the crusades possible.”</w:t>
      </w:r>
      <w:r w:rsidRPr="006A6DED">
        <w:rPr>
          <w:rFonts w:ascii="Times New Roman" w:hAnsi="Times New Roman" w:cs="Times New Roman"/>
          <w:sz w:val="24"/>
          <w:szCs w:val="24"/>
          <w:vertAlign w:val="superscript"/>
        </w:rPr>
        <w:footnoteReference w:id="325"/>
      </w:r>
    </w:p>
    <w:p w14:paraId="13A67E1F" w14:textId="050E72C5" w:rsidR="006A6DED" w:rsidRPr="006A6DED" w:rsidRDefault="006A6DED" w:rsidP="009D3446">
      <w:pPr>
        <w:spacing w:before="240" w:line="480" w:lineRule="auto"/>
        <w:rPr>
          <w:rFonts w:ascii="Times New Roman" w:hAnsi="Times New Roman" w:cs="Times New Roman"/>
          <w:sz w:val="24"/>
          <w:szCs w:val="24"/>
        </w:rPr>
      </w:pPr>
      <w:r w:rsidRPr="006A6DED">
        <w:rPr>
          <w:rFonts w:ascii="Times New Roman" w:hAnsi="Times New Roman" w:cs="Times New Roman"/>
          <w:sz w:val="24"/>
          <w:szCs w:val="24"/>
        </w:rPr>
        <w:t>Following his month-long stay with the Mormons in Utah, Babcock set out to finish his tour of military posts, beginning with nearby Camp Douglas.</w:t>
      </w:r>
      <w:r w:rsidRPr="006A6DED">
        <w:rPr>
          <w:rFonts w:ascii="Times New Roman" w:hAnsi="Times New Roman" w:cs="Times New Roman"/>
          <w:sz w:val="24"/>
          <w:szCs w:val="24"/>
          <w:vertAlign w:val="superscript"/>
        </w:rPr>
        <w:footnoteReference w:id="326"/>
      </w:r>
      <w:r w:rsidRPr="006A6DED">
        <w:rPr>
          <w:rFonts w:ascii="Times New Roman" w:hAnsi="Times New Roman" w:cs="Times New Roman"/>
          <w:sz w:val="24"/>
          <w:szCs w:val="24"/>
        </w:rPr>
        <w:t xml:space="preserve"> Babcock recommended that the post at Camp Douglas should be “built of stone,” making it a more permanent site that could be used to aid with the local indigenous populations should it be necessary.</w:t>
      </w:r>
      <w:r w:rsidRPr="006A6DED">
        <w:rPr>
          <w:rFonts w:ascii="Times New Roman" w:hAnsi="Times New Roman" w:cs="Times New Roman"/>
          <w:sz w:val="24"/>
          <w:szCs w:val="24"/>
          <w:vertAlign w:val="superscript"/>
        </w:rPr>
        <w:footnoteReference w:id="327"/>
      </w:r>
      <w:r w:rsidRPr="006A6DED">
        <w:rPr>
          <w:rFonts w:ascii="Times New Roman" w:hAnsi="Times New Roman" w:cs="Times New Roman"/>
          <w:sz w:val="24"/>
          <w:szCs w:val="24"/>
        </w:rPr>
        <w:t xml:space="preserve"> From there Babcock headed North to Fort Boise in the Idaho Territory, which he found to be of little use except as a depot, though it was of good service to that point as the troops there had “subdued” the nearby “hostile Indians.”</w:t>
      </w:r>
      <w:r w:rsidRPr="006A6DED">
        <w:rPr>
          <w:rFonts w:ascii="Times New Roman" w:hAnsi="Times New Roman" w:cs="Times New Roman"/>
          <w:sz w:val="24"/>
          <w:szCs w:val="24"/>
          <w:vertAlign w:val="superscript"/>
        </w:rPr>
        <w:footnoteReference w:id="328"/>
      </w:r>
      <w:r w:rsidRPr="006A6DED">
        <w:rPr>
          <w:rFonts w:ascii="Times New Roman" w:hAnsi="Times New Roman" w:cs="Times New Roman"/>
          <w:sz w:val="24"/>
          <w:szCs w:val="24"/>
        </w:rPr>
        <w:t xml:space="preserve"> He instead recommended that money given on behalf of the region go to building a capital for the territory rather than for fort improvements.</w:t>
      </w:r>
      <w:r w:rsidRPr="006A6DED">
        <w:rPr>
          <w:rFonts w:ascii="Times New Roman" w:hAnsi="Times New Roman" w:cs="Times New Roman"/>
          <w:sz w:val="24"/>
          <w:szCs w:val="24"/>
          <w:vertAlign w:val="superscript"/>
        </w:rPr>
        <w:footnoteReference w:id="329"/>
      </w:r>
      <w:r w:rsidRPr="006A6DED">
        <w:rPr>
          <w:rFonts w:ascii="Times New Roman" w:hAnsi="Times New Roman" w:cs="Times New Roman"/>
          <w:sz w:val="24"/>
          <w:szCs w:val="24"/>
        </w:rPr>
        <w:t xml:space="preserve"> Moving along the Columbia River, Babcock then reached Walla-Walla on July 31</w:t>
      </w:r>
      <w:r w:rsidRPr="006A6DED">
        <w:rPr>
          <w:rFonts w:ascii="Times New Roman" w:hAnsi="Times New Roman" w:cs="Times New Roman"/>
          <w:sz w:val="24"/>
          <w:szCs w:val="24"/>
          <w:vertAlign w:val="superscript"/>
        </w:rPr>
        <w:t>st</w:t>
      </w:r>
      <w:r w:rsidRPr="006A6DED">
        <w:rPr>
          <w:rFonts w:ascii="Times New Roman" w:hAnsi="Times New Roman" w:cs="Times New Roman"/>
          <w:sz w:val="24"/>
          <w:szCs w:val="24"/>
        </w:rPr>
        <w:t>, and he determined this was an unnecessary post as the troops there also handled their local indigenous troops and that it was manned by but six men and a quartermaster.</w:t>
      </w:r>
      <w:r w:rsidRPr="006A6DED">
        <w:rPr>
          <w:rFonts w:ascii="Times New Roman" w:hAnsi="Times New Roman" w:cs="Times New Roman"/>
          <w:sz w:val="24"/>
          <w:szCs w:val="24"/>
          <w:vertAlign w:val="superscript"/>
        </w:rPr>
        <w:footnoteReference w:id="330"/>
      </w:r>
      <w:r w:rsidRPr="006A6DED">
        <w:rPr>
          <w:rFonts w:ascii="Times New Roman" w:hAnsi="Times New Roman" w:cs="Times New Roman"/>
          <w:sz w:val="24"/>
          <w:szCs w:val="24"/>
        </w:rPr>
        <w:t xml:space="preserve"> He found that Camp Lapwal in the Idaho Territory was “abandoned by the order of the department commander” but that it would “without doubt, have to be reestablished, as the Nez Percés, Couer d’Alene, and other Indians are too numerous to be left </w:t>
      </w:r>
      <w:r w:rsidRPr="006A6DED">
        <w:rPr>
          <w:rFonts w:ascii="Times New Roman" w:hAnsi="Times New Roman" w:cs="Times New Roman"/>
          <w:sz w:val="24"/>
          <w:szCs w:val="24"/>
        </w:rPr>
        <w:lastRenderedPageBreak/>
        <w:t>unwatched.”</w:t>
      </w:r>
      <w:r w:rsidRPr="006A6DED">
        <w:rPr>
          <w:rFonts w:ascii="Times New Roman" w:hAnsi="Times New Roman" w:cs="Times New Roman"/>
          <w:sz w:val="24"/>
          <w:szCs w:val="24"/>
          <w:vertAlign w:val="superscript"/>
        </w:rPr>
        <w:footnoteReference w:id="331"/>
      </w:r>
      <w:r w:rsidRPr="006A6DED">
        <w:rPr>
          <w:rFonts w:ascii="Times New Roman" w:hAnsi="Times New Roman" w:cs="Times New Roman"/>
          <w:sz w:val="24"/>
          <w:szCs w:val="24"/>
        </w:rPr>
        <w:t xml:space="preserve"> Babcock then proceeded to Dalles, a post in present-day Oregon that he felt was “useless and ordered by the commanding officer military division of the Pacific, to be sold,” which he suggested was the correct plan, though the Secretary of War might authorize leasing it and other abandoned posts should they also hold a reservation.</w:t>
      </w:r>
      <w:r w:rsidRPr="006A6DED">
        <w:rPr>
          <w:rFonts w:ascii="Times New Roman" w:hAnsi="Times New Roman" w:cs="Times New Roman"/>
          <w:sz w:val="24"/>
          <w:szCs w:val="24"/>
          <w:vertAlign w:val="superscript"/>
        </w:rPr>
        <w:footnoteReference w:id="332"/>
      </w:r>
      <w:r w:rsidRPr="006A6DED">
        <w:rPr>
          <w:rFonts w:ascii="Times New Roman" w:hAnsi="Times New Roman" w:cs="Times New Roman"/>
          <w:sz w:val="24"/>
          <w:szCs w:val="24"/>
        </w:rPr>
        <w:t xml:space="preserve"> He continued on his journey West to Fort Vancouver in Washington, which he encouraged should be maintained to “punish” local Indians before moving to the Puget Sound, which he mapped and suggested locations for a proposed fortification.</w:t>
      </w:r>
      <w:r w:rsidRPr="006A6DED">
        <w:rPr>
          <w:rFonts w:ascii="Times New Roman" w:hAnsi="Times New Roman" w:cs="Times New Roman"/>
          <w:sz w:val="24"/>
          <w:szCs w:val="24"/>
          <w:vertAlign w:val="superscript"/>
        </w:rPr>
        <w:footnoteReference w:id="333"/>
      </w:r>
      <w:r w:rsidRPr="006A6DED">
        <w:rPr>
          <w:rFonts w:ascii="Times New Roman" w:hAnsi="Times New Roman" w:cs="Times New Roman"/>
          <w:sz w:val="24"/>
          <w:szCs w:val="24"/>
        </w:rPr>
        <w:t xml:space="preserve"> He then briefly visited San Juan</w:t>
      </w:r>
      <w:r w:rsidR="0021654C">
        <w:rPr>
          <w:rFonts w:ascii="Times New Roman" w:hAnsi="Times New Roman" w:cs="Times New Roman"/>
          <w:sz w:val="24"/>
          <w:szCs w:val="24"/>
        </w:rPr>
        <w:t>, Washington</w:t>
      </w:r>
      <w:r w:rsidRPr="006A6DED">
        <w:rPr>
          <w:rFonts w:ascii="Times New Roman" w:hAnsi="Times New Roman" w:cs="Times New Roman"/>
          <w:sz w:val="24"/>
          <w:szCs w:val="24"/>
        </w:rPr>
        <w:t xml:space="preserve">, which was only occupied to maintain the claim on the land before visiting the </w:t>
      </w:r>
      <w:r w:rsidR="0021654C">
        <w:rPr>
          <w:rFonts w:ascii="Times New Roman" w:hAnsi="Times New Roman" w:cs="Times New Roman"/>
          <w:sz w:val="24"/>
          <w:szCs w:val="24"/>
        </w:rPr>
        <w:t xml:space="preserve">nearby </w:t>
      </w:r>
      <w:r w:rsidRPr="006A6DED">
        <w:rPr>
          <w:rFonts w:ascii="Times New Roman" w:hAnsi="Times New Roman" w:cs="Times New Roman"/>
          <w:sz w:val="24"/>
          <w:szCs w:val="24"/>
        </w:rPr>
        <w:t>abandoned Port Townsend.</w:t>
      </w:r>
      <w:r w:rsidRPr="006A6DED">
        <w:rPr>
          <w:rFonts w:ascii="Times New Roman" w:hAnsi="Times New Roman" w:cs="Times New Roman"/>
          <w:sz w:val="24"/>
          <w:szCs w:val="24"/>
          <w:vertAlign w:val="superscript"/>
        </w:rPr>
        <w:footnoteReference w:id="334"/>
      </w:r>
      <w:r w:rsidRPr="006A6DED">
        <w:rPr>
          <w:rFonts w:ascii="Times New Roman" w:hAnsi="Times New Roman" w:cs="Times New Roman"/>
          <w:sz w:val="24"/>
          <w:szCs w:val="24"/>
        </w:rPr>
        <w:t xml:space="preserve"> Babcock journeyed to his final investigative post at Fort Stellacoom, which he suggested needed reinforcements, before arriving in San Francisco on August 15 to conclude his journey across the American West.</w:t>
      </w:r>
      <w:r w:rsidRPr="006A6DED">
        <w:rPr>
          <w:rFonts w:ascii="Times New Roman" w:hAnsi="Times New Roman" w:cs="Times New Roman"/>
          <w:sz w:val="24"/>
          <w:szCs w:val="24"/>
          <w:vertAlign w:val="superscript"/>
        </w:rPr>
        <w:footnoteReference w:id="335"/>
      </w:r>
    </w:p>
    <w:p w14:paraId="7541179E" w14:textId="6BF06ECE"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At the conclusion of Babcock’s reports on these sites, he again submitted information on his investigation into indigenous people in the region, as well as information received from his meeting with Major Generals Halleck and McDowell in San Francisco, where the generals discussed several subjects they believed needed the attention of General-in-Chief Grant.</w:t>
      </w:r>
      <w:r w:rsidRPr="006A6DED">
        <w:rPr>
          <w:rFonts w:ascii="Times New Roman" w:hAnsi="Times New Roman" w:cs="Times New Roman"/>
          <w:sz w:val="24"/>
          <w:szCs w:val="24"/>
          <w:vertAlign w:val="superscript"/>
        </w:rPr>
        <w:footnoteReference w:id="336"/>
      </w:r>
      <w:r w:rsidRPr="006A6DED">
        <w:rPr>
          <w:rFonts w:ascii="Times New Roman" w:hAnsi="Times New Roman" w:cs="Times New Roman"/>
          <w:sz w:val="24"/>
          <w:szCs w:val="24"/>
        </w:rPr>
        <w:t xml:space="preserve"> They informed him that transporting supplies to the indigenous groups in the </w:t>
      </w:r>
      <w:r w:rsidR="00E72E11">
        <w:rPr>
          <w:rFonts w:ascii="Times New Roman" w:hAnsi="Times New Roman" w:cs="Times New Roman"/>
          <w:sz w:val="24"/>
          <w:szCs w:val="24"/>
        </w:rPr>
        <w:t>W</w:t>
      </w:r>
      <w:r w:rsidRPr="006A6DED">
        <w:rPr>
          <w:rFonts w:ascii="Times New Roman" w:hAnsi="Times New Roman" w:cs="Times New Roman"/>
          <w:sz w:val="24"/>
          <w:szCs w:val="24"/>
        </w:rPr>
        <w:t>est by the military was costly and often abused by certain quartermasters and advised that these responsibilities be shifted to the Indian department.</w:t>
      </w:r>
      <w:r w:rsidRPr="006A6DED">
        <w:rPr>
          <w:rFonts w:ascii="Times New Roman" w:hAnsi="Times New Roman" w:cs="Times New Roman"/>
          <w:sz w:val="24"/>
          <w:szCs w:val="24"/>
          <w:vertAlign w:val="superscript"/>
        </w:rPr>
        <w:footnoteReference w:id="337"/>
      </w:r>
      <w:r w:rsidRPr="006A6DED">
        <w:rPr>
          <w:rFonts w:ascii="Times New Roman" w:hAnsi="Times New Roman" w:cs="Times New Roman"/>
          <w:sz w:val="24"/>
          <w:szCs w:val="24"/>
        </w:rPr>
        <w:t xml:space="preserve"> They further recommended that troops guarding Indian countries be armed with “a repeating arm, without bayonet, and a uniform calibre,” as these </w:t>
      </w:r>
      <w:r w:rsidRPr="006A6DED">
        <w:rPr>
          <w:rFonts w:ascii="Times New Roman" w:hAnsi="Times New Roman" w:cs="Times New Roman"/>
          <w:sz w:val="24"/>
          <w:szCs w:val="24"/>
        </w:rPr>
        <w:lastRenderedPageBreak/>
        <w:t>troops had “no need” for a bayonet since they would be mounted.</w:t>
      </w:r>
      <w:r w:rsidRPr="006A6DED">
        <w:rPr>
          <w:rFonts w:ascii="Times New Roman" w:hAnsi="Times New Roman" w:cs="Times New Roman"/>
          <w:sz w:val="24"/>
          <w:szCs w:val="24"/>
          <w:vertAlign w:val="superscript"/>
        </w:rPr>
        <w:footnoteReference w:id="338"/>
      </w:r>
      <w:r w:rsidRPr="006A6DED">
        <w:rPr>
          <w:rFonts w:ascii="Times New Roman" w:hAnsi="Times New Roman" w:cs="Times New Roman"/>
          <w:sz w:val="24"/>
          <w:szCs w:val="24"/>
        </w:rPr>
        <w:t xml:space="preserve"> General Halleck had Babcock inspect certain supplies such as wool blankets and clothing. He found that the blankets they issued to their troops were old, moldy, and in such poor condition that “the Indians even declined to take them when offered.”</w:t>
      </w:r>
      <w:r w:rsidRPr="006A6DED">
        <w:rPr>
          <w:rFonts w:ascii="Times New Roman" w:hAnsi="Times New Roman" w:cs="Times New Roman"/>
          <w:sz w:val="24"/>
          <w:szCs w:val="24"/>
          <w:vertAlign w:val="superscript"/>
        </w:rPr>
        <w:footnoteReference w:id="339"/>
      </w:r>
      <w:r w:rsidRPr="006A6DED">
        <w:rPr>
          <w:rFonts w:ascii="Times New Roman" w:hAnsi="Times New Roman" w:cs="Times New Roman"/>
          <w:sz w:val="24"/>
          <w:szCs w:val="24"/>
        </w:rPr>
        <w:t xml:space="preserve"> He also found that local wool mills along the West Coast were producing better quality goods for cheaper than those furnished by the Quartermasters and requested that samples from these mills be examined and considered for potential distribution and cost control efforts.</w:t>
      </w:r>
      <w:r w:rsidRPr="006A6DED">
        <w:rPr>
          <w:rFonts w:ascii="Times New Roman" w:hAnsi="Times New Roman" w:cs="Times New Roman"/>
          <w:sz w:val="24"/>
          <w:szCs w:val="24"/>
          <w:vertAlign w:val="superscript"/>
        </w:rPr>
        <w:footnoteReference w:id="340"/>
      </w:r>
      <w:r w:rsidRPr="006A6DED">
        <w:rPr>
          <w:rFonts w:ascii="Times New Roman" w:hAnsi="Times New Roman" w:cs="Times New Roman"/>
          <w:sz w:val="24"/>
          <w:szCs w:val="24"/>
        </w:rPr>
        <w:t xml:space="preserve"> Generals Halleck and McDowell further suggested efforts to better the purchase and transportation of such </w:t>
      </w:r>
      <w:r w:rsidR="00633F13">
        <w:rPr>
          <w:rFonts w:ascii="Times New Roman" w:hAnsi="Times New Roman" w:cs="Times New Roman"/>
          <w:sz w:val="24"/>
          <w:szCs w:val="24"/>
        </w:rPr>
        <w:t>commoditie</w:t>
      </w:r>
      <w:r w:rsidRPr="006A6DED">
        <w:rPr>
          <w:rFonts w:ascii="Times New Roman" w:hAnsi="Times New Roman" w:cs="Times New Roman"/>
          <w:sz w:val="24"/>
          <w:szCs w:val="24"/>
        </w:rPr>
        <w:t xml:space="preserve">s as hay and sugar, as well as the </w:t>
      </w:r>
      <w:r w:rsidR="000728D7">
        <w:rPr>
          <w:rFonts w:ascii="Times New Roman" w:hAnsi="Times New Roman" w:cs="Times New Roman"/>
          <w:sz w:val="24"/>
          <w:szCs w:val="24"/>
        </w:rPr>
        <w:t xml:space="preserve">issue of </w:t>
      </w:r>
      <w:r w:rsidRPr="006A6DED">
        <w:rPr>
          <w:rFonts w:ascii="Times New Roman" w:hAnsi="Times New Roman" w:cs="Times New Roman"/>
          <w:sz w:val="24"/>
          <w:szCs w:val="24"/>
        </w:rPr>
        <w:t>negative impact of paying employees in the West in coin and/or greenbacks.</w:t>
      </w:r>
      <w:r w:rsidRPr="006A6DED">
        <w:rPr>
          <w:rFonts w:ascii="Times New Roman" w:hAnsi="Times New Roman" w:cs="Times New Roman"/>
          <w:sz w:val="24"/>
          <w:szCs w:val="24"/>
          <w:vertAlign w:val="superscript"/>
        </w:rPr>
        <w:footnoteReference w:id="341"/>
      </w:r>
      <w:r w:rsidRPr="006A6DED">
        <w:rPr>
          <w:rFonts w:ascii="Times New Roman" w:hAnsi="Times New Roman" w:cs="Times New Roman"/>
          <w:sz w:val="24"/>
          <w:szCs w:val="24"/>
        </w:rPr>
        <w:t xml:space="preserve">  Babcock finished his report by commenting that many horses and mules in the West were likely stolen from the government because of an issue with their titles and that various forts ought to be </w:t>
      </w:r>
      <w:r w:rsidR="006308A9">
        <w:rPr>
          <w:rFonts w:ascii="Times New Roman" w:hAnsi="Times New Roman" w:cs="Times New Roman"/>
          <w:sz w:val="24"/>
          <w:szCs w:val="24"/>
        </w:rPr>
        <w:t>deem</w:t>
      </w:r>
      <w:r w:rsidRPr="006A6DED">
        <w:rPr>
          <w:rFonts w:ascii="Times New Roman" w:hAnsi="Times New Roman" w:cs="Times New Roman"/>
          <w:sz w:val="24"/>
          <w:szCs w:val="24"/>
        </w:rPr>
        <w:t xml:space="preserve">ed safe havens for these animals </w:t>
      </w:r>
      <w:r w:rsidR="008A362B">
        <w:rPr>
          <w:rFonts w:ascii="Times New Roman" w:hAnsi="Times New Roman" w:cs="Times New Roman"/>
          <w:sz w:val="24"/>
          <w:szCs w:val="24"/>
        </w:rPr>
        <w:t>that</w:t>
      </w:r>
      <w:r w:rsidRPr="006A6DED">
        <w:rPr>
          <w:rFonts w:ascii="Times New Roman" w:hAnsi="Times New Roman" w:cs="Times New Roman"/>
          <w:sz w:val="24"/>
          <w:szCs w:val="24"/>
        </w:rPr>
        <w:t xml:space="preserve"> should be considered contraband.</w:t>
      </w:r>
      <w:r w:rsidRPr="006A6DED">
        <w:rPr>
          <w:rFonts w:ascii="Times New Roman" w:hAnsi="Times New Roman" w:cs="Times New Roman"/>
          <w:sz w:val="24"/>
          <w:szCs w:val="24"/>
          <w:vertAlign w:val="superscript"/>
        </w:rPr>
        <w:footnoteReference w:id="342"/>
      </w:r>
      <w:r w:rsidRPr="006A6DED">
        <w:rPr>
          <w:rFonts w:ascii="Times New Roman" w:hAnsi="Times New Roman" w:cs="Times New Roman"/>
          <w:sz w:val="24"/>
          <w:szCs w:val="24"/>
        </w:rPr>
        <w:t xml:space="preserve"> Babcock submitted his report to Secretary of War Edwin Stanton, who in turn submitted it to Congress in January 1867 for their </w:t>
      </w:r>
      <w:r w:rsidR="006308A9">
        <w:rPr>
          <w:rFonts w:ascii="Times New Roman" w:hAnsi="Times New Roman" w:cs="Times New Roman"/>
          <w:sz w:val="24"/>
          <w:szCs w:val="24"/>
        </w:rPr>
        <w:t>attention</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343"/>
      </w:r>
      <w:r w:rsidRPr="006A6DED">
        <w:rPr>
          <w:rFonts w:ascii="Times New Roman" w:hAnsi="Times New Roman" w:cs="Times New Roman"/>
          <w:sz w:val="24"/>
          <w:szCs w:val="24"/>
        </w:rPr>
        <w:t xml:space="preserve"> </w:t>
      </w:r>
    </w:p>
    <w:p w14:paraId="5D33F69E" w14:textId="6E49DA71"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 xml:space="preserve">Babcock’s reconnaissance skills on his mission </w:t>
      </w:r>
      <w:r w:rsidR="009D2F0F">
        <w:rPr>
          <w:rFonts w:ascii="Times New Roman" w:hAnsi="Times New Roman" w:cs="Times New Roman"/>
          <w:sz w:val="24"/>
          <w:szCs w:val="24"/>
        </w:rPr>
        <w:t>w</w:t>
      </w:r>
      <w:r w:rsidRPr="006A6DED">
        <w:rPr>
          <w:rFonts w:ascii="Times New Roman" w:hAnsi="Times New Roman" w:cs="Times New Roman"/>
          <w:sz w:val="24"/>
          <w:szCs w:val="24"/>
        </w:rPr>
        <w:t>est proved to be fruitful enough for General Grant to continue to use his subordinate in this regard, and in mid-April 1867, Grant sent Babcock on a mission to compile a report on the status of the South and how the region was handling the earliest stages of Reconstruction.</w:t>
      </w:r>
      <w:r w:rsidRPr="006A6DED">
        <w:rPr>
          <w:rFonts w:ascii="Times New Roman" w:hAnsi="Times New Roman" w:cs="Times New Roman"/>
          <w:sz w:val="24"/>
          <w:szCs w:val="24"/>
          <w:vertAlign w:val="superscript"/>
        </w:rPr>
        <w:footnoteReference w:id="344"/>
      </w:r>
      <w:r w:rsidRPr="006A6DED">
        <w:rPr>
          <w:rFonts w:ascii="Times New Roman" w:hAnsi="Times New Roman" w:cs="Times New Roman"/>
          <w:sz w:val="24"/>
          <w:szCs w:val="24"/>
        </w:rPr>
        <w:t xml:space="preserve"> Grant’s position as General of the Armies meant that he was responsible for the institution of the Reconstruction Acts, which placed the </w:t>
      </w:r>
      <w:r w:rsidRPr="006A6DED">
        <w:rPr>
          <w:rFonts w:ascii="Times New Roman" w:hAnsi="Times New Roman" w:cs="Times New Roman"/>
          <w:sz w:val="24"/>
          <w:szCs w:val="24"/>
        </w:rPr>
        <w:lastRenderedPageBreak/>
        <w:t>states that seceded from the Union under military control until they redrafted new state constitutions which abolished Black Codes and enfranchised freedpeople.</w:t>
      </w:r>
      <w:r w:rsidRPr="006A6DED">
        <w:rPr>
          <w:rFonts w:ascii="Times New Roman" w:hAnsi="Times New Roman" w:cs="Times New Roman"/>
          <w:sz w:val="24"/>
          <w:szCs w:val="24"/>
          <w:vertAlign w:val="superscript"/>
        </w:rPr>
        <w:footnoteReference w:id="345"/>
      </w:r>
      <w:r w:rsidRPr="006A6DED">
        <w:rPr>
          <w:rFonts w:ascii="Times New Roman" w:hAnsi="Times New Roman" w:cs="Times New Roman"/>
          <w:sz w:val="24"/>
          <w:szCs w:val="24"/>
        </w:rPr>
        <w:t xml:space="preserve"> General Grant explained his understanding of these laws in March 1867 to General Philip Sheridan, the military governor of the Fifth Military District including Texas and Louisiana, stating that “the lawmakers clearly contemplated providing Military governments for the rebel states until they were fully restored in all their relations to their general government.”</w:t>
      </w:r>
      <w:r w:rsidRPr="006A6DED">
        <w:rPr>
          <w:rFonts w:ascii="Times New Roman" w:hAnsi="Times New Roman" w:cs="Times New Roman"/>
          <w:sz w:val="24"/>
          <w:szCs w:val="24"/>
          <w:vertAlign w:val="superscript"/>
        </w:rPr>
        <w:footnoteReference w:id="346"/>
      </w:r>
      <w:r w:rsidRPr="006A6DED">
        <w:rPr>
          <w:rFonts w:ascii="Times New Roman" w:hAnsi="Times New Roman" w:cs="Times New Roman"/>
          <w:sz w:val="24"/>
          <w:szCs w:val="24"/>
        </w:rPr>
        <w:t xml:space="preserve"> This meant that Grant oversaw these provisional governments, with an understood emphasis on provisional, and recognized that Congress granted these powers to the military “just so far as they could be used in carrying out the will of Congress, and no further.”</w:t>
      </w:r>
      <w:r w:rsidRPr="006A6DED">
        <w:rPr>
          <w:rFonts w:ascii="Times New Roman" w:hAnsi="Times New Roman" w:cs="Times New Roman"/>
          <w:sz w:val="24"/>
          <w:szCs w:val="24"/>
          <w:vertAlign w:val="superscript"/>
        </w:rPr>
        <w:footnoteReference w:id="347"/>
      </w:r>
      <w:r w:rsidRPr="006A6DED">
        <w:rPr>
          <w:rFonts w:ascii="Times New Roman" w:hAnsi="Times New Roman" w:cs="Times New Roman"/>
          <w:sz w:val="24"/>
          <w:szCs w:val="24"/>
        </w:rPr>
        <w:t xml:space="preserve"> In accordance with his responsibilities, Grant sought as complete a view of the situation across the South as possible, both in terms of military reconstruction and the status of African Americans, and he relied on someone who proved themselves but months before in a similar capacity: Orville Babcock. Babcock was accompanied on this journey by another of Grant’s aides, General Horace Porter, and the two received their orders to “proceed…without delay to the principal posts in each of the Military Districts of the South, inspect the present quarters of the troops, and direct each District Commander to cause careful estimates to be made for the erection of suitable barracks for all the </w:t>
      </w:r>
      <w:r w:rsidRPr="006A6DED">
        <w:rPr>
          <w:rFonts w:ascii="Times New Roman" w:hAnsi="Times New Roman" w:cs="Times New Roman"/>
          <w:sz w:val="24"/>
          <w:szCs w:val="24"/>
        </w:rPr>
        <w:lastRenderedPageBreak/>
        <w:t>permanent garrisons in his command” before returning to the capital.</w:t>
      </w:r>
      <w:r w:rsidRPr="006A6DED">
        <w:rPr>
          <w:rFonts w:ascii="Times New Roman" w:hAnsi="Times New Roman" w:cs="Times New Roman"/>
          <w:sz w:val="24"/>
          <w:szCs w:val="24"/>
          <w:vertAlign w:val="superscript"/>
        </w:rPr>
        <w:footnoteReference w:id="348"/>
      </w:r>
      <w:r w:rsidRPr="006A6DED">
        <w:rPr>
          <w:rFonts w:ascii="Times New Roman" w:hAnsi="Times New Roman" w:cs="Times New Roman"/>
          <w:sz w:val="24"/>
          <w:szCs w:val="24"/>
        </w:rPr>
        <w:t xml:space="preserve"> After receiving these orders on April 13, 1867, Grant’s aides departed for their trip South.</w:t>
      </w:r>
    </w:p>
    <w:p w14:paraId="2D88ECBB" w14:textId="23D74429"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On their journey, Babcock and Porter traversed through much of the former Confederacy and made detailed reports of their findings for General Grant, which they waited to submit so they could “see a considerable</w:t>
      </w:r>
      <w:r w:rsidR="00A8057D">
        <w:rPr>
          <w:rFonts w:ascii="Times New Roman" w:hAnsi="Times New Roman" w:cs="Times New Roman"/>
          <w:sz w:val="24"/>
          <w:szCs w:val="24"/>
        </w:rPr>
        <w:t xml:space="preserve"> [sic]</w:t>
      </w:r>
      <w:r w:rsidRPr="006A6DED">
        <w:rPr>
          <w:rFonts w:ascii="Times New Roman" w:hAnsi="Times New Roman" w:cs="Times New Roman"/>
          <w:sz w:val="24"/>
          <w:szCs w:val="24"/>
        </w:rPr>
        <w:t xml:space="preserve"> of the South before we could draw any comparisons.”</w:t>
      </w:r>
      <w:r w:rsidRPr="006A6DED">
        <w:rPr>
          <w:rFonts w:ascii="Times New Roman" w:hAnsi="Times New Roman" w:cs="Times New Roman"/>
          <w:sz w:val="24"/>
          <w:szCs w:val="24"/>
          <w:vertAlign w:val="superscript"/>
        </w:rPr>
        <w:footnoteReference w:id="349"/>
      </w:r>
      <w:r w:rsidRPr="006A6DED">
        <w:rPr>
          <w:rFonts w:ascii="Times New Roman" w:hAnsi="Times New Roman" w:cs="Times New Roman"/>
          <w:sz w:val="24"/>
          <w:szCs w:val="24"/>
        </w:rPr>
        <w:t xml:space="preserve"> Their first stop was the nearest Military District in Virginia, which Babcock noted was “progressing… in a very satisfactory manner” in the hands of Military Governor General John Schofield.</w:t>
      </w:r>
      <w:r w:rsidRPr="006A6DED">
        <w:rPr>
          <w:rFonts w:ascii="Times New Roman" w:hAnsi="Times New Roman" w:cs="Times New Roman"/>
          <w:sz w:val="24"/>
          <w:szCs w:val="24"/>
          <w:vertAlign w:val="superscript"/>
        </w:rPr>
        <w:footnoteReference w:id="350"/>
      </w:r>
      <w:r w:rsidRPr="006A6DED">
        <w:rPr>
          <w:rFonts w:ascii="Times New Roman" w:hAnsi="Times New Roman" w:cs="Times New Roman"/>
          <w:sz w:val="24"/>
          <w:szCs w:val="24"/>
        </w:rPr>
        <w:t xml:space="preserve"> Babcock then attested that the formerly enslaved in Virginia “seem to be all employed” and “learning very fast,” holding that if they continued as they had thus far, “they will soon be the best educated </w:t>
      </w:r>
      <w:r w:rsidRPr="006A6DED">
        <w:rPr>
          <w:rFonts w:ascii="Times New Roman" w:hAnsi="Times New Roman" w:cs="Times New Roman"/>
          <w:i/>
          <w:iCs/>
          <w:sz w:val="24"/>
          <w:szCs w:val="24"/>
        </w:rPr>
        <w:t>class</w:t>
      </w:r>
      <w:r w:rsidRPr="006A6DED">
        <w:rPr>
          <w:rFonts w:ascii="Times New Roman" w:hAnsi="Times New Roman" w:cs="Times New Roman"/>
          <w:sz w:val="24"/>
          <w:szCs w:val="24"/>
        </w:rPr>
        <w:t xml:space="preserve"> in the South.”</w:t>
      </w:r>
      <w:r w:rsidRPr="006A6DED">
        <w:rPr>
          <w:rFonts w:ascii="Times New Roman" w:hAnsi="Times New Roman" w:cs="Times New Roman"/>
          <w:sz w:val="24"/>
          <w:szCs w:val="24"/>
          <w:vertAlign w:val="superscript"/>
        </w:rPr>
        <w:footnoteReference w:id="351"/>
      </w:r>
      <w:r w:rsidRPr="006A6DED">
        <w:rPr>
          <w:rFonts w:ascii="Times New Roman" w:hAnsi="Times New Roman" w:cs="Times New Roman"/>
          <w:sz w:val="24"/>
          <w:szCs w:val="24"/>
        </w:rPr>
        <w:t xml:space="preserve"> The two then progressed to the Second Military District of the Carolinas, beginning with North Carolina, where they saw “more evidence of prosperity” than in any other Southern state they visited.</w:t>
      </w:r>
      <w:r w:rsidRPr="006A6DED">
        <w:rPr>
          <w:rFonts w:ascii="Times New Roman" w:hAnsi="Times New Roman" w:cs="Times New Roman"/>
          <w:sz w:val="24"/>
          <w:szCs w:val="24"/>
          <w:vertAlign w:val="superscript"/>
        </w:rPr>
        <w:footnoteReference w:id="352"/>
      </w:r>
      <w:r w:rsidRPr="006A6DED">
        <w:rPr>
          <w:rFonts w:ascii="Times New Roman" w:hAnsi="Times New Roman" w:cs="Times New Roman"/>
          <w:sz w:val="24"/>
          <w:szCs w:val="24"/>
        </w:rPr>
        <w:t xml:space="preserve"> Here they made no remark on people of color, but they did remark that “Gen. [Dan] Sickles seems to be the master of the position and is hard at work,” and that “South Carolina will be one of the first to come into ranks” thanks to the “good union people” in both North and South Carolina.</w:t>
      </w:r>
      <w:r w:rsidRPr="006A6DED">
        <w:rPr>
          <w:rFonts w:ascii="Times New Roman" w:hAnsi="Times New Roman" w:cs="Times New Roman"/>
          <w:sz w:val="24"/>
          <w:szCs w:val="24"/>
          <w:vertAlign w:val="superscript"/>
        </w:rPr>
        <w:footnoteReference w:id="353"/>
      </w:r>
      <w:r w:rsidRPr="006A6DED">
        <w:rPr>
          <w:rFonts w:ascii="Times New Roman" w:hAnsi="Times New Roman" w:cs="Times New Roman"/>
          <w:sz w:val="24"/>
          <w:szCs w:val="24"/>
        </w:rPr>
        <w:t xml:space="preserve"> </w:t>
      </w:r>
    </w:p>
    <w:p w14:paraId="78EE99E5" w14:textId="0A050918"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Babcock and Porter continued South to the Third Military District containing Georgia, Alabama, and Florida, where “things [did] not look as well,” particularly in Georgia and Florida.</w:t>
      </w:r>
      <w:r w:rsidRPr="006A6DED">
        <w:rPr>
          <w:rFonts w:ascii="Times New Roman" w:hAnsi="Times New Roman" w:cs="Times New Roman"/>
          <w:sz w:val="24"/>
          <w:szCs w:val="24"/>
          <w:vertAlign w:val="superscript"/>
        </w:rPr>
        <w:footnoteReference w:id="354"/>
      </w:r>
      <w:r w:rsidRPr="006A6DED">
        <w:rPr>
          <w:rFonts w:ascii="Times New Roman" w:hAnsi="Times New Roman" w:cs="Times New Roman"/>
          <w:sz w:val="24"/>
          <w:szCs w:val="24"/>
        </w:rPr>
        <w:t xml:space="preserve"> Babcock reported that the Third Military District was “far behind” the others he and Porter visited, and his report on this district was much more detailed than others because of the </w:t>
      </w:r>
      <w:r w:rsidRPr="006A6DED">
        <w:rPr>
          <w:rFonts w:ascii="Times New Roman" w:hAnsi="Times New Roman" w:cs="Times New Roman"/>
          <w:sz w:val="24"/>
          <w:szCs w:val="24"/>
        </w:rPr>
        <w:lastRenderedPageBreak/>
        <w:t>poor situation.</w:t>
      </w:r>
      <w:r w:rsidRPr="006A6DED">
        <w:rPr>
          <w:rFonts w:ascii="Times New Roman" w:hAnsi="Times New Roman" w:cs="Times New Roman"/>
          <w:sz w:val="24"/>
          <w:szCs w:val="24"/>
          <w:vertAlign w:val="superscript"/>
        </w:rPr>
        <w:footnoteReference w:id="355"/>
      </w:r>
      <w:r w:rsidRPr="006A6DED">
        <w:rPr>
          <w:rFonts w:ascii="Times New Roman" w:hAnsi="Times New Roman" w:cs="Times New Roman"/>
          <w:sz w:val="24"/>
          <w:szCs w:val="24"/>
        </w:rPr>
        <w:t xml:space="preserve"> In Georgia, they reported that the streets were policed in gray, “the real </w:t>
      </w:r>
      <w:r w:rsidRPr="006A6DED">
        <w:rPr>
          <w:rFonts w:ascii="Times New Roman" w:hAnsi="Times New Roman" w:cs="Times New Roman"/>
          <w:i/>
          <w:iCs/>
          <w:sz w:val="24"/>
          <w:szCs w:val="24"/>
        </w:rPr>
        <w:t xml:space="preserve">confederate </w:t>
      </w:r>
      <w:r w:rsidRPr="006A6DED">
        <w:rPr>
          <w:rFonts w:ascii="Times New Roman" w:hAnsi="Times New Roman" w:cs="Times New Roman"/>
          <w:sz w:val="24"/>
          <w:szCs w:val="24"/>
        </w:rPr>
        <w:t>uniform,” and that it would be logical to think that the “‘Lost Cause’…would soon be saved.”</w:t>
      </w:r>
      <w:r w:rsidRPr="006A6DED">
        <w:rPr>
          <w:rFonts w:ascii="Times New Roman" w:hAnsi="Times New Roman" w:cs="Times New Roman"/>
          <w:sz w:val="24"/>
          <w:szCs w:val="24"/>
          <w:vertAlign w:val="superscript"/>
        </w:rPr>
        <w:footnoteReference w:id="356"/>
      </w:r>
      <w:r w:rsidRPr="006A6DED">
        <w:rPr>
          <w:rFonts w:ascii="Times New Roman" w:hAnsi="Times New Roman" w:cs="Times New Roman"/>
          <w:sz w:val="24"/>
          <w:szCs w:val="24"/>
        </w:rPr>
        <w:t xml:space="preserve"> They proceeded to Florida, where they found the people fairly indifferent and “behind each of the other states in all general matters.”</w:t>
      </w:r>
      <w:r w:rsidRPr="006A6DED">
        <w:rPr>
          <w:rFonts w:ascii="Times New Roman" w:hAnsi="Times New Roman" w:cs="Times New Roman"/>
          <w:sz w:val="24"/>
          <w:szCs w:val="24"/>
          <w:vertAlign w:val="superscript"/>
        </w:rPr>
        <w:footnoteReference w:id="357"/>
      </w:r>
      <w:r w:rsidRPr="006A6DED">
        <w:rPr>
          <w:rFonts w:ascii="Times New Roman" w:hAnsi="Times New Roman" w:cs="Times New Roman"/>
          <w:sz w:val="24"/>
          <w:szCs w:val="24"/>
        </w:rPr>
        <w:t xml:space="preserve"> They particularly found the infrastructure to be an issue, as headquarters for each state were too far away to reach easily, and the commanding officer in Florida was away in Atlanta, meaning they only saw him once and not where they hoped he could offer them a tour.</w:t>
      </w:r>
      <w:r w:rsidRPr="006A6DED">
        <w:rPr>
          <w:rFonts w:ascii="Times New Roman" w:hAnsi="Times New Roman" w:cs="Times New Roman"/>
          <w:sz w:val="24"/>
          <w:szCs w:val="24"/>
          <w:vertAlign w:val="superscript"/>
        </w:rPr>
        <w:footnoteReference w:id="358"/>
      </w:r>
      <w:r w:rsidRPr="006A6DED">
        <w:rPr>
          <w:rFonts w:ascii="Times New Roman" w:hAnsi="Times New Roman" w:cs="Times New Roman"/>
          <w:sz w:val="24"/>
          <w:szCs w:val="24"/>
        </w:rPr>
        <w:t xml:space="preserve"> Babcock encouraged Grant to reorganize the districts so their commanders would be located at the state capitals and could take advantage of the existing state infrastructures.</w:t>
      </w:r>
      <w:r w:rsidRPr="006A6DED">
        <w:rPr>
          <w:rFonts w:ascii="Times New Roman" w:hAnsi="Times New Roman" w:cs="Times New Roman"/>
          <w:sz w:val="24"/>
          <w:szCs w:val="24"/>
          <w:vertAlign w:val="superscript"/>
        </w:rPr>
        <w:footnoteReference w:id="359"/>
      </w:r>
      <w:r w:rsidRPr="006A6DED">
        <w:rPr>
          <w:rFonts w:ascii="Times New Roman" w:hAnsi="Times New Roman" w:cs="Times New Roman"/>
          <w:sz w:val="24"/>
          <w:szCs w:val="24"/>
        </w:rPr>
        <w:t xml:space="preserve"> They progressed to Alabama, and Babcock reported that “Alabama shows less damage from the war than any other portion of the South we have visited.”</w:t>
      </w:r>
      <w:r w:rsidRPr="006A6DED">
        <w:rPr>
          <w:rFonts w:ascii="Times New Roman" w:hAnsi="Times New Roman" w:cs="Times New Roman"/>
          <w:sz w:val="24"/>
          <w:szCs w:val="24"/>
          <w:vertAlign w:val="superscript"/>
        </w:rPr>
        <w:footnoteReference w:id="360"/>
      </w:r>
      <w:r w:rsidRPr="006A6DED">
        <w:rPr>
          <w:rFonts w:ascii="Times New Roman" w:hAnsi="Times New Roman" w:cs="Times New Roman"/>
          <w:sz w:val="24"/>
          <w:szCs w:val="24"/>
        </w:rPr>
        <w:t xml:space="preserve"> He further reported that he was certain of two things: that “The Negro will vote the right ticket [Republican] notwithstanding the attempt of his old master to convince him that he is his best friend,” and that “the amt [sic] of starvation is very much exaggerated,” suggesting that reports from the South of lack of food and supplies were incorrect.</w:t>
      </w:r>
      <w:r w:rsidRPr="006A6DED">
        <w:rPr>
          <w:rFonts w:ascii="Times New Roman" w:hAnsi="Times New Roman" w:cs="Times New Roman"/>
          <w:sz w:val="24"/>
          <w:szCs w:val="24"/>
          <w:vertAlign w:val="superscript"/>
        </w:rPr>
        <w:footnoteReference w:id="361"/>
      </w:r>
      <w:r w:rsidRPr="006A6DED">
        <w:rPr>
          <w:rFonts w:ascii="Times New Roman" w:hAnsi="Times New Roman" w:cs="Times New Roman"/>
          <w:sz w:val="24"/>
          <w:szCs w:val="24"/>
        </w:rPr>
        <w:t xml:space="preserve"> </w:t>
      </w:r>
    </w:p>
    <w:p w14:paraId="7492EFD5" w14:textId="4B6937F2"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Both Babcock and Porter met with General Philip Sheridan along their journey to the Fifth Military District of Texas and Louisiana. On this leg of their trip Babcock did not write a report for General Grant, but Porter did, and he found Texas to be “the worst state in the Union, and it is only by the adoption of strict and decided measures that it is kept from giving a great deal of trouble.”</w:t>
      </w:r>
      <w:r w:rsidRPr="006A6DED">
        <w:rPr>
          <w:rFonts w:ascii="Times New Roman" w:hAnsi="Times New Roman" w:cs="Times New Roman"/>
          <w:sz w:val="24"/>
          <w:szCs w:val="24"/>
          <w:vertAlign w:val="superscript"/>
        </w:rPr>
        <w:footnoteReference w:id="362"/>
      </w:r>
      <w:r w:rsidRPr="006A6DED">
        <w:rPr>
          <w:rFonts w:ascii="Times New Roman" w:hAnsi="Times New Roman" w:cs="Times New Roman"/>
          <w:sz w:val="24"/>
          <w:szCs w:val="24"/>
        </w:rPr>
        <w:t xml:space="preserve"> In this report, Porter praised the military officers who were in charge, </w:t>
      </w:r>
      <w:r w:rsidRPr="006A6DED">
        <w:rPr>
          <w:rFonts w:ascii="Times New Roman" w:hAnsi="Times New Roman" w:cs="Times New Roman"/>
          <w:sz w:val="24"/>
          <w:szCs w:val="24"/>
        </w:rPr>
        <w:lastRenderedPageBreak/>
        <w:t>recognizing the monstrous task they had before them, even noting that General Sheridan stayed for but a day with the two before returning to Louisiana to put down a potential riot.</w:t>
      </w:r>
      <w:r w:rsidRPr="006A6DED">
        <w:rPr>
          <w:rFonts w:ascii="Times New Roman" w:hAnsi="Times New Roman" w:cs="Times New Roman"/>
          <w:sz w:val="24"/>
          <w:szCs w:val="24"/>
          <w:vertAlign w:val="superscript"/>
        </w:rPr>
        <w:footnoteReference w:id="363"/>
      </w:r>
      <w:r w:rsidRPr="006A6DED">
        <w:rPr>
          <w:rFonts w:ascii="Times New Roman" w:hAnsi="Times New Roman" w:cs="Times New Roman"/>
          <w:sz w:val="24"/>
          <w:szCs w:val="24"/>
        </w:rPr>
        <w:t xml:space="preserve"> Efforts to register the formerly enslaved were well underway and would likely be completed within a few months, but the state itself would take longer to adjust to the new status quo.</w:t>
      </w:r>
      <w:r w:rsidRPr="006A6DED">
        <w:rPr>
          <w:rFonts w:ascii="Times New Roman" w:hAnsi="Times New Roman" w:cs="Times New Roman"/>
          <w:sz w:val="24"/>
          <w:szCs w:val="24"/>
          <w:vertAlign w:val="superscript"/>
        </w:rPr>
        <w:footnoteReference w:id="364"/>
      </w:r>
      <w:r w:rsidRPr="006A6DED">
        <w:rPr>
          <w:rFonts w:ascii="Times New Roman" w:hAnsi="Times New Roman" w:cs="Times New Roman"/>
          <w:sz w:val="24"/>
          <w:szCs w:val="24"/>
        </w:rPr>
        <w:t xml:space="preserve"> The two finished their journey by traveling to the Rio Grande in mid-May and returned to their duty under General </w:t>
      </w:r>
      <w:r w:rsidR="00AA3622">
        <w:rPr>
          <w:rFonts w:ascii="Times New Roman" w:hAnsi="Times New Roman" w:cs="Times New Roman"/>
          <w:sz w:val="24"/>
          <w:szCs w:val="24"/>
        </w:rPr>
        <w:t>G</w:t>
      </w:r>
      <w:r w:rsidRPr="006A6DED">
        <w:rPr>
          <w:rFonts w:ascii="Times New Roman" w:hAnsi="Times New Roman" w:cs="Times New Roman"/>
          <w:sz w:val="24"/>
          <w:szCs w:val="24"/>
        </w:rPr>
        <w:t>rant in Washington having successfully carried out their assignment.</w:t>
      </w:r>
      <w:r w:rsidRPr="006A6DED">
        <w:rPr>
          <w:rFonts w:ascii="Times New Roman" w:hAnsi="Times New Roman" w:cs="Times New Roman"/>
          <w:sz w:val="24"/>
          <w:szCs w:val="24"/>
          <w:vertAlign w:val="superscript"/>
        </w:rPr>
        <w:footnoteReference w:id="365"/>
      </w:r>
    </w:p>
    <w:p w14:paraId="4407B225" w14:textId="5EE6BCA4"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Babcock’s reports were c</w:t>
      </w:r>
      <w:r w:rsidR="00FB0ABB">
        <w:rPr>
          <w:rFonts w:ascii="Times New Roman" w:hAnsi="Times New Roman" w:cs="Times New Roman"/>
          <w:sz w:val="24"/>
          <w:szCs w:val="24"/>
        </w:rPr>
        <w:t>rucial</w:t>
      </w:r>
      <w:r w:rsidRPr="006A6DED">
        <w:rPr>
          <w:rFonts w:ascii="Times New Roman" w:hAnsi="Times New Roman" w:cs="Times New Roman"/>
          <w:sz w:val="24"/>
          <w:szCs w:val="24"/>
        </w:rPr>
        <w:t xml:space="preserve"> to General Grant’s understanding of the existing status of the entire Union while he remained in Washington. This was made all the more important when, in 1868, General Grant ran for and was elected President of the United States.  Grant was unanimously nominated as the Presidential Candidate at the 1868 Republican National Convention, and though he did not desire the post, he believed he was the only person who had the chance to reunite the Union.</w:t>
      </w:r>
      <w:r w:rsidRPr="006A6DED">
        <w:rPr>
          <w:rFonts w:ascii="Times New Roman" w:hAnsi="Times New Roman" w:cs="Times New Roman"/>
          <w:sz w:val="24"/>
          <w:szCs w:val="24"/>
          <w:vertAlign w:val="superscript"/>
        </w:rPr>
        <w:footnoteReference w:id="366"/>
      </w:r>
      <w:r w:rsidRPr="006A6DED">
        <w:rPr>
          <w:rFonts w:ascii="Times New Roman" w:hAnsi="Times New Roman" w:cs="Times New Roman"/>
          <w:sz w:val="24"/>
          <w:szCs w:val="24"/>
        </w:rPr>
        <w:t xml:space="preserve"> The Republicans ran with a campaign centered on Grant’s own words, “Let us have peace,” and he was bolstered by the votes of African Americans across the nation.</w:t>
      </w:r>
      <w:r w:rsidRPr="006A6DED">
        <w:rPr>
          <w:rFonts w:ascii="Times New Roman" w:hAnsi="Times New Roman" w:cs="Times New Roman"/>
          <w:sz w:val="24"/>
          <w:szCs w:val="24"/>
          <w:vertAlign w:val="superscript"/>
        </w:rPr>
        <w:footnoteReference w:id="367"/>
      </w:r>
      <w:r w:rsidRPr="006A6DED">
        <w:rPr>
          <w:rFonts w:ascii="Times New Roman" w:hAnsi="Times New Roman" w:cs="Times New Roman"/>
          <w:sz w:val="24"/>
          <w:szCs w:val="24"/>
        </w:rPr>
        <w:t xml:space="preserve"> Grant carried 52.7% of the popular vote and won in an electoral college landslide of 214-80 over his opponent, Democrat Horatio Seymour.</w:t>
      </w:r>
      <w:r w:rsidRPr="006A6DED">
        <w:rPr>
          <w:rFonts w:ascii="Times New Roman" w:hAnsi="Times New Roman" w:cs="Times New Roman"/>
          <w:sz w:val="24"/>
          <w:szCs w:val="24"/>
          <w:vertAlign w:val="superscript"/>
        </w:rPr>
        <w:footnoteReference w:id="368"/>
      </w:r>
      <w:r w:rsidRPr="006A6DED">
        <w:rPr>
          <w:rFonts w:ascii="Times New Roman" w:hAnsi="Times New Roman" w:cs="Times New Roman"/>
          <w:sz w:val="24"/>
          <w:szCs w:val="24"/>
        </w:rPr>
        <w:t xml:space="preserve"> At 46 years old, Grant was elected as the youngest president to that point in American history, and though he was a complete novice as a politician, hope rippled throughout the nation that his campaign slogan might prove true.</w:t>
      </w:r>
      <w:r w:rsidRPr="006A6DED">
        <w:rPr>
          <w:rFonts w:ascii="Times New Roman" w:hAnsi="Times New Roman" w:cs="Times New Roman"/>
          <w:sz w:val="24"/>
          <w:szCs w:val="24"/>
          <w:vertAlign w:val="superscript"/>
        </w:rPr>
        <w:footnoteReference w:id="369"/>
      </w:r>
    </w:p>
    <w:p w14:paraId="764A0157" w14:textId="77777777"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lastRenderedPageBreak/>
        <w:tab/>
        <w:t>Once Grant took control of the White House, he began to build the staff that would help him complete the critical tasks involved in running the country. As patronage was the main way that individuals acquired civil service jobs at the time, Grant turned to many whom he knew were capable to fill the numerous positions left open by the change in administration. General William Tecumseh Sherman was promoted to Grant’s former post of General-in-Chief, while Elihu Washburne, the Congressman from Illinois who gave Grant his Civil War commission, was named Secretary of State.</w:t>
      </w:r>
      <w:r w:rsidRPr="006A6DED">
        <w:rPr>
          <w:rFonts w:ascii="Times New Roman" w:hAnsi="Times New Roman" w:cs="Times New Roman"/>
          <w:sz w:val="24"/>
          <w:szCs w:val="24"/>
          <w:vertAlign w:val="superscript"/>
        </w:rPr>
        <w:footnoteReference w:id="370"/>
      </w:r>
      <w:r w:rsidRPr="006A6DED">
        <w:rPr>
          <w:rFonts w:ascii="Times New Roman" w:hAnsi="Times New Roman" w:cs="Times New Roman"/>
          <w:sz w:val="24"/>
          <w:szCs w:val="24"/>
        </w:rPr>
        <w:t xml:space="preserve"> Grant heeded the advice of other influential figures in the Republican Party as he filled out his Cabinet, but when it came to his personal staff, Grant turned back to those who served him in the military to again serve him in the political realm. </w:t>
      </w:r>
    </w:p>
    <w:p w14:paraId="102266E3" w14:textId="2C42397B"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At the outset of his first term, President Grant took on four private secretaries, three of whom previously served as his </w:t>
      </w:r>
      <w:r w:rsidRPr="006A6DED">
        <w:rPr>
          <w:rFonts w:ascii="Times New Roman" w:hAnsi="Times New Roman" w:cs="Times New Roman"/>
          <w:i/>
          <w:iCs/>
          <w:sz w:val="24"/>
          <w:szCs w:val="24"/>
        </w:rPr>
        <w:t>aides-de-campe</w:t>
      </w:r>
      <w:r w:rsidRPr="006A6DED">
        <w:rPr>
          <w:rFonts w:ascii="Times New Roman" w:hAnsi="Times New Roman" w:cs="Times New Roman"/>
          <w:sz w:val="24"/>
          <w:szCs w:val="24"/>
        </w:rPr>
        <w:t xml:space="preserve"> during the war. These three former aides were Orville Babcock, Horace Porter, and Brigadier General Frederick Tracy Dent, Grant’s brother in law and friend from West Point.</w:t>
      </w:r>
      <w:r w:rsidRPr="006A6DED">
        <w:rPr>
          <w:rFonts w:ascii="Times New Roman" w:hAnsi="Times New Roman" w:cs="Times New Roman"/>
          <w:sz w:val="24"/>
          <w:szCs w:val="24"/>
          <w:vertAlign w:val="superscript"/>
        </w:rPr>
        <w:footnoteReference w:id="371"/>
      </w:r>
      <w:r w:rsidRPr="006A6DED">
        <w:rPr>
          <w:rFonts w:ascii="Times New Roman" w:hAnsi="Times New Roman" w:cs="Times New Roman"/>
          <w:sz w:val="24"/>
          <w:szCs w:val="24"/>
        </w:rPr>
        <w:t xml:space="preserve"> Grant’s fourth private secretary, Robert M. Douglas, formerly served as a private secretary for the Governor of North Carolina and was a fledgling political hopeful in his own right.</w:t>
      </w:r>
      <w:r w:rsidRPr="006A6DED">
        <w:rPr>
          <w:rFonts w:ascii="Times New Roman" w:hAnsi="Times New Roman" w:cs="Times New Roman"/>
          <w:sz w:val="24"/>
          <w:szCs w:val="24"/>
          <w:vertAlign w:val="superscript"/>
        </w:rPr>
        <w:footnoteReference w:id="372"/>
      </w:r>
      <w:r w:rsidRPr="006A6DED">
        <w:rPr>
          <w:rFonts w:ascii="Times New Roman" w:hAnsi="Times New Roman" w:cs="Times New Roman"/>
          <w:sz w:val="24"/>
          <w:szCs w:val="24"/>
        </w:rPr>
        <w:t xml:space="preserve"> Babcock’s posting would later be the center of discussion during inquests into his alleged criminality </w:t>
      </w:r>
      <w:r w:rsidR="00534ED2">
        <w:rPr>
          <w:rFonts w:ascii="Times New Roman" w:hAnsi="Times New Roman" w:cs="Times New Roman"/>
          <w:sz w:val="24"/>
          <w:szCs w:val="24"/>
        </w:rPr>
        <w:t>because</w:t>
      </w:r>
      <w:r w:rsidRPr="006A6DED">
        <w:rPr>
          <w:rFonts w:ascii="Times New Roman" w:hAnsi="Times New Roman" w:cs="Times New Roman"/>
          <w:sz w:val="24"/>
          <w:szCs w:val="24"/>
        </w:rPr>
        <w:t xml:space="preserve"> he was a military appointee to the White House.</w:t>
      </w:r>
      <w:r w:rsidRPr="006A6DED">
        <w:rPr>
          <w:rFonts w:ascii="Times New Roman" w:hAnsi="Times New Roman" w:cs="Times New Roman"/>
          <w:sz w:val="24"/>
          <w:szCs w:val="24"/>
          <w:vertAlign w:val="superscript"/>
        </w:rPr>
        <w:footnoteReference w:id="373"/>
      </w:r>
      <w:r w:rsidRPr="006A6DED">
        <w:rPr>
          <w:rFonts w:ascii="Times New Roman" w:hAnsi="Times New Roman" w:cs="Times New Roman"/>
          <w:sz w:val="24"/>
          <w:szCs w:val="24"/>
        </w:rPr>
        <w:t xml:space="preserve"> The appointment process, which Grant likely did as a favor for Babcock in an effort to maintain his commission and thus improve his pension, meant that Babcock was not subject to any congressional approval process, a major sticking point for those who sought to defame Babcock </w:t>
      </w:r>
      <w:r w:rsidRPr="006A6DED">
        <w:rPr>
          <w:rFonts w:ascii="Times New Roman" w:hAnsi="Times New Roman" w:cs="Times New Roman"/>
          <w:sz w:val="24"/>
          <w:szCs w:val="24"/>
        </w:rPr>
        <w:lastRenderedPageBreak/>
        <w:t>and Grant.</w:t>
      </w:r>
      <w:r w:rsidRPr="006A6DED">
        <w:rPr>
          <w:rFonts w:ascii="Times New Roman" w:hAnsi="Times New Roman" w:cs="Times New Roman"/>
          <w:sz w:val="24"/>
          <w:szCs w:val="24"/>
          <w:vertAlign w:val="superscript"/>
        </w:rPr>
        <w:footnoteReference w:id="374"/>
      </w:r>
      <w:r w:rsidRPr="006A6DED">
        <w:rPr>
          <w:rFonts w:ascii="Times New Roman" w:hAnsi="Times New Roman" w:cs="Times New Roman"/>
          <w:sz w:val="24"/>
          <w:szCs w:val="24"/>
        </w:rPr>
        <w:t xml:space="preserve"> Still, at the outset of the administration, Babcock settled in to his new role in the White House as a military and political appointee meant to help his benefactor and the people of the United States in whatever way he was asked.</w:t>
      </w:r>
    </w:p>
    <w:p w14:paraId="3190DF99" w14:textId="77777777" w:rsidR="005A6874" w:rsidRDefault="006A6DED" w:rsidP="005A6874">
      <w:pPr>
        <w:spacing w:after="0" w:line="480" w:lineRule="auto"/>
        <w:rPr>
          <w:rFonts w:ascii="Times New Roman" w:hAnsi="Times New Roman" w:cs="Times New Roman"/>
          <w:sz w:val="24"/>
          <w:szCs w:val="24"/>
        </w:rPr>
      </w:pPr>
      <w:r w:rsidRPr="006A6DED">
        <w:rPr>
          <w:rFonts w:ascii="Times New Roman" w:hAnsi="Times New Roman" w:cs="Times New Roman"/>
          <w:sz w:val="24"/>
          <w:szCs w:val="24"/>
        </w:rPr>
        <w:tab/>
        <w:t xml:space="preserve">Grant’s trust in awarding Babcock a high-ranking post in his administration marked a high point in </w:t>
      </w:r>
      <w:r w:rsidR="00972B05">
        <w:rPr>
          <w:rFonts w:ascii="Times New Roman" w:hAnsi="Times New Roman" w:cs="Times New Roman"/>
          <w:sz w:val="24"/>
          <w:szCs w:val="24"/>
        </w:rPr>
        <w:t>Babcock’s</w:t>
      </w:r>
      <w:r w:rsidRPr="006A6DED">
        <w:rPr>
          <w:rFonts w:ascii="Times New Roman" w:hAnsi="Times New Roman" w:cs="Times New Roman"/>
          <w:sz w:val="24"/>
          <w:szCs w:val="24"/>
        </w:rPr>
        <w:t xml:space="preserve"> life. From fairly humble beginnings in Vermont to his time in West Point, </w:t>
      </w:r>
      <w:r w:rsidR="00BD3C1C">
        <w:rPr>
          <w:rFonts w:ascii="Times New Roman" w:hAnsi="Times New Roman" w:cs="Times New Roman"/>
          <w:sz w:val="24"/>
          <w:szCs w:val="24"/>
        </w:rPr>
        <w:t>h</w:t>
      </w:r>
      <w:r w:rsidR="00BD3C1C" w:rsidRPr="006A6DED">
        <w:rPr>
          <w:rFonts w:ascii="Times New Roman" w:hAnsi="Times New Roman" w:cs="Times New Roman"/>
          <w:sz w:val="24"/>
          <w:szCs w:val="24"/>
        </w:rPr>
        <w:t>e rose through the ranks of the Army Corps of</w:t>
      </w:r>
      <w:r w:rsidR="00BD3C1C">
        <w:rPr>
          <w:rFonts w:ascii="Times New Roman" w:hAnsi="Times New Roman" w:cs="Times New Roman"/>
          <w:sz w:val="24"/>
          <w:szCs w:val="24"/>
        </w:rPr>
        <w:t xml:space="preserve"> Engineers, making</w:t>
      </w:r>
      <w:r w:rsidRPr="006A6DED">
        <w:rPr>
          <w:rFonts w:ascii="Times New Roman" w:hAnsi="Times New Roman" w:cs="Times New Roman"/>
          <w:sz w:val="24"/>
          <w:szCs w:val="24"/>
        </w:rPr>
        <w:t xml:space="preserve"> influential contacts along the way, with the most notable being his growing friendship with General Grant as his </w:t>
      </w:r>
      <w:r w:rsidRPr="006A6DED">
        <w:rPr>
          <w:rFonts w:ascii="Times New Roman" w:hAnsi="Times New Roman" w:cs="Times New Roman"/>
          <w:i/>
          <w:iCs/>
          <w:sz w:val="24"/>
          <w:szCs w:val="24"/>
        </w:rPr>
        <w:t>aide-de-campe</w:t>
      </w:r>
      <w:r w:rsidRPr="006A6DED">
        <w:rPr>
          <w:rFonts w:ascii="Times New Roman" w:hAnsi="Times New Roman" w:cs="Times New Roman"/>
          <w:sz w:val="24"/>
          <w:szCs w:val="24"/>
        </w:rPr>
        <w:t>. He remained in Grant’s service after the war, serving as his eyes and ears on various missions across America, and now his successes brought him to a job in the White House as President Grant’s right hand. Though he was inexperienced in politic</w:t>
      </w:r>
      <w:r w:rsidR="00B517AC">
        <w:rPr>
          <w:rFonts w:ascii="Times New Roman" w:hAnsi="Times New Roman" w:cs="Times New Roman"/>
          <w:sz w:val="24"/>
          <w:szCs w:val="24"/>
        </w:rPr>
        <w:t>s</w:t>
      </w:r>
      <w:r w:rsidRPr="006A6DED">
        <w:rPr>
          <w:rFonts w:ascii="Times New Roman" w:hAnsi="Times New Roman" w:cs="Times New Roman"/>
          <w:sz w:val="24"/>
          <w:szCs w:val="24"/>
        </w:rPr>
        <w:t>, he had proven that he was an experienced aide, a successful engineer, a dutiful soldier, and a loyal friend, all of which w</w:t>
      </w:r>
      <w:r w:rsidR="001D2BFA">
        <w:rPr>
          <w:rFonts w:ascii="Times New Roman" w:hAnsi="Times New Roman" w:cs="Times New Roman"/>
          <w:sz w:val="24"/>
          <w:szCs w:val="24"/>
        </w:rPr>
        <w:t>ere</w:t>
      </w:r>
      <w:r w:rsidRPr="006A6DED">
        <w:rPr>
          <w:rFonts w:ascii="Times New Roman" w:hAnsi="Times New Roman" w:cs="Times New Roman"/>
          <w:sz w:val="24"/>
          <w:szCs w:val="24"/>
        </w:rPr>
        <w:t xml:space="preserve"> enough to earn him a prestigious post in the nation’s capital. </w:t>
      </w:r>
      <w:r w:rsidR="0086793F">
        <w:rPr>
          <w:rFonts w:ascii="Times New Roman" w:hAnsi="Times New Roman" w:cs="Times New Roman"/>
          <w:sz w:val="24"/>
          <w:szCs w:val="24"/>
        </w:rPr>
        <w:t>The near future would show that i</w:t>
      </w:r>
      <w:r w:rsidRPr="006A6DED">
        <w:rPr>
          <w:rFonts w:ascii="Times New Roman" w:hAnsi="Times New Roman" w:cs="Times New Roman"/>
          <w:sz w:val="24"/>
          <w:szCs w:val="24"/>
        </w:rPr>
        <w:t>t would be but a matter of time before Babcock proved that he would use each of these strengths to help President Grant, the people of the United States, the nation itself, and, in several nefarious ways, his own self interests.</w:t>
      </w:r>
    </w:p>
    <w:p w14:paraId="240C2A50" w14:textId="3CFF84A7" w:rsidR="006A6DED" w:rsidRPr="006A6DED" w:rsidRDefault="006A6DED" w:rsidP="005A6874">
      <w:pPr>
        <w:spacing w:after="0" w:line="480" w:lineRule="auto"/>
        <w:jc w:val="center"/>
        <w:rPr>
          <w:rFonts w:ascii="Times New Roman" w:hAnsi="Times New Roman" w:cs="Times New Roman"/>
          <w:sz w:val="24"/>
          <w:szCs w:val="24"/>
        </w:rPr>
      </w:pPr>
      <w:r w:rsidRPr="006A6DED">
        <w:rPr>
          <w:rFonts w:ascii="Times New Roman" w:hAnsi="Times New Roman" w:cs="Times New Roman"/>
          <w:sz w:val="24"/>
          <w:szCs w:val="24"/>
        </w:rPr>
        <w:t>On Grant and Trust, Duty, and Loyalty</w:t>
      </w:r>
    </w:p>
    <w:p w14:paraId="01BFFA69" w14:textId="06E6FDE8" w:rsidR="006A6DED" w:rsidRPr="006A6DED" w:rsidRDefault="006A6DED" w:rsidP="005A6874">
      <w:pPr>
        <w:spacing w:line="480" w:lineRule="auto"/>
        <w:rPr>
          <w:rFonts w:ascii="Times New Roman" w:hAnsi="Times New Roman" w:cs="Times New Roman"/>
          <w:sz w:val="24"/>
          <w:szCs w:val="24"/>
        </w:rPr>
      </w:pPr>
      <w:r w:rsidRPr="006A6DED">
        <w:rPr>
          <w:rFonts w:ascii="Times New Roman" w:hAnsi="Times New Roman" w:cs="Times New Roman"/>
          <w:sz w:val="24"/>
          <w:szCs w:val="24"/>
        </w:rPr>
        <w:tab/>
      </w:r>
      <w:r w:rsidR="006A250B">
        <w:rPr>
          <w:rFonts w:ascii="Times New Roman" w:hAnsi="Times New Roman" w:cs="Times New Roman"/>
          <w:sz w:val="24"/>
          <w:szCs w:val="24"/>
        </w:rPr>
        <w:t xml:space="preserve">When </w:t>
      </w:r>
      <w:r w:rsidRPr="006A6DED">
        <w:rPr>
          <w:rFonts w:ascii="Times New Roman" w:hAnsi="Times New Roman" w:cs="Times New Roman"/>
          <w:sz w:val="24"/>
          <w:szCs w:val="24"/>
        </w:rPr>
        <w:t>investigat</w:t>
      </w:r>
      <w:r w:rsidR="006A250B">
        <w:rPr>
          <w:rFonts w:ascii="Times New Roman" w:hAnsi="Times New Roman" w:cs="Times New Roman"/>
          <w:sz w:val="24"/>
          <w:szCs w:val="24"/>
        </w:rPr>
        <w:t>ing</w:t>
      </w:r>
      <w:r w:rsidRPr="006A6DED">
        <w:rPr>
          <w:rFonts w:ascii="Times New Roman" w:hAnsi="Times New Roman" w:cs="Times New Roman"/>
          <w:sz w:val="24"/>
          <w:szCs w:val="24"/>
        </w:rPr>
        <w:t xml:space="preserve"> Babcock’s role as a major political player, </w:t>
      </w:r>
      <w:r w:rsidR="006A250B">
        <w:rPr>
          <w:rFonts w:ascii="Times New Roman" w:hAnsi="Times New Roman" w:cs="Times New Roman"/>
          <w:sz w:val="24"/>
          <w:szCs w:val="24"/>
        </w:rPr>
        <w:t>it is necessary to</w:t>
      </w:r>
      <w:r w:rsidRPr="006A6DED">
        <w:rPr>
          <w:rFonts w:ascii="Times New Roman" w:hAnsi="Times New Roman" w:cs="Times New Roman"/>
          <w:sz w:val="24"/>
          <w:szCs w:val="24"/>
        </w:rPr>
        <w:t xml:space="preserve"> take a brief interlude to consider the mind of the </w:t>
      </w:r>
      <w:r w:rsidR="00906B79">
        <w:rPr>
          <w:rFonts w:ascii="Times New Roman" w:hAnsi="Times New Roman" w:cs="Times New Roman"/>
          <w:sz w:val="24"/>
          <w:szCs w:val="24"/>
        </w:rPr>
        <w:t>patron</w:t>
      </w:r>
      <w:r w:rsidRPr="006A6DED">
        <w:rPr>
          <w:rFonts w:ascii="Times New Roman" w:hAnsi="Times New Roman" w:cs="Times New Roman"/>
          <w:sz w:val="24"/>
          <w:szCs w:val="24"/>
        </w:rPr>
        <w:t xml:space="preserve"> who appointed him to his post in the first place: President Ulysses S. Grant. Grant was arguably the most important political figure in the postbellum era. As Commanding General, Grant oversaw the military reconstruction of the former Confederate states, and in doing so he was second only to President Andrew Johnson in the military chain of command, meaning that he shaped the military of the era more than </w:t>
      </w:r>
      <w:r w:rsidRPr="006A6DED">
        <w:rPr>
          <w:rFonts w:ascii="Times New Roman" w:hAnsi="Times New Roman" w:cs="Times New Roman"/>
          <w:sz w:val="24"/>
          <w:szCs w:val="24"/>
        </w:rPr>
        <w:lastRenderedPageBreak/>
        <w:t>anyone.</w:t>
      </w:r>
      <w:r w:rsidRPr="006A6DED">
        <w:rPr>
          <w:rFonts w:ascii="Times New Roman" w:hAnsi="Times New Roman" w:cs="Times New Roman"/>
          <w:sz w:val="24"/>
          <w:szCs w:val="24"/>
          <w:vertAlign w:val="superscript"/>
        </w:rPr>
        <w:footnoteReference w:id="375"/>
      </w:r>
      <w:r w:rsidRPr="006A6DED">
        <w:rPr>
          <w:rFonts w:ascii="Times New Roman" w:hAnsi="Times New Roman" w:cs="Times New Roman"/>
          <w:sz w:val="24"/>
          <w:szCs w:val="24"/>
        </w:rPr>
        <w:t xml:space="preserve"> Once elected President, Grant became the most important individual in shaping political policies</w:t>
      </w:r>
      <w:r w:rsidR="006B3C19">
        <w:rPr>
          <w:rFonts w:ascii="Times New Roman" w:hAnsi="Times New Roman" w:cs="Times New Roman"/>
          <w:sz w:val="24"/>
          <w:szCs w:val="24"/>
        </w:rPr>
        <w:t xml:space="preserve"> as well as the military</w:t>
      </w:r>
      <w:r w:rsidRPr="006A6DED">
        <w:rPr>
          <w:rFonts w:ascii="Times New Roman" w:hAnsi="Times New Roman" w:cs="Times New Roman"/>
          <w:sz w:val="24"/>
          <w:szCs w:val="24"/>
        </w:rPr>
        <w:t xml:space="preserve">, and the men he appointed to carry out these policies were not subjected to the rigorous approval process of today’s political system. These approval processes were implemented as a result of civil service reforms instituted after Reconstruction, but </w:t>
      </w:r>
      <w:r w:rsidR="00243F53">
        <w:rPr>
          <w:rFonts w:ascii="Times New Roman" w:hAnsi="Times New Roman" w:cs="Times New Roman"/>
          <w:sz w:val="24"/>
          <w:szCs w:val="24"/>
        </w:rPr>
        <w:t>d</w:t>
      </w:r>
      <w:r w:rsidR="000C5CDF">
        <w:rPr>
          <w:rFonts w:ascii="Times New Roman" w:hAnsi="Times New Roman" w:cs="Times New Roman"/>
          <w:sz w:val="24"/>
          <w:szCs w:val="24"/>
        </w:rPr>
        <w:t>uring</w:t>
      </w:r>
      <w:r w:rsidR="00243F53">
        <w:rPr>
          <w:rFonts w:ascii="Times New Roman" w:hAnsi="Times New Roman" w:cs="Times New Roman"/>
          <w:sz w:val="24"/>
          <w:szCs w:val="24"/>
        </w:rPr>
        <w:t xml:space="preserve"> </w:t>
      </w:r>
      <w:r w:rsidRPr="006A6DED">
        <w:rPr>
          <w:rFonts w:ascii="Times New Roman" w:hAnsi="Times New Roman" w:cs="Times New Roman"/>
          <w:sz w:val="24"/>
          <w:szCs w:val="24"/>
        </w:rPr>
        <w:t>Reconstruction</w:t>
      </w:r>
      <w:r w:rsidR="000C5CDF">
        <w:rPr>
          <w:rFonts w:ascii="Times New Roman" w:hAnsi="Times New Roman" w:cs="Times New Roman"/>
          <w:sz w:val="24"/>
          <w:szCs w:val="24"/>
        </w:rPr>
        <w:t xml:space="preserve">, </w:t>
      </w:r>
      <w:r w:rsidRPr="006A6DED">
        <w:rPr>
          <w:rFonts w:ascii="Times New Roman" w:hAnsi="Times New Roman" w:cs="Times New Roman"/>
          <w:sz w:val="24"/>
          <w:szCs w:val="24"/>
        </w:rPr>
        <w:t xml:space="preserve">the patronage system took control of the government, and as the man in charge of the entire system, Grant’s considerations of what made a good public servant are critical to understanding how </w:t>
      </w:r>
      <w:r w:rsidR="009D56A3">
        <w:rPr>
          <w:rFonts w:ascii="Times New Roman" w:hAnsi="Times New Roman" w:cs="Times New Roman"/>
          <w:sz w:val="24"/>
          <w:szCs w:val="24"/>
        </w:rPr>
        <w:t>his</w:t>
      </w:r>
      <w:r w:rsidRPr="006A6DED">
        <w:rPr>
          <w:rFonts w:ascii="Times New Roman" w:hAnsi="Times New Roman" w:cs="Times New Roman"/>
          <w:sz w:val="24"/>
          <w:szCs w:val="24"/>
        </w:rPr>
        <w:t xml:space="preserve"> political realm was shaped.</w:t>
      </w:r>
      <w:r w:rsidRPr="006A6DED">
        <w:rPr>
          <w:rFonts w:ascii="Times New Roman" w:hAnsi="Times New Roman" w:cs="Times New Roman"/>
          <w:sz w:val="24"/>
          <w:szCs w:val="24"/>
          <w:vertAlign w:val="superscript"/>
        </w:rPr>
        <w:footnoteReference w:id="376"/>
      </w:r>
    </w:p>
    <w:p w14:paraId="3CF63C3A" w14:textId="5EDD40AA"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One of the people who was best qualified to detail Grant’s mentality in selecting people to serve the nation was one of his former aides, General Horace Porter</w:t>
      </w:r>
      <w:r w:rsidR="006D6453">
        <w:rPr>
          <w:rFonts w:ascii="Times New Roman" w:hAnsi="Times New Roman" w:cs="Times New Roman"/>
          <w:sz w:val="24"/>
          <w:szCs w:val="24"/>
        </w:rPr>
        <w:t xml:space="preserve"> (</w:t>
      </w:r>
      <w:r w:rsidR="006D6453">
        <w:rPr>
          <w:rFonts w:ascii="Times New Roman" w:hAnsi="Times New Roman" w:cs="Times New Roman"/>
          <w:b/>
          <w:bCs/>
          <w:sz w:val="24"/>
          <w:szCs w:val="24"/>
        </w:rPr>
        <w:t>Figure 1.4</w:t>
      </w:r>
      <w:r w:rsidR="006D6453">
        <w:rPr>
          <w:rFonts w:ascii="Times New Roman" w:hAnsi="Times New Roman" w:cs="Times New Roman"/>
          <w:sz w:val="24"/>
          <w:szCs w:val="24"/>
        </w:rPr>
        <w:t>)</w:t>
      </w:r>
      <w:r w:rsidRPr="006A6DED">
        <w:rPr>
          <w:rFonts w:ascii="Times New Roman" w:hAnsi="Times New Roman" w:cs="Times New Roman"/>
          <w:sz w:val="24"/>
          <w:szCs w:val="24"/>
        </w:rPr>
        <w:t xml:space="preserve">. Porter served with the Union </w:t>
      </w:r>
      <w:r w:rsidR="00F71C01">
        <w:rPr>
          <w:rFonts w:ascii="Times New Roman" w:hAnsi="Times New Roman" w:cs="Times New Roman"/>
          <w:sz w:val="24"/>
          <w:szCs w:val="24"/>
        </w:rPr>
        <w:t>A</w:t>
      </w:r>
      <w:r w:rsidRPr="006A6DED">
        <w:rPr>
          <w:rFonts w:ascii="Times New Roman" w:hAnsi="Times New Roman" w:cs="Times New Roman"/>
          <w:sz w:val="24"/>
          <w:szCs w:val="24"/>
        </w:rPr>
        <w:t xml:space="preserve">rmy during the Civil War, highlighted by his time as </w:t>
      </w:r>
      <w:r w:rsidR="00F71C01">
        <w:rPr>
          <w:rFonts w:ascii="Times New Roman" w:hAnsi="Times New Roman" w:cs="Times New Roman"/>
          <w:sz w:val="24"/>
          <w:szCs w:val="24"/>
        </w:rPr>
        <w:t>C</w:t>
      </w:r>
      <w:r w:rsidRPr="006A6DED">
        <w:rPr>
          <w:rFonts w:ascii="Times New Roman" w:hAnsi="Times New Roman" w:cs="Times New Roman"/>
          <w:sz w:val="24"/>
          <w:szCs w:val="24"/>
        </w:rPr>
        <w:t xml:space="preserve">hief of </w:t>
      </w:r>
      <w:r w:rsidR="00F71C01">
        <w:rPr>
          <w:rFonts w:ascii="Times New Roman" w:hAnsi="Times New Roman" w:cs="Times New Roman"/>
          <w:sz w:val="24"/>
          <w:szCs w:val="24"/>
        </w:rPr>
        <w:t>O</w:t>
      </w:r>
      <w:r w:rsidRPr="006A6DED">
        <w:rPr>
          <w:rFonts w:ascii="Times New Roman" w:hAnsi="Times New Roman" w:cs="Times New Roman"/>
          <w:sz w:val="24"/>
          <w:szCs w:val="24"/>
        </w:rPr>
        <w:t xml:space="preserve">rdinance in the Army of the Potomac and </w:t>
      </w:r>
      <w:r w:rsidR="00F71C01">
        <w:rPr>
          <w:rFonts w:ascii="Times New Roman" w:hAnsi="Times New Roman" w:cs="Times New Roman"/>
          <w:sz w:val="24"/>
          <w:szCs w:val="24"/>
        </w:rPr>
        <w:t xml:space="preserve">by </w:t>
      </w:r>
      <w:r w:rsidRPr="006A6DED">
        <w:rPr>
          <w:rFonts w:ascii="Times New Roman" w:hAnsi="Times New Roman" w:cs="Times New Roman"/>
          <w:sz w:val="24"/>
          <w:szCs w:val="24"/>
        </w:rPr>
        <w:t xml:space="preserve">his meritorious service at Chickamauga and </w:t>
      </w:r>
      <w:r w:rsidR="00A86A3E">
        <w:rPr>
          <w:rFonts w:ascii="Times New Roman" w:hAnsi="Times New Roman" w:cs="Times New Roman"/>
          <w:sz w:val="24"/>
          <w:szCs w:val="24"/>
        </w:rPr>
        <w:t>T</w:t>
      </w:r>
      <w:r w:rsidRPr="006A6DED">
        <w:rPr>
          <w:rFonts w:ascii="Times New Roman" w:hAnsi="Times New Roman" w:cs="Times New Roman"/>
          <w:sz w:val="24"/>
          <w:szCs w:val="24"/>
        </w:rPr>
        <w:t>he Wilderness.</w:t>
      </w:r>
      <w:r w:rsidRPr="006A6DED">
        <w:rPr>
          <w:rFonts w:ascii="Times New Roman" w:hAnsi="Times New Roman" w:cs="Times New Roman"/>
          <w:sz w:val="24"/>
          <w:szCs w:val="24"/>
          <w:vertAlign w:val="superscript"/>
        </w:rPr>
        <w:footnoteReference w:id="377"/>
      </w:r>
      <w:r w:rsidRPr="006A6DED">
        <w:rPr>
          <w:rFonts w:ascii="Times New Roman" w:hAnsi="Times New Roman" w:cs="Times New Roman"/>
          <w:sz w:val="24"/>
          <w:szCs w:val="24"/>
        </w:rPr>
        <w:t xml:space="preserve"> During the final year of the war, Porter joined General Grant’s staff, serving as one of his </w:t>
      </w:r>
      <w:r w:rsidRPr="006A6DED">
        <w:rPr>
          <w:rFonts w:ascii="Times New Roman" w:hAnsi="Times New Roman" w:cs="Times New Roman"/>
          <w:i/>
          <w:iCs/>
          <w:sz w:val="24"/>
          <w:szCs w:val="24"/>
        </w:rPr>
        <w:t xml:space="preserve">aides-de-campe </w:t>
      </w:r>
      <w:r w:rsidRPr="006A6DED">
        <w:rPr>
          <w:rFonts w:ascii="Times New Roman" w:hAnsi="Times New Roman" w:cs="Times New Roman"/>
          <w:sz w:val="24"/>
          <w:szCs w:val="24"/>
        </w:rPr>
        <w:t>during the war</w:t>
      </w:r>
      <w:r w:rsidR="00116683">
        <w:rPr>
          <w:rFonts w:ascii="Times New Roman" w:hAnsi="Times New Roman" w:cs="Times New Roman"/>
          <w:sz w:val="24"/>
          <w:szCs w:val="24"/>
        </w:rPr>
        <w:t xml:space="preserve"> and</w:t>
      </w:r>
      <w:r w:rsidRPr="006A6DED">
        <w:rPr>
          <w:rFonts w:ascii="Times New Roman" w:hAnsi="Times New Roman" w:cs="Times New Roman"/>
          <w:sz w:val="24"/>
          <w:szCs w:val="24"/>
        </w:rPr>
        <w:t xml:space="preserve"> following him to Washington during his tenure as Commanding General.</w:t>
      </w:r>
      <w:r w:rsidRPr="006A6DED">
        <w:rPr>
          <w:rFonts w:ascii="Times New Roman" w:hAnsi="Times New Roman" w:cs="Times New Roman"/>
          <w:sz w:val="24"/>
          <w:szCs w:val="24"/>
          <w:vertAlign w:val="superscript"/>
        </w:rPr>
        <w:footnoteReference w:id="378"/>
      </w:r>
      <w:r w:rsidRPr="006A6DED">
        <w:rPr>
          <w:rFonts w:ascii="Times New Roman" w:hAnsi="Times New Roman" w:cs="Times New Roman"/>
          <w:sz w:val="24"/>
          <w:szCs w:val="24"/>
        </w:rPr>
        <w:t xml:space="preserve"> During Grant’s presidency, Porter, like Babcock, was named one of Grant’s private secretaries, serving in this position from 1869 to 1872 while simultaneously serving as a colonel in the regular army and as an </w:t>
      </w:r>
      <w:r w:rsidRPr="006A6DED">
        <w:rPr>
          <w:rFonts w:ascii="Times New Roman" w:hAnsi="Times New Roman" w:cs="Times New Roman"/>
          <w:i/>
          <w:iCs/>
          <w:sz w:val="24"/>
          <w:szCs w:val="24"/>
        </w:rPr>
        <w:t xml:space="preserve">aide-de-campe </w:t>
      </w:r>
      <w:r w:rsidRPr="006A6DED">
        <w:rPr>
          <w:rFonts w:ascii="Times New Roman" w:hAnsi="Times New Roman" w:cs="Times New Roman"/>
          <w:sz w:val="24"/>
          <w:szCs w:val="24"/>
        </w:rPr>
        <w:t>for the man who replaced General Grant as Commanding General, William Tecumseh Sherman.</w:t>
      </w:r>
      <w:r w:rsidRPr="006A6DED">
        <w:rPr>
          <w:rFonts w:ascii="Times New Roman" w:hAnsi="Times New Roman" w:cs="Times New Roman"/>
          <w:sz w:val="24"/>
          <w:szCs w:val="24"/>
          <w:vertAlign w:val="superscript"/>
        </w:rPr>
        <w:footnoteReference w:id="379"/>
      </w:r>
      <w:r w:rsidRPr="006A6DED">
        <w:rPr>
          <w:rFonts w:ascii="Times New Roman" w:hAnsi="Times New Roman" w:cs="Times New Roman"/>
          <w:sz w:val="24"/>
          <w:szCs w:val="24"/>
        </w:rPr>
        <w:t xml:space="preserve"> Porter resigned from the Army in December 1873, later serving as a high-ranking </w:t>
      </w:r>
      <w:r w:rsidR="002800B0">
        <w:rPr>
          <w:rFonts w:ascii="Times New Roman" w:hAnsi="Times New Roman" w:cs="Times New Roman"/>
          <w:sz w:val="24"/>
          <w:szCs w:val="24"/>
        </w:rPr>
        <w:t>executive</w:t>
      </w:r>
      <w:r w:rsidRPr="006A6DED">
        <w:rPr>
          <w:rFonts w:ascii="Times New Roman" w:hAnsi="Times New Roman" w:cs="Times New Roman"/>
          <w:sz w:val="24"/>
          <w:szCs w:val="24"/>
        </w:rPr>
        <w:t xml:space="preserve"> for multiple railroad companies before William McKinley appointed him U.S. Ambassador to France, a post he held </w:t>
      </w:r>
    </w:p>
    <w:p w14:paraId="4D714BBF" w14:textId="77777777" w:rsidR="006A6DED" w:rsidRPr="006A6DED" w:rsidRDefault="006A6DED" w:rsidP="00A6205F">
      <w:pPr>
        <w:spacing w:after="0" w:line="480" w:lineRule="auto"/>
        <w:jc w:val="center"/>
        <w:rPr>
          <w:rFonts w:ascii="Times New Roman" w:hAnsi="Times New Roman" w:cs="Times New Roman"/>
          <w:sz w:val="20"/>
          <w:szCs w:val="20"/>
        </w:rPr>
      </w:pPr>
      <w:r w:rsidRPr="006A6DED">
        <w:rPr>
          <w:rFonts w:ascii="Times New Roman" w:hAnsi="Times New Roman" w:cs="Times New Roman"/>
          <w:noProof/>
          <w:sz w:val="20"/>
          <w:szCs w:val="20"/>
        </w:rPr>
        <w:lastRenderedPageBreak/>
        <w:drawing>
          <wp:inline distT="0" distB="0" distL="0" distR="0" wp14:anchorId="7A9C744F" wp14:editId="7D6CD715">
            <wp:extent cx="2240280" cy="2892872"/>
            <wp:effectExtent l="0" t="0" r="7620" b="3175"/>
            <wp:docPr id="1507513892" name="Picture 3" descr="A person in a military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13892" name="Picture 3" descr="A person in a military uniform&#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0597" cy="2919107"/>
                    </a:xfrm>
                    <a:prstGeom prst="rect">
                      <a:avLst/>
                    </a:prstGeom>
                    <a:noFill/>
                  </pic:spPr>
                </pic:pic>
              </a:graphicData>
            </a:graphic>
          </wp:inline>
        </w:drawing>
      </w:r>
    </w:p>
    <w:p w14:paraId="0A49A568" w14:textId="3517D473" w:rsidR="006A6DED" w:rsidRPr="00F046AD" w:rsidRDefault="00E1766C" w:rsidP="00D4420D">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Figure 1.4: </w:t>
      </w:r>
      <w:r w:rsidR="00A6205F">
        <w:rPr>
          <w:rFonts w:ascii="Times New Roman" w:hAnsi="Times New Roman" w:cs="Times New Roman"/>
          <w:b/>
          <w:bCs/>
          <w:sz w:val="20"/>
          <w:szCs w:val="20"/>
        </w:rPr>
        <w:t xml:space="preserve">Horace </w:t>
      </w:r>
      <w:r w:rsidR="00A6205F" w:rsidRPr="00A6205F">
        <w:rPr>
          <w:rFonts w:ascii="Times New Roman" w:hAnsi="Times New Roman" w:cs="Times New Roman"/>
          <w:b/>
          <w:bCs/>
          <w:sz w:val="20"/>
          <w:szCs w:val="20"/>
        </w:rPr>
        <w:t>Porter</w:t>
      </w:r>
      <w:r w:rsidR="00A6205F">
        <w:rPr>
          <w:rFonts w:ascii="Times New Roman" w:hAnsi="Times New Roman" w:cs="Times New Roman"/>
          <w:b/>
          <w:bCs/>
          <w:sz w:val="20"/>
          <w:szCs w:val="20"/>
        </w:rPr>
        <w:t xml:space="preserve">: </w:t>
      </w:r>
      <w:r w:rsidR="00A6205F">
        <w:rPr>
          <w:rFonts w:ascii="Times New Roman" w:hAnsi="Times New Roman" w:cs="Times New Roman"/>
          <w:sz w:val="20"/>
          <w:szCs w:val="20"/>
        </w:rPr>
        <w:t>General Horace Porter of Pennsylvania served as one of Ulysses S. Grant’s top aides during both the Civil War and Grant’s presidency.</w:t>
      </w:r>
      <w:r w:rsidR="006A6DED" w:rsidRPr="006A6DED">
        <w:rPr>
          <w:rFonts w:ascii="Times New Roman" w:hAnsi="Times New Roman" w:cs="Times New Roman"/>
          <w:sz w:val="20"/>
          <w:szCs w:val="20"/>
          <w:vertAlign w:val="superscript"/>
        </w:rPr>
        <w:footnoteReference w:id="380"/>
      </w:r>
    </w:p>
    <w:p w14:paraId="10A7A7E2" w14:textId="77777777" w:rsidR="00A61739" w:rsidRDefault="00A61739" w:rsidP="00A61739">
      <w:pPr>
        <w:spacing w:line="480" w:lineRule="auto"/>
        <w:rPr>
          <w:rFonts w:ascii="Times New Roman" w:hAnsi="Times New Roman" w:cs="Times New Roman"/>
          <w:sz w:val="24"/>
          <w:szCs w:val="24"/>
        </w:rPr>
      </w:pPr>
      <w:r w:rsidRPr="006A6DED">
        <w:rPr>
          <w:rFonts w:ascii="Times New Roman" w:hAnsi="Times New Roman" w:cs="Times New Roman"/>
          <w:sz w:val="24"/>
          <w:szCs w:val="24"/>
        </w:rPr>
        <w:t>from 1897 to 1905.</w:t>
      </w:r>
      <w:r w:rsidRPr="006A6DED">
        <w:rPr>
          <w:rFonts w:ascii="Times New Roman" w:hAnsi="Times New Roman" w:cs="Times New Roman"/>
          <w:sz w:val="24"/>
          <w:szCs w:val="24"/>
          <w:vertAlign w:val="superscript"/>
        </w:rPr>
        <w:footnoteReference w:id="381"/>
      </w:r>
      <w:r w:rsidRPr="006A6DED">
        <w:rPr>
          <w:rFonts w:ascii="Times New Roman" w:hAnsi="Times New Roman" w:cs="Times New Roman"/>
          <w:sz w:val="24"/>
          <w:szCs w:val="24"/>
        </w:rPr>
        <w:t xml:space="preserve"> Porter played a major role in the construction of Grant’s Tomb, and in 1897 he published a memoir of his tenure with the army entitled </w:t>
      </w:r>
      <w:r w:rsidRPr="006A6DED">
        <w:rPr>
          <w:rFonts w:ascii="Times New Roman" w:hAnsi="Times New Roman" w:cs="Times New Roman"/>
          <w:i/>
          <w:iCs/>
          <w:sz w:val="24"/>
          <w:szCs w:val="24"/>
        </w:rPr>
        <w:t>Campaigning With Grant</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382"/>
      </w:r>
      <w:r w:rsidRPr="006A6DED">
        <w:rPr>
          <w:rFonts w:ascii="Times New Roman" w:hAnsi="Times New Roman" w:cs="Times New Roman"/>
          <w:sz w:val="24"/>
          <w:szCs w:val="24"/>
        </w:rPr>
        <w:t xml:space="preserve"> </w:t>
      </w:r>
    </w:p>
    <w:p w14:paraId="465B445F" w14:textId="0F92DFFD"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In May 1894, nearly ten years after Grant’s death and before his service abroad, General Porter wrote an article for McClure Magazine entitled “Personal Traits of General Grant,” which served as both a remembrance piece honoring the former Commander-in-Chief and an analysis of the man he served for a significant portion of his life.</w:t>
      </w:r>
      <w:r w:rsidRPr="006A6DED">
        <w:rPr>
          <w:rFonts w:ascii="Times New Roman" w:hAnsi="Times New Roman" w:cs="Times New Roman"/>
          <w:sz w:val="24"/>
          <w:szCs w:val="24"/>
          <w:vertAlign w:val="superscript"/>
        </w:rPr>
        <w:footnoteReference w:id="383"/>
      </w:r>
      <w:r w:rsidRPr="006A6DED">
        <w:rPr>
          <w:rFonts w:ascii="Times New Roman" w:hAnsi="Times New Roman" w:cs="Times New Roman"/>
          <w:sz w:val="24"/>
          <w:szCs w:val="24"/>
        </w:rPr>
        <w:t xml:space="preserve"> In this piece, Porter identified “five attributes which were pronounced and conspicuous, and stand out as salient points in his character…Truth, Courage, Modesty, Generosity, and Loyalty.”</w:t>
      </w:r>
      <w:r w:rsidRPr="006A6DED">
        <w:rPr>
          <w:rFonts w:ascii="Times New Roman" w:hAnsi="Times New Roman" w:cs="Times New Roman"/>
          <w:sz w:val="24"/>
          <w:szCs w:val="24"/>
          <w:vertAlign w:val="superscript"/>
        </w:rPr>
        <w:footnoteReference w:id="384"/>
      </w:r>
      <w:r w:rsidRPr="006A6DED">
        <w:rPr>
          <w:rFonts w:ascii="Times New Roman" w:hAnsi="Times New Roman" w:cs="Times New Roman"/>
          <w:sz w:val="24"/>
          <w:szCs w:val="24"/>
        </w:rPr>
        <w:t xml:space="preserve"> Porter was clearly beholden to Grant for kickstarting his career, meaning that it is unlikely he would publicly defame his commander, yet his extended tenure alongside Grant made him uniquely qualified to comment </w:t>
      </w:r>
      <w:r w:rsidRPr="006A6DED">
        <w:rPr>
          <w:rFonts w:ascii="Times New Roman" w:hAnsi="Times New Roman" w:cs="Times New Roman"/>
          <w:sz w:val="24"/>
          <w:szCs w:val="24"/>
        </w:rPr>
        <w:lastRenderedPageBreak/>
        <w:t>on the traits he possessed and held as important, meaning he sought similar qualities in those</w:t>
      </w:r>
      <w:r w:rsidR="00002639">
        <w:rPr>
          <w:rFonts w:ascii="Times New Roman" w:hAnsi="Times New Roman" w:cs="Times New Roman"/>
          <w:sz w:val="24"/>
          <w:szCs w:val="24"/>
        </w:rPr>
        <w:t xml:space="preserve"> with whom</w:t>
      </w:r>
      <w:r w:rsidRPr="006A6DED">
        <w:rPr>
          <w:rFonts w:ascii="Times New Roman" w:hAnsi="Times New Roman" w:cs="Times New Roman"/>
          <w:sz w:val="24"/>
          <w:szCs w:val="24"/>
        </w:rPr>
        <w:t xml:space="preserve"> he surrounded himself. </w:t>
      </w:r>
      <w:r w:rsidR="00B02862">
        <w:rPr>
          <w:rFonts w:ascii="Times New Roman" w:hAnsi="Times New Roman" w:cs="Times New Roman"/>
          <w:sz w:val="24"/>
          <w:szCs w:val="24"/>
        </w:rPr>
        <w:t>Porter</w:t>
      </w:r>
      <w:r w:rsidRPr="006A6DED">
        <w:rPr>
          <w:rFonts w:ascii="Times New Roman" w:hAnsi="Times New Roman" w:cs="Times New Roman"/>
          <w:sz w:val="24"/>
          <w:szCs w:val="24"/>
        </w:rPr>
        <w:t xml:space="preserve"> wrote this article with the understanding that “the best teachers of humanity are the lives of great men,” hoping that “a close study of the manly traits which were so conspicuous in the life of General Grant will afford a liberal education to American youth in the virtues which should adorn the character of a man in public life.”</w:t>
      </w:r>
      <w:r w:rsidRPr="006A6DED">
        <w:rPr>
          <w:rFonts w:ascii="Times New Roman" w:hAnsi="Times New Roman" w:cs="Times New Roman"/>
          <w:sz w:val="24"/>
          <w:szCs w:val="24"/>
          <w:vertAlign w:val="superscript"/>
        </w:rPr>
        <w:footnoteReference w:id="385"/>
      </w:r>
      <w:r w:rsidRPr="006A6DED">
        <w:rPr>
          <w:rFonts w:ascii="Times New Roman" w:hAnsi="Times New Roman" w:cs="Times New Roman"/>
          <w:sz w:val="24"/>
          <w:szCs w:val="24"/>
        </w:rPr>
        <w:t xml:space="preserve"> The five traits Porter outlined in his piece are particularly strong in analyzing Grant’s character, and with the aid of more than one hundred years of historical research, they stand even stronger.</w:t>
      </w:r>
    </w:p>
    <w:p w14:paraId="365AD631" w14:textId="7D496F86"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Porter began by detailing Grant’s commitment to truth, stating that “he was without exception the most absolutely truthful man I ever encountered in public or private life.”</w:t>
      </w:r>
      <w:r w:rsidRPr="006A6DED">
        <w:rPr>
          <w:rFonts w:ascii="Times New Roman" w:hAnsi="Times New Roman" w:cs="Times New Roman"/>
          <w:sz w:val="24"/>
          <w:szCs w:val="24"/>
          <w:vertAlign w:val="superscript"/>
        </w:rPr>
        <w:footnoteReference w:id="386"/>
      </w:r>
      <w:r w:rsidRPr="006A6DED">
        <w:rPr>
          <w:rFonts w:ascii="Times New Roman" w:hAnsi="Times New Roman" w:cs="Times New Roman"/>
          <w:sz w:val="24"/>
          <w:szCs w:val="24"/>
        </w:rPr>
        <w:t xml:space="preserve"> He found that this was recognizable in his frankness in correspondence as well as</w:t>
      </w:r>
      <w:r w:rsidR="00483A1E">
        <w:rPr>
          <w:rFonts w:ascii="Times New Roman" w:hAnsi="Times New Roman" w:cs="Times New Roman"/>
          <w:sz w:val="24"/>
          <w:szCs w:val="24"/>
        </w:rPr>
        <w:t xml:space="preserve"> in</w:t>
      </w:r>
      <w:r w:rsidRPr="006A6DED">
        <w:rPr>
          <w:rFonts w:ascii="Times New Roman" w:hAnsi="Times New Roman" w:cs="Times New Roman"/>
          <w:sz w:val="24"/>
          <w:szCs w:val="24"/>
        </w:rPr>
        <w:t xml:space="preserve"> his “horror of untruth in others.”</w:t>
      </w:r>
      <w:r w:rsidRPr="006A6DED">
        <w:rPr>
          <w:rFonts w:ascii="Times New Roman" w:hAnsi="Times New Roman" w:cs="Times New Roman"/>
          <w:sz w:val="24"/>
          <w:szCs w:val="24"/>
          <w:vertAlign w:val="superscript"/>
        </w:rPr>
        <w:footnoteReference w:id="387"/>
      </w:r>
      <w:r w:rsidRPr="006A6DED">
        <w:rPr>
          <w:rFonts w:ascii="Times New Roman" w:hAnsi="Times New Roman" w:cs="Times New Roman"/>
          <w:sz w:val="24"/>
          <w:szCs w:val="24"/>
        </w:rPr>
        <w:t xml:space="preserve"> He presented several examples from his time with President Grant that he felt exemplified his case. The first such example identified an occasion in the White House when President Grant retired to write a message to Congress </w:t>
      </w:r>
      <w:r w:rsidR="00A17DE1">
        <w:rPr>
          <w:rFonts w:ascii="Times New Roman" w:hAnsi="Times New Roman" w:cs="Times New Roman"/>
          <w:sz w:val="24"/>
          <w:szCs w:val="24"/>
        </w:rPr>
        <w:t>and</w:t>
      </w:r>
      <w:r w:rsidRPr="006A6DED">
        <w:rPr>
          <w:rFonts w:ascii="Times New Roman" w:hAnsi="Times New Roman" w:cs="Times New Roman"/>
          <w:sz w:val="24"/>
          <w:szCs w:val="24"/>
        </w:rPr>
        <w:t xml:space="preserve"> someone</w:t>
      </w:r>
      <w:r w:rsidR="00A17DE1">
        <w:rPr>
          <w:rFonts w:ascii="Times New Roman" w:hAnsi="Times New Roman" w:cs="Times New Roman"/>
          <w:sz w:val="24"/>
          <w:szCs w:val="24"/>
        </w:rPr>
        <w:t xml:space="preserve"> attempted to</w:t>
      </w:r>
      <w:r w:rsidRPr="006A6DED">
        <w:rPr>
          <w:rFonts w:ascii="Times New Roman" w:hAnsi="Times New Roman" w:cs="Times New Roman"/>
          <w:sz w:val="24"/>
          <w:szCs w:val="24"/>
        </w:rPr>
        <w:t xml:space="preserve"> deliver a message for him. The officer on duty at the door assumed that Grant was not to be disturbed and instructed the messenger that the President was not in. In Porter’s own words, “General Grant overheard the remark, turned around suddenly in his chair, and cried out to the servant, ‘Tell him no such thing. I don’t lie myself and I don’t want anyone to lie for me.”</w:t>
      </w:r>
      <w:r w:rsidRPr="006A6DED">
        <w:rPr>
          <w:rFonts w:ascii="Times New Roman" w:hAnsi="Times New Roman" w:cs="Times New Roman"/>
          <w:sz w:val="24"/>
          <w:szCs w:val="24"/>
          <w:vertAlign w:val="superscript"/>
        </w:rPr>
        <w:footnoteReference w:id="388"/>
      </w:r>
      <w:r w:rsidRPr="006A6DED">
        <w:rPr>
          <w:rFonts w:ascii="Times New Roman" w:hAnsi="Times New Roman" w:cs="Times New Roman"/>
          <w:sz w:val="24"/>
          <w:szCs w:val="24"/>
        </w:rPr>
        <w:t xml:space="preserve"> He further suggested that, during the debate and veto of the 1874 Inflation Bill, that a certain unnamed congressman attempted to make his name on the affair by stating to several newspapers that he had materially impacted the veto through his own actions. When Grant read these papers, he attested with contempt “How can So-and-so state publicly such an untruth! I do not see how he can ever look </w:t>
      </w:r>
      <w:r w:rsidRPr="006A6DED">
        <w:rPr>
          <w:rFonts w:ascii="Times New Roman" w:hAnsi="Times New Roman" w:cs="Times New Roman"/>
          <w:sz w:val="24"/>
          <w:szCs w:val="24"/>
        </w:rPr>
        <w:lastRenderedPageBreak/>
        <w:t>me in the face again.”</w:t>
      </w:r>
      <w:r w:rsidRPr="006A6DED">
        <w:rPr>
          <w:rFonts w:ascii="Times New Roman" w:hAnsi="Times New Roman" w:cs="Times New Roman"/>
          <w:sz w:val="24"/>
          <w:szCs w:val="24"/>
          <w:vertAlign w:val="superscript"/>
        </w:rPr>
        <w:footnoteReference w:id="389"/>
      </w:r>
      <w:r w:rsidRPr="006A6DED">
        <w:rPr>
          <w:rFonts w:ascii="Times New Roman" w:hAnsi="Times New Roman" w:cs="Times New Roman"/>
          <w:sz w:val="24"/>
          <w:szCs w:val="24"/>
        </w:rPr>
        <w:t xml:space="preserve"> Porter also recognized that even minor untruths were unacceptable to Grant, as he would recount casual stories in which he would say that “he met a man on the south side of the avenue” only to “return to the subject hours afterward to correct the error and state with great particularity that it was on the </w:t>
      </w:r>
      <w:r w:rsidRPr="006A6DED">
        <w:rPr>
          <w:rFonts w:ascii="Times New Roman" w:hAnsi="Times New Roman" w:cs="Times New Roman"/>
          <w:i/>
          <w:iCs/>
          <w:sz w:val="24"/>
          <w:szCs w:val="24"/>
        </w:rPr>
        <w:t xml:space="preserve">north </w:t>
      </w:r>
      <w:r w:rsidRPr="006A6DED">
        <w:rPr>
          <w:rFonts w:ascii="Times New Roman" w:hAnsi="Times New Roman" w:cs="Times New Roman"/>
          <w:sz w:val="24"/>
          <w:szCs w:val="24"/>
        </w:rPr>
        <w:t>side of the avenue that the encounter took place.”</w:t>
      </w:r>
      <w:r w:rsidRPr="006A6DED">
        <w:rPr>
          <w:rFonts w:ascii="Times New Roman" w:hAnsi="Times New Roman" w:cs="Times New Roman"/>
          <w:sz w:val="24"/>
          <w:szCs w:val="24"/>
          <w:vertAlign w:val="superscript"/>
        </w:rPr>
        <w:footnoteReference w:id="390"/>
      </w:r>
      <w:r w:rsidRPr="006A6DED">
        <w:rPr>
          <w:rFonts w:ascii="Times New Roman" w:hAnsi="Times New Roman" w:cs="Times New Roman"/>
          <w:sz w:val="24"/>
          <w:szCs w:val="24"/>
        </w:rPr>
        <w:t xml:space="preserve"> Grant’s commitment to the truth was one that was recognized by those closest to him even in his most insignificant actions, meaning that it was of critical importance when it came to important matters of state.</w:t>
      </w:r>
    </w:p>
    <w:p w14:paraId="55D7DBEF" w14:textId="77777777"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Porter continued his remembrance of Grant with an exposition into his “rare and conspicuous courage, which, seen under all circumstances, appeared never to vary.”</w:t>
      </w:r>
      <w:r w:rsidRPr="006A6DED">
        <w:rPr>
          <w:rFonts w:ascii="Times New Roman" w:hAnsi="Times New Roman" w:cs="Times New Roman"/>
          <w:sz w:val="24"/>
          <w:szCs w:val="24"/>
          <w:vertAlign w:val="superscript"/>
        </w:rPr>
        <w:footnoteReference w:id="391"/>
      </w:r>
      <w:r w:rsidRPr="006A6DED">
        <w:rPr>
          <w:rFonts w:ascii="Times New Roman" w:hAnsi="Times New Roman" w:cs="Times New Roman"/>
          <w:sz w:val="24"/>
          <w:szCs w:val="24"/>
        </w:rPr>
        <w:t xml:space="preserve"> Porter colloquially referred to the President as “clean grit,” summing up his feelings on Grant’s courage and overall character.</w:t>
      </w:r>
      <w:r w:rsidRPr="006A6DED">
        <w:rPr>
          <w:rFonts w:ascii="Times New Roman" w:hAnsi="Times New Roman" w:cs="Times New Roman"/>
          <w:sz w:val="24"/>
          <w:szCs w:val="24"/>
          <w:vertAlign w:val="superscript"/>
        </w:rPr>
        <w:footnoteReference w:id="392"/>
      </w:r>
      <w:r w:rsidRPr="006A6DED">
        <w:rPr>
          <w:rFonts w:ascii="Times New Roman" w:hAnsi="Times New Roman" w:cs="Times New Roman"/>
          <w:sz w:val="24"/>
          <w:szCs w:val="24"/>
        </w:rPr>
        <w:t xml:space="preserve"> Importantly for a man who rose through the ranks of the military, his was “not a courage inspired by excitement; it was a steady and patient courage” in all senses, one which Porter suggested might be better classified as “an unconsciousness of danger.”</w:t>
      </w:r>
      <w:r w:rsidRPr="006A6DED">
        <w:rPr>
          <w:rFonts w:ascii="Times New Roman" w:hAnsi="Times New Roman" w:cs="Times New Roman"/>
          <w:sz w:val="24"/>
          <w:szCs w:val="24"/>
          <w:vertAlign w:val="superscript"/>
        </w:rPr>
        <w:footnoteReference w:id="393"/>
      </w:r>
      <w:r w:rsidRPr="006A6DED">
        <w:rPr>
          <w:rFonts w:ascii="Times New Roman" w:hAnsi="Times New Roman" w:cs="Times New Roman"/>
          <w:sz w:val="24"/>
          <w:szCs w:val="24"/>
        </w:rPr>
        <w:t xml:space="preserve"> He displayed this courage as early as his time in West Point, where he exhibited his nerve by “breaking fractious horses in the riding hall.”</w:t>
      </w:r>
      <w:r w:rsidRPr="006A6DED">
        <w:rPr>
          <w:rFonts w:ascii="Times New Roman" w:hAnsi="Times New Roman" w:cs="Times New Roman"/>
          <w:sz w:val="24"/>
          <w:szCs w:val="24"/>
          <w:vertAlign w:val="superscript"/>
        </w:rPr>
        <w:footnoteReference w:id="394"/>
      </w:r>
      <w:r w:rsidRPr="006A6DED">
        <w:rPr>
          <w:rFonts w:ascii="Times New Roman" w:hAnsi="Times New Roman" w:cs="Times New Roman"/>
          <w:sz w:val="24"/>
          <w:szCs w:val="24"/>
        </w:rPr>
        <w:t xml:space="preserve"> This courage shone through during his service in the Mexican-American War, as well as in his many battles in the Civil War. Porter attested that “he never posed for effect, or indulged in mock heroics,” yet “his exposure to danger when necessary, and his habitual indifference under fire, were constantly noticeable. He was one of the few men who never displayed the slightest nervousness in battle.”</w:t>
      </w:r>
      <w:r w:rsidRPr="006A6DED">
        <w:rPr>
          <w:rFonts w:ascii="Times New Roman" w:hAnsi="Times New Roman" w:cs="Times New Roman"/>
          <w:sz w:val="24"/>
          <w:szCs w:val="24"/>
          <w:vertAlign w:val="superscript"/>
        </w:rPr>
        <w:footnoteReference w:id="395"/>
      </w:r>
      <w:r w:rsidRPr="006A6DED">
        <w:rPr>
          <w:rFonts w:ascii="Times New Roman" w:hAnsi="Times New Roman" w:cs="Times New Roman"/>
          <w:sz w:val="24"/>
          <w:szCs w:val="24"/>
        </w:rPr>
        <w:t xml:space="preserve"> </w:t>
      </w:r>
    </w:p>
    <w:p w14:paraId="551D3A43" w14:textId="77777777"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lastRenderedPageBreak/>
        <w:t>Porter further discussed Grant’s “moral courage” as a distinct quality, noting that at Vicksburg Grant “took a grave responsibility in patroling [sic] the officers and men captured…and sending them home,” even in the face of severe outside criticism that was quashed when later events proved him to be correct.</w:t>
      </w:r>
      <w:r w:rsidRPr="006A6DED">
        <w:rPr>
          <w:rFonts w:ascii="Times New Roman" w:hAnsi="Times New Roman" w:cs="Times New Roman"/>
          <w:sz w:val="24"/>
          <w:szCs w:val="24"/>
          <w:vertAlign w:val="superscript"/>
        </w:rPr>
        <w:footnoteReference w:id="396"/>
      </w:r>
      <w:r w:rsidRPr="006A6DED">
        <w:rPr>
          <w:rFonts w:ascii="Times New Roman" w:hAnsi="Times New Roman" w:cs="Times New Roman"/>
          <w:sz w:val="24"/>
          <w:szCs w:val="24"/>
        </w:rPr>
        <w:t xml:space="preserve"> He was similarly lenient in his terms of surrender at Appomattox, with some thinking that the terms he offered might not be accepted by authorities in Washington, “but without consulting them, General Grant assumed the entire responsibility. There was never a moment’s hesitation.”</w:t>
      </w:r>
      <w:r w:rsidRPr="006A6DED">
        <w:rPr>
          <w:rFonts w:ascii="Times New Roman" w:hAnsi="Times New Roman" w:cs="Times New Roman"/>
          <w:sz w:val="24"/>
          <w:szCs w:val="24"/>
          <w:vertAlign w:val="superscript"/>
        </w:rPr>
        <w:footnoteReference w:id="397"/>
      </w:r>
      <w:r w:rsidRPr="006A6DED">
        <w:rPr>
          <w:rFonts w:ascii="Times New Roman" w:hAnsi="Times New Roman" w:cs="Times New Roman"/>
          <w:sz w:val="24"/>
          <w:szCs w:val="24"/>
        </w:rPr>
        <w:t xml:space="preserve"> Porter noted that during Grant’s second presidential campaign, he would often take public railcars and freely mingled with the masses, even though that campaign was one of “utmost violence.”</w:t>
      </w:r>
      <w:r w:rsidRPr="006A6DED">
        <w:rPr>
          <w:rFonts w:ascii="Times New Roman" w:hAnsi="Times New Roman" w:cs="Times New Roman"/>
          <w:sz w:val="24"/>
          <w:szCs w:val="24"/>
          <w:vertAlign w:val="superscript"/>
        </w:rPr>
        <w:footnoteReference w:id="398"/>
      </w:r>
      <w:r w:rsidRPr="006A6DED">
        <w:rPr>
          <w:rFonts w:ascii="Times New Roman" w:hAnsi="Times New Roman" w:cs="Times New Roman"/>
          <w:sz w:val="24"/>
          <w:szCs w:val="24"/>
        </w:rPr>
        <w:t xml:space="preserve"> Porter’s consideration of Grant’s courage concluded with his final battle to complete his memoir while battling cancer, noting that he “held death at arm’s length with one hand while with the other he penned the most brilliant chapter in American history” in an effort to save his family from financial issues.</w:t>
      </w:r>
      <w:r w:rsidRPr="006A6DED">
        <w:rPr>
          <w:rFonts w:ascii="Times New Roman" w:hAnsi="Times New Roman" w:cs="Times New Roman"/>
          <w:sz w:val="24"/>
          <w:szCs w:val="24"/>
          <w:vertAlign w:val="superscript"/>
        </w:rPr>
        <w:footnoteReference w:id="399"/>
      </w:r>
      <w:r w:rsidRPr="006A6DED">
        <w:rPr>
          <w:rFonts w:ascii="Times New Roman" w:hAnsi="Times New Roman" w:cs="Times New Roman"/>
          <w:sz w:val="24"/>
          <w:szCs w:val="24"/>
        </w:rPr>
        <w:t xml:space="preserve"> Porter attested that Grant was courageous to his end, seeming “to live entirely upon his will-power until the last lines were finished, and then yielded to the first foe to whom he had ever surrendered – Death.”</w:t>
      </w:r>
      <w:r w:rsidRPr="006A6DED">
        <w:rPr>
          <w:rFonts w:ascii="Times New Roman" w:hAnsi="Times New Roman" w:cs="Times New Roman"/>
          <w:sz w:val="24"/>
          <w:szCs w:val="24"/>
          <w:vertAlign w:val="superscript"/>
        </w:rPr>
        <w:footnoteReference w:id="400"/>
      </w:r>
    </w:p>
    <w:p w14:paraId="5D50FF65" w14:textId="6CB8F397"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Porter rightly acknowledged in this missive that Grant’s courage was not entirely a benefit to the President, as he apparently “seemed never to be aware of any danger to himself or to any person about him.”</w:t>
      </w:r>
      <w:r w:rsidRPr="006A6DED">
        <w:rPr>
          <w:rFonts w:ascii="Times New Roman" w:hAnsi="Times New Roman" w:cs="Times New Roman"/>
          <w:sz w:val="24"/>
          <w:szCs w:val="24"/>
          <w:vertAlign w:val="superscript"/>
        </w:rPr>
        <w:footnoteReference w:id="401"/>
      </w:r>
      <w:r w:rsidRPr="006A6DED">
        <w:rPr>
          <w:rFonts w:ascii="Times New Roman" w:hAnsi="Times New Roman" w:cs="Times New Roman"/>
          <w:sz w:val="24"/>
          <w:szCs w:val="24"/>
        </w:rPr>
        <w:t xml:space="preserve"> This is a kind way for Porter to reference the many scandals that plagued Grant’s presidency, many of which were perpetrated by those in his immediate </w:t>
      </w:r>
      <w:r w:rsidRPr="006A6DED">
        <w:rPr>
          <w:rFonts w:ascii="Times New Roman" w:hAnsi="Times New Roman" w:cs="Times New Roman"/>
          <w:sz w:val="24"/>
          <w:szCs w:val="24"/>
        </w:rPr>
        <w:lastRenderedPageBreak/>
        <w:t>proximity in the administration. In this way, Grant’s courage in the face of potential dangers was both a positive and a negative, as it allowed him to withstand the turbulence before him, but it blinded him to the misdeeds of others that endangered himself and others. Courage here cuts as a double-edged sword for Grant, serving as a critical factor in times of war yet hindering his full potential during his political career by convincing him that no outside danger was too great for him to overcome.</w:t>
      </w:r>
      <w:r w:rsidR="00023B6E">
        <w:rPr>
          <w:rFonts w:ascii="Times New Roman" w:hAnsi="Times New Roman" w:cs="Times New Roman"/>
          <w:sz w:val="24"/>
          <w:szCs w:val="24"/>
        </w:rPr>
        <w:t xml:space="preserve"> What was </w:t>
      </w:r>
      <w:r w:rsidR="00E63E84">
        <w:rPr>
          <w:rFonts w:ascii="Times New Roman" w:hAnsi="Times New Roman" w:cs="Times New Roman"/>
          <w:sz w:val="24"/>
          <w:szCs w:val="24"/>
        </w:rPr>
        <w:t xml:space="preserve">Grant’s </w:t>
      </w:r>
      <w:r w:rsidR="00023B6E">
        <w:rPr>
          <w:rFonts w:ascii="Times New Roman" w:hAnsi="Times New Roman" w:cs="Times New Roman"/>
          <w:sz w:val="24"/>
          <w:szCs w:val="24"/>
        </w:rPr>
        <w:t>courage to Porter might be considered by others to</w:t>
      </w:r>
      <w:r w:rsidR="00E63E84">
        <w:rPr>
          <w:rFonts w:ascii="Times New Roman" w:hAnsi="Times New Roman" w:cs="Times New Roman"/>
          <w:sz w:val="24"/>
          <w:szCs w:val="24"/>
        </w:rPr>
        <w:t xml:space="preserve"> have been</w:t>
      </w:r>
      <w:r w:rsidR="00023B6E">
        <w:rPr>
          <w:rFonts w:ascii="Times New Roman" w:hAnsi="Times New Roman" w:cs="Times New Roman"/>
          <w:sz w:val="24"/>
          <w:szCs w:val="24"/>
        </w:rPr>
        <w:t xml:space="preserve"> naivete.</w:t>
      </w:r>
    </w:p>
    <w:p w14:paraId="35952001" w14:textId="7446EB72" w:rsidR="00F046AD" w:rsidRDefault="006A6DED" w:rsidP="00033020">
      <w:pPr>
        <w:spacing w:after="0"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President Grant’s modesty “attracts attention in all of his speeches and letters, and especially in his ‘Memoirs,’” according to his former aide.</w:t>
      </w:r>
      <w:r w:rsidRPr="006A6DED">
        <w:rPr>
          <w:rFonts w:ascii="Times New Roman" w:hAnsi="Times New Roman" w:cs="Times New Roman"/>
          <w:sz w:val="24"/>
          <w:szCs w:val="24"/>
          <w:vertAlign w:val="superscript"/>
        </w:rPr>
        <w:footnoteReference w:id="402"/>
      </w:r>
      <w:r w:rsidRPr="006A6DED">
        <w:rPr>
          <w:rFonts w:ascii="Times New Roman" w:hAnsi="Times New Roman" w:cs="Times New Roman"/>
          <w:sz w:val="24"/>
          <w:szCs w:val="24"/>
        </w:rPr>
        <w:t xml:space="preserve"> His memory was like that of a steel trap, and even when he recounted stories from the past, which he loved to do, “he never related an anecdote which was at all off color, or which could be construed as an offence against modesty.”</w:t>
      </w:r>
      <w:r w:rsidRPr="006A6DED">
        <w:rPr>
          <w:rFonts w:ascii="Times New Roman" w:hAnsi="Times New Roman" w:cs="Times New Roman"/>
          <w:sz w:val="24"/>
          <w:szCs w:val="24"/>
          <w:vertAlign w:val="superscript"/>
        </w:rPr>
        <w:footnoteReference w:id="403"/>
      </w:r>
      <w:r w:rsidRPr="006A6DED">
        <w:rPr>
          <w:rFonts w:ascii="Times New Roman" w:hAnsi="Times New Roman" w:cs="Times New Roman"/>
          <w:sz w:val="24"/>
          <w:szCs w:val="24"/>
        </w:rPr>
        <w:t xml:space="preserve"> He was not one to brag himself, and he had “a particular aversion to egoists and braggarts,” making him one of the rare politicians without this quality.</w:t>
      </w:r>
      <w:r w:rsidRPr="006A6DED">
        <w:rPr>
          <w:rFonts w:ascii="Times New Roman" w:hAnsi="Times New Roman" w:cs="Times New Roman"/>
          <w:sz w:val="24"/>
          <w:szCs w:val="24"/>
          <w:vertAlign w:val="superscript"/>
        </w:rPr>
        <w:footnoteReference w:id="404"/>
      </w:r>
      <w:r w:rsidRPr="006A6DED">
        <w:rPr>
          <w:rFonts w:ascii="Times New Roman" w:hAnsi="Times New Roman" w:cs="Times New Roman"/>
          <w:sz w:val="24"/>
          <w:szCs w:val="24"/>
        </w:rPr>
        <w:t xml:space="preserve"> Porter’s focus for highlighting Grant’s modestly came down to his literary masterpiece: his </w:t>
      </w:r>
      <w:r w:rsidRPr="006A6DED">
        <w:rPr>
          <w:rFonts w:ascii="Times New Roman" w:hAnsi="Times New Roman" w:cs="Times New Roman"/>
          <w:i/>
          <w:iCs/>
          <w:sz w:val="24"/>
          <w:szCs w:val="24"/>
        </w:rPr>
        <w:t>Personal Memoirs</w:t>
      </w:r>
      <w:r w:rsidRPr="006A6DED">
        <w:rPr>
          <w:rFonts w:ascii="Times New Roman" w:hAnsi="Times New Roman" w:cs="Times New Roman"/>
          <w:sz w:val="24"/>
          <w:szCs w:val="24"/>
        </w:rPr>
        <w:t xml:space="preserve">. He noted that: </w:t>
      </w:r>
    </w:p>
    <w:p w14:paraId="6E4CAD8A" w14:textId="665D1236" w:rsidR="006A6DED" w:rsidRPr="006A6DED" w:rsidRDefault="006A6DED" w:rsidP="006A6DED">
      <w:pPr>
        <w:ind w:left="720" w:right="720"/>
        <w:rPr>
          <w:rFonts w:ascii="Times New Roman" w:hAnsi="Times New Roman" w:cs="Times New Roman"/>
          <w:sz w:val="24"/>
          <w:szCs w:val="24"/>
        </w:rPr>
      </w:pPr>
      <w:r w:rsidRPr="006A6DED">
        <w:rPr>
          <w:rFonts w:ascii="Times New Roman" w:hAnsi="Times New Roman" w:cs="Times New Roman"/>
          <w:sz w:val="24"/>
          <w:szCs w:val="24"/>
        </w:rPr>
        <w:t>“a distinguished literary critic once remarked that that book was the only autobiography he had ever read which was totally devoid of egotism. The General not only abstains from vaunting himself, but seems to take pains to enumerate all the good qualities in which he is lacking, and, while he describes in eulogistic terms the persons who were associated with him, he records nothing which would seem to be in commendation of himself.”</w:t>
      </w:r>
      <w:r w:rsidRPr="006A6DED">
        <w:rPr>
          <w:rFonts w:ascii="Times New Roman" w:hAnsi="Times New Roman" w:cs="Times New Roman"/>
          <w:sz w:val="24"/>
          <w:szCs w:val="24"/>
          <w:vertAlign w:val="superscript"/>
        </w:rPr>
        <w:footnoteReference w:id="405"/>
      </w:r>
    </w:p>
    <w:p w14:paraId="0EAA8371" w14:textId="70134A99"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lastRenderedPageBreak/>
        <w:t>Grant so consistently worked on presenting himself in such a modest manner that one could consider it</w:t>
      </w:r>
      <w:r w:rsidR="00734991">
        <w:rPr>
          <w:rFonts w:ascii="Times New Roman" w:hAnsi="Times New Roman" w:cs="Times New Roman"/>
          <w:sz w:val="24"/>
          <w:szCs w:val="24"/>
        </w:rPr>
        <w:t xml:space="preserve"> </w:t>
      </w:r>
      <w:r w:rsidR="003C6A75">
        <w:rPr>
          <w:rFonts w:ascii="Times New Roman" w:hAnsi="Times New Roman" w:cs="Times New Roman"/>
          <w:sz w:val="24"/>
          <w:szCs w:val="24"/>
        </w:rPr>
        <w:t>false modesty</w:t>
      </w:r>
      <w:r w:rsidRPr="006A6DED">
        <w:rPr>
          <w:rFonts w:ascii="Times New Roman" w:hAnsi="Times New Roman" w:cs="Times New Roman"/>
          <w:sz w:val="24"/>
          <w:szCs w:val="24"/>
        </w:rPr>
        <w:t>, but according to Porter, this was not an act but sincerity on the part of his commander.</w:t>
      </w:r>
    </w:p>
    <w:p w14:paraId="674A3F26" w14:textId="021792A8" w:rsidR="00F046AD" w:rsidRPr="006A6DED" w:rsidRDefault="006A6DED" w:rsidP="00033020">
      <w:pPr>
        <w:spacing w:after="0" w:line="480" w:lineRule="auto"/>
        <w:rPr>
          <w:rFonts w:ascii="Times New Roman" w:hAnsi="Times New Roman" w:cs="Times New Roman"/>
          <w:sz w:val="24"/>
          <w:szCs w:val="24"/>
        </w:rPr>
      </w:pPr>
      <w:r w:rsidRPr="006A6DED">
        <w:rPr>
          <w:rFonts w:ascii="Times New Roman" w:hAnsi="Times New Roman" w:cs="Times New Roman"/>
          <w:sz w:val="24"/>
          <w:szCs w:val="24"/>
        </w:rPr>
        <w:tab/>
        <w:t>Grant’s “unbounded generosity was at all times displayed towards both friends and foes,” according to Porter, who witnessed this for more than a decade alongside the general-turned-president.</w:t>
      </w:r>
      <w:r w:rsidRPr="006A6DED">
        <w:rPr>
          <w:rFonts w:ascii="Times New Roman" w:hAnsi="Times New Roman" w:cs="Times New Roman"/>
          <w:sz w:val="24"/>
          <w:szCs w:val="24"/>
          <w:vertAlign w:val="superscript"/>
        </w:rPr>
        <w:footnoteReference w:id="406"/>
      </w:r>
      <w:r w:rsidRPr="006A6DED">
        <w:rPr>
          <w:rFonts w:ascii="Times New Roman" w:hAnsi="Times New Roman" w:cs="Times New Roman"/>
          <w:sz w:val="24"/>
          <w:szCs w:val="24"/>
        </w:rPr>
        <w:t xml:space="preserve"> Those who served alongside and under him became attached to him for his “unselfishness” and for the “unqualified praise he gave them.”</w:t>
      </w:r>
      <w:r w:rsidRPr="006A6DED">
        <w:rPr>
          <w:rFonts w:ascii="Times New Roman" w:hAnsi="Times New Roman" w:cs="Times New Roman"/>
          <w:sz w:val="24"/>
          <w:szCs w:val="24"/>
          <w:vertAlign w:val="superscript"/>
        </w:rPr>
        <w:footnoteReference w:id="407"/>
      </w:r>
      <w:r w:rsidRPr="006A6DED">
        <w:rPr>
          <w:rFonts w:ascii="Times New Roman" w:hAnsi="Times New Roman" w:cs="Times New Roman"/>
          <w:sz w:val="24"/>
          <w:szCs w:val="24"/>
        </w:rPr>
        <w:t xml:space="preserve"> He consistently wrote high-ranking officials to express his gratitude for their successes, as he did with General Sherman in the West when he stated “what I want is to express my thanks to you and [James] McPherson as the men to whom above all others I feel indebted for whatever I have had of success.”</w:t>
      </w:r>
      <w:r w:rsidRPr="006A6DED">
        <w:rPr>
          <w:rFonts w:ascii="Times New Roman" w:hAnsi="Times New Roman" w:cs="Times New Roman"/>
          <w:sz w:val="24"/>
          <w:szCs w:val="24"/>
          <w:vertAlign w:val="superscript"/>
        </w:rPr>
        <w:footnoteReference w:id="408"/>
      </w:r>
      <w:r w:rsidRPr="006A6DED">
        <w:rPr>
          <w:rFonts w:ascii="Times New Roman" w:hAnsi="Times New Roman" w:cs="Times New Roman"/>
          <w:sz w:val="24"/>
          <w:szCs w:val="24"/>
        </w:rPr>
        <w:t xml:space="preserve"> Following Sherman’s March to the Sea in Georgia, rumors circulated that Congress intended to promote him to Lieutenant General equal in rank to Grant. Sherman wrote to Grant to assure him that he had no part in these rumors and would decline any such promotion, to which Grant responded with what Porter called “one of the most manly [sic] letters ever penned,” in which he stated: </w:t>
      </w:r>
    </w:p>
    <w:p w14:paraId="0082AAF5" w14:textId="77777777" w:rsidR="006A6DED" w:rsidRPr="006A6DED" w:rsidRDefault="006A6DED" w:rsidP="006A6DED">
      <w:pPr>
        <w:ind w:left="720" w:right="720"/>
        <w:rPr>
          <w:rFonts w:ascii="Times New Roman" w:hAnsi="Times New Roman" w:cs="Times New Roman"/>
          <w:sz w:val="24"/>
          <w:szCs w:val="24"/>
        </w:rPr>
      </w:pPr>
      <w:r w:rsidRPr="006A6DED">
        <w:rPr>
          <w:rFonts w:ascii="Times New Roman" w:hAnsi="Times New Roman" w:cs="Times New Roman"/>
          <w:sz w:val="24"/>
          <w:szCs w:val="24"/>
        </w:rPr>
        <w:t>“No one would be more pleased at your advancement than I; and if you should be placed in my position, and I put subordinate, it would not change our relations in the least. I would make the same exertions to support you that you have ever done to support me, and I would do all in my power to make our cause win.”</w:t>
      </w:r>
      <w:r w:rsidRPr="006A6DED">
        <w:rPr>
          <w:rFonts w:ascii="Times New Roman" w:hAnsi="Times New Roman" w:cs="Times New Roman"/>
          <w:sz w:val="24"/>
          <w:szCs w:val="24"/>
          <w:vertAlign w:val="superscript"/>
        </w:rPr>
        <w:footnoteReference w:id="409"/>
      </w:r>
    </w:p>
    <w:p w14:paraId="2FE52FA1" w14:textId="7C0A8654" w:rsidR="006A6DED" w:rsidRPr="006A6DED" w:rsidRDefault="006A6DED" w:rsidP="00C11ADC">
      <w:pPr>
        <w:spacing w:before="240" w:line="480" w:lineRule="auto"/>
        <w:rPr>
          <w:rFonts w:ascii="Times New Roman" w:hAnsi="Times New Roman" w:cs="Times New Roman"/>
          <w:sz w:val="24"/>
          <w:szCs w:val="24"/>
        </w:rPr>
      </w:pPr>
      <w:r w:rsidRPr="006A6DED">
        <w:rPr>
          <w:rFonts w:ascii="Times New Roman" w:hAnsi="Times New Roman" w:cs="Times New Roman"/>
          <w:sz w:val="24"/>
          <w:szCs w:val="24"/>
        </w:rPr>
        <w:t xml:space="preserve">In dealing with his opponents, Grant’s generosity was exemplified again in his </w:t>
      </w:r>
      <w:r w:rsidR="00644761">
        <w:rPr>
          <w:rFonts w:ascii="Times New Roman" w:hAnsi="Times New Roman" w:cs="Times New Roman"/>
          <w:sz w:val="24"/>
          <w:szCs w:val="24"/>
        </w:rPr>
        <w:t xml:space="preserve">actions at </w:t>
      </w:r>
      <w:r w:rsidRPr="006A6DED">
        <w:rPr>
          <w:rFonts w:ascii="Times New Roman" w:hAnsi="Times New Roman" w:cs="Times New Roman"/>
          <w:sz w:val="24"/>
          <w:szCs w:val="24"/>
        </w:rPr>
        <w:t xml:space="preserve">Appomattox. In his correspondence with Robert E. Lee, he stated “I will meet you, or designate officers to meet any officers you may name, for the purpose of arranging definitely terms upon </w:t>
      </w:r>
      <w:r w:rsidRPr="006A6DED">
        <w:rPr>
          <w:rFonts w:ascii="Times New Roman" w:hAnsi="Times New Roman" w:cs="Times New Roman"/>
          <w:sz w:val="24"/>
          <w:szCs w:val="24"/>
        </w:rPr>
        <w:lastRenderedPageBreak/>
        <w:t>which the surrender of the Army of Northern Virginia will be received.”</w:t>
      </w:r>
      <w:r w:rsidRPr="006A6DED">
        <w:rPr>
          <w:rFonts w:ascii="Times New Roman" w:hAnsi="Times New Roman" w:cs="Times New Roman"/>
          <w:sz w:val="24"/>
          <w:szCs w:val="24"/>
          <w:vertAlign w:val="superscript"/>
        </w:rPr>
        <w:footnoteReference w:id="410"/>
      </w:r>
      <w:r w:rsidRPr="006A6DED">
        <w:rPr>
          <w:rFonts w:ascii="Times New Roman" w:hAnsi="Times New Roman" w:cs="Times New Roman"/>
          <w:sz w:val="24"/>
          <w:szCs w:val="24"/>
        </w:rPr>
        <w:t xml:space="preserve"> Here he offered Lee, a man with one of the greatest military reputations in American history, an opportunity to avoid the humiliation of surrendering in person, and though Lee turned this down and met in person himself, Grant showed delicacy in his own actions. After the surrender, when Union troops began to fire salutes, Grant ordered to have them stopped, stating that “the war is over, the rebels are our countrymen again, and the best sign of rejoicing after the victory will be to abstain from all demonstrations in the field.”</w:t>
      </w:r>
      <w:r w:rsidRPr="006A6DED">
        <w:rPr>
          <w:rFonts w:ascii="Times New Roman" w:hAnsi="Times New Roman" w:cs="Times New Roman"/>
          <w:sz w:val="24"/>
          <w:szCs w:val="24"/>
          <w:vertAlign w:val="superscript"/>
        </w:rPr>
        <w:footnoteReference w:id="411"/>
      </w:r>
      <w:r w:rsidRPr="006A6DED">
        <w:rPr>
          <w:rFonts w:ascii="Times New Roman" w:hAnsi="Times New Roman" w:cs="Times New Roman"/>
          <w:sz w:val="24"/>
          <w:szCs w:val="24"/>
        </w:rPr>
        <w:t xml:space="preserve"> Grant’s testimony after the war ensured that many of these rebels did not face trials for treason, firmly showing him to be a generous individual even to those who once took up arms against him.</w:t>
      </w:r>
    </w:p>
    <w:p w14:paraId="0660F6EE" w14:textId="77777777"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t>Porter ended his piece by attesting that “perhaps the most pronounced trait in General Grant’s character was that of unqualified loyalty.”</w:t>
      </w:r>
      <w:r w:rsidRPr="006A6DED">
        <w:rPr>
          <w:rFonts w:ascii="Times New Roman" w:hAnsi="Times New Roman" w:cs="Times New Roman"/>
          <w:sz w:val="24"/>
          <w:szCs w:val="24"/>
          <w:vertAlign w:val="superscript"/>
        </w:rPr>
        <w:footnoteReference w:id="412"/>
      </w:r>
      <w:r w:rsidRPr="006A6DED">
        <w:rPr>
          <w:rFonts w:ascii="Times New Roman" w:hAnsi="Times New Roman" w:cs="Times New Roman"/>
          <w:sz w:val="24"/>
          <w:szCs w:val="24"/>
        </w:rPr>
        <w:t xml:space="preserve"> Grant was loyal to “every work and cause in which he was engaged: loyal to his friends, loyal to his family, loyal to his country, and loyal to his God.”</w:t>
      </w:r>
      <w:r w:rsidRPr="006A6DED">
        <w:rPr>
          <w:rFonts w:ascii="Times New Roman" w:hAnsi="Times New Roman" w:cs="Times New Roman"/>
          <w:sz w:val="24"/>
          <w:szCs w:val="24"/>
          <w:vertAlign w:val="superscript"/>
        </w:rPr>
        <w:footnoteReference w:id="413"/>
      </w:r>
      <w:r w:rsidRPr="006A6DED">
        <w:rPr>
          <w:rFonts w:ascii="Times New Roman" w:hAnsi="Times New Roman" w:cs="Times New Roman"/>
          <w:sz w:val="24"/>
          <w:szCs w:val="24"/>
        </w:rPr>
        <w:t xml:space="preserve"> This loyalty engendered a reciprocity amongst those around him and served as a reason that his men became so loyal to him in times of war and peace. Grant was so loyal that he was actually loyal to a fault. As Porter put it, his loyalty so dominated his character that “it sometimes led him into error, and caused him to stand by friends who were no longer worthy of his friendship, and to trust in those in whom his faith should not have been reposed.”</w:t>
      </w:r>
      <w:r w:rsidRPr="006A6DED">
        <w:rPr>
          <w:rFonts w:ascii="Times New Roman" w:hAnsi="Times New Roman" w:cs="Times New Roman"/>
          <w:sz w:val="24"/>
          <w:szCs w:val="24"/>
          <w:vertAlign w:val="superscript"/>
        </w:rPr>
        <w:footnoteReference w:id="414"/>
      </w:r>
      <w:r w:rsidRPr="006A6DED">
        <w:rPr>
          <w:rFonts w:ascii="Times New Roman" w:hAnsi="Times New Roman" w:cs="Times New Roman"/>
          <w:sz w:val="24"/>
          <w:szCs w:val="24"/>
        </w:rPr>
        <w:t xml:space="preserve"> Still, Porter found this negative side of his loyalty as something that could be overlooked given that it could be outweighed by all the good that came with it. Porter asserted that this was true because “it showed that he was proof against the influence of malicious aspersions and slanders aimed at </w:t>
      </w:r>
      <w:r w:rsidRPr="006A6DED">
        <w:rPr>
          <w:rFonts w:ascii="Times New Roman" w:hAnsi="Times New Roman" w:cs="Times New Roman"/>
          <w:sz w:val="24"/>
          <w:szCs w:val="24"/>
        </w:rPr>
        <w:lastRenderedPageBreak/>
        <w:t>worthy men, and that he had the courage to stand as a barrier between them and their unworthy detractors.”</w:t>
      </w:r>
      <w:r w:rsidRPr="006A6DED">
        <w:rPr>
          <w:rFonts w:ascii="Times New Roman" w:hAnsi="Times New Roman" w:cs="Times New Roman"/>
          <w:sz w:val="24"/>
          <w:szCs w:val="24"/>
          <w:vertAlign w:val="superscript"/>
        </w:rPr>
        <w:footnoteReference w:id="415"/>
      </w:r>
      <w:r w:rsidRPr="006A6DED">
        <w:rPr>
          <w:rFonts w:ascii="Times New Roman" w:hAnsi="Times New Roman" w:cs="Times New Roman"/>
          <w:sz w:val="24"/>
          <w:szCs w:val="24"/>
        </w:rPr>
        <w:t xml:space="preserve"> Grant’s loyalty was both the thing that made him a great leader and the thing that hindered him as a politician.</w:t>
      </w:r>
    </w:p>
    <w:p w14:paraId="50EDB35B" w14:textId="560D11AC"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It is important here t</w:t>
      </w:r>
      <w:r w:rsidR="00066754">
        <w:rPr>
          <w:rFonts w:ascii="Times New Roman" w:hAnsi="Times New Roman" w:cs="Times New Roman"/>
          <w:sz w:val="24"/>
          <w:szCs w:val="24"/>
        </w:rPr>
        <w:t>o</w:t>
      </w:r>
      <w:r w:rsidRPr="006A6DED">
        <w:rPr>
          <w:rFonts w:ascii="Times New Roman" w:hAnsi="Times New Roman" w:cs="Times New Roman"/>
          <w:sz w:val="24"/>
          <w:szCs w:val="24"/>
        </w:rPr>
        <w:t xml:space="preserve"> recognize that Grant had a habit of placing his trust in the wrong men. During the course of his administration, President Grant named several individuals to high-ranking posts who abused this trust for personal gain. For instance, Grant’s first Vice President, Schuyler Colfax, was found to have taken monetary gifts and stock shares from officials in the well-publicized Credit Mobilier scandal of 1872, in which officials for railroad companies stole millions of dollars that were to be used on the transcontinental railroad.</w:t>
      </w:r>
      <w:r w:rsidRPr="006A6DED">
        <w:rPr>
          <w:rFonts w:ascii="Times New Roman" w:hAnsi="Times New Roman" w:cs="Times New Roman"/>
          <w:sz w:val="24"/>
          <w:szCs w:val="24"/>
          <w:vertAlign w:val="superscript"/>
        </w:rPr>
        <w:footnoteReference w:id="416"/>
      </w:r>
      <w:r w:rsidRPr="006A6DED">
        <w:rPr>
          <w:rFonts w:ascii="Times New Roman" w:hAnsi="Times New Roman" w:cs="Times New Roman"/>
          <w:sz w:val="24"/>
          <w:szCs w:val="24"/>
        </w:rPr>
        <w:t xml:space="preserve"> His Secretary of the Navy George Robeson took financial favors and gifts from several private contractors in exchange for military contracts through the Navy.</w:t>
      </w:r>
      <w:r w:rsidRPr="006A6DED">
        <w:rPr>
          <w:rFonts w:ascii="Times New Roman" w:hAnsi="Times New Roman" w:cs="Times New Roman"/>
          <w:sz w:val="24"/>
          <w:szCs w:val="24"/>
          <w:vertAlign w:val="superscript"/>
        </w:rPr>
        <w:footnoteReference w:id="417"/>
      </w:r>
      <w:r w:rsidRPr="006A6DED">
        <w:rPr>
          <w:rFonts w:ascii="Times New Roman" w:hAnsi="Times New Roman" w:cs="Times New Roman"/>
          <w:sz w:val="24"/>
          <w:szCs w:val="24"/>
        </w:rPr>
        <w:t xml:space="preserve"> His Attorney General George Williams received a gift of $30,000 through his wife to drop a criminal case into fraudulent customhouse entries.</w:t>
      </w:r>
      <w:r w:rsidRPr="006A6DED">
        <w:rPr>
          <w:rFonts w:ascii="Times New Roman" w:hAnsi="Times New Roman" w:cs="Times New Roman"/>
          <w:sz w:val="24"/>
          <w:szCs w:val="24"/>
          <w:vertAlign w:val="superscript"/>
        </w:rPr>
        <w:footnoteReference w:id="418"/>
      </w:r>
      <w:r w:rsidRPr="006A6DED">
        <w:rPr>
          <w:rFonts w:ascii="Times New Roman" w:hAnsi="Times New Roman" w:cs="Times New Roman"/>
          <w:sz w:val="24"/>
          <w:szCs w:val="24"/>
        </w:rPr>
        <w:t xml:space="preserve"> His Secretary of War William Belknap took money in exchange for appointments to profitable Native American trading posts.</w:t>
      </w:r>
      <w:r w:rsidRPr="006A6DED">
        <w:rPr>
          <w:rFonts w:ascii="Times New Roman" w:hAnsi="Times New Roman" w:cs="Times New Roman"/>
          <w:sz w:val="24"/>
          <w:szCs w:val="24"/>
          <w:vertAlign w:val="superscript"/>
        </w:rPr>
        <w:footnoteReference w:id="419"/>
      </w:r>
      <w:r w:rsidRPr="006A6DED">
        <w:rPr>
          <w:rFonts w:ascii="Times New Roman" w:hAnsi="Times New Roman" w:cs="Times New Roman"/>
          <w:sz w:val="24"/>
          <w:szCs w:val="24"/>
        </w:rPr>
        <w:t xml:space="preserve"> These trust issues even went beyond his administration, as after he left public service Grant</w:t>
      </w:r>
      <w:r w:rsidR="000E3E14">
        <w:rPr>
          <w:rFonts w:ascii="Times New Roman" w:hAnsi="Times New Roman" w:cs="Times New Roman"/>
          <w:sz w:val="24"/>
          <w:szCs w:val="24"/>
        </w:rPr>
        <w:t xml:space="preserve"> understandably</w:t>
      </w:r>
      <w:r w:rsidRPr="006A6DED">
        <w:rPr>
          <w:rFonts w:ascii="Times New Roman" w:hAnsi="Times New Roman" w:cs="Times New Roman"/>
          <w:sz w:val="24"/>
          <w:szCs w:val="24"/>
        </w:rPr>
        <w:t xml:space="preserve"> trusted his son Buck and </w:t>
      </w:r>
      <w:r w:rsidR="000E3E14">
        <w:rPr>
          <w:rFonts w:ascii="Times New Roman" w:hAnsi="Times New Roman" w:cs="Times New Roman"/>
          <w:sz w:val="24"/>
          <w:szCs w:val="24"/>
        </w:rPr>
        <w:t>Buck’s</w:t>
      </w:r>
      <w:r w:rsidRPr="006A6DED">
        <w:rPr>
          <w:rFonts w:ascii="Times New Roman" w:hAnsi="Times New Roman" w:cs="Times New Roman"/>
          <w:sz w:val="24"/>
          <w:szCs w:val="24"/>
        </w:rPr>
        <w:t xml:space="preserve"> business partner Ferdinand Ward</w:t>
      </w:r>
      <w:r w:rsidR="000E3E14">
        <w:rPr>
          <w:rFonts w:ascii="Times New Roman" w:hAnsi="Times New Roman" w:cs="Times New Roman"/>
          <w:sz w:val="24"/>
          <w:szCs w:val="24"/>
        </w:rPr>
        <w:t>, who</w:t>
      </w:r>
      <w:r w:rsidRPr="006A6DED">
        <w:rPr>
          <w:rFonts w:ascii="Times New Roman" w:hAnsi="Times New Roman" w:cs="Times New Roman"/>
          <w:sz w:val="24"/>
          <w:szCs w:val="24"/>
        </w:rPr>
        <w:t xml:space="preserve"> lost m</w:t>
      </w:r>
      <w:r w:rsidR="00C2267F">
        <w:rPr>
          <w:rFonts w:ascii="Times New Roman" w:hAnsi="Times New Roman" w:cs="Times New Roman"/>
          <w:sz w:val="24"/>
          <w:szCs w:val="24"/>
        </w:rPr>
        <w:t>ost all</w:t>
      </w:r>
      <w:r w:rsidRPr="006A6DED">
        <w:rPr>
          <w:rFonts w:ascii="Times New Roman" w:hAnsi="Times New Roman" w:cs="Times New Roman"/>
          <w:sz w:val="24"/>
          <w:szCs w:val="24"/>
        </w:rPr>
        <w:t xml:space="preserve"> of Grant’s savings due to bad </w:t>
      </w:r>
      <w:r w:rsidRPr="006A6DED">
        <w:rPr>
          <w:rFonts w:ascii="Times New Roman" w:hAnsi="Times New Roman" w:cs="Times New Roman"/>
          <w:sz w:val="24"/>
          <w:szCs w:val="24"/>
        </w:rPr>
        <w:lastRenderedPageBreak/>
        <w:t>investments and set off the Panic of 1884 in the process.</w:t>
      </w:r>
      <w:r w:rsidRPr="006A6DED">
        <w:rPr>
          <w:rFonts w:ascii="Times New Roman" w:hAnsi="Times New Roman" w:cs="Times New Roman"/>
          <w:sz w:val="24"/>
          <w:szCs w:val="24"/>
          <w:vertAlign w:val="superscript"/>
        </w:rPr>
        <w:footnoteReference w:id="420"/>
      </w:r>
      <w:r w:rsidRPr="006A6DED">
        <w:rPr>
          <w:rFonts w:ascii="Times New Roman" w:hAnsi="Times New Roman" w:cs="Times New Roman"/>
          <w:sz w:val="24"/>
          <w:szCs w:val="24"/>
        </w:rPr>
        <w:t xml:space="preserve"> Misplaced trust was a consistent problem for Grant over the course of his political life.</w:t>
      </w:r>
    </w:p>
    <w:p w14:paraId="4A0696AB" w14:textId="6A3E3233"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This is not to say that Grant’s trust was always misplaced. Far from it, as he had faith in several men who proved worthy of that confidence. Arguably Grant’s most well-known ally, General William Tecumseh Sherman, served as both acting Secretary of War for a brief period under Grant while succeeding him as Commanding General of the Army, a post in which he maintained control over the West during the Indian Wars while reshaping the military forts according to modern standards.</w:t>
      </w:r>
      <w:r w:rsidRPr="006A6DED">
        <w:rPr>
          <w:rFonts w:ascii="Times New Roman" w:hAnsi="Times New Roman" w:cs="Times New Roman"/>
          <w:sz w:val="24"/>
          <w:szCs w:val="24"/>
          <w:vertAlign w:val="superscript"/>
        </w:rPr>
        <w:footnoteReference w:id="421"/>
      </w:r>
      <w:r w:rsidRPr="006A6DED">
        <w:rPr>
          <w:rFonts w:ascii="Times New Roman" w:hAnsi="Times New Roman" w:cs="Times New Roman"/>
          <w:sz w:val="24"/>
          <w:szCs w:val="24"/>
        </w:rPr>
        <w:t xml:space="preserve"> He repaid Elihu Washburne by making him his first Secretary of State, a role he had to retire from due to illness, but Grant reassigned him as Minister to France, where he played a pivotal role as a diplomat and humanitarian, particularly during the Franco-Prussian War.</w:t>
      </w:r>
      <w:r w:rsidRPr="006A6DED">
        <w:rPr>
          <w:rFonts w:ascii="Times New Roman" w:hAnsi="Times New Roman" w:cs="Times New Roman"/>
          <w:sz w:val="24"/>
          <w:szCs w:val="24"/>
          <w:vertAlign w:val="superscript"/>
        </w:rPr>
        <w:footnoteReference w:id="422"/>
      </w:r>
      <w:r w:rsidRPr="006A6DED">
        <w:rPr>
          <w:rFonts w:ascii="Times New Roman" w:hAnsi="Times New Roman" w:cs="Times New Roman"/>
          <w:sz w:val="24"/>
          <w:szCs w:val="24"/>
        </w:rPr>
        <w:t xml:space="preserve"> Washburne’s replacement as Secretary of State, Hamilton Fish, was a steadfast support</w:t>
      </w:r>
      <w:r w:rsidR="00C83BC8">
        <w:rPr>
          <w:rFonts w:ascii="Times New Roman" w:hAnsi="Times New Roman" w:cs="Times New Roman"/>
          <w:sz w:val="24"/>
          <w:szCs w:val="24"/>
        </w:rPr>
        <w:t>er</w:t>
      </w:r>
      <w:r w:rsidRPr="006A6DED">
        <w:rPr>
          <w:rFonts w:ascii="Times New Roman" w:hAnsi="Times New Roman" w:cs="Times New Roman"/>
          <w:sz w:val="24"/>
          <w:szCs w:val="24"/>
        </w:rPr>
        <w:t xml:space="preserve"> during his entire administration and is considered by scholars as one of the best Secretaries of State in American history.</w:t>
      </w:r>
      <w:r w:rsidRPr="006A6DED">
        <w:rPr>
          <w:rFonts w:ascii="Times New Roman" w:hAnsi="Times New Roman" w:cs="Times New Roman"/>
          <w:sz w:val="24"/>
          <w:szCs w:val="24"/>
          <w:vertAlign w:val="superscript"/>
        </w:rPr>
        <w:footnoteReference w:id="423"/>
      </w:r>
      <w:r w:rsidRPr="006A6DED">
        <w:rPr>
          <w:rFonts w:ascii="Times New Roman" w:hAnsi="Times New Roman" w:cs="Times New Roman"/>
          <w:sz w:val="24"/>
          <w:szCs w:val="24"/>
        </w:rPr>
        <w:t xml:space="preserve"> He trusted such cabinet members as Secretary of the Interior Jacob Cox and Secretary of the </w:t>
      </w:r>
      <w:r w:rsidR="00035397">
        <w:rPr>
          <w:rFonts w:ascii="Times New Roman" w:hAnsi="Times New Roman" w:cs="Times New Roman"/>
          <w:sz w:val="24"/>
          <w:szCs w:val="24"/>
        </w:rPr>
        <w:t>T</w:t>
      </w:r>
      <w:r w:rsidRPr="006A6DED">
        <w:rPr>
          <w:rFonts w:ascii="Times New Roman" w:hAnsi="Times New Roman" w:cs="Times New Roman"/>
          <w:sz w:val="24"/>
          <w:szCs w:val="24"/>
        </w:rPr>
        <w:t>reasury George Boutwell to engage in civil service reforms for the improvement of the flawed political system.</w:t>
      </w:r>
      <w:r w:rsidRPr="006A6DED">
        <w:rPr>
          <w:rFonts w:ascii="Times New Roman" w:hAnsi="Times New Roman" w:cs="Times New Roman"/>
          <w:sz w:val="24"/>
          <w:szCs w:val="24"/>
          <w:vertAlign w:val="superscript"/>
        </w:rPr>
        <w:footnoteReference w:id="424"/>
      </w:r>
      <w:r w:rsidRPr="006A6DED">
        <w:rPr>
          <w:rFonts w:ascii="Times New Roman" w:hAnsi="Times New Roman" w:cs="Times New Roman"/>
          <w:sz w:val="24"/>
          <w:szCs w:val="24"/>
        </w:rPr>
        <w:t xml:space="preserve"> After his presidency, Grant engaged with a friendship with Mark Twain that afforded him the ability to publish his memoirs and ensure his family’s financial stability long after his death.</w:t>
      </w:r>
      <w:r w:rsidRPr="006A6DED">
        <w:rPr>
          <w:rFonts w:ascii="Times New Roman" w:hAnsi="Times New Roman" w:cs="Times New Roman"/>
          <w:sz w:val="24"/>
          <w:szCs w:val="24"/>
          <w:vertAlign w:val="superscript"/>
        </w:rPr>
        <w:footnoteReference w:id="425"/>
      </w:r>
      <w:r w:rsidRPr="006A6DED">
        <w:rPr>
          <w:rFonts w:ascii="Times New Roman" w:hAnsi="Times New Roman" w:cs="Times New Roman"/>
          <w:sz w:val="24"/>
          <w:szCs w:val="24"/>
        </w:rPr>
        <w:t xml:space="preserve"> Even while Grant’s </w:t>
      </w:r>
      <w:r w:rsidRPr="006A6DED">
        <w:rPr>
          <w:rFonts w:ascii="Times New Roman" w:hAnsi="Times New Roman" w:cs="Times New Roman"/>
          <w:sz w:val="24"/>
          <w:szCs w:val="24"/>
        </w:rPr>
        <w:lastRenderedPageBreak/>
        <w:t xml:space="preserve">consideration of trust and loyalty is tainted by poor decisions, his trust in good men is equally important in </w:t>
      </w:r>
      <w:r w:rsidR="006308A9">
        <w:rPr>
          <w:rFonts w:ascii="Times New Roman" w:hAnsi="Times New Roman" w:cs="Times New Roman"/>
          <w:sz w:val="24"/>
          <w:szCs w:val="24"/>
        </w:rPr>
        <w:t>grasp</w:t>
      </w:r>
      <w:r w:rsidRPr="006A6DED">
        <w:rPr>
          <w:rFonts w:ascii="Times New Roman" w:hAnsi="Times New Roman" w:cs="Times New Roman"/>
          <w:sz w:val="24"/>
          <w:szCs w:val="24"/>
        </w:rPr>
        <w:t>ing the full picture of his character.</w:t>
      </w:r>
    </w:p>
    <w:p w14:paraId="79CEEFCA" w14:textId="77777777"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It feels necessary at this point to add a sixth characteristic that, while omitted by Porter in his piece, runs through several of the traits analyzed therein: Grant’s commitment to duty. Grant believed in upholding his duty even when it was not something he desired to do. After Grant’s initial departure from the military, he was compelled by his own sense of duty to return to service during the Civil War. He said so himself in his memoir, as he recalled a letter he sent to the Adjutant General of the Army on May 24, 1861 in which he stated that, “having served for fifteen years in the regular army, including four years at West Point, and feeling it the duty of every one who has been educated at the Government expense to offer their services for the support of that Government, I have the honor, very respectfully, to tender my services, until the close of the war, in such capacity as may be offered.”</w:t>
      </w:r>
      <w:r w:rsidRPr="006A6DED">
        <w:rPr>
          <w:rFonts w:ascii="Times New Roman" w:hAnsi="Times New Roman" w:cs="Times New Roman"/>
          <w:sz w:val="24"/>
          <w:szCs w:val="24"/>
          <w:vertAlign w:val="superscript"/>
        </w:rPr>
        <w:footnoteReference w:id="426"/>
      </w:r>
      <w:r w:rsidRPr="006A6DED">
        <w:rPr>
          <w:rFonts w:ascii="Times New Roman" w:hAnsi="Times New Roman" w:cs="Times New Roman"/>
          <w:sz w:val="24"/>
          <w:szCs w:val="24"/>
        </w:rPr>
        <w:t xml:space="preserve"> Grant considered himself a soldier through and through, and he felt himself beholden to the government for what it offered him in terms of societal advancement and wanted to repay that favor in turn. This was something he carried with him throughout his life, as he also stated that “for a soldier his duty is plain…he is to obey the orders of all those placed over him and whip the enemy wherever he meets him.”</w:t>
      </w:r>
      <w:r w:rsidRPr="006A6DED">
        <w:rPr>
          <w:rFonts w:ascii="Times New Roman" w:hAnsi="Times New Roman" w:cs="Times New Roman"/>
          <w:sz w:val="24"/>
          <w:szCs w:val="24"/>
          <w:vertAlign w:val="superscript"/>
        </w:rPr>
        <w:footnoteReference w:id="427"/>
      </w:r>
      <w:r w:rsidRPr="006A6DED">
        <w:rPr>
          <w:rFonts w:ascii="Times New Roman" w:hAnsi="Times New Roman" w:cs="Times New Roman"/>
          <w:sz w:val="24"/>
          <w:szCs w:val="24"/>
        </w:rPr>
        <w:t xml:space="preserve"> Grant was a soldier in times of both war and peace, and he accordingly carried out his duty as ably as he could whenever any enemy was placed before him.</w:t>
      </w:r>
    </w:p>
    <w:p w14:paraId="12D21823" w14:textId="0BB42907"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 xml:space="preserve">It is in this consideration of duty that the other five traits outlined by Porter lived within Grant’s persona. Doing one’s duty truthfully, modestly, and generously were each important parts of fulfilling one’s responsibilities. Furthermore, doing so </w:t>
      </w:r>
      <w:r w:rsidR="00A4442C">
        <w:rPr>
          <w:rFonts w:ascii="Times New Roman" w:hAnsi="Times New Roman" w:cs="Times New Roman"/>
          <w:sz w:val="24"/>
          <w:szCs w:val="24"/>
        </w:rPr>
        <w:t xml:space="preserve">courageously </w:t>
      </w:r>
      <w:r w:rsidRPr="006A6DED">
        <w:rPr>
          <w:rFonts w:ascii="Times New Roman" w:hAnsi="Times New Roman" w:cs="Times New Roman"/>
          <w:sz w:val="24"/>
          <w:szCs w:val="24"/>
        </w:rPr>
        <w:t xml:space="preserve">in the face of fear </w:t>
      </w:r>
      <w:r w:rsidRPr="006A6DED">
        <w:rPr>
          <w:rFonts w:ascii="Times New Roman" w:hAnsi="Times New Roman" w:cs="Times New Roman"/>
          <w:sz w:val="24"/>
          <w:szCs w:val="24"/>
        </w:rPr>
        <w:lastRenderedPageBreak/>
        <w:t>would instill loyalty in others, and this was a loyalty that he returned in kind time and again. Grant understood that doing one’s duty was a part of his job, and he likely assumed this was something held by those he trusted, particularly those alongside whom he served. This again serves as something</w:t>
      </w:r>
      <w:r w:rsidR="00E91069">
        <w:rPr>
          <w:rFonts w:ascii="Times New Roman" w:hAnsi="Times New Roman" w:cs="Times New Roman"/>
          <w:sz w:val="24"/>
          <w:szCs w:val="24"/>
        </w:rPr>
        <w:t xml:space="preserve"> for which</w:t>
      </w:r>
      <w:r w:rsidRPr="006A6DED">
        <w:rPr>
          <w:rFonts w:ascii="Times New Roman" w:hAnsi="Times New Roman" w:cs="Times New Roman"/>
          <w:sz w:val="24"/>
          <w:szCs w:val="24"/>
        </w:rPr>
        <w:t xml:space="preserve"> Grant should be commended and something for which he was held accountable</w:t>
      </w:r>
      <w:r w:rsidR="00E24671">
        <w:rPr>
          <w:rFonts w:ascii="Times New Roman" w:hAnsi="Times New Roman" w:cs="Times New Roman"/>
          <w:sz w:val="24"/>
          <w:szCs w:val="24"/>
        </w:rPr>
        <w:t xml:space="preserve"> when</w:t>
      </w:r>
      <w:r w:rsidRPr="006A6DED">
        <w:rPr>
          <w:rFonts w:ascii="Times New Roman" w:hAnsi="Times New Roman" w:cs="Times New Roman"/>
          <w:sz w:val="24"/>
          <w:szCs w:val="24"/>
        </w:rPr>
        <w:t xml:space="preserve"> others did not live up to Grant’s standards of fulfilling their duty. </w:t>
      </w:r>
    </w:p>
    <w:p w14:paraId="20F4C504" w14:textId="758AEDF2" w:rsidR="006A6DED" w:rsidRPr="006A6DED" w:rsidRDefault="006A6DED" w:rsidP="006A6DED">
      <w:pPr>
        <w:spacing w:line="480" w:lineRule="auto"/>
        <w:rPr>
          <w:rFonts w:ascii="Times New Roman" w:hAnsi="Times New Roman" w:cs="Times New Roman"/>
          <w:sz w:val="24"/>
          <w:szCs w:val="24"/>
        </w:rPr>
      </w:pPr>
      <w:r w:rsidRPr="006A6DED">
        <w:rPr>
          <w:rFonts w:ascii="Times New Roman" w:hAnsi="Times New Roman" w:cs="Times New Roman"/>
          <w:sz w:val="24"/>
          <w:szCs w:val="24"/>
        </w:rPr>
        <w:tab/>
      </w:r>
      <w:r w:rsidRPr="0043302D">
        <w:rPr>
          <w:rFonts w:ascii="Times New Roman" w:hAnsi="Times New Roman" w:cs="Times New Roman"/>
          <w:sz w:val="24"/>
          <w:szCs w:val="24"/>
        </w:rPr>
        <w:t>Unfortunately, not all people held the same beliefs as Grant, and as such some of the men he appointed to higher positions used them for nefarious means</w:t>
      </w:r>
      <w:r w:rsidR="000A71A6" w:rsidRPr="0043302D">
        <w:rPr>
          <w:rFonts w:ascii="Times New Roman" w:hAnsi="Times New Roman" w:cs="Times New Roman"/>
          <w:sz w:val="24"/>
          <w:szCs w:val="24"/>
        </w:rPr>
        <w:t xml:space="preserve"> as cited earlier</w:t>
      </w:r>
      <w:r w:rsidRPr="0043302D">
        <w:rPr>
          <w:rFonts w:ascii="Times New Roman" w:hAnsi="Times New Roman" w:cs="Times New Roman"/>
          <w:sz w:val="24"/>
          <w:szCs w:val="24"/>
        </w:rPr>
        <w:t>. This of course was not true for all appointments made by the general-turned-president, but it happened enough that the legacy of his administration would be tarnished with claims of corruption for more than a century after his time in office.</w:t>
      </w:r>
      <w:r w:rsidRPr="006A6DED">
        <w:rPr>
          <w:rFonts w:ascii="Times New Roman" w:hAnsi="Times New Roman" w:cs="Times New Roman"/>
          <w:sz w:val="24"/>
          <w:szCs w:val="24"/>
        </w:rPr>
        <w:t xml:space="preserve"> Yes, Grant himself must be held responsible for the actions of those he put into such positions. However, given the rapid expansion of central powers during the Civil War that had not been regulated</w:t>
      </w:r>
      <w:r w:rsidR="00AD518E">
        <w:rPr>
          <w:rFonts w:ascii="Times New Roman" w:hAnsi="Times New Roman" w:cs="Times New Roman"/>
          <w:sz w:val="24"/>
          <w:szCs w:val="24"/>
        </w:rPr>
        <w:t>,</w:t>
      </w:r>
      <w:r w:rsidRPr="006A6DED">
        <w:rPr>
          <w:rFonts w:ascii="Times New Roman" w:hAnsi="Times New Roman" w:cs="Times New Roman"/>
          <w:sz w:val="24"/>
          <w:szCs w:val="24"/>
        </w:rPr>
        <w:t xml:space="preserve"> combined with the fact that the nation remained in a state of turmoil during Reconstruction, it was impossible for the president to oversee every aspect of the government</w:t>
      </w:r>
      <w:r w:rsidR="00AD518E">
        <w:rPr>
          <w:rFonts w:ascii="Times New Roman" w:hAnsi="Times New Roman" w:cs="Times New Roman"/>
          <w:sz w:val="24"/>
          <w:szCs w:val="24"/>
        </w:rPr>
        <w:t xml:space="preserve"> personally</w:t>
      </w:r>
      <w:r w:rsidRPr="006A6DED">
        <w:rPr>
          <w:rFonts w:ascii="Times New Roman" w:hAnsi="Times New Roman" w:cs="Times New Roman"/>
          <w:sz w:val="24"/>
          <w:szCs w:val="24"/>
        </w:rPr>
        <w:t xml:space="preserve">. </w:t>
      </w:r>
      <w:r w:rsidRPr="00AD518E">
        <w:rPr>
          <w:rFonts w:ascii="Times New Roman" w:hAnsi="Times New Roman" w:cs="Times New Roman"/>
          <w:sz w:val="24"/>
          <w:szCs w:val="24"/>
        </w:rPr>
        <w:t>He attempted to correct this by placing people he believed he could trust into positions to assist him, but his trust was</w:t>
      </w:r>
      <w:r w:rsidR="0043302D">
        <w:rPr>
          <w:rFonts w:ascii="Times New Roman" w:hAnsi="Times New Roman" w:cs="Times New Roman"/>
          <w:sz w:val="24"/>
          <w:szCs w:val="24"/>
        </w:rPr>
        <w:t xml:space="preserve"> unfortunate</w:t>
      </w:r>
      <w:r w:rsidRPr="00AD518E">
        <w:rPr>
          <w:rFonts w:ascii="Times New Roman" w:hAnsi="Times New Roman" w:cs="Times New Roman"/>
          <w:sz w:val="24"/>
          <w:szCs w:val="24"/>
        </w:rPr>
        <w:t>ly</w:t>
      </w:r>
      <w:r w:rsidR="0043302D">
        <w:rPr>
          <w:rFonts w:ascii="Times New Roman" w:hAnsi="Times New Roman" w:cs="Times New Roman"/>
          <w:sz w:val="24"/>
          <w:szCs w:val="24"/>
        </w:rPr>
        <w:t xml:space="preserve"> and occasionally</w:t>
      </w:r>
      <w:r w:rsidRPr="00AD518E">
        <w:rPr>
          <w:rFonts w:ascii="Times New Roman" w:hAnsi="Times New Roman" w:cs="Times New Roman"/>
          <w:sz w:val="24"/>
          <w:szCs w:val="24"/>
        </w:rPr>
        <w:t xml:space="preserve"> misplaced due to his beliefs in duty and honor.</w:t>
      </w:r>
      <w:r w:rsidRPr="006A6DED">
        <w:rPr>
          <w:rFonts w:ascii="Times New Roman" w:hAnsi="Times New Roman" w:cs="Times New Roman"/>
          <w:sz w:val="24"/>
          <w:szCs w:val="24"/>
        </w:rPr>
        <w:t xml:space="preserve"> </w:t>
      </w:r>
    </w:p>
    <w:p w14:paraId="6936FD2C" w14:textId="6D157945" w:rsidR="006A6DED" w:rsidRPr="006A6DED" w:rsidRDefault="006A6DED" w:rsidP="006A6DED">
      <w:pPr>
        <w:spacing w:line="480" w:lineRule="auto"/>
        <w:ind w:firstLine="720"/>
        <w:rPr>
          <w:rFonts w:ascii="Times New Roman" w:hAnsi="Times New Roman" w:cs="Times New Roman"/>
          <w:sz w:val="24"/>
          <w:szCs w:val="24"/>
        </w:rPr>
      </w:pPr>
      <w:r w:rsidRPr="006A6DED">
        <w:rPr>
          <w:rFonts w:ascii="Times New Roman" w:hAnsi="Times New Roman" w:cs="Times New Roman"/>
          <w:sz w:val="24"/>
          <w:szCs w:val="24"/>
        </w:rPr>
        <w:t>Clearly, Grant’s trust was easily abused by others, and it may be correct to refer to him as naïve for misplacing his trust as often as he did. Whether or not this was something that people realized early during his rise to power and continuously abused is something that can only be gauged on a case-by-case basis, and it is beyond the scope of this project to investigate each and every individual who took advantage of this trust. However, we do know that one of the individuals in wh</w:t>
      </w:r>
      <w:r w:rsidR="008F502C">
        <w:rPr>
          <w:rFonts w:ascii="Times New Roman" w:hAnsi="Times New Roman" w:cs="Times New Roman"/>
          <w:sz w:val="24"/>
          <w:szCs w:val="24"/>
        </w:rPr>
        <w:t>om</w:t>
      </w:r>
      <w:r w:rsidRPr="006A6DED">
        <w:rPr>
          <w:rFonts w:ascii="Times New Roman" w:hAnsi="Times New Roman" w:cs="Times New Roman"/>
          <w:sz w:val="24"/>
          <w:szCs w:val="24"/>
        </w:rPr>
        <w:t xml:space="preserve"> Grant placed his trust was Orville Babcock, and that he continued to do this for more than a decade, for better </w:t>
      </w:r>
      <w:r w:rsidR="000B2066">
        <w:rPr>
          <w:rFonts w:ascii="Times New Roman" w:hAnsi="Times New Roman" w:cs="Times New Roman"/>
          <w:sz w:val="24"/>
          <w:szCs w:val="24"/>
        </w:rPr>
        <w:t>and</w:t>
      </w:r>
      <w:r w:rsidRPr="006A6DED">
        <w:rPr>
          <w:rFonts w:ascii="Times New Roman" w:hAnsi="Times New Roman" w:cs="Times New Roman"/>
          <w:sz w:val="24"/>
          <w:szCs w:val="24"/>
        </w:rPr>
        <w:t xml:space="preserve"> worse. At times this trust was well</w:t>
      </w:r>
      <w:r w:rsidR="00B021B1">
        <w:rPr>
          <w:rFonts w:ascii="Times New Roman" w:hAnsi="Times New Roman" w:cs="Times New Roman"/>
          <w:sz w:val="24"/>
          <w:szCs w:val="24"/>
        </w:rPr>
        <w:t>-</w:t>
      </w:r>
      <w:r w:rsidRPr="006A6DED">
        <w:rPr>
          <w:rFonts w:ascii="Times New Roman" w:hAnsi="Times New Roman" w:cs="Times New Roman"/>
          <w:sz w:val="24"/>
          <w:szCs w:val="24"/>
        </w:rPr>
        <w:t xml:space="preserve">warranted, as Babcock </w:t>
      </w:r>
      <w:r w:rsidRPr="006A6DED">
        <w:rPr>
          <w:rFonts w:ascii="Times New Roman" w:hAnsi="Times New Roman" w:cs="Times New Roman"/>
          <w:sz w:val="24"/>
          <w:szCs w:val="24"/>
        </w:rPr>
        <w:lastRenderedPageBreak/>
        <w:t>proved very successful in many of the tasks he was given during his tenure under Grant. However, this trust was also abused repeatedly for Babcock’s own benefit, whether it be for financial, political, reputational, and</w:t>
      </w:r>
      <w:r w:rsidR="00453E1C">
        <w:rPr>
          <w:rFonts w:ascii="Times New Roman" w:hAnsi="Times New Roman" w:cs="Times New Roman"/>
          <w:sz w:val="24"/>
          <w:szCs w:val="24"/>
        </w:rPr>
        <w:t>/or</w:t>
      </w:r>
      <w:r w:rsidRPr="006A6DED">
        <w:rPr>
          <w:rFonts w:ascii="Times New Roman" w:hAnsi="Times New Roman" w:cs="Times New Roman"/>
          <w:sz w:val="24"/>
          <w:szCs w:val="24"/>
        </w:rPr>
        <w:t xml:space="preserve"> societal gain. Orville Babcock’s career, and therefore this narrative, is only thanks to the undeterred trust given to him by Ulysses S. Grant. This is a key reason why previous generations of historians have lambasted Grant’s presidency as corrupt, but this </w:t>
      </w:r>
      <w:r w:rsidR="008D6948">
        <w:rPr>
          <w:rFonts w:ascii="Times New Roman" w:hAnsi="Times New Roman" w:cs="Times New Roman"/>
          <w:sz w:val="24"/>
          <w:szCs w:val="24"/>
        </w:rPr>
        <w:t>overly simplifies a far more complex situation</w:t>
      </w:r>
      <w:r w:rsidRPr="006A6DED">
        <w:rPr>
          <w:rFonts w:ascii="Times New Roman" w:hAnsi="Times New Roman" w:cs="Times New Roman"/>
          <w:sz w:val="24"/>
          <w:szCs w:val="24"/>
        </w:rPr>
        <w:t>.</w:t>
      </w:r>
      <w:r w:rsidRPr="006A6DED">
        <w:rPr>
          <w:rFonts w:ascii="Times New Roman" w:hAnsi="Times New Roman" w:cs="Times New Roman"/>
          <w:sz w:val="24"/>
          <w:szCs w:val="24"/>
          <w:vertAlign w:val="superscript"/>
        </w:rPr>
        <w:footnoteReference w:id="428"/>
      </w:r>
      <w:r w:rsidRPr="006A6DED">
        <w:rPr>
          <w:rFonts w:ascii="Times New Roman" w:hAnsi="Times New Roman" w:cs="Times New Roman"/>
          <w:sz w:val="24"/>
          <w:szCs w:val="24"/>
        </w:rPr>
        <w:t xml:space="preserve"> It </w:t>
      </w:r>
      <w:r w:rsidR="00054FA1">
        <w:rPr>
          <w:rFonts w:ascii="Times New Roman" w:hAnsi="Times New Roman" w:cs="Times New Roman"/>
          <w:sz w:val="24"/>
          <w:szCs w:val="24"/>
        </w:rPr>
        <w:t>may</w:t>
      </w:r>
      <w:r w:rsidR="008F5FDD">
        <w:rPr>
          <w:rFonts w:ascii="Times New Roman" w:hAnsi="Times New Roman" w:cs="Times New Roman"/>
          <w:sz w:val="24"/>
          <w:szCs w:val="24"/>
        </w:rPr>
        <w:t xml:space="preserve"> be</w:t>
      </w:r>
      <w:r w:rsidRPr="006A6DED">
        <w:rPr>
          <w:rFonts w:ascii="Times New Roman" w:hAnsi="Times New Roman" w:cs="Times New Roman"/>
          <w:sz w:val="24"/>
          <w:szCs w:val="24"/>
        </w:rPr>
        <w:t xml:space="preserve"> proper to refer to the system as one flooded with corruption during the Grant Administration, or to suggest that many corrupt individuals weaseled their way into positions to take advantage of loopholes in the expanded political system. However, Grant himself was not corrupt, and the mistake he made was mistrusting individuals who only proved untrustworthy after the fact. The corruption of the era, therefore, was caused by pragmaticos who sought to take advantage of others’ trust, and through his development as a political agent, Orville Babcock is the ultimate example of this emerging archetype.</w:t>
      </w:r>
      <w:bookmarkEnd w:id="13"/>
    </w:p>
    <w:p w14:paraId="63197418" w14:textId="77777777" w:rsidR="006A6DED" w:rsidRDefault="006A6DED" w:rsidP="006A6DED">
      <w:pPr>
        <w:spacing w:line="480" w:lineRule="auto"/>
        <w:rPr>
          <w:rFonts w:ascii="Times New Roman" w:hAnsi="Times New Roman" w:cs="Times New Roman"/>
          <w:sz w:val="24"/>
          <w:szCs w:val="24"/>
        </w:rPr>
      </w:pPr>
    </w:p>
    <w:p w14:paraId="07AD45B2" w14:textId="77777777" w:rsidR="006A6DED" w:rsidRDefault="006A6DED" w:rsidP="00DD59F1">
      <w:pPr>
        <w:spacing w:line="480" w:lineRule="auto"/>
        <w:rPr>
          <w:rFonts w:ascii="Times New Roman" w:hAnsi="Times New Roman" w:cs="Times New Roman"/>
          <w:sz w:val="24"/>
          <w:szCs w:val="24"/>
        </w:rPr>
      </w:pPr>
    </w:p>
    <w:p w14:paraId="66D22903" w14:textId="77777777" w:rsidR="005A6874" w:rsidRDefault="005A6874" w:rsidP="00DD59F1">
      <w:pPr>
        <w:spacing w:line="480" w:lineRule="auto"/>
        <w:rPr>
          <w:rFonts w:ascii="Times New Roman" w:hAnsi="Times New Roman" w:cs="Times New Roman"/>
          <w:sz w:val="24"/>
          <w:szCs w:val="24"/>
        </w:rPr>
      </w:pPr>
    </w:p>
    <w:p w14:paraId="65B924EB" w14:textId="77777777" w:rsidR="005A6874" w:rsidRDefault="005A6874" w:rsidP="00DD59F1">
      <w:pPr>
        <w:spacing w:line="480" w:lineRule="auto"/>
        <w:rPr>
          <w:rFonts w:ascii="Times New Roman" w:hAnsi="Times New Roman" w:cs="Times New Roman"/>
          <w:sz w:val="24"/>
          <w:szCs w:val="24"/>
        </w:rPr>
      </w:pPr>
    </w:p>
    <w:p w14:paraId="0D3DDE07" w14:textId="77777777" w:rsidR="005A6874" w:rsidRDefault="005A6874" w:rsidP="00DD59F1">
      <w:pPr>
        <w:spacing w:line="480" w:lineRule="auto"/>
        <w:rPr>
          <w:rFonts w:ascii="Times New Roman" w:hAnsi="Times New Roman" w:cs="Times New Roman"/>
          <w:sz w:val="24"/>
          <w:szCs w:val="24"/>
        </w:rPr>
      </w:pPr>
    </w:p>
    <w:p w14:paraId="2D9E2425" w14:textId="77777777" w:rsidR="005A6874" w:rsidRDefault="005A6874" w:rsidP="00DD59F1">
      <w:pPr>
        <w:spacing w:line="480" w:lineRule="auto"/>
        <w:rPr>
          <w:rFonts w:ascii="Times New Roman" w:hAnsi="Times New Roman" w:cs="Times New Roman"/>
          <w:sz w:val="24"/>
          <w:szCs w:val="24"/>
        </w:rPr>
      </w:pPr>
    </w:p>
    <w:p w14:paraId="62C9E084" w14:textId="39320D1A" w:rsidR="00BD59A4" w:rsidRDefault="00BD6E3A" w:rsidP="006D6453">
      <w:pPr>
        <w:spacing w:line="480" w:lineRule="auto"/>
        <w:jc w:val="center"/>
        <w:rPr>
          <w:rFonts w:ascii="Times New Roman" w:hAnsi="Times New Roman" w:cs="Times New Roman"/>
          <w:sz w:val="24"/>
          <w:szCs w:val="24"/>
        </w:rPr>
      </w:pPr>
      <w:r w:rsidRPr="00BD6E3A">
        <w:rPr>
          <w:rFonts w:ascii="Times New Roman" w:hAnsi="Times New Roman" w:cs="Times New Roman"/>
          <w:sz w:val="24"/>
          <w:szCs w:val="24"/>
        </w:rPr>
        <w:lastRenderedPageBreak/>
        <w:t xml:space="preserve">Chapter Two: </w:t>
      </w:r>
      <w:bookmarkStart w:id="18" w:name="_Hlk200793333"/>
      <w:r w:rsidRPr="00BD6E3A">
        <w:rPr>
          <w:rFonts w:ascii="Times New Roman" w:hAnsi="Times New Roman" w:cs="Times New Roman"/>
          <w:sz w:val="24"/>
          <w:szCs w:val="24"/>
        </w:rPr>
        <w:t>Babcock’s Entrenchment and The Fight for Santo Domingo</w:t>
      </w:r>
      <w:bookmarkEnd w:id="18"/>
    </w:p>
    <w:p w14:paraId="5F906E54" w14:textId="1D6BBEC2"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Upon General</w:t>
      </w:r>
      <w:r w:rsidR="008B19DE">
        <w:rPr>
          <w:rFonts w:ascii="Times New Roman" w:hAnsi="Times New Roman" w:cs="Times New Roman"/>
          <w:sz w:val="24"/>
          <w:szCs w:val="24"/>
        </w:rPr>
        <w:t xml:space="preserve"> Ulysses S.</w:t>
      </w:r>
      <w:r w:rsidRPr="00BD6E3A">
        <w:rPr>
          <w:rFonts w:ascii="Times New Roman" w:hAnsi="Times New Roman" w:cs="Times New Roman"/>
          <w:sz w:val="24"/>
          <w:szCs w:val="24"/>
        </w:rPr>
        <w:t xml:space="preserve"> Grant’s election to the White House, a sense of renewed hope in the potential of Reconstruction swept through the capital and the nation alike. Several factions began to vie for support, and in some cases, control, of the leader of the free world. There was a greater hope that Grant’s tenure in the White House would be a stark contrast to that of his predecessor, Andrew Johnson. Many anticipated that Grant’s </w:t>
      </w:r>
      <w:r w:rsidR="000472A7">
        <w:rPr>
          <w:rFonts w:ascii="Times New Roman" w:hAnsi="Times New Roman" w:cs="Times New Roman"/>
          <w:sz w:val="24"/>
          <w:szCs w:val="24"/>
        </w:rPr>
        <w:t>administration</w:t>
      </w:r>
      <w:r w:rsidRPr="00BD6E3A">
        <w:rPr>
          <w:rFonts w:ascii="Times New Roman" w:hAnsi="Times New Roman" w:cs="Times New Roman"/>
          <w:sz w:val="24"/>
          <w:szCs w:val="24"/>
        </w:rPr>
        <w:t xml:space="preserve"> would be less marked by controversy and combativeness with other politicians than that which marred Johnson’s tenure. Grant spent much time in his conversations with President Lincoln discussing plans for Reconstruction. Many northern politicians who sought to reconstruct the South rather than reconcile with the existing structures believed Grant would uphold his former commander’s wishes. Some likely believed that Grant would be malleable in his new role as politician, far more than he was as a general, in part because of his inexperience within the legal and political realms. What’s more, several career politicians, chief among them Senator Charles Sumner of Massachusetts, assumed that the time had come for their ascension to higher roles in th</w:t>
      </w:r>
      <w:r w:rsidR="001A2515">
        <w:rPr>
          <w:rFonts w:ascii="Times New Roman" w:hAnsi="Times New Roman" w:cs="Times New Roman"/>
          <w:sz w:val="24"/>
          <w:szCs w:val="24"/>
        </w:rPr>
        <w:t>e government</w:t>
      </w:r>
      <w:r w:rsidRPr="00BD6E3A">
        <w:rPr>
          <w:rFonts w:ascii="Times New Roman" w:hAnsi="Times New Roman" w:cs="Times New Roman"/>
          <w:sz w:val="24"/>
          <w:szCs w:val="24"/>
        </w:rPr>
        <w:t>, reaching what would be the culmination of their political work. For a variety of reasons, hope for the future of the nation reached new heights under the newly elected President Grant.</w:t>
      </w:r>
    </w:p>
    <w:p w14:paraId="42E56588" w14:textId="77777777" w:rsidR="00BD6E3A" w:rsidRPr="00BD6E3A" w:rsidRDefault="00BD6E3A" w:rsidP="00BD6E3A">
      <w:pPr>
        <w:spacing w:line="480" w:lineRule="auto"/>
        <w:rPr>
          <w:rFonts w:ascii="Times New Roman" w:hAnsi="Times New Roman" w:cs="Times New Roman"/>
          <w:b/>
          <w:bCs/>
          <w:sz w:val="24"/>
          <w:szCs w:val="24"/>
        </w:rPr>
      </w:pPr>
      <w:r w:rsidRPr="00BD6E3A">
        <w:rPr>
          <w:rFonts w:ascii="Times New Roman" w:hAnsi="Times New Roman" w:cs="Times New Roman"/>
          <w:sz w:val="24"/>
          <w:szCs w:val="24"/>
        </w:rPr>
        <w:tab/>
        <w:t xml:space="preserve">With friends and enemies alike at the metaphorical gate, Grant was determined to surround himself with trusted individuals during his time in the nation’s capital. At the onset of his administration, Grant linked his trust to individuals who earned it, particularly by aiding him during his military career. He was beholden to Senator Elihu Washburne of Illinois, the man who gave him his commission during the Civil War and who hailed from the same town he did before </w:t>
      </w:r>
      <w:r w:rsidRPr="00BD6E3A">
        <w:rPr>
          <w:rFonts w:ascii="Times New Roman" w:hAnsi="Times New Roman" w:cs="Times New Roman"/>
          <w:sz w:val="24"/>
          <w:szCs w:val="24"/>
        </w:rPr>
        <w:lastRenderedPageBreak/>
        <w:t>the war.</w:t>
      </w:r>
      <w:r w:rsidRPr="00BD6E3A">
        <w:rPr>
          <w:rFonts w:ascii="Times New Roman" w:hAnsi="Times New Roman" w:cs="Times New Roman"/>
          <w:sz w:val="24"/>
          <w:szCs w:val="24"/>
          <w:vertAlign w:val="superscript"/>
        </w:rPr>
        <w:footnoteReference w:id="429"/>
      </w:r>
      <w:r w:rsidRPr="00BD6E3A">
        <w:rPr>
          <w:rFonts w:ascii="Times New Roman" w:hAnsi="Times New Roman" w:cs="Times New Roman"/>
          <w:sz w:val="24"/>
          <w:szCs w:val="24"/>
        </w:rPr>
        <w:t xml:space="preserve"> Grant sought to afford him any post he desired in his administration in gratitude for his actions, and Washburne elected to serve briefly as Grant’s Secretary of State before accepting the role of United States Minister to France, a post he held for the entirety of Grant’s administration.</w:t>
      </w:r>
      <w:r w:rsidRPr="00BD6E3A">
        <w:rPr>
          <w:rFonts w:ascii="Times New Roman" w:hAnsi="Times New Roman" w:cs="Times New Roman"/>
          <w:sz w:val="24"/>
          <w:szCs w:val="24"/>
          <w:vertAlign w:val="superscript"/>
        </w:rPr>
        <w:footnoteReference w:id="430"/>
      </w:r>
      <w:r w:rsidRPr="00BD6E3A">
        <w:rPr>
          <w:rFonts w:ascii="Times New Roman" w:hAnsi="Times New Roman" w:cs="Times New Roman"/>
          <w:sz w:val="24"/>
          <w:szCs w:val="24"/>
        </w:rPr>
        <w:t xml:space="preserve"> Others such as aide Horace Porter and staff officer Adam Badeau were afforded positions as Private Secretary and United States Consul in London, respectively.</w:t>
      </w:r>
      <w:r w:rsidRPr="00BD6E3A">
        <w:rPr>
          <w:rFonts w:ascii="Times New Roman" w:hAnsi="Times New Roman" w:cs="Times New Roman"/>
          <w:sz w:val="24"/>
          <w:szCs w:val="24"/>
          <w:vertAlign w:val="superscript"/>
        </w:rPr>
        <w:footnoteReference w:id="431"/>
      </w:r>
      <w:r w:rsidRPr="00BD6E3A">
        <w:rPr>
          <w:rFonts w:ascii="Times New Roman" w:hAnsi="Times New Roman" w:cs="Times New Roman"/>
          <w:sz w:val="24"/>
          <w:szCs w:val="24"/>
        </w:rPr>
        <w:t xml:space="preserve"> Perhaps his most well-known ally, General William Tecumseh Sherman, was left in a unique position after Grant’s election. Sherman was adamantly a military man who sought to continue his service after the war in spite of those who sought to elect him to political posts. In his memoirs, Sherman asserted that “Then, as now, neatness in dress and form, with a strict conformity to the rules, were the qualifications required for office, and I suppose I was found not to excel in any of these,” poking fun at himself for not fitting the mold of contemporary politicians.</w:t>
      </w:r>
      <w:r w:rsidRPr="00BD6E3A">
        <w:rPr>
          <w:rFonts w:ascii="Times New Roman" w:hAnsi="Times New Roman" w:cs="Times New Roman"/>
          <w:sz w:val="24"/>
          <w:szCs w:val="24"/>
          <w:vertAlign w:val="superscript"/>
        </w:rPr>
        <w:footnoteReference w:id="432"/>
      </w:r>
      <w:r w:rsidRPr="00BD6E3A">
        <w:rPr>
          <w:rFonts w:ascii="Times New Roman" w:hAnsi="Times New Roman" w:cs="Times New Roman"/>
          <w:sz w:val="24"/>
          <w:szCs w:val="24"/>
        </w:rPr>
        <w:t xml:space="preserve"> Yet Grant’s friendship remained steadfast regardless of what others said, as Sherman attested that “Grant stood by me when I was crazy, and I stood by him when he was drunk, and now we stand by each other.”</w:t>
      </w:r>
      <w:r w:rsidRPr="00BD6E3A">
        <w:rPr>
          <w:rFonts w:ascii="Times New Roman" w:hAnsi="Times New Roman" w:cs="Times New Roman"/>
          <w:sz w:val="24"/>
          <w:szCs w:val="24"/>
          <w:vertAlign w:val="superscript"/>
        </w:rPr>
        <w:footnoteReference w:id="433"/>
      </w:r>
      <w:r w:rsidRPr="00BD6E3A">
        <w:rPr>
          <w:rFonts w:ascii="Times New Roman" w:hAnsi="Times New Roman" w:cs="Times New Roman"/>
          <w:sz w:val="24"/>
          <w:szCs w:val="24"/>
        </w:rPr>
        <w:t xml:space="preserve"> Grant appointed Sherman to replace him as the Commanding General of the United States Army during his presidency, a post akin to a Cabinet position in terms of military importance but without the full political circus that Sherman sought to avoid.</w:t>
      </w:r>
      <w:r w:rsidRPr="00BD6E3A">
        <w:rPr>
          <w:rFonts w:ascii="Times New Roman" w:hAnsi="Times New Roman" w:cs="Times New Roman"/>
          <w:sz w:val="24"/>
          <w:szCs w:val="24"/>
          <w:vertAlign w:val="superscript"/>
        </w:rPr>
        <w:footnoteReference w:id="434"/>
      </w:r>
    </w:p>
    <w:p w14:paraId="5F3B59ED" w14:textId="77777777" w:rsidR="006D6453" w:rsidRDefault="00BD6E3A" w:rsidP="006D6453">
      <w:pPr>
        <w:spacing w:line="480" w:lineRule="auto"/>
        <w:rPr>
          <w:noProof/>
        </w:rPr>
      </w:pPr>
      <w:r w:rsidRPr="00BD6E3A">
        <w:rPr>
          <w:rFonts w:ascii="Times New Roman" w:hAnsi="Times New Roman" w:cs="Times New Roman"/>
          <w:sz w:val="24"/>
          <w:szCs w:val="24"/>
        </w:rPr>
        <w:lastRenderedPageBreak/>
        <w:tab/>
        <w:t>Orville Babcock was chief among those Grant trusted, and as such the President ensured that his friend should hold a role in his administration. In an effort to assure that Babcock maintained his military commission, President Grant appointed him as his Private Secretary, a job that is akin to the modern-day Chief of Staff with some significant differences.</w:t>
      </w:r>
      <w:r w:rsidRPr="00BD6E3A">
        <w:rPr>
          <w:rFonts w:ascii="Times New Roman" w:hAnsi="Times New Roman" w:cs="Times New Roman"/>
          <w:sz w:val="24"/>
          <w:szCs w:val="24"/>
          <w:vertAlign w:val="superscript"/>
        </w:rPr>
        <w:footnoteReference w:id="435"/>
      </w:r>
      <w:r w:rsidRPr="00BD6E3A">
        <w:rPr>
          <w:rFonts w:ascii="Times New Roman" w:hAnsi="Times New Roman" w:cs="Times New Roman"/>
          <w:sz w:val="24"/>
          <w:szCs w:val="24"/>
        </w:rPr>
        <w:t xml:space="preserve"> This post was not subject to the processes of approval that many high-ranking posts go through, so this was instead a matter of the Commander-in-Chief appointing a military officer to a new position. As Private Secretary, Babcock held a key role. With many clawing at the gates, attempting to gain access to the President, Babcock served as the gatekeeper. He established his presence in an office just beyond the door of the President, making him his steadfast sentinel. He handled matters that an aide would: responding to letters, keeping the President’s schedule, providing counsel, and more. He continually took on additional roles during his time with the Grant Administration. Perhaps his most important role was not listed on any job description. Babcock regularly served as Grant’s eyes and ears in situations where the President himself could not be in multiple locations. Grant’s trust in his friend, his proven track record, his military training with the Army Corps of Engineers, and his understanding of the President’s desires made him an exceptional candidate to be sent on reconnaissance missions on behalf of the administration while gathering enough information for those with more power to make determinations. Babcock had a defining opportunity to make such strides when the potential to expand the Union into the Caribbean arose with the possible annexation of Santo Domingo emerging front and center on the agenda of the administration</w:t>
      </w:r>
      <w:r w:rsidR="006D6453">
        <w:rPr>
          <w:rFonts w:ascii="Times New Roman" w:hAnsi="Times New Roman" w:cs="Times New Roman"/>
          <w:sz w:val="24"/>
          <w:szCs w:val="24"/>
        </w:rPr>
        <w:t xml:space="preserve"> (</w:t>
      </w:r>
      <w:r w:rsidR="006D6453">
        <w:rPr>
          <w:rFonts w:ascii="Times New Roman" w:hAnsi="Times New Roman" w:cs="Times New Roman"/>
          <w:b/>
          <w:bCs/>
          <w:sz w:val="24"/>
          <w:szCs w:val="24"/>
        </w:rPr>
        <w:t>Figure 2.1</w:t>
      </w:r>
      <w:r w:rsidR="006D6453">
        <w:rPr>
          <w:rFonts w:ascii="Times New Roman" w:hAnsi="Times New Roman" w:cs="Times New Roman"/>
          <w:sz w:val="24"/>
          <w:szCs w:val="24"/>
        </w:rPr>
        <w:t>)</w:t>
      </w:r>
      <w:r w:rsidRPr="00BD6E3A">
        <w:rPr>
          <w:rFonts w:ascii="Times New Roman" w:hAnsi="Times New Roman" w:cs="Times New Roman"/>
          <w:sz w:val="24"/>
          <w:szCs w:val="24"/>
        </w:rPr>
        <w:t>.</w:t>
      </w:r>
      <w:r w:rsidR="006D6453" w:rsidRPr="006D6453">
        <w:rPr>
          <w:noProof/>
        </w:rPr>
        <w:t xml:space="preserve"> </w:t>
      </w:r>
    </w:p>
    <w:p w14:paraId="7FE1D4FE" w14:textId="15B516E0" w:rsidR="006D6453" w:rsidRDefault="006D6453" w:rsidP="006D6453">
      <w:pPr>
        <w:spacing w:line="240" w:lineRule="auto"/>
        <w:jc w:val="center"/>
        <w:rPr>
          <w:noProof/>
        </w:rPr>
      </w:pPr>
      <w:r>
        <w:rPr>
          <w:noProof/>
        </w:rPr>
        <w:lastRenderedPageBreak/>
        <w:drawing>
          <wp:inline distT="0" distB="0" distL="0" distR="0" wp14:anchorId="21795A39" wp14:editId="17091A7E">
            <wp:extent cx="3649980" cy="2974002"/>
            <wp:effectExtent l="0" t="0" r="7620" b="0"/>
            <wp:docPr id="12809490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49086" name="Picture 1" descr="A screenshot of a computer&#10;&#10;AI-generated content may be incorrect."/>
                    <pic:cNvPicPr/>
                  </pic:nvPicPr>
                  <pic:blipFill rotWithShape="1">
                    <a:blip r:embed="rId16"/>
                    <a:srcRect l="30326" t="21550" r="30580" b="21824"/>
                    <a:stretch/>
                  </pic:blipFill>
                  <pic:spPr bwMode="auto">
                    <a:xfrm>
                      <a:off x="0" y="0"/>
                      <a:ext cx="3683354" cy="3001195"/>
                    </a:xfrm>
                    <a:prstGeom prst="rect">
                      <a:avLst/>
                    </a:prstGeom>
                    <a:ln>
                      <a:noFill/>
                    </a:ln>
                    <a:extLst>
                      <a:ext uri="{53640926-AAD7-44D8-BBD7-CCE9431645EC}">
                        <a14:shadowObscured xmlns:a14="http://schemas.microsoft.com/office/drawing/2010/main"/>
                      </a:ext>
                    </a:extLst>
                  </pic:spPr>
                </pic:pic>
              </a:graphicData>
            </a:graphic>
          </wp:inline>
        </w:drawing>
      </w:r>
    </w:p>
    <w:p w14:paraId="29B2F238" w14:textId="74D35D6F" w:rsidR="006D6453" w:rsidRPr="00BD59A4" w:rsidRDefault="006D6453" w:rsidP="00D4420D">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Figure 2.1: </w:t>
      </w:r>
      <w:bookmarkStart w:id="20" w:name="_Hlk200793437"/>
      <w:r w:rsidRPr="00E35D12">
        <w:rPr>
          <w:rFonts w:ascii="Times New Roman" w:hAnsi="Times New Roman" w:cs="Times New Roman"/>
          <w:b/>
          <w:bCs/>
          <w:sz w:val="20"/>
          <w:szCs w:val="20"/>
        </w:rPr>
        <w:t>“The Embarkadero, or Wharf, of Santo Domingo, showing the Columbus Tree in the background</w:t>
      </w:r>
      <w:r>
        <w:rPr>
          <w:rFonts w:ascii="Times New Roman" w:hAnsi="Times New Roman" w:cs="Times New Roman"/>
          <w:b/>
          <w:bCs/>
          <w:sz w:val="20"/>
          <w:szCs w:val="20"/>
        </w:rPr>
        <w:t>,</w:t>
      </w:r>
      <w:r w:rsidRPr="00E35D12">
        <w:rPr>
          <w:rFonts w:ascii="Times New Roman" w:hAnsi="Times New Roman" w:cs="Times New Roman"/>
          <w:b/>
          <w:bCs/>
          <w:sz w:val="20"/>
          <w:szCs w:val="20"/>
        </w:rPr>
        <w:t>”</w:t>
      </w:r>
      <w:r>
        <w:rPr>
          <w:rFonts w:ascii="Times New Roman" w:hAnsi="Times New Roman" w:cs="Times New Roman"/>
          <w:b/>
          <w:bCs/>
          <w:sz w:val="20"/>
          <w:szCs w:val="20"/>
        </w:rPr>
        <w:t xml:space="preserve"> </w:t>
      </w:r>
      <w:bookmarkEnd w:id="20"/>
      <w:r>
        <w:rPr>
          <w:rFonts w:ascii="Times New Roman" w:hAnsi="Times New Roman" w:cs="Times New Roman"/>
          <w:sz w:val="20"/>
          <w:szCs w:val="20"/>
        </w:rPr>
        <w:t>a watercolor painting by James E. Taylor, 1871. This portrait depicts the thriving marketplace in the Caribbean the Grant Administration sought to add to the United States.</w:t>
      </w:r>
      <w:r>
        <w:rPr>
          <w:rStyle w:val="FootnoteReference"/>
          <w:rFonts w:ascii="Times New Roman" w:hAnsi="Times New Roman" w:cs="Times New Roman"/>
          <w:sz w:val="20"/>
          <w:szCs w:val="20"/>
        </w:rPr>
        <w:footnoteReference w:id="436"/>
      </w:r>
    </w:p>
    <w:p w14:paraId="2FE87F10" w14:textId="502D6062" w:rsidR="00BD6E3A" w:rsidRPr="00BD6E3A" w:rsidRDefault="00BD6E3A" w:rsidP="006D6453">
      <w:pPr>
        <w:spacing w:before="240" w:line="480" w:lineRule="auto"/>
        <w:jc w:val="center"/>
        <w:rPr>
          <w:rFonts w:ascii="Times New Roman" w:hAnsi="Times New Roman" w:cs="Times New Roman"/>
          <w:sz w:val="24"/>
          <w:szCs w:val="24"/>
        </w:rPr>
      </w:pPr>
      <w:r w:rsidRPr="00BD6E3A">
        <w:rPr>
          <w:rFonts w:ascii="Times New Roman" w:hAnsi="Times New Roman" w:cs="Times New Roman"/>
          <w:sz w:val="24"/>
          <w:szCs w:val="24"/>
        </w:rPr>
        <w:t>The Santo Domingo Question</w:t>
      </w:r>
    </w:p>
    <w:p w14:paraId="055F55D8" w14:textId="6A4CEF43"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President Grant’s handling of domestic affairs, such as Reconstruction in the South and</w:t>
      </w:r>
      <w:r w:rsidR="00E87B36">
        <w:rPr>
          <w:rFonts w:ascii="Times New Roman" w:hAnsi="Times New Roman" w:cs="Times New Roman"/>
          <w:sz w:val="24"/>
          <w:szCs w:val="24"/>
        </w:rPr>
        <w:t xml:space="preserve"> </w:t>
      </w:r>
      <w:r w:rsidRPr="00BD6E3A">
        <w:rPr>
          <w:rFonts w:ascii="Times New Roman" w:hAnsi="Times New Roman" w:cs="Times New Roman"/>
          <w:sz w:val="24"/>
          <w:szCs w:val="24"/>
        </w:rPr>
        <w:t>the emerging Ku Klux Klan, is oft examined, but his handling of foreign affairs is also critical to understanding his Presidency.</w:t>
      </w:r>
      <w:r w:rsidRPr="00BD6E3A">
        <w:rPr>
          <w:rFonts w:ascii="Times New Roman" w:hAnsi="Times New Roman" w:cs="Times New Roman"/>
          <w:sz w:val="24"/>
          <w:szCs w:val="24"/>
          <w:vertAlign w:val="superscript"/>
        </w:rPr>
        <w:footnoteReference w:id="437"/>
      </w:r>
      <w:r w:rsidRPr="00BD6E3A">
        <w:rPr>
          <w:rFonts w:ascii="Times New Roman" w:hAnsi="Times New Roman" w:cs="Times New Roman"/>
          <w:sz w:val="24"/>
          <w:szCs w:val="24"/>
        </w:rPr>
        <w:t xml:space="preserve"> Grant’s initial presidential opinion of foreign policy took but a short passage of his inaugural address, stating that he “would respect the rights of all nations, demanding equal respect for our own. If others depart from this rule in their dealings with us, we may be compelled to follow their precedent.”</w:t>
      </w:r>
      <w:r w:rsidRPr="00BD6E3A">
        <w:rPr>
          <w:rFonts w:ascii="Times New Roman" w:hAnsi="Times New Roman" w:cs="Times New Roman"/>
          <w:sz w:val="24"/>
          <w:szCs w:val="24"/>
          <w:vertAlign w:val="superscript"/>
        </w:rPr>
        <w:footnoteReference w:id="438"/>
      </w:r>
      <w:r w:rsidRPr="00BD6E3A">
        <w:rPr>
          <w:rFonts w:ascii="Times New Roman" w:hAnsi="Times New Roman" w:cs="Times New Roman"/>
          <w:sz w:val="24"/>
          <w:szCs w:val="24"/>
        </w:rPr>
        <w:t xml:space="preserve"> Grant took on the precedent set by presidents </w:t>
      </w:r>
      <w:r w:rsidRPr="00BD6E3A">
        <w:rPr>
          <w:rFonts w:ascii="Times New Roman" w:hAnsi="Times New Roman" w:cs="Times New Roman"/>
          <w:sz w:val="24"/>
          <w:szCs w:val="24"/>
        </w:rPr>
        <w:lastRenderedPageBreak/>
        <w:t xml:space="preserve">before him </w:t>
      </w:r>
      <w:r w:rsidR="005323E4">
        <w:rPr>
          <w:rFonts w:ascii="Times New Roman" w:hAnsi="Times New Roman" w:cs="Times New Roman"/>
          <w:sz w:val="24"/>
          <w:szCs w:val="24"/>
        </w:rPr>
        <w:t>by</w:t>
      </w:r>
      <w:r w:rsidRPr="00BD6E3A">
        <w:rPr>
          <w:rFonts w:ascii="Times New Roman" w:hAnsi="Times New Roman" w:cs="Times New Roman"/>
          <w:sz w:val="24"/>
          <w:szCs w:val="24"/>
        </w:rPr>
        <w:t xml:space="preserve"> adhering to the Monroe Doctrine, tasking the United States as the overseers of the Western Hemisphere while seeking to prevent European powers from finding footholds in the developing areas of Latin America.</w:t>
      </w:r>
      <w:r w:rsidRPr="00BD6E3A">
        <w:rPr>
          <w:rFonts w:ascii="Times New Roman" w:hAnsi="Times New Roman" w:cs="Times New Roman"/>
          <w:sz w:val="24"/>
          <w:szCs w:val="24"/>
          <w:vertAlign w:val="superscript"/>
        </w:rPr>
        <w:footnoteReference w:id="439"/>
      </w:r>
      <w:r w:rsidRPr="00BD6E3A">
        <w:rPr>
          <w:rFonts w:ascii="Times New Roman" w:hAnsi="Times New Roman" w:cs="Times New Roman"/>
          <w:sz w:val="24"/>
          <w:szCs w:val="24"/>
        </w:rPr>
        <w:t xml:space="preserve"> Issues between the United States and Spain sprang up quickly over the handling of insurgents in Cuba, and Grant remained wary of the French in the wake of their attempts to establish an empire in Mexico during the Civil War.</w:t>
      </w:r>
      <w:r w:rsidRPr="00BD6E3A">
        <w:rPr>
          <w:rFonts w:ascii="Times New Roman" w:hAnsi="Times New Roman" w:cs="Times New Roman"/>
          <w:sz w:val="24"/>
          <w:szCs w:val="24"/>
          <w:vertAlign w:val="superscript"/>
        </w:rPr>
        <w:footnoteReference w:id="440"/>
      </w:r>
      <w:r w:rsidRPr="00BD6E3A">
        <w:rPr>
          <w:rFonts w:ascii="Times New Roman" w:hAnsi="Times New Roman" w:cs="Times New Roman"/>
          <w:sz w:val="24"/>
          <w:szCs w:val="24"/>
        </w:rPr>
        <w:t xml:space="preserve"> One of the more pressing concerns that required an expeditious resolution was the dispute with England over the </w:t>
      </w:r>
      <w:r w:rsidRPr="00BD6E3A">
        <w:rPr>
          <w:rFonts w:ascii="Times New Roman" w:hAnsi="Times New Roman" w:cs="Times New Roman"/>
          <w:i/>
          <w:iCs/>
          <w:sz w:val="24"/>
          <w:szCs w:val="24"/>
        </w:rPr>
        <w:t xml:space="preserve">Alabama </w:t>
      </w:r>
      <w:r w:rsidRPr="00BD6E3A">
        <w:rPr>
          <w:rFonts w:ascii="Times New Roman" w:hAnsi="Times New Roman" w:cs="Times New Roman"/>
          <w:sz w:val="24"/>
          <w:szCs w:val="24"/>
        </w:rPr>
        <w:t>claims, an issue in which the British sought repayment for crafting ships for the Confederacy.</w:t>
      </w:r>
      <w:r w:rsidRPr="00BD6E3A">
        <w:rPr>
          <w:rFonts w:ascii="Times New Roman" w:hAnsi="Times New Roman" w:cs="Times New Roman"/>
          <w:sz w:val="24"/>
          <w:szCs w:val="24"/>
          <w:vertAlign w:val="superscript"/>
        </w:rPr>
        <w:footnoteReference w:id="441"/>
      </w:r>
      <w:r w:rsidRPr="00BD6E3A">
        <w:rPr>
          <w:rFonts w:ascii="Times New Roman" w:hAnsi="Times New Roman" w:cs="Times New Roman"/>
          <w:sz w:val="24"/>
          <w:szCs w:val="24"/>
        </w:rPr>
        <w:t xml:space="preserve"> Grant and the United States argued that by their own actions, the British removed themselves from a neutral position, and as such they owed damages to the United States while the British sought their outstanding Confederate payments.</w:t>
      </w:r>
      <w:r w:rsidRPr="00BD6E3A">
        <w:rPr>
          <w:rFonts w:ascii="Times New Roman" w:hAnsi="Times New Roman" w:cs="Times New Roman"/>
          <w:sz w:val="24"/>
          <w:szCs w:val="24"/>
          <w:vertAlign w:val="superscript"/>
        </w:rPr>
        <w:footnoteReference w:id="442"/>
      </w:r>
      <w:r w:rsidRPr="00BD6E3A">
        <w:rPr>
          <w:rFonts w:ascii="Times New Roman" w:hAnsi="Times New Roman" w:cs="Times New Roman"/>
          <w:sz w:val="24"/>
          <w:szCs w:val="24"/>
        </w:rPr>
        <w:t xml:space="preserve"> These were but a few of the challenges that the new Grant Administration faced at its onset, but the episode that pertains most directly to the development of Babcock, our prime pragmatico, relates to an effort to acquire land and establish a naval presence in the Caribbean.</w:t>
      </w:r>
    </w:p>
    <w:p w14:paraId="356CE875" w14:textId="43B1FD11"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During the first year of Grant’s presidency in 1869, the administration began to explore the possibility of annexing Santo Domingo, what we refer to today as the Dominican Republic. Santo Domingo, essentially a republic at the time, occupied the eastern section of Hispaniola and suffered from decades of political instability. In the late 1860s, the nation of Santo Domingo occupied 21,000 square miles of land, making it larger than eight states in the Union with a wealth of rich farmland that could be used to grow significant commodities for export to the </w:t>
      </w:r>
      <w:r w:rsidRPr="00BD6E3A">
        <w:rPr>
          <w:rFonts w:ascii="Times New Roman" w:hAnsi="Times New Roman" w:cs="Times New Roman"/>
          <w:sz w:val="24"/>
          <w:szCs w:val="24"/>
        </w:rPr>
        <w:lastRenderedPageBreak/>
        <w:t>world at large.</w:t>
      </w:r>
      <w:r w:rsidRPr="00BD6E3A">
        <w:rPr>
          <w:rFonts w:ascii="Times New Roman" w:hAnsi="Times New Roman" w:cs="Times New Roman"/>
          <w:sz w:val="24"/>
          <w:szCs w:val="24"/>
          <w:vertAlign w:val="superscript"/>
        </w:rPr>
        <w:footnoteReference w:id="443"/>
      </w:r>
      <w:r w:rsidRPr="00BD6E3A">
        <w:rPr>
          <w:rFonts w:ascii="Times New Roman" w:hAnsi="Times New Roman" w:cs="Times New Roman"/>
          <w:sz w:val="24"/>
          <w:szCs w:val="24"/>
        </w:rPr>
        <w:t xml:space="preserve"> The population of the nation was likely near 100,000, though some </w:t>
      </w:r>
      <w:r w:rsidR="007578FD">
        <w:rPr>
          <w:rFonts w:ascii="Times New Roman" w:hAnsi="Times New Roman" w:cs="Times New Roman"/>
          <w:sz w:val="24"/>
          <w:szCs w:val="24"/>
        </w:rPr>
        <w:t>source</w:t>
      </w:r>
      <w:r w:rsidRPr="00BD6E3A">
        <w:rPr>
          <w:rFonts w:ascii="Times New Roman" w:hAnsi="Times New Roman" w:cs="Times New Roman"/>
          <w:sz w:val="24"/>
          <w:szCs w:val="24"/>
        </w:rPr>
        <w:t>s suggest it was closer to 300,000, with a</w:t>
      </w:r>
      <w:r w:rsidR="007578FD">
        <w:rPr>
          <w:rFonts w:ascii="Times New Roman" w:hAnsi="Times New Roman" w:cs="Times New Roman"/>
          <w:sz w:val="24"/>
          <w:szCs w:val="24"/>
        </w:rPr>
        <w:t xml:space="preserve"> demography</w:t>
      </w:r>
      <w:r w:rsidRPr="00BD6E3A">
        <w:rPr>
          <w:rFonts w:ascii="Times New Roman" w:hAnsi="Times New Roman" w:cs="Times New Roman"/>
          <w:sz w:val="24"/>
          <w:szCs w:val="24"/>
        </w:rPr>
        <w:t xml:space="preserve"> that was </w:t>
      </w:r>
      <w:r w:rsidR="007578FD">
        <w:rPr>
          <w:rFonts w:ascii="Times New Roman" w:hAnsi="Times New Roman" w:cs="Times New Roman"/>
          <w:sz w:val="24"/>
          <w:szCs w:val="24"/>
        </w:rPr>
        <w:t>primari</w:t>
      </w:r>
      <w:r w:rsidRPr="00BD6E3A">
        <w:rPr>
          <w:rFonts w:ascii="Times New Roman" w:hAnsi="Times New Roman" w:cs="Times New Roman"/>
          <w:sz w:val="24"/>
          <w:szCs w:val="24"/>
        </w:rPr>
        <w:t>ly black or mixed race with a smaller white population descended from the previous Spanish regime.</w:t>
      </w:r>
      <w:r w:rsidRPr="00BD6E3A">
        <w:rPr>
          <w:rFonts w:ascii="Times New Roman" w:hAnsi="Times New Roman" w:cs="Times New Roman"/>
          <w:sz w:val="24"/>
          <w:szCs w:val="24"/>
          <w:vertAlign w:val="superscript"/>
        </w:rPr>
        <w:footnoteReference w:id="444"/>
      </w:r>
      <w:r w:rsidRPr="00BD6E3A">
        <w:rPr>
          <w:rFonts w:ascii="Times New Roman" w:hAnsi="Times New Roman" w:cs="Times New Roman"/>
          <w:sz w:val="24"/>
          <w:szCs w:val="24"/>
        </w:rPr>
        <w:t xml:space="preserve"> The nation gained its independence from the Spanish in 1821, though it quickly fell to occupation by their neighbors on Hispaniola, the Haitians, who they overthrew in 1844 to officially become an independent nation.</w:t>
      </w:r>
      <w:r w:rsidRPr="00BD6E3A">
        <w:rPr>
          <w:rFonts w:ascii="Times New Roman" w:hAnsi="Times New Roman" w:cs="Times New Roman"/>
          <w:sz w:val="24"/>
          <w:szCs w:val="24"/>
          <w:vertAlign w:val="superscript"/>
        </w:rPr>
        <w:footnoteReference w:id="445"/>
      </w:r>
      <w:r w:rsidRPr="00BD6E3A">
        <w:rPr>
          <w:rFonts w:ascii="Times New Roman" w:hAnsi="Times New Roman" w:cs="Times New Roman"/>
          <w:sz w:val="24"/>
          <w:szCs w:val="24"/>
        </w:rPr>
        <w:t xml:space="preserve"> Though Santo Domingo had its independence, </w:t>
      </w:r>
      <w:r w:rsidR="00036631">
        <w:rPr>
          <w:rFonts w:ascii="Times New Roman" w:hAnsi="Times New Roman" w:cs="Times New Roman"/>
          <w:sz w:val="24"/>
          <w:szCs w:val="24"/>
        </w:rPr>
        <w:t>regular</w:t>
      </w:r>
      <w:r w:rsidRPr="00BD6E3A">
        <w:rPr>
          <w:rFonts w:ascii="Times New Roman" w:hAnsi="Times New Roman" w:cs="Times New Roman"/>
          <w:sz w:val="24"/>
          <w:szCs w:val="24"/>
        </w:rPr>
        <w:t xml:space="preserve"> interference from the Haitians and stark factionalism led to a continually changing system of governance in the nation’s earliest years.</w:t>
      </w:r>
      <w:r w:rsidRPr="00BD6E3A">
        <w:rPr>
          <w:rFonts w:ascii="Times New Roman" w:hAnsi="Times New Roman" w:cs="Times New Roman"/>
          <w:sz w:val="24"/>
          <w:szCs w:val="24"/>
          <w:vertAlign w:val="superscript"/>
        </w:rPr>
        <w:footnoteReference w:id="446"/>
      </w:r>
      <w:r w:rsidRPr="00BD6E3A">
        <w:rPr>
          <w:rFonts w:ascii="Times New Roman" w:hAnsi="Times New Roman" w:cs="Times New Roman"/>
          <w:sz w:val="24"/>
          <w:szCs w:val="24"/>
        </w:rPr>
        <w:t xml:space="preserve"> The Spanish attempted to regain control of Santo Domingo in 1861, but Dominican resistance proved to be too much for the Spanish who withdrew in 1865.</w:t>
      </w:r>
      <w:r w:rsidRPr="00BD6E3A">
        <w:rPr>
          <w:rFonts w:ascii="Times New Roman" w:hAnsi="Times New Roman" w:cs="Times New Roman"/>
          <w:sz w:val="24"/>
          <w:szCs w:val="24"/>
          <w:vertAlign w:val="superscript"/>
        </w:rPr>
        <w:footnoteReference w:id="447"/>
      </w:r>
      <w:r w:rsidRPr="00BD6E3A">
        <w:rPr>
          <w:rFonts w:ascii="Times New Roman" w:hAnsi="Times New Roman" w:cs="Times New Roman"/>
          <w:sz w:val="24"/>
          <w:szCs w:val="24"/>
        </w:rPr>
        <w:t xml:space="preserve"> Early 1868 led to another governmental upheaval, as the government of President José Cabral fell to the upstart troops of Buenaventura Báez, who had previously held the office three times but now faced armed opposition from Cabral and his allies.</w:t>
      </w:r>
      <w:r w:rsidRPr="00BD6E3A">
        <w:rPr>
          <w:rFonts w:ascii="Times New Roman" w:hAnsi="Times New Roman" w:cs="Times New Roman"/>
          <w:sz w:val="24"/>
          <w:szCs w:val="24"/>
          <w:vertAlign w:val="superscript"/>
        </w:rPr>
        <w:footnoteReference w:id="448"/>
      </w:r>
      <w:r w:rsidRPr="00BD6E3A">
        <w:rPr>
          <w:rFonts w:ascii="Times New Roman" w:hAnsi="Times New Roman" w:cs="Times New Roman"/>
          <w:sz w:val="24"/>
          <w:szCs w:val="24"/>
        </w:rPr>
        <w:t xml:space="preserve"> Further complicating Báez’s new regime was the fact that the Dominican coffers were running dry, and with the enemy at the gate, Báez sought help from outside forces through either protectorate status or annexation, the latter of which the United States found particularly intriguing.</w:t>
      </w:r>
      <w:r w:rsidRPr="00BD6E3A">
        <w:rPr>
          <w:rFonts w:ascii="Times New Roman" w:hAnsi="Times New Roman" w:cs="Times New Roman"/>
          <w:sz w:val="24"/>
          <w:szCs w:val="24"/>
          <w:vertAlign w:val="superscript"/>
        </w:rPr>
        <w:footnoteReference w:id="449"/>
      </w:r>
    </w:p>
    <w:p w14:paraId="2E1E91B1" w14:textId="4CC7E3CC" w:rsidR="00BD6E3A" w:rsidRPr="00BD6E3A" w:rsidRDefault="00BD6E3A" w:rsidP="00BD6E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rFonts w:ascii="Times New Roman" w:hAnsi="Times New Roman" w:cs="Times New Roman"/>
          <w:sz w:val="24"/>
          <w:szCs w:val="24"/>
        </w:rPr>
      </w:pPr>
      <w:r w:rsidRPr="00BD6E3A">
        <w:rPr>
          <w:rFonts w:ascii="Times New Roman" w:hAnsi="Times New Roman" w:cs="Times New Roman"/>
          <w:sz w:val="24"/>
          <w:szCs w:val="24"/>
        </w:rPr>
        <w:lastRenderedPageBreak/>
        <w:tab/>
        <w:t>Planning for a potential annexation project began long before the Grant Administration, dating back to the 1840s, though no real progress had been made.  During the 1840s and 1850s, different presidents dispatched officers to Hispaniola in an attempt to gauge the potential of the island in terms of both economic and military strategy.</w:t>
      </w:r>
      <w:r w:rsidRPr="00BD6E3A">
        <w:rPr>
          <w:rFonts w:ascii="Times New Roman" w:hAnsi="Times New Roman" w:cs="Times New Roman"/>
          <w:sz w:val="24"/>
          <w:szCs w:val="24"/>
          <w:vertAlign w:val="superscript"/>
        </w:rPr>
        <w:footnoteReference w:id="450"/>
      </w:r>
      <w:r w:rsidRPr="00BD6E3A">
        <w:rPr>
          <w:rFonts w:ascii="Times New Roman" w:hAnsi="Times New Roman" w:cs="Times New Roman"/>
          <w:sz w:val="24"/>
          <w:szCs w:val="24"/>
        </w:rPr>
        <w:t xml:space="preserve"> One of these men, a young Army engineer Captain George McClellan, reported earnestly in 1854 that the United States should attempt to establish a base on the island.</w:t>
      </w:r>
      <w:r w:rsidRPr="00BD6E3A">
        <w:rPr>
          <w:rFonts w:ascii="Times New Roman" w:hAnsi="Times New Roman" w:cs="Times New Roman"/>
          <w:sz w:val="24"/>
          <w:szCs w:val="24"/>
          <w:vertAlign w:val="superscript"/>
        </w:rPr>
        <w:footnoteReference w:id="451"/>
      </w:r>
      <w:r w:rsidRPr="00BD6E3A">
        <w:rPr>
          <w:rFonts w:ascii="Times New Roman" w:hAnsi="Times New Roman" w:cs="Times New Roman"/>
          <w:sz w:val="24"/>
          <w:szCs w:val="24"/>
        </w:rPr>
        <w:t xml:space="preserve"> The Bay of Samaná was of particular interest to the United States, as it served as a lookout point to the Atlantic from the easternmost point of the island, and the location could be used as a military base and a fueling station for American forces in the Caribbean.</w:t>
      </w:r>
      <w:r w:rsidRPr="00BD6E3A">
        <w:rPr>
          <w:rFonts w:ascii="Times New Roman" w:hAnsi="Times New Roman" w:cs="Times New Roman"/>
          <w:sz w:val="24"/>
          <w:szCs w:val="24"/>
          <w:vertAlign w:val="superscript"/>
        </w:rPr>
        <w:footnoteReference w:id="452"/>
      </w:r>
      <w:r w:rsidRPr="00BD6E3A">
        <w:rPr>
          <w:rFonts w:ascii="Times New Roman" w:hAnsi="Times New Roman" w:cs="Times New Roman"/>
          <w:sz w:val="24"/>
          <w:szCs w:val="24"/>
        </w:rPr>
        <w:t xml:space="preserve"> After a brief pause due to Spanish occupation of Santo Domingo during the American Civil War, negotiations between </w:t>
      </w:r>
      <w:r w:rsidR="00036631">
        <w:rPr>
          <w:rFonts w:ascii="Times New Roman" w:hAnsi="Times New Roman" w:cs="Times New Roman"/>
          <w:sz w:val="24"/>
          <w:szCs w:val="24"/>
        </w:rPr>
        <w:t xml:space="preserve">new </w:t>
      </w:r>
      <w:r w:rsidRPr="00BD6E3A">
        <w:rPr>
          <w:rFonts w:ascii="Times New Roman" w:hAnsi="Times New Roman" w:cs="Times New Roman"/>
          <w:sz w:val="24"/>
          <w:szCs w:val="24"/>
        </w:rPr>
        <w:t xml:space="preserve">President Andrew Johnson’s Administration and that of Santo Domingo commenced again, though these were halted in 1868 when the </w:t>
      </w:r>
      <w:r w:rsidR="006B4476">
        <w:rPr>
          <w:rFonts w:ascii="Times New Roman" w:hAnsi="Times New Roman" w:cs="Times New Roman"/>
          <w:sz w:val="24"/>
          <w:szCs w:val="24"/>
        </w:rPr>
        <w:t xml:space="preserve">Dominican </w:t>
      </w:r>
      <w:r w:rsidRPr="00BD6E3A">
        <w:rPr>
          <w:rFonts w:ascii="Times New Roman" w:hAnsi="Times New Roman" w:cs="Times New Roman"/>
          <w:sz w:val="24"/>
          <w:szCs w:val="24"/>
        </w:rPr>
        <w:t>government changed hands again to Báez.</w:t>
      </w:r>
      <w:r w:rsidRPr="00BD6E3A">
        <w:rPr>
          <w:rFonts w:ascii="Times New Roman" w:hAnsi="Times New Roman" w:cs="Times New Roman"/>
          <w:sz w:val="24"/>
          <w:szCs w:val="24"/>
          <w:vertAlign w:val="superscript"/>
        </w:rPr>
        <w:footnoteReference w:id="453"/>
      </w:r>
      <w:r w:rsidRPr="00BD6E3A">
        <w:rPr>
          <w:rFonts w:ascii="Times New Roman" w:hAnsi="Times New Roman" w:cs="Times New Roman"/>
          <w:sz w:val="24"/>
          <w:szCs w:val="24"/>
        </w:rPr>
        <w:t xml:space="preserve"> </w:t>
      </w:r>
    </w:p>
    <w:p w14:paraId="65C80E30" w14:textId="051F9603"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The potential acquisition of Santo Domingo was driven largely by a desire to maintain the Monroe Doctrine and prevent a new European presence in the Western Hemisphere. From a military standpoint, Grant learned during the American Civil War that the nation needed to pursue a more active naval presence in the Caribbean, particularly to defend its own interests.</w:t>
      </w:r>
      <w:r w:rsidRPr="00BD6E3A">
        <w:rPr>
          <w:rFonts w:ascii="Times New Roman" w:hAnsi="Times New Roman" w:cs="Times New Roman"/>
          <w:sz w:val="24"/>
          <w:szCs w:val="24"/>
          <w:vertAlign w:val="superscript"/>
        </w:rPr>
        <w:footnoteReference w:id="454"/>
      </w:r>
      <w:r w:rsidRPr="00BD6E3A">
        <w:rPr>
          <w:rFonts w:ascii="Times New Roman" w:hAnsi="Times New Roman" w:cs="Times New Roman"/>
          <w:sz w:val="24"/>
          <w:szCs w:val="24"/>
        </w:rPr>
        <w:t xml:space="preserve"> During the Civil War, the Spanish were able to enter and occupy Cuba for nearly four years before </w:t>
      </w:r>
      <w:r w:rsidR="00C5627F">
        <w:rPr>
          <w:rFonts w:ascii="Times New Roman" w:hAnsi="Times New Roman" w:cs="Times New Roman"/>
          <w:sz w:val="24"/>
          <w:szCs w:val="24"/>
        </w:rPr>
        <w:t xml:space="preserve">being chased out </w:t>
      </w:r>
      <w:r w:rsidRPr="00BD6E3A">
        <w:rPr>
          <w:rFonts w:ascii="Times New Roman" w:hAnsi="Times New Roman" w:cs="Times New Roman"/>
          <w:sz w:val="24"/>
          <w:szCs w:val="24"/>
        </w:rPr>
        <w:t xml:space="preserve">in 1865, so recent precedents were clear regarding how such a presence </w:t>
      </w:r>
      <w:r w:rsidRPr="00BD6E3A">
        <w:rPr>
          <w:rFonts w:ascii="Times New Roman" w:hAnsi="Times New Roman" w:cs="Times New Roman"/>
          <w:sz w:val="24"/>
          <w:szCs w:val="24"/>
        </w:rPr>
        <w:lastRenderedPageBreak/>
        <w:t>could be attained in the region.</w:t>
      </w:r>
      <w:r w:rsidRPr="00BD6E3A">
        <w:rPr>
          <w:rFonts w:ascii="Times New Roman" w:hAnsi="Times New Roman" w:cs="Times New Roman"/>
          <w:sz w:val="24"/>
          <w:szCs w:val="24"/>
          <w:vertAlign w:val="superscript"/>
        </w:rPr>
        <w:footnoteReference w:id="455"/>
      </w:r>
      <w:r w:rsidRPr="00BD6E3A">
        <w:rPr>
          <w:rFonts w:ascii="Times New Roman" w:hAnsi="Times New Roman" w:cs="Times New Roman"/>
          <w:sz w:val="24"/>
          <w:szCs w:val="24"/>
        </w:rPr>
        <w:t xml:space="preserve"> There remained the real possibility that the Spanish may attempt to reclaim their former territory. </w:t>
      </w:r>
      <w:r w:rsidR="00DA2A94">
        <w:rPr>
          <w:rFonts w:ascii="Times New Roman" w:hAnsi="Times New Roman" w:cs="Times New Roman"/>
          <w:sz w:val="24"/>
          <w:szCs w:val="24"/>
        </w:rPr>
        <w:t>T</w:t>
      </w:r>
      <w:r w:rsidRPr="00BD6E3A">
        <w:rPr>
          <w:rFonts w:ascii="Times New Roman" w:hAnsi="Times New Roman" w:cs="Times New Roman"/>
          <w:sz w:val="24"/>
          <w:szCs w:val="24"/>
        </w:rPr>
        <w:t xml:space="preserve">he Caribbean </w:t>
      </w:r>
      <w:r w:rsidR="00DA2A94">
        <w:rPr>
          <w:rFonts w:ascii="Times New Roman" w:hAnsi="Times New Roman" w:cs="Times New Roman"/>
          <w:sz w:val="24"/>
          <w:szCs w:val="24"/>
        </w:rPr>
        <w:t>pos</w:t>
      </w:r>
      <w:r w:rsidRPr="00BD6E3A">
        <w:rPr>
          <w:rFonts w:ascii="Times New Roman" w:hAnsi="Times New Roman" w:cs="Times New Roman"/>
          <w:sz w:val="24"/>
          <w:szCs w:val="24"/>
        </w:rPr>
        <w:t>ed a quandary in the earliest years of Reconstruction. In 1867, the Johnson Administration attempted to complete a treaty with Denmark to acquire the thirty-one square mile St. Thomas as the American foothold in the region.</w:t>
      </w:r>
      <w:r w:rsidRPr="00BD6E3A">
        <w:rPr>
          <w:rFonts w:ascii="Times New Roman" w:hAnsi="Times New Roman" w:cs="Times New Roman"/>
          <w:sz w:val="24"/>
          <w:szCs w:val="24"/>
          <w:vertAlign w:val="superscript"/>
        </w:rPr>
        <w:footnoteReference w:id="456"/>
      </w:r>
      <w:r w:rsidRPr="00BD6E3A">
        <w:rPr>
          <w:rFonts w:ascii="Times New Roman" w:hAnsi="Times New Roman" w:cs="Times New Roman"/>
          <w:sz w:val="24"/>
          <w:szCs w:val="24"/>
        </w:rPr>
        <w:t xml:space="preserve"> This proved to be untenable, as the island suffered repeat natural disasters that led to a decline in America’s interest, and the proposed deal fell through.</w:t>
      </w:r>
      <w:r w:rsidRPr="00BD6E3A">
        <w:rPr>
          <w:rFonts w:ascii="Times New Roman" w:hAnsi="Times New Roman" w:cs="Times New Roman"/>
          <w:sz w:val="24"/>
          <w:szCs w:val="24"/>
          <w:vertAlign w:val="superscript"/>
        </w:rPr>
        <w:footnoteReference w:id="457"/>
      </w:r>
      <w:r w:rsidRPr="00BD6E3A">
        <w:rPr>
          <w:rFonts w:ascii="Times New Roman" w:hAnsi="Times New Roman" w:cs="Times New Roman"/>
          <w:sz w:val="24"/>
          <w:szCs w:val="24"/>
        </w:rPr>
        <w:t xml:space="preserve"> Concerns over the area ramped up in March 1868, as Senator Sumner wrote to Secretary of State William Seward of his fears that the North German Confederation sought to “obtain a naval station in the West Indies.”</w:t>
      </w:r>
      <w:r w:rsidRPr="00BD6E3A">
        <w:rPr>
          <w:rFonts w:ascii="Times New Roman" w:hAnsi="Times New Roman" w:cs="Times New Roman"/>
          <w:sz w:val="24"/>
          <w:szCs w:val="24"/>
          <w:vertAlign w:val="superscript"/>
        </w:rPr>
        <w:footnoteReference w:id="458"/>
      </w:r>
      <w:r w:rsidRPr="00BD6E3A">
        <w:rPr>
          <w:rFonts w:ascii="Times New Roman" w:hAnsi="Times New Roman" w:cs="Times New Roman"/>
          <w:sz w:val="24"/>
          <w:szCs w:val="24"/>
        </w:rPr>
        <w:t xml:space="preserve">  Perhaps in response to such growing concerns, President Grant outlined that Santo Domingo was exactly the answer his nation sought, labeling the island nation “the gate to the Carib[b]ean” in a memo that aptly outlined the “Reasons Why Santo Domingo Should Be Annexed to the United States.”</w:t>
      </w:r>
      <w:r w:rsidRPr="00BD6E3A">
        <w:rPr>
          <w:rFonts w:ascii="Times New Roman" w:hAnsi="Times New Roman" w:cs="Times New Roman"/>
          <w:sz w:val="24"/>
          <w:szCs w:val="24"/>
          <w:vertAlign w:val="superscript"/>
        </w:rPr>
        <w:footnoteReference w:id="459"/>
      </w:r>
      <w:r w:rsidRPr="00BD6E3A">
        <w:rPr>
          <w:rFonts w:ascii="Times New Roman" w:hAnsi="Times New Roman" w:cs="Times New Roman"/>
          <w:sz w:val="24"/>
          <w:szCs w:val="24"/>
        </w:rPr>
        <w:t xml:space="preserve"> </w:t>
      </w:r>
      <w:r w:rsidR="00CF04AC">
        <w:rPr>
          <w:rFonts w:ascii="Times New Roman" w:hAnsi="Times New Roman" w:cs="Times New Roman"/>
          <w:sz w:val="24"/>
          <w:szCs w:val="24"/>
        </w:rPr>
        <w:t>This message became a critical piece of what historian Ryan Semmes refers to as the “Grant Doctrine,” which was an effort by “the United States finally to divest itself from the slave society of Cuba” by attempting to “export citizenship rights to the Dominican people, build up its economy with free labor, and, in doing so, gradually strangle the slave economy of Cuba.”</w:t>
      </w:r>
      <w:r w:rsidR="001B07EE">
        <w:rPr>
          <w:rStyle w:val="FootnoteReference"/>
          <w:rFonts w:ascii="Times New Roman" w:hAnsi="Times New Roman" w:cs="Times New Roman"/>
          <w:sz w:val="24"/>
          <w:szCs w:val="24"/>
        </w:rPr>
        <w:footnoteReference w:id="460"/>
      </w:r>
      <w:r w:rsidR="00CF04AC">
        <w:rPr>
          <w:rFonts w:ascii="Times New Roman" w:hAnsi="Times New Roman" w:cs="Times New Roman"/>
          <w:sz w:val="24"/>
          <w:szCs w:val="24"/>
        </w:rPr>
        <w:t xml:space="preserve"> </w:t>
      </w:r>
      <w:r w:rsidRPr="00BD6E3A">
        <w:rPr>
          <w:rFonts w:ascii="Times New Roman" w:hAnsi="Times New Roman" w:cs="Times New Roman"/>
          <w:sz w:val="24"/>
          <w:szCs w:val="24"/>
        </w:rPr>
        <w:t xml:space="preserve">Under President Grant, it became clear that a reassertion of the Monroe Doctrine was necessary to prove the United States remained the watchdog of the Americas, and </w:t>
      </w:r>
      <w:r w:rsidR="00423E12">
        <w:rPr>
          <w:rFonts w:ascii="Times New Roman" w:hAnsi="Times New Roman" w:cs="Times New Roman"/>
          <w:sz w:val="24"/>
          <w:szCs w:val="24"/>
        </w:rPr>
        <w:t>the yard it protected sought to expand to include</w:t>
      </w:r>
      <w:r w:rsidRPr="00BD6E3A">
        <w:rPr>
          <w:rFonts w:ascii="Times New Roman" w:hAnsi="Times New Roman" w:cs="Times New Roman"/>
          <w:sz w:val="24"/>
          <w:szCs w:val="24"/>
        </w:rPr>
        <w:t xml:space="preserve"> Santo Domingo. </w:t>
      </w:r>
    </w:p>
    <w:p w14:paraId="46D52DF0" w14:textId="77777777" w:rsid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lastRenderedPageBreak/>
        <w:t>In addition to the enforcement of the Monroe Doctrine and the potential for military and economic presence in the Caribbean, the social considerations of Dominican annexation were significant, particularly when factoring in considerations of race and the persistence of slavery in the Western Hemisphere. After the United States’s successful abolition of slavery, many slaveholders left for foreign shores to maintain their control over labor, absconding to Brazil and Cuba.</w:t>
      </w:r>
      <w:r w:rsidRPr="00BD6E3A">
        <w:rPr>
          <w:rFonts w:ascii="Times New Roman" w:hAnsi="Times New Roman" w:cs="Times New Roman"/>
          <w:sz w:val="24"/>
          <w:szCs w:val="24"/>
          <w:vertAlign w:val="superscript"/>
        </w:rPr>
        <w:footnoteReference w:id="461"/>
      </w:r>
      <w:r w:rsidRPr="00BD6E3A">
        <w:rPr>
          <w:rFonts w:ascii="Times New Roman" w:hAnsi="Times New Roman" w:cs="Times New Roman"/>
          <w:sz w:val="24"/>
          <w:szCs w:val="24"/>
        </w:rPr>
        <w:t xml:space="preserve"> President Grant acknowledged the American role in this shift, as well as America’s culpability in the perpetuation of the practice, by claiming that America was the Western Hemisphere’s “largest supporter” of slavery by continuing to use products and pay export duties “to support slavery and Monarchy.”</w:t>
      </w:r>
      <w:r w:rsidRPr="00BD6E3A">
        <w:rPr>
          <w:rFonts w:ascii="Times New Roman" w:hAnsi="Times New Roman" w:cs="Times New Roman"/>
          <w:sz w:val="24"/>
          <w:szCs w:val="24"/>
          <w:vertAlign w:val="superscript"/>
        </w:rPr>
        <w:footnoteReference w:id="462"/>
      </w:r>
      <w:r w:rsidRPr="00BD6E3A">
        <w:rPr>
          <w:rFonts w:ascii="Times New Roman" w:hAnsi="Times New Roman" w:cs="Times New Roman"/>
          <w:sz w:val="24"/>
          <w:szCs w:val="24"/>
        </w:rPr>
        <w:t xml:space="preserve"> He charged that, through annexation of Santo Domingo, slave labor in the Americas would become “unprofitable,” as these nations would have to adapt to the new order or fall by the wayside.</w:t>
      </w:r>
      <w:r w:rsidRPr="00BD6E3A">
        <w:rPr>
          <w:rFonts w:ascii="Times New Roman" w:hAnsi="Times New Roman" w:cs="Times New Roman"/>
          <w:sz w:val="24"/>
          <w:szCs w:val="24"/>
          <w:vertAlign w:val="superscript"/>
        </w:rPr>
        <w:footnoteReference w:id="463"/>
      </w:r>
      <w:r w:rsidRPr="00BD6E3A">
        <w:rPr>
          <w:rFonts w:ascii="Times New Roman" w:hAnsi="Times New Roman" w:cs="Times New Roman"/>
          <w:sz w:val="24"/>
          <w:szCs w:val="24"/>
        </w:rPr>
        <w:t xml:space="preserve"> This also enabled President Grant to weigh in on the opportunities the island brought for advancement of the freed people in the United States. He argued that “caste had no foothold” in Santo Domingo, an oversimplification by modern standards, but a marked improvement over contemporary considerations, particularly in the American South.</w:t>
      </w:r>
      <w:r w:rsidRPr="00BD6E3A">
        <w:rPr>
          <w:rFonts w:ascii="Times New Roman" w:hAnsi="Times New Roman" w:cs="Times New Roman"/>
          <w:sz w:val="24"/>
          <w:szCs w:val="24"/>
          <w:vertAlign w:val="superscript"/>
        </w:rPr>
        <w:footnoteReference w:id="464"/>
      </w:r>
      <w:r w:rsidRPr="00BD6E3A">
        <w:rPr>
          <w:rFonts w:ascii="Times New Roman" w:hAnsi="Times New Roman" w:cs="Times New Roman"/>
          <w:sz w:val="24"/>
          <w:szCs w:val="24"/>
        </w:rPr>
        <w:t xml:space="preserve"> As Americans continued to debate whether the United States could be a nation with interracial tolerance or if repopulation efforts of people of African descent would be best for all parties in the future, Grant offered that Santo Domingo could serve as a relocation site, but that it could also prove to be a bastion of new tolerance:</w:t>
      </w:r>
    </w:p>
    <w:p w14:paraId="7B503C9B" w14:textId="77777777" w:rsidR="00BD6E3A" w:rsidRPr="00BD6E3A" w:rsidRDefault="00BD6E3A" w:rsidP="00BD6E3A">
      <w:pPr>
        <w:spacing w:line="276" w:lineRule="auto"/>
        <w:ind w:left="720" w:right="720"/>
        <w:rPr>
          <w:rFonts w:ascii="Times New Roman" w:hAnsi="Times New Roman" w:cs="Times New Roman"/>
          <w:sz w:val="24"/>
          <w:szCs w:val="24"/>
        </w:rPr>
      </w:pPr>
      <w:r w:rsidRPr="00BD6E3A">
        <w:rPr>
          <w:rFonts w:ascii="Times New Roman" w:hAnsi="Times New Roman" w:cs="Times New Roman"/>
          <w:sz w:val="24"/>
          <w:szCs w:val="24"/>
        </w:rPr>
        <w:lastRenderedPageBreak/>
        <w:t>The colored man cannot be spared until his place is supplied, but with a refuge like San Domingo, his worth here [in the United States] would soon be discovered, and he would soon receive such recognition as to induce him to stay; or, if Providence designed that the two races should not live together he would find a home in the Antilles.</w:t>
      </w:r>
      <w:r w:rsidRPr="00BD6E3A">
        <w:rPr>
          <w:rFonts w:ascii="Times New Roman" w:hAnsi="Times New Roman" w:cs="Times New Roman"/>
          <w:sz w:val="24"/>
          <w:szCs w:val="24"/>
          <w:vertAlign w:val="superscript"/>
        </w:rPr>
        <w:footnoteReference w:id="465"/>
      </w:r>
    </w:p>
    <w:p w14:paraId="50320024" w14:textId="77777777"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In short, Santo Domingo offered not only a solution for Reconstruction’s political and financial issues, but it also afforded several avenues forward for the great sociocultural shift that abolition brought.</w:t>
      </w:r>
    </w:p>
    <w:p w14:paraId="293C4C68" w14:textId="76203FEA" w:rsidR="00BD6E3A" w:rsidRPr="00BD6E3A" w:rsidRDefault="00BD6E3A" w:rsidP="00BD6E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rFonts w:ascii="Times New Roman" w:hAnsi="Times New Roman" w:cs="Times New Roman"/>
          <w:sz w:val="24"/>
          <w:szCs w:val="24"/>
        </w:rPr>
      </w:pPr>
      <w:r w:rsidRPr="00BD6E3A">
        <w:rPr>
          <w:rFonts w:ascii="Times New Roman" w:hAnsi="Times New Roman" w:cs="Times New Roman"/>
          <w:sz w:val="24"/>
          <w:szCs w:val="24"/>
        </w:rPr>
        <w:tab/>
        <w:t>At the request of the new Baez government in Santo Domingo, American businessmen with ties to Hispaniola began to petition for a potential annexation deal with the American government. These businessmen were exactly the allies for whom Báez was looking – men with economic ties to his nation that were not entirely opposed to his rule and who could offer connections to the American government that was considering annexation. Three of these men warrant mention by name due to their roles in the events to come. One was J. Somers Smith, an American Commercial Agent who served as the State Department representative in Santo Domingo and who earlier requested permission from Secretary of State William Seward to negotiate an agreement for Samaná Bay.</w:t>
      </w:r>
      <w:r w:rsidRPr="00BD6E3A">
        <w:rPr>
          <w:rFonts w:ascii="Times New Roman" w:hAnsi="Times New Roman" w:cs="Times New Roman"/>
          <w:sz w:val="24"/>
          <w:szCs w:val="24"/>
          <w:vertAlign w:val="superscript"/>
        </w:rPr>
        <w:footnoteReference w:id="466"/>
      </w:r>
      <w:r w:rsidRPr="00BD6E3A">
        <w:rPr>
          <w:rFonts w:ascii="Times New Roman" w:hAnsi="Times New Roman" w:cs="Times New Roman"/>
          <w:sz w:val="24"/>
          <w:szCs w:val="24"/>
        </w:rPr>
        <w:t xml:space="preserve"> The Dominicans enlisted the aid of Joseph W. Fabens, an American businessman who long advocated for American investment in the island republic.</w:t>
      </w:r>
      <w:r w:rsidR="0048227E">
        <w:rPr>
          <w:rStyle w:val="FootnoteReference"/>
          <w:rFonts w:ascii="Times New Roman" w:hAnsi="Times New Roman" w:cs="Times New Roman"/>
          <w:sz w:val="24"/>
          <w:szCs w:val="24"/>
        </w:rPr>
        <w:footnoteReference w:id="467"/>
      </w:r>
      <w:r w:rsidRPr="00BD6E3A">
        <w:rPr>
          <w:rFonts w:ascii="Times New Roman" w:hAnsi="Times New Roman" w:cs="Times New Roman"/>
          <w:sz w:val="24"/>
          <w:szCs w:val="24"/>
        </w:rPr>
        <w:t xml:space="preserve"> Tied to Fabens was William L. Cazneau, an American-turned-Dominican who ventured to the island on behalf of the State Department in the 1850s.</w:t>
      </w:r>
      <w:r w:rsidRPr="00BD6E3A">
        <w:rPr>
          <w:rFonts w:ascii="Times New Roman" w:hAnsi="Times New Roman" w:cs="Times New Roman"/>
          <w:sz w:val="24"/>
          <w:szCs w:val="24"/>
          <w:vertAlign w:val="superscript"/>
        </w:rPr>
        <w:footnoteReference w:id="468"/>
      </w:r>
      <w:r w:rsidRPr="00BD6E3A">
        <w:rPr>
          <w:rFonts w:ascii="Times New Roman" w:hAnsi="Times New Roman" w:cs="Times New Roman"/>
          <w:sz w:val="24"/>
          <w:szCs w:val="24"/>
        </w:rPr>
        <w:t xml:space="preserve"> Smith was more of an operative of the </w:t>
      </w:r>
      <w:r w:rsidR="00770A83">
        <w:rPr>
          <w:rFonts w:ascii="Times New Roman" w:hAnsi="Times New Roman" w:cs="Times New Roman"/>
          <w:sz w:val="24"/>
          <w:szCs w:val="24"/>
        </w:rPr>
        <w:t>government</w:t>
      </w:r>
      <w:r w:rsidRPr="00BD6E3A">
        <w:rPr>
          <w:rFonts w:ascii="Times New Roman" w:hAnsi="Times New Roman" w:cs="Times New Roman"/>
          <w:sz w:val="24"/>
          <w:szCs w:val="24"/>
        </w:rPr>
        <w:t xml:space="preserve">, while Fabens and Cazneau were independent contractors seeking to </w:t>
      </w:r>
      <w:r w:rsidRPr="00BD6E3A">
        <w:rPr>
          <w:rFonts w:ascii="Times New Roman" w:hAnsi="Times New Roman" w:cs="Times New Roman"/>
          <w:sz w:val="24"/>
          <w:szCs w:val="24"/>
        </w:rPr>
        <w:lastRenderedPageBreak/>
        <w:t>make a fortune as a part of the annexation process.</w:t>
      </w:r>
      <w:r w:rsidRPr="00BD6E3A">
        <w:rPr>
          <w:rFonts w:ascii="Times New Roman" w:hAnsi="Times New Roman" w:cs="Times New Roman"/>
          <w:sz w:val="24"/>
          <w:szCs w:val="24"/>
          <w:vertAlign w:val="superscript"/>
        </w:rPr>
        <w:footnoteReference w:id="469"/>
      </w:r>
      <w:r w:rsidRPr="00BD6E3A">
        <w:rPr>
          <w:rFonts w:ascii="Times New Roman" w:hAnsi="Times New Roman" w:cs="Times New Roman"/>
          <w:sz w:val="24"/>
          <w:szCs w:val="24"/>
        </w:rPr>
        <w:t xml:space="preserve"> In Spring 1868, Báez asked Fabens to travel to Washington to stir up interest in a potential American-Dominican merger that might resolve many of his issues as a leader.</w:t>
      </w:r>
      <w:r w:rsidRPr="00BD6E3A">
        <w:rPr>
          <w:rFonts w:ascii="Times New Roman" w:hAnsi="Times New Roman" w:cs="Times New Roman"/>
          <w:sz w:val="24"/>
          <w:szCs w:val="24"/>
          <w:vertAlign w:val="superscript"/>
        </w:rPr>
        <w:t xml:space="preserve"> </w:t>
      </w:r>
      <w:r w:rsidRPr="00BD6E3A">
        <w:rPr>
          <w:rFonts w:ascii="Times New Roman" w:hAnsi="Times New Roman" w:cs="Times New Roman"/>
          <w:sz w:val="24"/>
          <w:szCs w:val="24"/>
          <w:vertAlign w:val="superscript"/>
        </w:rPr>
        <w:footnoteReference w:id="470"/>
      </w:r>
      <w:r w:rsidRPr="00BD6E3A">
        <w:rPr>
          <w:rFonts w:ascii="Times New Roman" w:hAnsi="Times New Roman" w:cs="Times New Roman"/>
          <w:sz w:val="24"/>
          <w:szCs w:val="24"/>
        </w:rPr>
        <w:t xml:space="preserve"> Around the same time, Smith sent his own son to the United States to convey a desire for annexation.</w:t>
      </w:r>
      <w:r w:rsidRPr="00BD6E3A">
        <w:rPr>
          <w:rFonts w:ascii="Times New Roman" w:hAnsi="Times New Roman" w:cs="Times New Roman"/>
          <w:sz w:val="24"/>
          <w:szCs w:val="24"/>
          <w:vertAlign w:val="superscript"/>
        </w:rPr>
        <w:footnoteReference w:id="471"/>
      </w:r>
      <w:r w:rsidRPr="00BD6E3A">
        <w:rPr>
          <w:rFonts w:ascii="Times New Roman" w:hAnsi="Times New Roman" w:cs="Times New Roman"/>
          <w:sz w:val="24"/>
          <w:szCs w:val="24"/>
        </w:rPr>
        <w:t xml:space="preserve"> At one point Smith prevented the Dominicans from simply raising the American flag and claiming their allegiance “by acclimation,” as this would circumvent the necessary processes in America, though Smith continued to push for annexation as soon as possible.</w:t>
      </w:r>
      <w:r w:rsidRPr="00BD6E3A">
        <w:rPr>
          <w:rFonts w:ascii="Times New Roman" w:hAnsi="Times New Roman" w:cs="Times New Roman"/>
          <w:sz w:val="24"/>
          <w:szCs w:val="24"/>
          <w:vertAlign w:val="superscript"/>
        </w:rPr>
        <w:footnoteReference w:id="472"/>
      </w:r>
      <w:r w:rsidRPr="00BD6E3A">
        <w:rPr>
          <w:rFonts w:ascii="Times New Roman" w:hAnsi="Times New Roman" w:cs="Times New Roman"/>
          <w:sz w:val="24"/>
          <w:szCs w:val="24"/>
        </w:rPr>
        <w:t xml:space="preserve"> Fabens meanwhile worked to enlist support for the Dominican cause by courting influential American businessmen to consider new opportunities should annexation come to fruition while simultaneously developing relationships with key politicians like fellow Massachusettsan </w:t>
      </w:r>
      <w:r w:rsidR="00386990">
        <w:rPr>
          <w:rFonts w:ascii="Times New Roman" w:hAnsi="Times New Roman" w:cs="Times New Roman"/>
          <w:sz w:val="24"/>
          <w:szCs w:val="24"/>
        </w:rPr>
        <w:t xml:space="preserve">General </w:t>
      </w:r>
      <w:r w:rsidRPr="00BD6E3A">
        <w:rPr>
          <w:rFonts w:ascii="Times New Roman" w:hAnsi="Times New Roman" w:cs="Times New Roman"/>
          <w:sz w:val="24"/>
          <w:szCs w:val="24"/>
        </w:rPr>
        <w:t>Benjamin Butler, through whom Fabens hoped to acquire the ear of President-elect Grant.</w:t>
      </w:r>
      <w:r w:rsidRPr="00BD6E3A">
        <w:rPr>
          <w:rFonts w:ascii="Times New Roman" w:hAnsi="Times New Roman" w:cs="Times New Roman"/>
          <w:sz w:val="24"/>
          <w:szCs w:val="24"/>
          <w:vertAlign w:val="superscript"/>
        </w:rPr>
        <w:footnoteReference w:id="473"/>
      </w:r>
    </w:p>
    <w:p w14:paraId="094BF7C5" w14:textId="4A1567DA"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The Johnson Administration took the initial forays to add the island nation to the Union, though the majority of this back-and-forth occurred </w:t>
      </w:r>
      <w:r w:rsidR="001A3385">
        <w:rPr>
          <w:rFonts w:ascii="Times New Roman" w:hAnsi="Times New Roman" w:cs="Times New Roman"/>
          <w:sz w:val="24"/>
          <w:szCs w:val="24"/>
        </w:rPr>
        <w:t>under</w:t>
      </w:r>
      <w:r w:rsidRPr="00BD6E3A">
        <w:rPr>
          <w:rFonts w:ascii="Times New Roman" w:hAnsi="Times New Roman" w:cs="Times New Roman"/>
          <w:sz w:val="24"/>
          <w:szCs w:val="24"/>
        </w:rPr>
        <w:t xml:space="preserve"> President Grant. In January 1869, Fabens first broached the possibility of adding Santo Domingo as an American protectorate.</w:t>
      </w:r>
      <w:r w:rsidRPr="00BD6E3A">
        <w:rPr>
          <w:rFonts w:ascii="Times New Roman" w:hAnsi="Times New Roman" w:cs="Times New Roman"/>
          <w:sz w:val="24"/>
          <w:szCs w:val="24"/>
          <w:vertAlign w:val="superscript"/>
        </w:rPr>
        <w:footnoteReference w:id="474"/>
      </w:r>
      <w:r w:rsidRPr="00BD6E3A">
        <w:rPr>
          <w:rFonts w:ascii="Times New Roman" w:hAnsi="Times New Roman" w:cs="Times New Roman"/>
          <w:sz w:val="24"/>
          <w:szCs w:val="24"/>
        </w:rPr>
        <w:t xml:space="preserve"> Fabens’s ally Nathaniel Banks, who served as chairman of the House Committee on Foreign Affairs, proposed an effort that would extend American protection to both Santo Domingo and their neighbor on Hispaniola, Haiti.</w:t>
      </w:r>
      <w:r w:rsidRPr="00BD6E3A">
        <w:rPr>
          <w:rFonts w:ascii="Times New Roman" w:hAnsi="Times New Roman" w:cs="Times New Roman"/>
          <w:sz w:val="24"/>
          <w:szCs w:val="24"/>
          <w:vertAlign w:val="superscript"/>
        </w:rPr>
        <w:footnoteReference w:id="475"/>
      </w:r>
      <w:r w:rsidRPr="00BD6E3A">
        <w:rPr>
          <w:rFonts w:ascii="Times New Roman" w:hAnsi="Times New Roman" w:cs="Times New Roman"/>
          <w:sz w:val="24"/>
          <w:szCs w:val="24"/>
        </w:rPr>
        <w:t xml:space="preserve"> Opponents believed this would create entangling alliances for the United States with these nations, which would violate the long-held Monroe Doctrine, </w:t>
      </w:r>
      <w:r w:rsidRPr="00BD6E3A">
        <w:rPr>
          <w:rFonts w:ascii="Times New Roman" w:hAnsi="Times New Roman" w:cs="Times New Roman"/>
          <w:sz w:val="24"/>
          <w:szCs w:val="24"/>
        </w:rPr>
        <w:lastRenderedPageBreak/>
        <w:t>and the House voted to table the resolution in a landslide vote, 126 to 36.</w:t>
      </w:r>
      <w:r w:rsidRPr="00BD6E3A">
        <w:rPr>
          <w:rFonts w:ascii="Times New Roman" w:hAnsi="Times New Roman" w:cs="Times New Roman"/>
          <w:sz w:val="24"/>
          <w:szCs w:val="24"/>
          <w:vertAlign w:val="superscript"/>
        </w:rPr>
        <w:footnoteReference w:id="476"/>
      </w:r>
      <w:r w:rsidRPr="00BD6E3A">
        <w:rPr>
          <w:rFonts w:ascii="Times New Roman" w:hAnsi="Times New Roman" w:cs="Times New Roman"/>
          <w:sz w:val="24"/>
          <w:szCs w:val="24"/>
        </w:rPr>
        <w:t xml:space="preserve"> Undeterred, Fabens pushed for the outright annexation of Santo Domingo, bolstered by a message from Dominican </w:t>
      </w:r>
      <w:r w:rsidR="00DF17CF">
        <w:rPr>
          <w:rFonts w:ascii="Times New Roman" w:hAnsi="Times New Roman" w:cs="Times New Roman"/>
          <w:sz w:val="24"/>
          <w:szCs w:val="24"/>
        </w:rPr>
        <w:t>F</w:t>
      </w:r>
      <w:r w:rsidRPr="00BD6E3A">
        <w:rPr>
          <w:rFonts w:ascii="Times New Roman" w:hAnsi="Times New Roman" w:cs="Times New Roman"/>
          <w:sz w:val="24"/>
          <w:szCs w:val="24"/>
        </w:rPr>
        <w:t xml:space="preserve">oreign </w:t>
      </w:r>
      <w:r w:rsidR="00DF17CF">
        <w:rPr>
          <w:rFonts w:ascii="Times New Roman" w:hAnsi="Times New Roman" w:cs="Times New Roman"/>
          <w:sz w:val="24"/>
          <w:szCs w:val="24"/>
        </w:rPr>
        <w:t>M</w:t>
      </w:r>
      <w:r w:rsidRPr="00BD6E3A">
        <w:rPr>
          <w:rFonts w:ascii="Times New Roman" w:hAnsi="Times New Roman" w:cs="Times New Roman"/>
          <w:sz w:val="24"/>
          <w:szCs w:val="24"/>
        </w:rPr>
        <w:t>inister M.M. Gautier that his nation was in fact “prepared for the great event.”</w:t>
      </w:r>
      <w:r w:rsidRPr="00BD6E3A">
        <w:rPr>
          <w:rFonts w:ascii="Times New Roman" w:hAnsi="Times New Roman" w:cs="Times New Roman"/>
          <w:sz w:val="24"/>
          <w:szCs w:val="24"/>
          <w:vertAlign w:val="superscript"/>
        </w:rPr>
        <w:footnoteReference w:id="477"/>
      </w:r>
      <w:r w:rsidRPr="00BD6E3A">
        <w:rPr>
          <w:rFonts w:ascii="Times New Roman" w:hAnsi="Times New Roman" w:cs="Times New Roman"/>
          <w:sz w:val="24"/>
          <w:szCs w:val="24"/>
        </w:rPr>
        <w:t xml:space="preserve"> In support, a colleague of Banks on the House Committee of Foreign Affairs, Indiana </w:t>
      </w:r>
      <w:r w:rsidR="002C2318">
        <w:rPr>
          <w:rFonts w:ascii="Times New Roman" w:hAnsi="Times New Roman" w:cs="Times New Roman"/>
          <w:sz w:val="24"/>
          <w:szCs w:val="24"/>
        </w:rPr>
        <w:t>C</w:t>
      </w:r>
      <w:r w:rsidRPr="00BD6E3A">
        <w:rPr>
          <w:rFonts w:ascii="Times New Roman" w:hAnsi="Times New Roman" w:cs="Times New Roman"/>
          <w:sz w:val="24"/>
          <w:szCs w:val="24"/>
        </w:rPr>
        <w:t>ongressman Godlove Orth, put forth a resolution to annex Santo Domingo as a territory, and after the establishment of a republican government, its admission to the Union as a state.</w:t>
      </w:r>
      <w:r w:rsidRPr="00BD6E3A">
        <w:rPr>
          <w:rFonts w:ascii="Times New Roman" w:hAnsi="Times New Roman" w:cs="Times New Roman"/>
          <w:sz w:val="24"/>
          <w:szCs w:val="24"/>
          <w:vertAlign w:val="superscript"/>
        </w:rPr>
        <w:footnoteReference w:id="478"/>
      </w:r>
      <w:r w:rsidRPr="00BD6E3A">
        <w:rPr>
          <w:rFonts w:ascii="Times New Roman" w:hAnsi="Times New Roman" w:cs="Times New Roman"/>
          <w:sz w:val="24"/>
          <w:szCs w:val="24"/>
        </w:rPr>
        <w:t xml:space="preserve"> However, at this point there was no </w:t>
      </w:r>
      <w:r w:rsidR="007B4D56">
        <w:rPr>
          <w:rFonts w:ascii="Times New Roman" w:hAnsi="Times New Roman" w:cs="Times New Roman"/>
          <w:sz w:val="24"/>
          <w:szCs w:val="24"/>
        </w:rPr>
        <w:t>official data</w:t>
      </w:r>
      <w:r w:rsidRPr="00BD6E3A">
        <w:rPr>
          <w:rFonts w:ascii="Times New Roman" w:hAnsi="Times New Roman" w:cs="Times New Roman"/>
          <w:sz w:val="24"/>
          <w:szCs w:val="24"/>
        </w:rPr>
        <w:t xml:space="preserve"> offered to support the desirability of Santo Domingo’s annexation, and the House tabled this resolution as well.</w:t>
      </w:r>
      <w:r w:rsidRPr="00BD6E3A">
        <w:rPr>
          <w:rFonts w:ascii="Times New Roman" w:hAnsi="Times New Roman" w:cs="Times New Roman"/>
          <w:sz w:val="24"/>
          <w:szCs w:val="24"/>
          <w:vertAlign w:val="superscript"/>
        </w:rPr>
        <w:footnoteReference w:id="479"/>
      </w:r>
      <w:r w:rsidRPr="00BD6E3A">
        <w:rPr>
          <w:rFonts w:ascii="Times New Roman" w:hAnsi="Times New Roman" w:cs="Times New Roman"/>
          <w:sz w:val="24"/>
          <w:szCs w:val="24"/>
        </w:rPr>
        <w:t xml:space="preserve"> Banks convinced </w:t>
      </w:r>
      <w:r w:rsidR="006471D9">
        <w:rPr>
          <w:rFonts w:ascii="Times New Roman" w:hAnsi="Times New Roman" w:cs="Times New Roman"/>
          <w:sz w:val="24"/>
          <w:szCs w:val="24"/>
        </w:rPr>
        <w:t xml:space="preserve">Johnson’s </w:t>
      </w:r>
      <w:r w:rsidRPr="00BD6E3A">
        <w:rPr>
          <w:rFonts w:ascii="Times New Roman" w:hAnsi="Times New Roman" w:cs="Times New Roman"/>
          <w:sz w:val="24"/>
          <w:szCs w:val="24"/>
        </w:rPr>
        <w:t>Secretary of State William Seward to send Fabens on a fact-finding mission, and he returned with a detailed report after a month, but by the time he returned, Seward’s office was held by Grant’s Secretary of State Hamilton Fish</w:t>
      </w:r>
      <w:r w:rsidR="009613CD">
        <w:rPr>
          <w:rFonts w:ascii="Times New Roman" w:hAnsi="Times New Roman" w:cs="Times New Roman"/>
          <w:sz w:val="24"/>
          <w:szCs w:val="24"/>
        </w:rPr>
        <w:t xml:space="preserve"> (</w:t>
      </w:r>
      <w:r w:rsidR="009613CD">
        <w:rPr>
          <w:rFonts w:ascii="Times New Roman" w:hAnsi="Times New Roman" w:cs="Times New Roman"/>
          <w:b/>
          <w:bCs/>
          <w:sz w:val="24"/>
          <w:szCs w:val="24"/>
        </w:rPr>
        <w:t>Figure 2.2</w:t>
      </w:r>
      <w:r w:rsidR="009613CD">
        <w:rPr>
          <w:rFonts w:ascii="Times New Roman" w:hAnsi="Times New Roman" w:cs="Times New Roman"/>
          <w:sz w:val="24"/>
          <w:szCs w:val="24"/>
        </w:rPr>
        <w:t>)</w:t>
      </w:r>
      <w:r w:rsidRPr="00BD6E3A">
        <w:rPr>
          <w:rFonts w:ascii="Times New Roman" w:hAnsi="Times New Roman" w:cs="Times New Roman"/>
          <w:sz w:val="24"/>
          <w:szCs w:val="24"/>
        </w:rPr>
        <w:t>.</w:t>
      </w:r>
      <w:r w:rsidRPr="00BD6E3A">
        <w:rPr>
          <w:rFonts w:ascii="Times New Roman" w:hAnsi="Times New Roman" w:cs="Times New Roman"/>
          <w:sz w:val="24"/>
          <w:szCs w:val="24"/>
          <w:vertAlign w:val="superscript"/>
        </w:rPr>
        <w:footnoteReference w:id="480"/>
      </w:r>
    </w:p>
    <w:p w14:paraId="426CE6B5" w14:textId="382CD289" w:rsid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Though he was the prime agent for the Grant Administration on annexation, Secretary Fish was new to his post and had several pressing matters that required resolution in addition to Santo Domingo. Before the Civil War, Fish served in numerous elected offices, including as a member of the House of Representatives from 1843-1845, the Governor of New York from 1849-1850, and as a Senator from New York from 1851-1857.</w:t>
      </w:r>
      <w:r w:rsidRPr="00BD6E3A">
        <w:rPr>
          <w:rFonts w:ascii="Times New Roman" w:hAnsi="Times New Roman" w:cs="Times New Roman"/>
          <w:sz w:val="24"/>
          <w:szCs w:val="24"/>
          <w:vertAlign w:val="superscript"/>
        </w:rPr>
        <w:footnoteReference w:id="481"/>
      </w:r>
      <w:r w:rsidRPr="00BD6E3A">
        <w:rPr>
          <w:rFonts w:ascii="Times New Roman" w:hAnsi="Times New Roman" w:cs="Times New Roman"/>
          <w:sz w:val="24"/>
          <w:szCs w:val="24"/>
        </w:rPr>
        <w:t xml:space="preserve"> He hailed from a wealthy family and held many of the same beliefs as other former Whigs who joined the Republican Party. During the Civil War, Fish raised money for the Union troops while serving on President </w:t>
      </w:r>
    </w:p>
    <w:p w14:paraId="68C23E0F" w14:textId="77777777" w:rsidR="009D47E3" w:rsidRDefault="009D47E3" w:rsidP="009D47E3">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210A745" wp14:editId="7786D597">
            <wp:extent cx="2353071" cy="2918460"/>
            <wp:effectExtent l="0" t="0" r="9525" b="0"/>
            <wp:docPr id="2038494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5902" cy="2934374"/>
                    </a:xfrm>
                    <a:prstGeom prst="rect">
                      <a:avLst/>
                    </a:prstGeom>
                    <a:noFill/>
                  </pic:spPr>
                </pic:pic>
              </a:graphicData>
            </a:graphic>
          </wp:inline>
        </w:drawing>
      </w:r>
    </w:p>
    <w:p w14:paraId="76FC2D1C" w14:textId="28569648" w:rsidR="009D47E3" w:rsidRPr="009D47E3" w:rsidRDefault="00E1766C" w:rsidP="00D4420D">
      <w:pPr>
        <w:spacing w:line="240" w:lineRule="auto"/>
        <w:rPr>
          <w:rFonts w:ascii="Times New Roman" w:hAnsi="Times New Roman" w:cs="Times New Roman"/>
          <w:sz w:val="24"/>
          <w:szCs w:val="24"/>
        </w:rPr>
      </w:pPr>
      <w:r>
        <w:rPr>
          <w:rFonts w:ascii="Times New Roman" w:hAnsi="Times New Roman" w:cs="Times New Roman"/>
          <w:b/>
          <w:bCs/>
          <w:sz w:val="20"/>
          <w:szCs w:val="20"/>
        </w:rPr>
        <w:t xml:space="preserve">Figure 2.2: </w:t>
      </w:r>
      <w:r w:rsidR="00240B11">
        <w:rPr>
          <w:rFonts w:ascii="Times New Roman" w:hAnsi="Times New Roman" w:cs="Times New Roman"/>
          <w:b/>
          <w:bCs/>
          <w:sz w:val="20"/>
          <w:szCs w:val="20"/>
        </w:rPr>
        <w:t xml:space="preserve">Hamilton Fish: </w:t>
      </w:r>
      <w:r w:rsidR="00240B11">
        <w:rPr>
          <w:rFonts w:ascii="Times New Roman" w:hAnsi="Times New Roman" w:cs="Times New Roman"/>
          <w:sz w:val="20"/>
          <w:szCs w:val="20"/>
        </w:rPr>
        <w:t xml:space="preserve">As </w:t>
      </w:r>
      <w:r w:rsidR="009D47E3">
        <w:rPr>
          <w:rFonts w:ascii="Times New Roman" w:hAnsi="Times New Roman" w:cs="Times New Roman"/>
          <w:sz w:val="20"/>
          <w:szCs w:val="20"/>
        </w:rPr>
        <w:t xml:space="preserve">Secretary of State under President Ulysses S. Grant, </w:t>
      </w:r>
      <w:r w:rsidR="00240B11">
        <w:rPr>
          <w:rFonts w:ascii="Times New Roman" w:hAnsi="Times New Roman" w:cs="Times New Roman"/>
          <w:sz w:val="20"/>
          <w:szCs w:val="20"/>
        </w:rPr>
        <w:t xml:space="preserve">Hamilton Fish </w:t>
      </w:r>
      <w:r w:rsidR="009D47E3">
        <w:rPr>
          <w:rFonts w:ascii="Times New Roman" w:hAnsi="Times New Roman" w:cs="Times New Roman"/>
          <w:sz w:val="20"/>
          <w:szCs w:val="20"/>
        </w:rPr>
        <w:t>was responsible for the efforts to annex Santo Domingo to the United States</w:t>
      </w:r>
      <w:r w:rsidR="009D47E3">
        <w:rPr>
          <w:rStyle w:val="FootnoteReference"/>
          <w:rFonts w:ascii="Times New Roman" w:hAnsi="Times New Roman" w:cs="Times New Roman"/>
          <w:sz w:val="20"/>
          <w:szCs w:val="20"/>
        </w:rPr>
        <w:footnoteReference w:id="482"/>
      </w:r>
    </w:p>
    <w:p w14:paraId="66DB72B0" w14:textId="2A959894" w:rsidR="00BD6E3A" w:rsidRPr="00BD6E3A" w:rsidRDefault="00D4420D"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Abraham Lincoln’s commission on prisoner exchanges.</w:t>
      </w:r>
      <w:r w:rsidRPr="00BD6E3A">
        <w:rPr>
          <w:rFonts w:ascii="Times New Roman" w:hAnsi="Times New Roman" w:cs="Times New Roman"/>
          <w:sz w:val="24"/>
          <w:szCs w:val="24"/>
          <w:vertAlign w:val="superscript"/>
        </w:rPr>
        <w:footnoteReference w:id="483"/>
      </w:r>
      <w:r w:rsidRPr="00BD6E3A">
        <w:rPr>
          <w:rFonts w:ascii="Times New Roman" w:hAnsi="Times New Roman" w:cs="Times New Roman"/>
          <w:sz w:val="24"/>
          <w:szCs w:val="24"/>
        </w:rPr>
        <w:t xml:space="preserve"> After the war, Fish returned to his private legal practice, seemingly done with politics until Grant appointed him his Secretary of State.</w:t>
      </w:r>
      <w:r w:rsidRPr="00BD6E3A">
        <w:rPr>
          <w:rFonts w:ascii="Times New Roman" w:hAnsi="Times New Roman" w:cs="Times New Roman"/>
          <w:sz w:val="24"/>
          <w:szCs w:val="24"/>
          <w:vertAlign w:val="superscript"/>
        </w:rPr>
        <w:footnoteReference w:id="484"/>
      </w:r>
      <w:r w:rsidRPr="00BD6E3A">
        <w:rPr>
          <w:rFonts w:ascii="Times New Roman" w:hAnsi="Times New Roman" w:cs="Times New Roman"/>
          <w:sz w:val="24"/>
          <w:szCs w:val="24"/>
        </w:rPr>
        <w:t xml:space="preserve"> Fish is noted by historians as a reformer, particularly in the civil service, and he is </w:t>
      </w:r>
      <w:r>
        <w:rPr>
          <w:rFonts w:ascii="Times New Roman" w:hAnsi="Times New Roman" w:cs="Times New Roman"/>
          <w:sz w:val="24"/>
          <w:szCs w:val="24"/>
        </w:rPr>
        <w:t>credited</w:t>
      </w:r>
      <w:r w:rsidRPr="00BD6E3A">
        <w:rPr>
          <w:rFonts w:ascii="Times New Roman" w:hAnsi="Times New Roman" w:cs="Times New Roman"/>
          <w:sz w:val="24"/>
          <w:szCs w:val="24"/>
        </w:rPr>
        <w:t xml:space="preserve"> </w:t>
      </w:r>
      <w:r>
        <w:rPr>
          <w:rFonts w:ascii="Times New Roman" w:hAnsi="Times New Roman" w:cs="Times New Roman"/>
          <w:sz w:val="24"/>
          <w:szCs w:val="24"/>
        </w:rPr>
        <w:t>with</w:t>
      </w:r>
      <w:r w:rsidRPr="00BD6E3A">
        <w:rPr>
          <w:rFonts w:ascii="Times New Roman" w:hAnsi="Times New Roman" w:cs="Times New Roman"/>
          <w:sz w:val="24"/>
          <w:szCs w:val="24"/>
        </w:rPr>
        <w:t xml:space="preserve"> moderation in diplomatic strategies.</w:t>
      </w:r>
      <w:r w:rsidRPr="00BD6E3A">
        <w:rPr>
          <w:rFonts w:ascii="Times New Roman" w:hAnsi="Times New Roman" w:cs="Times New Roman"/>
          <w:sz w:val="24"/>
          <w:szCs w:val="24"/>
          <w:vertAlign w:val="superscript"/>
        </w:rPr>
        <w:footnoteReference w:id="485"/>
      </w:r>
      <w:r w:rsidRPr="00BD6E3A">
        <w:rPr>
          <w:rFonts w:ascii="Times New Roman" w:hAnsi="Times New Roman" w:cs="Times New Roman"/>
          <w:sz w:val="24"/>
          <w:szCs w:val="24"/>
        </w:rPr>
        <w:t xml:space="preserve"> As Grant’s Secretary of State, Fish carried out his duties to his president with vim and vigor, particularly regarding Santo Domingo.</w:t>
      </w:r>
      <w:r w:rsidRPr="00BD6E3A">
        <w:rPr>
          <w:rFonts w:ascii="Times New Roman" w:hAnsi="Times New Roman" w:cs="Times New Roman"/>
          <w:sz w:val="24"/>
          <w:szCs w:val="24"/>
          <w:vertAlign w:val="superscript"/>
        </w:rPr>
        <w:footnoteReference w:id="486"/>
      </w:r>
      <w:r w:rsidR="00BD6E3A" w:rsidRPr="00BD6E3A">
        <w:rPr>
          <w:rFonts w:ascii="Times New Roman" w:hAnsi="Times New Roman" w:cs="Times New Roman"/>
          <w:sz w:val="24"/>
          <w:szCs w:val="24"/>
        </w:rPr>
        <w:tab/>
        <w:t xml:space="preserve">One of the most important elements in the progress of this annexation treaty was the persuasion of the politically powerful Chair of the Senate Foreign Relations Committee, Senator Charles Sumner of Massachusetts. Sumner was a known opponent of slavery and an early supporter of racial equality, making him a target for Southerners and leading to his infamous </w:t>
      </w:r>
      <w:r w:rsidR="00BD6E3A" w:rsidRPr="00BD6E3A">
        <w:rPr>
          <w:rFonts w:ascii="Times New Roman" w:hAnsi="Times New Roman" w:cs="Times New Roman"/>
          <w:sz w:val="24"/>
          <w:szCs w:val="24"/>
        </w:rPr>
        <w:lastRenderedPageBreak/>
        <w:t>caning on the Senate floor by Preston Brooks of South Carolina.</w:t>
      </w:r>
      <w:r w:rsidR="00BD6E3A" w:rsidRPr="00BD6E3A">
        <w:rPr>
          <w:rFonts w:ascii="Times New Roman" w:hAnsi="Times New Roman" w:cs="Times New Roman"/>
          <w:sz w:val="24"/>
          <w:szCs w:val="24"/>
          <w:vertAlign w:val="superscript"/>
        </w:rPr>
        <w:footnoteReference w:id="487"/>
      </w:r>
      <w:r w:rsidR="00BD6E3A" w:rsidRPr="00BD6E3A">
        <w:rPr>
          <w:rFonts w:ascii="Times New Roman" w:hAnsi="Times New Roman" w:cs="Times New Roman"/>
          <w:sz w:val="24"/>
          <w:szCs w:val="24"/>
        </w:rPr>
        <w:t xml:space="preserve"> Sumner was a member of the Free Soil Party before becoming a founding member of the Republican Party, though he certainly </w:t>
      </w:r>
      <w:r w:rsidR="004E39DC">
        <w:rPr>
          <w:rFonts w:ascii="Times New Roman" w:hAnsi="Times New Roman" w:cs="Times New Roman"/>
          <w:sz w:val="24"/>
          <w:szCs w:val="24"/>
        </w:rPr>
        <w:t>alli</w:t>
      </w:r>
      <w:r w:rsidR="00BD6E3A" w:rsidRPr="00BD6E3A">
        <w:rPr>
          <w:rFonts w:ascii="Times New Roman" w:hAnsi="Times New Roman" w:cs="Times New Roman"/>
          <w:sz w:val="24"/>
          <w:szCs w:val="24"/>
        </w:rPr>
        <w:t>ed</w:t>
      </w:r>
      <w:r w:rsidR="004E39DC">
        <w:rPr>
          <w:rFonts w:ascii="Times New Roman" w:hAnsi="Times New Roman" w:cs="Times New Roman"/>
          <w:sz w:val="24"/>
          <w:szCs w:val="24"/>
        </w:rPr>
        <w:t xml:space="preserve"> with</w:t>
      </w:r>
      <w:r w:rsidR="00BD6E3A" w:rsidRPr="00BD6E3A">
        <w:rPr>
          <w:rFonts w:ascii="Times New Roman" w:hAnsi="Times New Roman" w:cs="Times New Roman"/>
          <w:sz w:val="24"/>
          <w:szCs w:val="24"/>
        </w:rPr>
        <w:t xml:space="preserve"> the Radical Republicans in chastising Lincoln for his moderation towards the South.</w:t>
      </w:r>
      <w:r w:rsidR="00BD6E3A" w:rsidRPr="00BD6E3A">
        <w:rPr>
          <w:rFonts w:ascii="Times New Roman" w:hAnsi="Times New Roman" w:cs="Times New Roman"/>
          <w:sz w:val="24"/>
          <w:szCs w:val="24"/>
          <w:vertAlign w:val="superscript"/>
        </w:rPr>
        <w:footnoteReference w:id="488"/>
      </w:r>
      <w:r w:rsidR="00BD6E3A" w:rsidRPr="00BD6E3A">
        <w:rPr>
          <w:rFonts w:ascii="Times New Roman" w:hAnsi="Times New Roman" w:cs="Times New Roman"/>
          <w:sz w:val="24"/>
          <w:szCs w:val="24"/>
        </w:rPr>
        <w:t xml:space="preserve"> During the Civil War, Sumner used his position to ensure that foreign powers like Britain and France did not interfere on the grounds that this was not a foreign war but an internal issue for the United States to resolve on its own.</w:t>
      </w:r>
      <w:r w:rsidR="00BD6E3A" w:rsidRPr="00BD6E3A">
        <w:rPr>
          <w:rFonts w:ascii="Times New Roman" w:hAnsi="Times New Roman" w:cs="Times New Roman"/>
          <w:sz w:val="24"/>
          <w:szCs w:val="24"/>
          <w:vertAlign w:val="superscript"/>
        </w:rPr>
        <w:footnoteReference w:id="489"/>
      </w:r>
      <w:r w:rsidR="00BD6E3A" w:rsidRPr="00BD6E3A">
        <w:rPr>
          <w:rFonts w:ascii="Times New Roman" w:hAnsi="Times New Roman" w:cs="Times New Roman"/>
          <w:sz w:val="24"/>
          <w:szCs w:val="24"/>
        </w:rPr>
        <w:t xml:space="preserve"> After the war, Sumner was a significant force among the Radical Republicans in the push for the Reconstruction Amendments while leading the fight for equal civil and voting rights among black and white men.</w:t>
      </w:r>
      <w:r w:rsidR="00BD6E3A" w:rsidRPr="00BD6E3A">
        <w:rPr>
          <w:rFonts w:ascii="Times New Roman" w:hAnsi="Times New Roman" w:cs="Times New Roman"/>
          <w:sz w:val="24"/>
          <w:szCs w:val="24"/>
          <w:vertAlign w:val="superscript"/>
        </w:rPr>
        <w:footnoteReference w:id="490"/>
      </w:r>
      <w:r w:rsidR="00BD6E3A" w:rsidRPr="00BD6E3A">
        <w:rPr>
          <w:rFonts w:ascii="Times New Roman" w:hAnsi="Times New Roman" w:cs="Times New Roman"/>
          <w:sz w:val="24"/>
          <w:szCs w:val="24"/>
        </w:rPr>
        <w:t xml:space="preserve"> Sumner was a key player in American politics at the outset of the Grant Administration, particularly in foreign affairs, and he was a close friend of Secretary Fish. As such, President Grant sought to include him in the conversations surrounding Santo Domingo with the hope that he could persuade the senator to </w:t>
      </w:r>
      <w:r w:rsidR="00794C34">
        <w:rPr>
          <w:rFonts w:ascii="Times New Roman" w:hAnsi="Times New Roman" w:cs="Times New Roman"/>
          <w:sz w:val="24"/>
          <w:szCs w:val="24"/>
        </w:rPr>
        <w:t>support</w:t>
      </w:r>
      <w:r w:rsidR="00BD6E3A" w:rsidRPr="00BD6E3A">
        <w:rPr>
          <w:rFonts w:ascii="Times New Roman" w:hAnsi="Times New Roman" w:cs="Times New Roman"/>
          <w:sz w:val="24"/>
          <w:szCs w:val="24"/>
        </w:rPr>
        <w:t xml:space="preserve"> his </w:t>
      </w:r>
      <w:r w:rsidR="00794C34">
        <w:rPr>
          <w:rFonts w:ascii="Times New Roman" w:hAnsi="Times New Roman" w:cs="Times New Roman"/>
          <w:sz w:val="24"/>
          <w:szCs w:val="24"/>
        </w:rPr>
        <w:t>aims in the region</w:t>
      </w:r>
      <w:r w:rsidR="00BD6E3A" w:rsidRPr="00BD6E3A">
        <w:rPr>
          <w:rFonts w:ascii="Times New Roman" w:hAnsi="Times New Roman" w:cs="Times New Roman"/>
          <w:sz w:val="24"/>
          <w:szCs w:val="24"/>
        </w:rPr>
        <w:t>.</w:t>
      </w:r>
    </w:p>
    <w:p w14:paraId="0BCBA7FA" w14:textId="25A09E8D"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Unfortunately, by this time the animosity between Grant and Sumner regarding foreign affairs may have been Washington’s worst kept secret. Senator Sumner built a reputation as an able statesman and a dedicated public servant. His </w:t>
      </w:r>
      <w:r w:rsidR="00794C34">
        <w:rPr>
          <w:rFonts w:ascii="Times New Roman" w:hAnsi="Times New Roman" w:cs="Times New Roman"/>
          <w:sz w:val="24"/>
          <w:szCs w:val="24"/>
        </w:rPr>
        <w:t>covetous desir</w:t>
      </w:r>
      <w:r w:rsidRPr="00BD6E3A">
        <w:rPr>
          <w:rFonts w:ascii="Times New Roman" w:hAnsi="Times New Roman" w:cs="Times New Roman"/>
          <w:sz w:val="24"/>
          <w:szCs w:val="24"/>
        </w:rPr>
        <w:t>e for the position of Secretary of State was well known in Washington circles, and he was sorely disappointed to be overlooked for the post.</w:t>
      </w:r>
      <w:r w:rsidRPr="00BD6E3A">
        <w:rPr>
          <w:rFonts w:ascii="Times New Roman" w:hAnsi="Times New Roman" w:cs="Times New Roman"/>
          <w:sz w:val="24"/>
          <w:szCs w:val="24"/>
          <w:vertAlign w:val="superscript"/>
        </w:rPr>
        <w:footnoteReference w:id="491"/>
      </w:r>
      <w:r w:rsidRPr="00BD6E3A">
        <w:rPr>
          <w:rFonts w:ascii="Times New Roman" w:hAnsi="Times New Roman" w:cs="Times New Roman"/>
          <w:sz w:val="24"/>
          <w:szCs w:val="24"/>
        </w:rPr>
        <w:t xml:space="preserve"> Secretary Fish attempted to sway his friend Sumner to support the administration by acknowledging that he “hoped that [he] could rely upon [his] friendship…experience and </w:t>
      </w:r>
      <w:r w:rsidRPr="00BD6E3A">
        <w:rPr>
          <w:rFonts w:ascii="Times New Roman" w:hAnsi="Times New Roman" w:cs="Times New Roman"/>
          <w:sz w:val="24"/>
          <w:szCs w:val="24"/>
        </w:rPr>
        <w:lastRenderedPageBreak/>
        <w:t>ability” in his new role.</w:t>
      </w:r>
      <w:r w:rsidRPr="00BD6E3A">
        <w:rPr>
          <w:rFonts w:ascii="Times New Roman" w:hAnsi="Times New Roman" w:cs="Times New Roman"/>
          <w:sz w:val="24"/>
          <w:szCs w:val="24"/>
          <w:vertAlign w:val="superscript"/>
        </w:rPr>
        <w:footnoteReference w:id="492"/>
      </w:r>
      <w:r w:rsidRPr="00BD6E3A">
        <w:rPr>
          <w:rFonts w:ascii="Times New Roman" w:hAnsi="Times New Roman" w:cs="Times New Roman"/>
          <w:sz w:val="24"/>
          <w:szCs w:val="24"/>
        </w:rPr>
        <w:t xml:space="preserve"> Sumner, however, simply responded with requests for patronage posts in the State Department, brusquely brushing off the attempt at conciliation.</w:t>
      </w:r>
      <w:r w:rsidRPr="00BD6E3A">
        <w:rPr>
          <w:rFonts w:ascii="Times New Roman" w:hAnsi="Times New Roman" w:cs="Times New Roman"/>
          <w:sz w:val="24"/>
          <w:szCs w:val="24"/>
          <w:vertAlign w:val="superscript"/>
        </w:rPr>
        <w:footnoteReference w:id="493"/>
      </w:r>
      <w:r w:rsidRPr="00BD6E3A">
        <w:rPr>
          <w:rFonts w:ascii="Times New Roman" w:hAnsi="Times New Roman" w:cs="Times New Roman"/>
          <w:sz w:val="24"/>
          <w:szCs w:val="24"/>
        </w:rPr>
        <w:t xml:space="preserve"> This led to a stretch of disagreement between Sumner’s Senate Foreign Relations Committee and Grant’s State Department in the first year of the administration. Regarding the </w:t>
      </w:r>
      <w:r w:rsidRPr="00BD6E3A">
        <w:rPr>
          <w:rFonts w:ascii="Times New Roman" w:hAnsi="Times New Roman" w:cs="Times New Roman"/>
          <w:i/>
          <w:iCs/>
          <w:sz w:val="24"/>
          <w:szCs w:val="24"/>
        </w:rPr>
        <w:t>CSS</w:t>
      </w:r>
      <w:r w:rsidRPr="00BD6E3A">
        <w:rPr>
          <w:rFonts w:ascii="Times New Roman" w:hAnsi="Times New Roman" w:cs="Times New Roman"/>
          <w:sz w:val="24"/>
          <w:szCs w:val="24"/>
        </w:rPr>
        <w:t xml:space="preserve"> </w:t>
      </w:r>
      <w:r w:rsidRPr="00BD6E3A">
        <w:rPr>
          <w:rFonts w:ascii="Times New Roman" w:hAnsi="Times New Roman" w:cs="Times New Roman"/>
          <w:i/>
          <w:iCs/>
          <w:sz w:val="24"/>
          <w:szCs w:val="24"/>
        </w:rPr>
        <w:t xml:space="preserve">Alabama </w:t>
      </w:r>
      <w:r w:rsidRPr="00BD6E3A">
        <w:rPr>
          <w:rFonts w:ascii="Times New Roman" w:hAnsi="Times New Roman" w:cs="Times New Roman"/>
          <w:sz w:val="24"/>
          <w:szCs w:val="24"/>
        </w:rPr>
        <w:t>claims surrounding the question of payment for Confederate ships made by the British, Sumner supported the efforts of John Lothrop Motley, America’s Minister to the Court of St. James, and he made himself an integral voice between Motley and the administration, circumventing the existing state department hierarchy.</w:t>
      </w:r>
      <w:r w:rsidRPr="00BD6E3A">
        <w:rPr>
          <w:rFonts w:ascii="Times New Roman" w:hAnsi="Times New Roman" w:cs="Times New Roman"/>
          <w:sz w:val="24"/>
          <w:szCs w:val="24"/>
          <w:vertAlign w:val="superscript"/>
        </w:rPr>
        <w:footnoteReference w:id="494"/>
      </w:r>
      <w:r w:rsidRPr="00BD6E3A">
        <w:rPr>
          <w:rFonts w:ascii="Times New Roman" w:hAnsi="Times New Roman" w:cs="Times New Roman"/>
          <w:sz w:val="24"/>
          <w:szCs w:val="24"/>
        </w:rPr>
        <w:t xml:space="preserve"> Sumner encouraged Motley to pursue a course more aligned with his own desires instead of the one sought by the Grant Administration, which was not well received by Grant and Fish.</w:t>
      </w:r>
      <w:r w:rsidRPr="00BD6E3A">
        <w:rPr>
          <w:rFonts w:ascii="Times New Roman" w:hAnsi="Times New Roman" w:cs="Times New Roman"/>
          <w:sz w:val="24"/>
          <w:szCs w:val="24"/>
          <w:vertAlign w:val="superscript"/>
        </w:rPr>
        <w:footnoteReference w:id="495"/>
      </w:r>
      <w:r w:rsidRPr="00BD6E3A">
        <w:rPr>
          <w:rFonts w:ascii="Times New Roman" w:hAnsi="Times New Roman" w:cs="Times New Roman"/>
          <w:sz w:val="24"/>
          <w:szCs w:val="24"/>
        </w:rPr>
        <w:t xml:space="preserve"> This was made all the worse by newspapers that circulated stories which claimed that Grant believed Sumner’s stance on the matter was “good rhetoric” but contained “bad logic.”</w:t>
      </w:r>
      <w:r w:rsidRPr="00BD6E3A">
        <w:rPr>
          <w:rFonts w:ascii="Times New Roman" w:hAnsi="Times New Roman" w:cs="Times New Roman"/>
          <w:sz w:val="24"/>
          <w:szCs w:val="24"/>
          <w:vertAlign w:val="superscript"/>
        </w:rPr>
        <w:footnoteReference w:id="496"/>
      </w:r>
      <w:r w:rsidRPr="00BD6E3A">
        <w:rPr>
          <w:rFonts w:ascii="Times New Roman" w:hAnsi="Times New Roman" w:cs="Times New Roman"/>
          <w:sz w:val="24"/>
          <w:szCs w:val="24"/>
        </w:rPr>
        <w:t xml:space="preserve"> Eventually, Grant removed Motley from his post for listening to Sumner and not himself, further widening the gap between Grant and Sumner.</w:t>
      </w:r>
      <w:r w:rsidRPr="00BD6E3A">
        <w:rPr>
          <w:rFonts w:ascii="Times New Roman" w:hAnsi="Times New Roman" w:cs="Times New Roman"/>
          <w:sz w:val="24"/>
          <w:szCs w:val="24"/>
          <w:vertAlign w:val="superscript"/>
        </w:rPr>
        <w:footnoteReference w:id="497"/>
      </w:r>
      <w:r w:rsidRPr="00BD6E3A">
        <w:rPr>
          <w:rFonts w:ascii="Times New Roman" w:hAnsi="Times New Roman" w:cs="Times New Roman"/>
          <w:sz w:val="24"/>
          <w:szCs w:val="24"/>
        </w:rPr>
        <w:t xml:space="preserve"> Tensions between the two were exacerbated by rising tensions over</w:t>
      </w:r>
      <w:r w:rsidR="00121083">
        <w:rPr>
          <w:rFonts w:ascii="Times New Roman" w:hAnsi="Times New Roman" w:cs="Times New Roman"/>
          <w:sz w:val="24"/>
          <w:szCs w:val="24"/>
        </w:rPr>
        <w:t xml:space="preserve"> the question to</w:t>
      </w:r>
      <w:r w:rsidRPr="00BD6E3A">
        <w:rPr>
          <w:rFonts w:ascii="Times New Roman" w:hAnsi="Times New Roman" w:cs="Times New Roman"/>
          <w:sz w:val="24"/>
          <w:szCs w:val="24"/>
        </w:rPr>
        <w:t xml:space="preserve"> support Spanish claims to Cuba or</w:t>
      </w:r>
      <w:r w:rsidR="00121083">
        <w:rPr>
          <w:rFonts w:ascii="Times New Roman" w:hAnsi="Times New Roman" w:cs="Times New Roman"/>
          <w:sz w:val="24"/>
          <w:szCs w:val="24"/>
        </w:rPr>
        <w:t xml:space="preserve"> instead</w:t>
      </w:r>
      <w:r w:rsidRPr="00BD6E3A">
        <w:rPr>
          <w:rFonts w:ascii="Times New Roman" w:hAnsi="Times New Roman" w:cs="Times New Roman"/>
          <w:sz w:val="24"/>
          <w:szCs w:val="24"/>
        </w:rPr>
        <w:t xml:space="preserve"> provid</w:t>
      </w:r>
      <w:r w:rsidR="00121083">
        <w:rPr>
          <w:rFonts w:ascii="Times New Roman" w:hAnsi="Times New Roman" w:cs="Times New Roman"/>
          <w:sz w:val="24"/>
          <w:szCs w:val="24"/>
        </w:rPr>
        <w:t>e</w:t>
      </w:r>
      <w:r w:rsidRPr="00BD6E3A">
        <w:rPr>
          <w:rFonts w:ascii="Times New Roman" w:hAnsi="Times New Roman" w:cs="Times New Roman"/>
          <w:sz w:val="24"/>
          <w:szCs w:val="24"/>
        </w:rPr>
        <w:t xml:space="preserve"> support to the insurgents on the island, heightening sensitivity regarding American foreign policy in the Caribbean.</w:t>
      </w:r>
      <w:r w:rsidRPr="00BD6E3A">
        <w:rPr>
          <w:rFonts w:ascii="Times New Roman" w:hAnsi="Times New Roman" w:cs="Times New Roman"/>
          <w:sz w:val="24"/>
          <w:szCs w:val="24"/>
          <w:vertAlign w:val="superscript"/>
        </w:rPr>
        <w:footnoteReference w:id="498"/>
      </w:r>
      <w:r w:rsidRPr="00BD6E3A">
        <w:rPr>
          <w:rFonts w:ascii="Times New Roman" w:hAnsi="Times New Roman" w:cs="Times New Roman"/>
          <w:sz w:val="24"/>
          <w:szCs w:val="24"/>
        </w:rPr>
        <w:t xml:space="preserve"> These tensions came to a head over Santo Domingo.</w:t>
      </w:r>
    </w:p>
    <w:p w14:paraId="1EF7D3BA" w14:textId="3F9225B7"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Upon Fabens’s return to Washington with his report on Santo Domingo, he presented his report to Fish on the island nation’s vast natural resources and its favorable economic and stable </w:t>
      </w:r>
      <w:r w:rsidRPr="00BD6E3A">
        <w:rPr>
          <w:rFonts w:ascii="Times New Roman" w:hAnsi="Times New Roman" w:cs="Times New Roman"/>
          <w:sz w:val="24"/>
          <w:szCs w:val="24"/>
        </w:rPr>
        <w:lastRenderedPageBreak/>
        <w:t>political situation, Fish in turn presented it to Grant and his cabinet.</w:t>
      </w:r>
      <w:r w:rsidRPr="00BD6E3A">
        <w:rPr>
          <w:rFonts w:ascii="Times New Roman" w:hAnsi="Times New Roman" w:cs="Times New Roman"/>
          <w:sz w:val="24"/>
          <w:szCs w:val="24"/>
          <w:vertAlign w:val="superscript"/>
        </w:rPr>
        <w:footnoteReference w:id="499"/>
      </w:r>
      <w:r w:rsidRPr="00BD6E3A">
        <w:rPr>
          <w:rFonts w:ascii="Times New Roman" w:hAnsi="Times New Roman" w:cs="Times New Roman"/>
          <w:sz w:val="24"/>
          <w:szCs w:val="24"/>
        </w:rPr>
        <w:t xml:space="preserve"> Fish proved not to be in Fabens’s camp when it came to annexation, leaving Fabens with the </w:t>
      </w:r>
      <w:r w:rsidR="003E25D3">
        <w:rPr>
          <w:rFonts w:ascii="Times New Roman" w:hAnsi="Times New Roman" w:cs="Times New Roman"/>
          <w:sz w:val="24"/>
          <w:szCs w:val="24"/>
        </w:rPr>
        <w:t>belief</w:t>
      </w:r>
      <w:r w:rsidRPr="00BD6E3A">
        <w:rPr>
          <w:rFonts w:ascii="Times New Roman" w:hAnsi="Times New Roman" w:cs="Times New Roman"/>
          <w:sz w:val="24"/>
          <w:szCs w:val="24"/>
        </w:rPr>
        <w:t xml:space="preserve"> that the secretary’s “impressions were against it.”</w:t>
      </w:r>
      <w:r w:rsidRPr="00BD6E3A">
        <w:rPr>
          <w:rFonts w:ascii="Times New Roman" w:hAnsi="Times New Roman" w:cs="Times New Roman"/>
          <w:sz w:val="24"/>
          <w:szCs w:val="24"/>
          <w:vertAlign w:val="superscript"/>
        </w:rPr>
        <w:footnoteReference w:id="500"/>
      </w:r>
      <w:r w:rsidRPr="00BD6E3A">
        <w:rPr>
          <w:rFonts w:ascii="Times New Roman" w:hAnsi="Times New Roman" w:cs="Times New Roman"/>
          <w:sz w:val="24"/>
          <w:szCs w:val="24"/>
        </w:rPr>
        <w:t xml:space="preserve"> Fabens’s suspicions were confirmed when Fish presented this report to the cabinet, telling them that he was “opposed to considering it at present,” as the impetus for such actions would have to arise in Congress, and since the legislature was in a short session at the time, there would be insufficient time to </w:t>
      </w:r>
      <w:r w:rsidR="006308A9">
        <w:rPr>
          <w:rFonts w:ascii="Times New Roman" w:hAnsi="Times New Roman" w:cs="Times New Roman"/>
          <w:sz w:val="24"/>
          <w:szCs w:val="24"/>
        </w:rPr>
        <w:t>debate</w:t>
      </w:r>
      <w:r w:rsidRPr="00BD6E3A">
        <w:rPr>
          <w:rFonts w:ascii="Times New Roman" w:hAnsi="Times New Roman" w:cs="Times New Roman"/>
          <w:sz w:val="24"/>
          <w:szCs w:val="24"/>
        </w:rPr>
        <w:t xml:space="preserve"> such a proposal.</w:t>
      </w:r>
      <w:r w:rsidRPr="00BD6E3A">
        <w:rPr>
          <w:rFonts w:ascii="Times New Roman" w:hAnsi="Times New Roman" w:cs="Times New Roman"/>
          <w:sz w:val="24"/>
          <w:szCs w:val="24"/>
          <w:vertAlign w:val="superscript"/>
        </w:rPr>
        <w:footnoteReference w:id="501"/>
      </w:r>
      <w:r w:rsidRPr="00BD6E3A">
        <w:rPr>
          <w:rFonts w:ascii="Times New Roman" w:hAnsi="Times New Roman" w:cs="Times New Roman"/>
          <w:sz w:val="24"/>
          <w:szCs w:val="24"/>
        </w:rPr>
        <w:t xml:space="preserve">  In response, President Grant, a proponent of annexation, did not wish to act in haste on the matter and heeded Fish’s council.</w:t>
      </w:r>
      <w:r w:rsidRPr="00BD6E3A">
        <w:rPr>
          <w:rFonts w:ascii="Times New Roman" w:hAnsi="Times New Roman" w:cs="Times New Roman"/>
          <w:sz w:val="24"/>
          <w:szCs w:val="24"/>
          <w:vertAlign w:val="superscript"/>
        </w:rPr>
        <w:footnoteReference w:id="502"/>
      </w:r>
      <w:r w:rsidRPr="00BD6E3A">
        <w:rPr>
          <w:rFonts w:ascii="Times New Roman" w:hAnsi="Times New Roman" w:cs="Times New Roman"/>
          <w:sz w:val="24"/>
          <w:szCs w:val="24"/>
        </w:rPr>
        <w:t xml:space="preserve"> Fish continued to act on behalf of his president and </w:t>
      </w:r>
      <w:r w:rsidR="003E45F9">
        <w:rPr>
          <w:rFonts w:ascii="Times New Roman" w:hAnsi="Times New Roman" w:cs="Times New Roman"/>
          <w:sz w:val="24"/>
          <w:szCs w:val="24"/>
        </w:rPr>
        <w:t>pursue</w:t>
      </w:r>
      <w:r w:rsidRPr="00BD6E3A">
        <w:rPr>
          <w:rFonts w:ascii="Times New Roman" w:hAnsi="Times New Roman" w:cs="Times New Roman"/>
          <w:sz w:val="24"/>
          <w:szCs w:val="24"/>
        </w:rPr>
        <w:t xml:space="preserve"> annexation efforts, but he seems to have done so begrudgingly. At one point, Fish disclosed his concerns with the plan to a colleague, stating that he had “no intention whatever of yielding” to the requests made by the Dominican government, and offering that while the United States may consider the chance to “annex countries inhabited by the Anglo-Saxon race and accustomed to self Government, the incorporation of those peopled by the Latin race would be but the beginning of years of conflict and anarchy.”</w:t>
      </w:r>
      <w:r w:rsidRPr="00BD6E3A">
        <w:rPr>
          <w:rFonts w:ascii="Times New Roman" w:hAnsi="Times New Roman" w:cs="Times New Roman"/>
          <w:sz w:val="24"/>
          <w:szCs w:val="24"/>
          <w:vertAlign w:val="superscript"/>
        </w:rPr>
        <w:footnoteReference w:id="503"/>
      </w:r>
      <w:r w:rsidRPr="00BD6E3A">
        <w:rPr>
          <w:rFonts w:ascii="Times New Roman" w:hAnsi="Times New Roman" w:cs="Times New Roman"/>
          <w:sz w:val="24"/>
          <w:szCs w:val="24"/>
        </w:rPr>
        <w:t xml:space="preserve"> Given the recent developments in Santo Domingo and the seemingly ever-shifting political structures on the island, combined with</w:t>
      </w:r>
      <w:r w:rsidR="005E4BB0">
        <w:rPr>
          <w:rFonts w:ascii="Times New Roman" w:hAnsi="Times New Roman" w:cs="Times New Roman"/>
          <w:sz w:val="24"/>
          <w:szCs w:val="24"/>
        </w:rPr>
        <w:t xml:space="preserve"> </w:t>
      </w:r>
      <w:r w:rsidRPr="00BD6E3A">
        <w:rPr>
          <w:rFonts w:ascii="Times New Roman" w:hAnsi="Times New Roman" w:cs="Times New Roman"/>
          <w:sz w:val="24"/>
          <w:szCs w:val="24"/>
        </w:rPr>
        <w:t xml:space="preserve">ideas about the inferiority of those of non-Anglo-Saxon descent </w:t>
      </w:r>
      <w:r w:rsidR="00106E44">
        <w:rPr>
          <w:rFonts w:ascii="Times New Roman" w:hAnsi="Times New Roman" w:cs="Times New Roman"/>
          <w:sz w:val="24"/>
          <w:szCs w:val="24"/>
        </w:rPr>
        <w:t xml:space="preserve">by many </w:t>
      </w:r>
      <w:r w:rsidRPr="00BD6E3A">
        <w:rPr>
          <w:rFonts w:ascii="Times New Roman" w:hAnsi="Times New Roman" w:cs="Times New Roman"/>
          <w:sz w:val="24"/>
          <w:szCs w:val="24"/>
        </w:rPr>
        <w:t>across the American polity, these claims by Fish portended very real issues that the electorate and the elected alike would have to consider should annexation debates progress.</w:t>
      </w:r>
      <w:r w:rsidRPr="00BD6E3A">
        <w:rPr>
          <w:rFonts w:ascii="Times New Roman" w:hAnsi="Times New Roman" w:cs="Times New Roman"/>
          <w:sz w:val="24"/>
          <w:szCs w:val="24"/>
          <w:vertAlign w:val="superscript"/>
        </w:rPr>
        <w:footnoteReference w:id="504"/>
      </w:r>
      <w:r w:rsidRPr="00BD6E3A">
        <w:rPr>
          <w:rFonts w:ascii="Times New Roman" w:hAnsi="Times New Roman" w:cs="Times New Roman"/>
          <w:sz w:val="24"/>
          <w:szCs w:val="24"/>
        </w:rPr>
        <w:t xml:space="preserve"> Still, the location of Santo Domingo, particularly </w:t>
      </w:r>
      <w:r w:rsidRPr="00BD6E3A">
        <w:rPr>
          <w:rFonts w:ascii="Times New Roman" w:hAnsi="Times New Roman" w:cs="Times New Roman"/>
          <w:sz w:val="24"/>
          <w:szCs w:val="24"/>
        </w:rPr>
        <w:lastRenderedPageBreak/>
        <w:t>the Bay of Samaná, and its value to prohibiting continued European interference in the Western Hemisphere seemed to have won out among members of Congress and the Grant Administration, and as such the push for annexation continued.</w:t>
      </w:r>
      <w:r w:rsidRPr="00BD6E3A">
        <w:rPr>
          <w:rFonts w:ascii="Times New Roman" w:hAnsi="Times New Roman" w:cs="Times New Roman"/>
          <w:sz w:val="24"/>
          <w:szCs w:val="24"/>
        </w:rPr>
        <w:tab/>
      </w:r>
    </w:p>
    <w:p w14:paraId="24823900" w14:textId="6EBE9BDF"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With many obstacles present, it appeared the best road toward the cause of annexation was to compile a report support</w:t>
      </w:r>
      <w:r w:rsidR="00C87894">
        <w:rPr>
          <w:rFonts w:ascii="Times New Roman" w:hAnsi="Times New Roman" w:cs="Times New Roman"/>
          <w:sz w:val="24"/>
          <w:szCs w:val="24"/>
        </w:rPr>
        <w:t>ing</w:t>
      </w:r>
      <w:r w:rsidRPr="00BD6E3A">
        <w:rPr>
          <w:rFonts w:ascii="Times New Roman" w:hAnsi="Times New Roman" w:cs="Times New Roman"/>
          <w:sz w:val="24"/>
          <w:szCs w:val="24"/>
        </w:rPr>
        <w:t xml:space="preserve"> a motion like Congressman Orth submitted so Congress could appropriately consider the possibility of adding Santo Domingo to the Union. Just a week before such a report was requested, the navy ordered an investigation into Samaná Bay and its potential use as a fueling station.</w:t>
      </w:r>
      <w:r w:rsidRPr="00BD6E3A">
        <w:rPr>
          <w:rFonts w:ascii="Times New Roman" w:hAnsi="Times New Roman" w:cs="Times New Roman"/>
          <w:sz w:val="24"/>
          <w:szCs w:val="24"/>
          <w:vertAlign w:val="superscript"/>
        </w:rPr>
        <w:footnoteReference w:id="505"/>
      </w:r>
      <w:r w:rsidRPr="00BD6E3A">
        <w:rPr>
          <w:rFonts w:ascii="Times New Roman" w:hAnsi="Times New Roman" w:cs="Times New Roman"/>
          <w:sz w:val="24"/>
          <w:szCs w:val="24"/>
        </w:rPr>
        <w:t xml:space="preserve"> As the </w:t>
      </w:r>
      <w:r w:rsidR="00C87894">
        <w:rPr>
          <w:rFonts w:ascii="Times New Roman" w:hAnsi="Times New Roman" w:cs="Times New Roman"/>
          <w:sz w:val="24"/>
          <w:szCs w:val="24"/>
        </w:rPr>
        <w:t>S</w:t>
      </w:r>
      <w:r w:rsidRPr="00BD6E3A">
        <w:rPr>
          <w:rFonts w:ascii="Times New Roman" w:hAnsi="Times New Roman" w:cs="Times New Roman"/>
          <w:sz w:val="24"/>
          <w:szCs w:val="24"/>
        </w:rPr>
        <w:t xml:space="preserve">tate </w:t>
      </w:r>
      <w:r w:rsidR="00C87894">
        <w:rPr>
          <w:rFonts w:ascii="Times New Roman" w:hAnsi="Times New Roman" w:cs="Times New Roman"/>
          <w:sz w:val="24"/>
          <w:szCs w:val="24"/>
        </w:rPr>
        <w:t>D</w:t>
      </w:r>
      <w:r w:rsidRPr="00BD6E3A">
        <w:rPr>
          <w:rFonts w:ascii="Times New Roman" w:hAnsi="Times New Roman" w:cs="Times New Roman"/>
          <w:sz w:val="24"/>
          <w:szCs w:val="24"/>
        </w:rPr>
        <w:t>epartment only consisted of about two dozen members at the time, they coordinated their efforts with those of the navy and the two missions were consolidated.</w:t>
      </w:r>
      <w:r w:rsidRPr="00BD6E3A">
        <w:rPr>
          <w:rFonts w:ascii="Times New Roman" w:hAnsi="Times New Roman" w:cs="Times New Roman"/>
          <w:sz w:val="24"/>
          <w:szCs w:val="24"/>
          <w:vertAlign w:val="superscript"/>
        </w:rPr>
        <w:footnoteReference w:id="506"/>
      </w:r>
      <w:r w:rsidRPr="00BD6E3A">
        <w:rPr>
          <w:rFonts w:ascii="Times New Roman" w:hAnsi="Times New Roman" w:cs="Times New Roman"/>
          <w:sz w:val="24"/>
          <w:szCs w:val="24"/>
        </w:rPr>
        <w:t xml:space="preserve"> The navy dispatched the USS </w:t>
      </w:r>
      <w:r w:rsidRPr="00BD6E3A">
        <w:rPr>
          <w:rFonts w:ascii="Times New Roman" w:hAnsi="Times New Roman" w:cs="Times New Roman"/>
          <w:i/>
          <w:iCs/>
          <w:sz w:val="24"/>
          <w:szCs w:val="24"/>
        </w:rPr>
        <w:t>Nipsic</w:t>
      </w:r>
      <w:r w:rsidRPr="00BD6E3A">
        <w:rPr>
          <w:rFonts w:ascii="Times New Roman" w:hAnsi="Times New Roman" w:cs="Times New Roman"/>
          <w:sz w:val="24"/>
          <w:szCs w:val="24"/>
        </w:rPr>
        <w:t xml:space="preserve"> under Civil War veteran Thomas Selfridge Jr. to conduct this dual investigation.</w:t>
      </w:r>
      <w:r w:rsidRPr="00BD6E3A">
        <w:rPr>
          <w:rFonts w:ascii="Times New Roman" w:hAnsi="Times New Roman" w:cs="Times New Roman"/>
          <w:sz w:val="24"/>
          <w:szCs w:val="24"/>
          <w:vertAlign w:val="superscript"/>
        </w:rPr>
        <w:footnoteReference w:id="507"/>
      </w:r>
      <w:r w:rsidRPr="00BD6E3A">
        <w:rPr>
          <w:rFonts w:ascii="Times New Roman" w:hAnsi="Times New Roman" w:cs="Times New Roman"/>
          <w:sz w:val="24"/>
          <w:szCs w:val="24"/>
        </w:rPr>
        <w:t xml:space="preserve"> However, the </w:t>
      </w:r>
      <w:r w:rsidRPr="00BD6E3A">
        <w:rPr>
          <w:rFonts w:ascii="Times New Roman" w:hAnsi="Times New Roman" w:cs="Times New Roman"/>
          <w:i/>
          <w:iCs/>
          <w:sz w:val="24"/>
          <w:szCs w:val="24"/>
        </w:rPr>
        <w:t>Nipsic</w:t>
      </w:r>
      <w:r w:rsidRPr="00BD6E3A">
        <w:rPr>
          <w:rFonts w:ascii="Times New Roman" w:hAnsi="Times New Roman" w:cs="Times New Roman"/>
          <w:sz w:val="24"/>
          <w:szCs w:val="24"/>
        </w:rPr>
        <w:t>’s propeller broke</w:t>
      </w:r>
      <w:r w:rsidR="00557FFB">
        <w:rPr>
          <w:rFonts w:ascii="Times New Roman" w:hAnsi="Times New Roman" w:cs="Times New Roman"/>
          <w:sz w:val="24"/>
          <w:szCs w:val="24"/>
        </w:rPr>
        <w:t xml:space="preserve"> off just</w:t>
      </w:r>
      <w:r w:rsidRPr="00BD6E3A">
        <w:rPr>
          <w:rFonts w:ascii="Times New Roman" w:hAnsi="Times New Roman" w:cs="Times New Roman"/>
          <w:sz w:val="24"/>
          <w:szCs w:val="24"/>
        </w:rPr>
        <w:t xml:space="preserve"> off the coast of Cuba, and the ship sailed to Haiti before returning to the United States, never making it to its original destination of Santo Domingo, resulting in the failure of both missions.</w:t>
      </w:r>
      <w:r w:rsidRPr="00BD6E3A">
        <w:rPr>
          <w:rFonts w:ascii="Times New Roman" w:hAnsi="Times New Roman" w:cs="Times New Roman"/>
          <w:sz w:val="24"/>
          <w:szCs w:val="24"/>
          <w:vertAlign w:val="superscript"/>
        </w:rPr>
        <w:footnoteReference w:id="508"/>
      </w:r>
      <w:r w:rsidRPr="00BD6E3A">
        <w:rPr>
          <w:rFonts w:ascii="Times New Roman" w:hAnsi="Times New Roman" w:cs="Times New Roman"/>
          <w:sz w:val="24"/>
          <w:szCs w:val="24"/>
        </w:rPr>
        <w:t xml:space="preserve"> After the </w:t>
      </w:r>
      <w:r w:rsidRPr="00BD6E3A">
        <w:rPr>
          <w:rFonts w:ascii="Times New Roman" w:hAnsi="Times New Roman" w:cs="Times New Roman"/>
          <w:i/>
          <w:iCs/>
          <w:sz w:val="24"/>
          <w:szCs w:val="24"/>
        </w:rPr>
        <w:t xml:space="preserve">Nipsic </w:t>
      </w:r>
      <w:r w:rsidRPr="00BD6E3A">
        <w:rPr>
          <w:rFonts w:ascii="Times New Roman" w:hAnsi="Times New Roman" w:cs="Times New Roman"/>
          <w:sz w:val="24"/>
          <w:szCs w:val="24"/>
        </w:rPr>
        <w:t>incident, Fabens continued to push the administration toward annexation by appealing to Assistant Secretary of State J.C. Bancroft Davis.</w:t>
      </w:r>
      <w:r w:rsidRPr="00BD6E3A">
        <w:rPr>
          <w:rFonts w:ascii="Times New Roman" w:hAnsi="Times New Roman" w:cs="Times New Roman"/>
          <w:sz w:val="24"/>
          <w:szCs w:val="24"/>
          <w:vertAlign w:val="superscript"/>
        </w:rPr>
        <w:footnoteReference w:id="509"/>
      </w:r>
      <w:r w:rsidRPr="00BD6E3A">
        <w:rPr>
          <w:rFonts w:ascii="Times New Roman" w:hAnsi="Times New Roman" w:cs="Times New Roman"/>
          <w:sz w:val="24"/>
          <w:szCs w:val="24"/>
        </w:rPr>
        <w:t xml:space="preserve"> The administration still needed an investigative report and decided to obtain a civilian report. They chose Benjamin Hunt, an </w:t>
      </w:r>
      <w:r w:rsidRPr="00BD6E3A">
        <w:rPr>
          <w:rFonts w:ascii="Times New Roman" w:hAnsi="Times New Roman" w:cs="Times New Roman"/>
          <w:sz w:val="24"/>
          <w:szCs w:val="24"/>
        </w:rPr>
        <w:lastRenderedPageBreak/>
        <w:t>investigator with more than a decade’s experience in the Caribbean, to complete the task.</w:t>
      </w:r>
      <w:r w:rsidRPr="00BD6E3A">
        <w:rPr>
          <w:rFonts w:ascii="Times New Roman" w:hAnsi="Times New Roman" w:cs="Times New Roman"/>
          <w:sz w:val="24"/>
          <w:szCs w:val="24"/>
          <w:vertAlign w:val="superscript"/>
        </w:rPr>
        <w:footnoteReference w:id="510"/>
      </w:r>
      <w:r w:rsidRPr="00BD6E3A">
        <w:rPr>
          <w:rFonts w:ascii="Times New Roman" w:hAnsi="Times New Roman" w:cs="Times New Roman"/>
          <w:sz w:val="24"/>
          <w:szCs w:val="24"/>
        </w:rPr>
        <w:t xml:space="preserve"> Fish relayed his desires to Hunt, whom he considered to be “particularly well qualified” for the task, and a private ship called the </w:t>
      </w:r>
      <w:r w:rsidRPr="00BD6E3A">
        <w:rPr>
          <w:rFonts w:ascii="Times New Roman" w:hAnsi="Times New Roman" w:cs="Times New Roman"/>
          <w:i/>
          <w:iCs/>
          <w:sz w:val="24"/>
          <w:szCs w:val="24"/>
        </w:rPr>
        <w:t>Tybee</w:t>
      </w:r>
      <w:r w:rsidRPr="00BD6E3A">
        <w:rPr>
          <w:rFonts w:ascii="Times New Roman" w:hAnsi="Times New Roman" w:cs="Times New Roman"/>
          <w:sz w:val="24"/>
          <w:szCs w:val="24"/>
        </w:rPr>
        <w:t xml:space="preserve"> was chosen as the vessel to carry Hunt to the Caribbean in early June.</w:t>
      </w:r>
      <w:r w:rsidRPr="00BD6E3A">
        <w:rPr>
          <w:rFonts w:ascii="Times New Roman" w:hAnsi="Times New Roman" w:cs="Times New Roman"/>
          <w:sz w:val="24"/>
          <w:szCs w:val="24"/>
          <w:vertAlign w:val="superscript"/>
        </w:rPr>
        <w:footnoteReference w:id="511"/>
      </w:r>
      <w:r w:rsidRPr="00BD6E3A">
        <w:rPr>
          <w:rFonts w:ascii="Times New Roman" w:hAnsi="Times New Roman" w:cs="Times New Roman"/>
          <w:sz w:val="24"/>
          <w:szCs w:val="24"/>
        </w:rPr>
        <w:t xml:space="preserve"> Just before the voyage, however, the sixty-one-year-old Hunt fell ill, and by time Fish could appoint a replacement, the </w:t>
      </w:r>
      <w:r w:rsidRPr="00BD6E3A">
        <w:rPr>
          <w:rFonts w:ascii="Times New Roman" w:hAnsi="Times New Roman" w:cs="Times New Roman"/>
          <w:i/>
          <w:iCs/>
          <w:sz w:val="24"/>
          <w:szCs w:val="24"/>
        </w:rPr>
        <w:t>Tybee</w:t>
      </w:r>
      <w:r w:rsidRPr="00BD6E3A">
        <w:rPr>
          <w:rFonts w:ascii="Times New Roman" w:hAnsi="Times New Roman" w:cs="Times New Roman"/>
          <w:sz w:val="24"/>
          <w:szCs w:val="24"/>
        </w:rPr>
        <w:t xml:space="preserve"> set sail from New York, leaving the administration yet again without the necessary information to continue its push for annexation.</w:t>
      </w:r>
      <w:r w:rsidRPr="00BD6E3A">
        <w:rPr>
          <w:rFonts w:ascii="Times New Roman" w:hAnsi="Times New Roman" w:cs="Times New Roman"/>
          <w:sz w:val="24"/>
          <w:szCs w:val="24"/>
          <w:vertAlign w:val="superscript"/>
        </w:rPr>
        <w:footnoteReference w:id="512"/>
      </w:r>
    </w:p>
    <w:p w14:paraId="32D171D8" w14:textId="78396A73"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Even with two failed attempts at gathering information to assist the annexation efforts, the Grant Administration continued to do its due diligence on the matter. Fabens continued to serve as an intermediary between the United States and Santo Domingo. He hastened actions by the administration by presenting information that Dominican rebel vessels were threatening the island nation and American merchant ships.</w:t>
      </w:r>
      <w:r w:rsidRPr="00BD6E3A">
        <w:rPr>
          <w:rFonts w:ascii="Times New Roman" w:hAnsi="Times New Roman" w:cs="Times New Roman"/>
          <w:sz w:val="24"/>
          <w:szCs w:val="24"/>
          <w:vertAlign w:val="superscript"/>
        </w:rPr>
        <w:footnoteReference w:id="513"/>
      </w:r>
      <w:r w:rsidRPr="00BD6E3A">
        <w:rPr>
          <w:rFonts w:ascii="Times New Roman" w:hAnsi="Times New Roman" w:cs="Times New Roman"/>
          <w:sz w:val="24"/>
          <w:szCs w:val="24"/>
        </w:rPr>
        <w:t xml:space="preserve"> After sending in naval ships to quell this matter, President Grant realized that they still needed a full report on the situation, and with the </w:t>
      </w:r>
      <w:r w:rsidRPr="00BD6E3A">
        <w:rPr>
          <w:rFonts w:ascii="Times New Roman" w:hAnsi="Times New Roman" w:cs="Times New Roman"/>
          <w:i/>
          <w:iCs/>
          <w:sz w:val="24"/>
          <w:szCs w:val="24"/>
        </w:rPr>
        <w:t>Tybee</w:t>
      </w:r>
      <w:r w:rsidRPr="00BD6E3A">
        <w:rPr>
          <w:rFonts w:ascii="Times New Roman" w:hAnsi="Times New Roman" w:cs="Times New Roman"/>
          <w:sz w:val="24"/>
          <w:szCs w:val="24"/>
        </w:rPr>
        <w:t xml:space="preserve"> set to sail to the island nation once again in July, he entrusted the job to his Private Secretary, Orville Babcock. Babcock’s selection was an interesting one, to say the least.  He previously served as Grant’s </w:t>
      </w:r>
      <w:r w:rsidR="00F11F93">
        <w:rPr>
          <w:rFonts w:ascii="Times New Roman" w:hAnsi="Times New Roman" w:cs="Times New Roman"/>
          <w:sz w:val="24"/>
          <w:szCs w:val="24"/>
        </w:rPr>
        <w:t>reconnaissance man</w:t>
      </w:r>
      <w:r w:rsidRPr="00BD6E3A">
        <w:rPr>
          <w:rFonts w:ascii="Times New Roman" w:hAnsi="Times New Roman" w:cs="Times New Roman"/>
          <w:sz w:val="24"/>
          <w:szCs w:val="24"/>
        </w:rPr>
        <w:t xml:space="preserve"> on domestic trips before into the American South and West, but never on an international trip, and he could hardly be qualified as a regional expert as someone like Benjamin Hunt could.</w:t>
      </w:r>
      <w:r w:rsidRPr="00BD6E3A">
        <w:rPr>
          <w:rFonts w:ascii="Times New Roman" w:hAnsi="Times New Roman" w:cs="Times New Roman"/>
          <w:sz w:val="24"/>
          <w:szCs w:val="24"/>
          <w:vertAlign w:val="superscript"/>
        </w:rPr>
        <w:footnoteReference w:id="514"/>
      </w:r>
      <w:r w:rsidRPr="00BD6E3A">
        <w:rPr>
          <w:rFonts w:ascii="Times New Roman" w:hAnsi="Times New Roman" w:cs="Times New Roman"/>
          <w:sz w:val="24"/>
          <w:szCs w:val="24"/>
        </w:rPr>
        <w:t xml:space="preserve"> He was not fluent in Spanish, nor had he participated in administrati</w:t>
      </w:r>
      <w:r w:rsidR="008A7DD6">
        <w:rPr>
          <w:rFonts w:ascii="Times New Roman" w:hAnsi="Times New Roman" w:cs="Times New Roman"/>
          <w:sz w:val="24"/>
          <w:szCs w:val="24"/>
        </w:rPr>
        <w:t>ve</w:t>
      </w:r>
      <w:r w:rsidRPr="00BD6E3A">
        <w:rPr>
          <w:rFonts w:ascii="Times New Roman" w:hAnsi="Times New Roman" w:cs="Times New Roman"/>
          <w:sz w:val="24"/>
          <w:szCs w:val="24"/>
        </w:rPr>
        <w:t xml:space="preserve"> discussions surrounding Santo Domingo, and he had no diplomatic status as an </w:t>
      </w:r>
      <w:r w:rsidRPr="00BD6E3A">
        <w:rPr>
          <w:rFonts w:ascii="Times New Roman" w:hAnsi="Times New Roman" w:cs="Times New Roman"/>
          <w:sz w:val="24"/>
          <w:szCs w:val="24"/>
        </w:rPr>
        <w:lastRenderedPageBreak/>
        <w:t>operative of the State Department.</w:t>
      </w:r>
      <w:r w:rsidRPr="00BD6E3A">
        <w:rPr>
          <w:rFonts w:ascii="Times New Roman" w:hAnsi="Times New Roman" w:cs="Times New Roman"/>
          <w:sz w:val="24"/>
          <w:szCs w:val="24"/>
          <w:vertAlign w:val="superscript"/>
        </w:rPr>
        <w:footnoteReference w:id="515"/>
      </w:r>
      <w:r w:rsidRPr="00BD6E3A">
        <w:rPr>
          <w:rFonts w:ascii="Times New Roman" w:hAnsi="Times New Roman" w:cs="Times New Roman"/>
          <w:sz w:val="24"/>
          <w:szCs w:val="24"/>
        </w:rPr>
        <w:t xml:space="preserve"> In fact, he recently left Washington to go to New York for the summer, though he quickly returned once summoned by the president.</w:t>
      </w:r>
      <w:r w:rsidRPr="00BD6E3A">
        <w:rPr>
          <w:rFonts w:ascii="Times New Roman" w:hAnsi="Times New Roman" w:cs="Times New Roman"/>
          <w:sz w:val="24"/>
          <w:szCs w:val="24"/>
          <w:vertAlign w:val="superscript"/>
        </w:rPr>
        <w:footnoteReference w:id="516"/>
      </w:r>
      <w:r w:rsidRPr="00BD6E3A">
        <w:rPr>
          <w:rFonts w:ascii="Times New Roman" w:hAnsi="Times New Roman" w:cs="Times New Roman"/>
          <w:sz w:val="24"/>
          <w:szCs w:val="24"/>
        </w:rPr>
        <w:t xml:space="preserve"> What Babcock did possess though was a keen eye for details, an ability for sizing up both men and situations, and an unending commitment to his patron Grant, and as such he agreed to set off on the task before him.</w:t>
      </w:r>
      <w:r w:rsidRPr="00BD6E3A">
        <w:rPr>
          <w:rFonts w:ascii="Times New Roman" w:hAnsi="Times New Roman" w:cs="Times New Roman"/>
          <w:sz w:val="24"/>
          <w:szCs w:val="24"/>
          <w:vertAlign w:val="superscript"/>
        </w:rPr>
        <w:footnoteReference w:id="517"/>
      </w:r>
    </w:p>
    <w:p w14:paraId="03C95B00" w14:textId="4BA0DB36"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Babcock arrived in Washington on July 13, 1869, just days before the </w:t>
      </w:r>
      <w:r w:rsidRPr="00BD6E3A">
        <w:rPr>
          <w:rFonts w:ascii="Times New Roman" w:hAnsi="Times New Roman" w:cs="Times New Roman"/>
          <w:i/>
          <w:iCs/>
          <w:sz w:val="24"/>
          <w:szCs w:val="24"/>
        </w:rPr>
        <w:t>Tybee</w:t>
      </w:r>
      <w:r w:rsidRPr="00BD6E3A">
        <w:rPr>
          <w:rFonts w:ascii="Times New Roman" w:hAnsi="Times New Roman" w:cs="Times New Roman"/>
          <w:sz w:val="24"/>
          <w:szCs w:val="24"/>
        </w:rPr>
        <w:t xml:space="preserve"> was to set sail from New York.</w:t>
      </w:r>
      <w:r w:rsidRPr="00BD6E3A">
        <w:rPr>
          <w:rFonts w:ascii="Times New Roman" w:hAnsi="Times New Roman" w:cs="Times New Roman"/>
          <w:sz w:val="24"/>
          <w:szCs w:val="24"/>
          <w:vertAlign w:val="superscript"/>
        </w:rPr>
        <w:footnoteReference w:id="518"/>
      </w:r>
      <w:r w:rsidRPr="00BD6E3A">
        <w:rPr>
          <w:rFonts w:ascii="Times New Roman" w:hAnsi="Times New Roman" w:cs="Times New Roman"/>
          <w:sz w:val="24"/>
          <w:szCs w:val="24"/>
        </w:rPr>
        <w:t xml:space="preserve"> He met with the President and informed his patron that he should not accept free passage from those who had interests in either Santo Domingo or the commercial steamship passage to the Caribbean to avoid the perception that they were beholden to them.</w:t>
      </w:r>
      <w:r w:rsidRPr="00BD6E3A">
        <w:rPr>
          <w:rFonts w:ascii="Times New Roman" w:hAnsi="Times New Roman" w:cs="Times New Roman"/>
          <w:sz w:val="24"/>
          <w:szCs w:val="24"/>
          <w:vertAlign w:val="superscript"/>
        </w:rPr>
        <w:footnoteReference w:id="519"/>
      </w:r>
      <w:r w:rsidRPr="00BD6E3A">
        <w:rPr>
          <w:rFonts w:ascii="Times New Roman" w:hAnsi="Times New Roman" w:cs="Times New Roman"/>
          <w:sz w:val="24"/>
          <w:szCs w:val="24"/>
        </w:rPr>
        <w:t xml:space="preserve"> Grant agreed and had the State Department pay for the trip out of the official budget.</w:t>
      </w:r>
      <w:r w:rsidRPr="00BD6E3A">
        <w:rPr>
          <w:rFonts w:ascii="Times New Roman" w:hAnsi="Times New Roman" w:cs="Times New Roman"/>
          <w:sz w:val="24"/>
          <w:szCs w:val="24"/>
          <w:vertAlign w:val="superscript"/>
        </w:rPr>
        <w:footnoteReference w:id="520"/>
      </w:r>
      <w:r w:rsidRPr="00BD6E3A">
        <w:rPr>
          <w:rFonts w:ascii="Times New Roman" w:hAnsi="Times New Roman" w:cs="Times New Roman"/>
          <w:sz w:val="24"/>
          <w:szCs w:val="24"/>
        </w:rPr>
        <w:t xml:space="preserve"> As this was a matter of the State Department, Babcock met with Secretary of State Fish and received his official written instructions, which replicated the earlier instructions intended for Benjamin Hunt to look into Santo Domingo’s resources with an added missive to investigate such economic factors as the condition of the currency and the interest on the public debt.</w:t>
      </w:r>
      <w:r w:rsidRPr="00BD6E3A">
        <w:rPr>
          <w:rFonts w:ascii="Times New Roman" w:hAnsi="Times New Roman" w:cs="Times New Roman"/>
          <w:sz w:val="24"/>
          <w:szCs w:val="24"/>
          <w:vertAlign w:val="superscript"/>
        </w:rPr>
        <w:footnoteReference w:id="521"/>
      </w:r>
      <w:r w:rsidRPr="00BD6E3A">
        <w:rPr>
          <w:rFonts w:ascii="Times New Roman" w:hAnsi="Times New Roman" w:cs="Times New Roman"/>
          <w:sz w:val="24"/>
          <w:szCs w:val="24"/>
        </w:rPr>
        <w:t xml:space="preserve"> These were not the only instructions given to Babcock though. President Grant gave him verbal instructions to ascertain the veracity behind the mixed reports the administration had been receiving surrounding the local population’s perception surrounding potential annexation. Later, Grant recounted that “Gen. Babcock was sent to Sto Domingo [sic] to ascertain so far as he could the wishes of the Dominican people and Government with respect to annexation to the United States. </w:t>
      </w:r>
      <w:r w:rsidRPr="00BD6E3A">
        <w:rPr>
          <w:rFonts w:ascii="Times New Roman" w:hAnsi="Times New Roman" w:cs="Times New Roman"/>
          <w:sz w:val="24"/>
          <w:szCs w:val="24"/>
        </w:rPr>
        <w:lastRenderedPageBreak/>
        <w:t>If he found them favorable he was directed to ascertain the terms on which they desired annexation.”</w:t>
      </w:r>
      <w:r w:rsidRPr="00BD6E3A">
        <w:rPr>
          <w:rFonts w:ascii="Times New Roman" w:hAnsi="Times New Roman" w:cs="Times New Roman"/>
          <w:sz w:val="24"/>
          <w:szCs w:val="24"/>
          <w:vertAlign w:val="superscript"/>
        </w:rPr>
        <w:footnoteReference w:id="522"/>
      </w:r>
      <w:r w:rsidRPr="00BD6E3A">
        <w:rPr>
          <w:rFonts w:ascii="Times New Roman" w:hAnsi="Times New Roman" w:cs="Times New Roman"/>
          <w:sz w:val="24"/>
          <w:szCs w:val="24"/>
        </w:rPr>
        <w:t xml:space="preserve"> In other words, this was an exploratory mission only, meaning Babcock had no official authority to negotiate on behalf of the United States in any matters – that would have to be done by someone else</w:t>
      </w:r>
      <w:r w:rsidR="00813630">
        <w:rPr>
          <w:rFonts w:ascii="Times New Roman" w:hAnsi="Times New Roman" w:cs="Times New Roman"/>
          <w:sz w:val="24"/>
          <w:szCs w:val="24"/>
        </w:rPr>
        <w:t xml:space="preserve"> with diplomatic authority</w:t>
      </w:r>
      <w:r w:rsidRPr="00BD6E3A">
        <w:rPr>
          <w:rFonts w:ascii="Times New Roman" w:hAnsi="Times New Roman" w:cs="Times New Roman"/>
          <w:sz w:val="24"/>
          <w:szCs w:val="24"/>
        </w:rPr>
        <w:t xml:space="preserve"> at a later date using the information Babcock acquired. With these orders, Babcock readied himself and made haste back to New York to meet the </w:t>
      </w:r>
      <w:r w:rsidRPr="00BD6E3A">
        <w:rPr>
          <w:rFonts w:ascii="Times New Roman" w:hAnsi="Times New Roman" w:cs="Times New Roman"/>
          <w:i/>
          <w:iCs/>
          <w:sz w:val="24"/>
          <w:szCs w:val="24"/>
        </w:rPr>
        <w:t>Tybee</w:t>
      </w:r>
      <w:r w:rsidRPr="00BD6E3A">
        <w:rPr>
          <w:rFonts w:ascii="Times New Roman" w:hAnsi="Times New Roman" w:cs="Times New Roman"/>
          <w:sz w:val="24"/>
          <w:szCs w:val="24"/>
        </w:rPr>
        <w:t xml:space="preserve"> for its departure on July 17, just four days after his meeting with Grant.</w:t>
      </w:r>
      <w:r w:rsidRPr="00BD6E3A">
        <w:rPr>
          <w:rFonts w:ascii="Times New Roman" w:hAnsi="Times New Roman" w:cs="Times New Roman"/>
          <w:sz w:val="24"/>
          <w:szCs w:val="24"/>
          <w:vertAlign w:val="superscript"/>
        </w:rPr>
        <w:footnoteReference w:id="523"/>
      </w:r>
    </w:p>
    <w:p w14:paraId="5EB4BF54" w14:textId="77777777" w:rsidR="00BD6E3A" w:rsidRPr="00BD6E3A" w:rsidRDefault="00BD6E3A" w:rsidP="00BD6E3A">
      <w:pPr>
        <w:spacing w:line="480" w:lineRule="auto"/>
        <w:jc w:val="center"/>
        <w:rPr>
          <w:rFonts w:ascii="Times New Roman" w:hAnsi="Times New Roman" w:cs="Times New Roman"/>
          <w:sz w:val="24"/>
          <w:szCs w:val="24"/>
        </w:rPr>
      </w:pPr>
      <w:r w:rsidRPr="00BD6E3A">
        <w:rPr>
          <w:rFonts w:ascii="Times New Roman" w:hAnsi="Times New Roman" w:cs="Times New Roman"/>
          <w:sz w:val="24"/>
          <w:szCs w:val="24"/>
        </w:rPr>
        <w:t>Orville’s Adventures in Santo Domingo</w:t>
      </w:r>
    </w:p>
    <w:p w14:paraId="571CD96C" w14:textId="703B0402"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By all accounts, Babcock’s initial journey began as smoothly as possible. He arrived in New York on time and met with Fabens and their fellow American passengers to the Caribbean, </w:t>
      </w:r>
      <w:r w:rsidR="004E3E3D">
        <w:rPr>
          <w:rFonts w:ascii="Times New Roman" w:hAnsi="Times New Roman" w:cs="Times New Roman"/>
          <w:sz w:val="24"/>
          <w:szCs w:val="24"/>
        </w:rPr>
        <w:t xml:space="preserve">whom Babcock </w:t>
      </w:r>
      <w:r w:rsidRPr="00BD6E3A">
        <w:rPr>
          <w:rFonts w:ascii="Times New Roman" w:hAnsi="Times New Roman" w:cs="Times New Roman"/>
          <w:sz w:val="24"/>
          <w:szCs w:val="24"/>
        </w:rPr>
        <w:t>assum</w:t>
      </w:r>
      <w:r w:rsidR="004E3E3D">
        <w:rPr>
          <w:rFonts w:ascii="Times New Roman" w:hAnsi="Times New Roman" w:cs="Times New Roman"/>
          <w:sz w:val="24"/>
          <w:szCs w:val="24"/>
        </w:rPr>
        <w:t>ed</w:t>
      </w:r>
      <w:r w:rsidRPr="00BD6E3A">
        <w:rPr>
          <w:rFonts w:ascii="Times New Roman" w:hAnsi="Times New Roman" w:cs="Times New Roman"/>
          <w:sz w:val="24"/>
          <w:szCs w:val="24"/>
        </w:rPr>
        <w:t xml:space="preserve"> one was traveling for “business (?)” and another as “an adventurer, nothing more.”</w:t>
      </w:r>
      <w:r w:rsidRPr="00BD6E3A">
        <w:rPr>
          <w:rFonts w:ascii="Times New Roman" w:hAnsi="Times New Roman" w:cs="Times New Roman"/>
          <w:sz w:val="24"/>
          <w:szCs w:val="24"/>
          <w:vertAlign w:val="superscript"/>
        </w:rPr>
        <w:footnoteReference w:id="524"/>
      </w:r>
      <w:r w:rsidRPr="00BD6E3A">
        <w:rPr>
          <w:rFonts w:ascii="Times New Roman" w:hAnsi="Times New Roman" w:cs="Times New Roman"/>
          <w:sz w:val="24"/>
          <w:szCs w:val="24"/>
        </w:rPr>
        <w:t xml:space="preserve"> Not knowing the other passengers, Babcock was hesitant to speak with them on matters of substance regarding his mission. He began to speak with Fabens, as he considered him earnestly interested in annexation, but even at that he deemed it was too early to tell anything about these men as there was “too much interest” on their end.</w:t>
      </w:r>
      <w:r w:rsidRPr="00BD6E3A">
        <w:rPr>
          <w:rFonts w:ascii="Times New Roman" w:hAnsi="Times New Roman" w:cs="Times New Roman"/>
          <w:sz w:val="24"/>
          <w:szCs w:val="24"/>
          <w:vertAlign w:val="superscript"/>
        </w:rPr>
        <w:footnoteReference w:id="525"/>
      </w:r>
      <w:r w:rsidRPr="00BD6E3A">
        <w:rPr>
          <w:rFonts w:ascii="Times New Roman" w:hAnsi="Times New Roman" w:cs="Times New Roman"/>
          <w:sz w:val="24"/>
          <w:szCs w:val="24"/>
        </w:rPr>
        <w:t xml:space="preserve"> He did find that some of his fellow passengers were from Santo Domingo and spoke with them about their nation, including one merchant who suggested that the people might be hesitant of annexation at first, but that they “would in a short time all vote for it.”</w:t>
      </w:r>
      <w:r w:rsidRPr="00BD6E3A">
        <w:rPr>
          <w:rFonts w:ascii="Times New Roman" w:hAnsi="Times New Roman" w:cs="Times New Roman"/>
          <w:sz w:val="24"/>
          <w:szCs w:val="24"/>
          <w:vertAlign w:val="superscript"/>
        </w:rPr>
        <w:footnoteReference w:id="526"/>
      </w:r>
      <w:r w:rsidRPr="00BD6E3A">
        <w:rPr>
          <w:rFonts w:ascii="Times New Roman" w:hAnsi="Times New Roman" w:cs="Times New Roman"/>
          <w:sz w:val="24"/>
          <w:szCs w:val="24"/>
        </w:rPr>
        <w:t xml:space="preserve"> Babcock began to warm to some of his fellow travelers, particularly Fabens, on their journey to Santo Domingo.</w:t>
      </w:r>
    </w:p>
    <w:p w14:paraId="08CDF142" w14:textId="77777777"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lastRenderedPageBreak/>
        <w:tab/>
        <w:t xml:space="preserve">Before arriving at their final destination, the </w:t>
      </w:r>
      <w:r w:rsidRPr="00BD6E3A">
        <w:rPr>
          <w:rFonts w:ascii="Times New Roman" w:hAnsi="Times New Roman" w:cs="Times New Roman"/>
          <w:i/>
          <w:iCs/>
          <w:sz w:val="24"/>
          <w:szCs w:val="24"/>
        </w:rPr>
        <w:t>Tybee</w:t>
      </w:r>
      <w:r w:rsidRPr="00BD6E3A">
        <w:rPr>
          <w:rFonts w:ascii="Times New Roman" w:hAnsi="Times New Roman" w:cs="Times New Roman"/>
          <w:sz w:val="24"/>
          <w:szCs w:val="24"/>
        </w:rPr>
        <w:t xml:space="preserve"> journeyed to a coal station in Samaná Bay so Babcock could properly investigate the area’s potential as a naval station.</w:t>
      </w:r>
      <w:r w:rsidRPr="00BD6E3A">
        <w:rPr>
          <w:rFonts w:ascii="Times New Roman" w:hAnsi="Times New Roman" w:cs="Times New Roman"/>
          <w:sz w:val="24"/>
          <w:szCs w:val="24"/>
          <w:vertAlign w:val="superscript"/>
        </w:rPr>
        <w:footnoteReference w:id="527"/>
      </w:r>
      <w:r w:rsidRPr="00BD6E3A">
        <w:rPr>
          <w:rFonts w:ascii="Times New Roman" w:hAnsi="Times New Roman" w:cs="Times New Roman"/>
          <w:sz w:val="24"/>
          <w:szCs w:val="24"/>
        </w:rPr>
        <w:t xml:space="preserve"> Here he remarked that an American naval presence could solve many of the problems caused by Dominican rebel ships, even if it was a single ship, let alone a larger military base.</w:t>
      </w:r>
      <w:r w:rsidRPr="00BD6E3A">
        <w:rPr>
          <w:rFonts w:ascii="Times New Roman" w:hAnsi="Times New Roman" w:cs="Times New Roman"/>
          <w:sz w:val="24"/>
          <w:szCs w:val="24"/>
          <w:vertAlign w:val="superscript"/>
        </w:rPr>
        <w:footnoteReference w:id="528"/>
      </w:r>
      <w:r w:rsidRPr="00BD6E3A">
        <w:rPr>
          <w:rFonts w:ascii="Times New Roman" w:hAnsi="Times New Roman" w:cs="Times New Roman"/>
          <w:sz w:val="24"/>
          <w:szCs w:val="24"/>
        </w:rPr>
        <w:t xml:space="preserve"> He found the nearby terrain to be favorable to the annexation cause due to its potential as a site of cultivation, but his experiences with the local population were not as fruitful.</w:t>
      </w:r>
      <w:r w:rsidRPr="00BD6E3A">
        <w:rPr>
          <w:rFonts w:ascii="Times New Roman" w:hAnsi="Times New Roman" w:cs="Times New Roman"/>
          <w:sz w:val="24"/>
          <w:szCs w:val="24"/>
          <w:vertAlign w:val="superscript"/>
        </w:rPr>
        <w:footnoteReference w:id="529"/>
      </w:r>
      <w:r w:rsidRPr="00BD6E3A">
        <w:rPr>
          <w:rFonts w:ascii="Times New Roman" w:hAnsi="Times New Roman" w:cs="Times New Roman"/>
          <w:sz w:val="24"/>
          <w:szCs w:val="24"/>
        </w:rPr>
        <w:t xml:space="preserve"> Babcock referred to the Dominicans as “indolent and ignorant” while suggesting that “the best class of people [on the island] are the American Negroes who have come here from time to time.”</w:t>
      </w:r>
      <w:r w:rsidRPr="00BD6E3A">
        <w:rPr>
          <w:rFonts w:ascii="Times New Roman" w:hAnsi="Times New Roman" w:cs="Times New Roman"/>
          <w:sz w:val="24"/>
          <w:szCs w:val="24"/>
          <w:vertAlign w:val="superscript"/>
        </w:rPr>
        <w:footnoteReference w:id="530"/>
      </w:r>
      <w:r w:rsidRPr="00BD6E3A">
        <w:rPr>
          <w:rFonts w:ascii="Times New Roman" w:hAnsi="Times New Roman" w:cs="Times New Roman"/>
          <w:sz w:val="24"/>
          <w:szCs w:val="24"/>
        </w:rPr>
        <w:t xml:space="preserve"> </w:t>
      </w:r>
    </w:p>
    <w:p w14:paraId="5FAD2F77" w14:textId="60B43680"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After their brief stop at Samaná Bay, the passengers reboarded the </w:t>
      </w:r>
      <w:r w:rsidRPr="00BD6E3A">
        <w:rPr>
          <w:rFonts w:ascii="Times New Roman" w:hAnsi="Times New Roman" w:cs="Times New Roman"/>
          <w:i/>
          <w:iCs/>
          <w:sz w:val="24"/>
          <w:szCs w:val="24"/>
        </w:rPr>
        <w:t>Tybee</w:t>
      </w:r>
      <w:r w:rsidR="004E5617">
        <w:rPr>
          <w:rFonts w:ascii="Times New Roman" w:hAnsi="Times New Roman" w:cs="Times New Roman"/>
          <w:i/>
          <w:iCs/>
          <w:sz w:val="24"/>
          <w:szCs w:val="24"/>
        </w:rPr>
        <w:t xml:space="preserve"> </w:t>
      </w:r>
      <w:r w:rsidR="004E5617">
        <w:rPr>
          <w:rFonts w:ascii="Times New Roman" w:hAnsi="Times New Roman" w:cs="Times New Roman"/>
          <w:sz w:val="24"/>
          <w:szCs w:val="24"/>
        </w:rPr>
        <w:t>and</w:t>
      </w:r>
      <w:r w:rsidRPr="00BD6E3A">
        <w:rPr>
          <w:rFonts w:ascii="Times New Roman" w:hAnsi="Times New Roman" w:cs="Times New Roman"/>
          <w:sz w:val="24"/>
          <w:szCs w:val="24"/>
        </w:rPr>
        <w:t xml:space="preserve"> continued on to the capital city of Santo Domingo, Santo Domingo, arriving on July 27</w:t>
      </w:r>
      <w:r w:rsidRPr="00BD6E3A">
        <w:rPr>
          <w:rFonts w:ascii="Times New Roman" w:hAnsi="Times New Roman" w:cs="Times New Roman"/>
          <w:sz w:val="24"/>
          <w:szCs w:val="24"/>
          <w:vertAlign w:val="superscript"/>
        </w:rPr>
        <w:t>th</w:t>
      </w:r>
      <w:r w:rsidRPr="00BD6E3A">
        <w:rPr>
          <w:rFonts w:ascii="Times New Roman" w:hAnsi="Times New Roman" w:cs="Times New Roman"/>
          <w:sz w:val="24"/>
          <w:szCs w:val="24"/>
        </w:rPr>
        <w:t>.</w:t>
      </w:r>
      <w:r w:rsidRPr="00BD6E3A">
        <w:rPr>
          <w:rFonts w:ascii="Times New Roman" w:hAnsi="Times New Roman" w:cs="Times New Roman"/>
          <w:sz w:val="24"/>
          <w:szCs w:val="24"/>
          <w:vertAlign w:val="superscript"/>
        </w:rPr>
        <w:footnoteReference w:id="531"/>
      </w:r>
      <w:r w:rsidRPr="00BD6E3A">
        <w:rPr>
          <w:rFonts w:ascii="Times New Roman" w:hAnsi="Times New Roman" w:cs="Times New Roman"/>
          <w:sz w:val="24"/>
          <w:szCs w:val="24"/>
        </w:rPr>
        <w:t xml:space="preserve"> Babcock was met by Dominican </w:t>
      </w:r>
      <w:r w:rsidR="00D07278">
        <w:rPr>
          <w:rFonts w:ascii="Times New Roman" w:hAnsi="Times New Roman" w:cs="Times New Roman"/>
          <w:sz w:val="24"/>
          <w:szCs w:val="24"/>
        </w:rPr>
        <w:t>F</w:t>
      </w:r>
      <w:r w:rsidRPr="00BD6E3A">
        <w:rPr>
          <w:rFonts w:ascii="Times New Roman" w:hAnsi="Times New Roman" w:cs="Times New Roman"/>
          <w:sz w:val="24"/>
          <w:szCs w:val="24"/>
        </w:rPr>
        <w:t xml:space="preserve">oreign </w:t>
      </w:r>
      <w:r w:rsidR="00D07278">
        <w:rPr>
          <w:rFonts w:ascii="Times New Roman" w:hAnsi="Times New Roman" w:cs="Times New Roman"/>
          <w:sz w:val="24"/>
          <w:szCs w:val="24"/>
        </w:rPr>
        <w:t>M</w:t>
      </w:r>
      <w:r w:rsidRPr="00BD6E3A">
        <w:rPr>
          <w:rFonts w:ascii="Times New Roman" w:hAnsi="Times New Roman" w:cs="Times New Roman"/>
          <w:sz w:val="24"/>
          <w:szCs w:val="24"/>
        </w:rPr>
        <w:t>inister Gautier, as President Báez was away at the time, and the minister offered Babcock lodging at the presidential palace, though Babcock declined this and took up residence in a local hotel to avoid misperceptions.</w:t>
      </w:r>
      <w:r w:rsidRPr="00BD6E3A">
        <w:rPr>
          <w:rFonts w:ascii="Times New Roman" w:hAnsi="Times New Roman" w:cs="Times New Roman"/>
          <w:sz w:val="24"/>
          <w:szCs w:val="24"/>
          <w:vertAlign w:val="superscript"/>
        </w:rPr>
        <w:footnoteReference w:id="532"/>
      </w:r>
      <w:r w:rsidRPr="00BD6E3A">
        <w:rPr>
          <w:rFonts w:ascii="Times New Roman" w:hAnsi="Times New Roman" w:cs="Times New Roman"/>
          <w:sz w:val="24"/>
          <w:szCs w:val="24"/>
        </w:rPr>
        <w:t xml:space="preserve"> Fabens soon took Babcock to meet American ex-pat William Cazneau and his wife to learn more about the island.</w:t>
      </w:r>
      <w:r w:rsidRPr="00BD6E3A">
        <w:rPr>
          <w:rFonts w:ascii="Times New Roman" w:hAnsi="Times New Roman" w:cs="Times New Roman"/>
          <w:sz w:val="24"/>
          <w:szCs w:val="24"/>
          <w:vertAlign w:val="superscript"/>
        </w:rPr>
        <w:footnoteReference w:id="533"/>
      </w:r>
      <w:r w:rsidRPr="00BD6E3A">
        <w:rPr>
          <w:rFonts w:ascii="Times New Roman" w:hAnsi="Times New Roman" w:cs="Times New Roman"/>
          <w:sz w:val="24"/>
          <w:szCs w:val="24"/>
        </w:rPr>
        <w:t xml:space="preserve"> Babcock at first kept the other Americans in Santo Domingo at arm’s length, but the poor condition of his hotel and the commonalities he shared with them made him yearn for palatial lodging and more escapes with Fabens to the Cazneau plantation.</w:t>
      </w:r>
      <w:r w:rsidRPr="00BD6E3A">
        <w:rPr>
          <w:rFonts w:ascii="Times New Roman" w:hAnsi="Times New Roman" w:cs="Times New Roman"/>
          <w:sz w:val="24"/>
          <w:szCs w:val="24"/>
          <w:vertAlign w:val="superscript"/>
        </w:rPr>
        <w:footnoteReference w:id="534"/>
      </w:r>
      <w:r w:rsidRPr="00BD6E3A">
        <w:rPr>
          <w:rFonts w:ascii="Times New Roman" w:hAnsi="Times New Roman" w:cs="Times New Roman"/>
          <w:sz w:val="24"/>
          <w:szCs w:val="24"/>
        </w:rPr>
        <w:t xml:space="preserve"> One of the other Americans on the journey, </w:t>
      </w:r>
      <w:r w:rsidRPr="00BD6E3A">
        <w:rPr>
          <w:rFonts w:ascii="Times New Roman" w:hAnsi="Times New Roman" w:cs="Times New Roman"/>
          <w:sz w:val="24"/>
          <w:szCs w:val="24"/>
        </w:rPr>
        <w:lastRenderedPageBreak/>
        <w:t>Senator Cornelius Cole of California, became a sounding board for Babcock, offering so much assistance to Babcock that he showed him his written instructions from Secretary Fish “all in confidence – on his word.”</w:t>
      </w:r>
      <w:r w:rsidRPr="00BD6E3A">
        <w:rPr>
          <w:rFonts w:ascii="Times New Roman" w:hAnsi="Times New Roman" w:cs="Times New Roman"/>
          <w:sz w:val="24"/>
          <w:szCs w:val="24"/>
          <w:vertAlign w:val="superscript"/>
        </w:rPr>
        <w:footnoteReference w:id="535"/>
      </w:r>
    </w:p>
    <w:p w14:paraId="1202D4CE" w14:textId="28DA5623"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Babcock’s new friends were so impassioned in their desire for annexation that they convinced him to take the </w:t>
      </w:r>
      <w:r w:rsidRPr="00BD6E3A">
        <w:rPr>
          <w:rFonts w:ascii="Times New Roman" w:hAnsi="Times New Roman" w:cs="Times New Roman"/>
          <w:i/>
          <w:iCs/>
          <w:sz w:val="24"/>
          <w:szCs w:val="24"/>
        </w:rPr>
        <w:t xml:space="preserve">Tybee </w:t>
      </w:r>
      <w:r w:rsidRPr="00BD6E3A">
        <w:rPr>
          <w:rFonts w:ascii="Times New Roman" w:hAnsi="Times New Roman" w:cs="Times New Roman"/>
          <w:sz w:val="24"/>
          <w:szCs w:val="24"/>
        </w:rPr>
        <w:t>to President</w:t>
      </w:r>
      <w:r w:rsidR="00D07278" w:rsidRPr="00D07278">
        <w:rPr>
          <w:rFonts w:ascii="Times New Roman" w:hAnsi="Times New Roman" w:cs="Times New Roman"/>
          <w:sz w:val="24"/>
          <w:szCs w:val="24"/>
        </w:rPr>
        <w:t xml:space="preserve"> </w:t>
      </w:r>
      <w:r w:rsidR="00D07278" w:rsidRPr="00BD6E3A">
        <w:rPr>
          <w:rFonts w:ascii="Times New Roman" w:hAnsi="Times New Roman" w:cs="Times New Roman"/>
          <w:sz w:val="24"/>
          <w:szCs w:val="24"/>
        </w:rPr>
        <w:t>Báez</w:t>
      </w:r>
      <w:r w:rsidRPr="00BD6E3A">
        <w:rPr>
          <w:rFonts w:ascii="Times New Roman" w:hAnsi="Times New Roman" w:cs="Times New Roman"/>
          <w:sz w:val="24"/>
          <w:szCs w:val="24"/>
        </w:rPr>
        <w:t>, who was away on business, to begin discussions.</w:t>
      </w:r>
      <w:r w:rsidRPr="00BD6E3A">
        <w:rPr>
          <w:rFonts w:ascii="Times New Roman" w:hAnsi="Times New Roman" w:cs="Times New Roman"/>
          <w:sz w:val="24"/>
          <w:szCs w:val="24"/>
          <w:vertAlign w:val="superscript"/>
        </w:rPr>
        <w:footnoteReference w:id="536"/>
      </w:r>
      <w:r w:rsidRPr="00BD6E3A">
        <w:rPr>
          <w:rFonts w:ascii="Times New Roman" w:hAnsi="Times New Roman" w:cs="Times New Roman"/>
          <w:sz w:val="24"/>
          <w:szCs w:val="24"/>
        </w:rPr>
        <w:t xml:space="preserve"> Babcock agreed to journey the sixty-odd miles to the city of Azua and met with Báez for the first time, though little was accomplished other than honorifics at this meeting due to the presence of others preventing substantial conversations on annexation.</w:t>
      </w:r>
      <w:r w:rsidRPr="00BD6E3A">
        <w:rPr>
          <w:rFonts w:ascii="Times New Roman" w:hAnsi="Times New Roman" w:cs="Times New Roman"/>
          <w:sz w:val="24"/>
          <w:szCs w:val="24"/>
          <w:vertAlign w:val="superscript"/>
        </w:rPr>
        <w:footnoteReference w:id="537"/>
      </w:r>
      <w:r w:rsidRPr="00BD6E3A">
        <w:rPr>
          <w:rFonts w:ascii="Times New Roman" w:hAnsi="Times New Roman" w:cs="Times New Roman"/>
          <w:sz w:val="24"/>
          <w:szCs w:val="24"/>
        </w:rPr>
        <w:t xml:space="preserve"> Babcock then returned to the </w:t>
      </w:r>
      <w:r w:rsidR="00381406">
        <w:rPr>
          <w:rFonts w:ascii="Times New Roman" w:hAnsi="Times New Roman" w:cs="Times New Roman"/>
          <w:sz w:val="24"/>
          <w:szCs w:val="24"/>
        </w:rPr>
        <w:t xml:space="preserve">Dominican </w:t>
      </w:r>
      <w:r w:rsidRPr="00BD6E3A">
        <w:rPr>
          <w:rFonts w:ascii="Times New Roman" w:hAnsi="Times New Roman" w:cs="Times New Roman"/>
          <w:sz w:val="24"/>
          <w:szCs w:val="24"/>
        </w:rPr>
        <w:t>capital and explored the area per his instructions for a week before Baez returned.</w:t>
      </w:r>
      <w:r w:rsidRPr="00BD6E3A">
        <w:rPr>
          <w:rFonts w:ascii="Times New Roman" w:hAnsi="Times New Roman" w:cs="Times New Roman"/>
          <w:sz w:val="24"/>
          <w:szCs w:val="24"/>
          <w:vertAlign w:val="superscript"/>
        </w:rPr>
        <w:footnoteReference w:id="538"/>
      </w:r>
      <w:r w:rsidRPr="00BD6E3A">
        <w:rPr>
          <w:rFonts w:ascii="Times New Roman" w:hAnsi="Times New Roman" w:cs="Times New Roman"/>
          <w:sz w:val="24"/>
          <w:szCs w:val="24"/>
        </w:rPr>
        <w:t xml:space="preserve"> During this time, Babcock was impressed by the area’s potential in agriculture and commerce, and his relationships with Fabens and Cole deepened, particularly as Fabens show</w:t>
      </w:r>
      <w:r w:rsidR="009F17E2">
        <w:rPr>
          <w:rFonts w:ascii="Times New Roman" w:hAnsi="Times New Roman" w:cs="Times New Roman"/>
          <w:sz w:val="24"/>
          <w:szCs w:val="24"/>
        </w:rPr>
        <w:t>ed</w:t>
      </w:r>
      <w:r w:rsidRPr="00BD6E3A">
        <w:rPr>
          <w:rFonts w:ascii="Times New Roman" w:hAnsi="Times New Roman" w:cs="Times New Roman"/>
          <w:sz w:val="24"/>
          <w:szCs w:val="24"/>
        </w:rPr>
        <w:t xml:space="preserve"> Babcock his own private correspondence with the Dominican government concerning annexation.</w:t>
      </w:r>
      <w:r w:rsidRPr="00BD6E3A">
        <w:rPr>
          <w:rFonts w:ascii="Times New Roman" w:hAnsi="Times New Roman" w:cs="Times New Roman"/>
          <w:sz w:val="24"/>
          <w:szCs w:val="24"/>
          <w:vertAlign w:val="superscript"/>
        </w:rPr>
        <w:footnoteReference w:id="539"/>
      </w:r>
      <w:r w:rsidRPr="00BD6E3A">
        <w:rPr>
          <w:rFonts w:ascii="Times New Roman" w:hAnsi="Times New Roman" w:cs="Times New Roman"/>
          <w:sz w:val="24"/>
          <w:szCs w:val="24"/>
        </w:rPr>
        <w:t xml:space="preserve"> After looking at these “papers,” Babcock remarked that there existed “a much more favorable state of affairs than I expected – it looks as if something might be done” once he was able to speak with President Baéz.</w:t>
      </w:r>
      <w:r w:rsidRPr="00BD6E3A">
        <w:rPr>
          <w:rFonts w:ascii="Times New Roman" w:hAnsi="Times New Roman" w:cs="Times New Roman"/>
          <w:sz w:val="24"/>
          <w:szCs w:val="24"/>
          <w:vertAlign w:val="superscript"/>
        </w:rPr>
        <w:footnoteReference w:id="540"/>
      </w:r>
      <w:r w:rsidRPr="00BD6E3A">
        <w:rPr>
          <w:rFonts w:ascii="Times New Roman" w:hAnsi="Times New Roman" w:cs="Times New Roman"/>
          <w:sz w:val="24"/>
          <w:szCs w:val="24"/>
        </w:rPr>
        <w:t xml:space="preserve"> During this period Babcock also interacted with US Commercial Agent J. Somers Smith, who Babcock deemed “perfectly unfit” for his role, “simply a tool of Seward” and the old guard, who opposed Báez’s government and supported the </w:t>
      </w:r>
      <w:r w:rsidRPr="00BD6E3A">
        <w:rPr>
          <w:rFonts w:ascii="Times New Roman" w:hAnsi="Times New Roman" w:cs="Times New Roman"/>
          <w:sz w:val="24"/>
          <w:szCs w:val="24"/>
        </w:rPr>
        <w:lastRenderedPageBreak/>
        <w:t>revolutionaries in the region.</w:t>
      </w:r>
      <w:r w:rsidRPr="00BD6E3A">
        <w:rPr>
          <w:rFonts w:ascii="Times New Roman" w:hAnsi="Times New Roman" w:cs="Times New Roman"/>
          <w:sz w:val="24"/>
          <w:szCs w:val="24"/>
          <w:vertAlign w:val="superscript"/>
        </w:rPr>
        <w:footnoteReference w:id="541"/>
      </w:r>
      <w:r w:rsidRPr="00BD6E3A">
        <w:rPr>
          <w:rFonts w:ascii="Times New Roman" w:hAnsi="Times New Roman" w:cs="Times New Roman"/>
          <w:sz w:val="24"/>
          <w:szCs w:val="24"/>
        </w:rPr>
        <w:t xml:space="preserve"> Perhaps because of this, Babcock omitted Smith from his conversations with the Dominican leaders in the days to come.</w:t>
      </w:r>
      <w:r w:rsidRPr="00BD6E3A">
        <w:rPr>
          <w:rFonts w:ascii="Times New Roman" w:hAnsi="Times New Roman" w:cs="Times New Roman"/>
          <w:sz w:val="24"/>
          <w:szCs w:val="24"/>
          <w:vertAlign w:val="superscript"/>
        </w:rPr>
        <w:footnoteReference w:id="542"/>
      </w:r>
    </w:p>
    <w:p w14:paraId="11AA9DE2" w14:textId="31DC379F"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President Báez returned to </w:t>
      </w:r>
      <w:r w:rsidR="00547C3B">
        <w:rPr>
          <w:rFonts w:ascii="Times New Roman" w:hAnsi="Times New Roman" w:cs="Times New Roman"/>
          <w:sz w:val="24"/>
          <w:szCs w:val="24"/>
        </w:rPr>
        <w:t>his</w:t>
      </w:r>
      <w:r w:rsidRPr="00BD6E3A">
        <w:rPr>
          <w:rFonts w:ascii="Times New Roman" w:hAnsi="Times New Roman" w:cs="Times New Roman"/>
          <w:sz w:val="24"/>
          <w:szCs w:val="24"/>
        </w:rPr>
        <w:t xml:space="preserve"> capital on August 7</w:t>
      </w:r>
      <w:r w:rsidRPr="00BD6E3A">
        <w:rPr>
          <w:rFonts w:ascii="Times New Roman" w:hAnsi="Times New Roman" w:cs="Times New Roman"/>
          <w:sz w:val="24"/>
          <w:szCs w:val="24"/>
          <w:vertAlign w:val="superscript"/>
        </w:rPr>
        <w:t>th</w:t>
      </w:r>
      <w:r w:rsidRPr="00BD6E3A">
        <w:rPr>
          <w:rFonts w:ascii="Times New Roman" w:hAnsi="Times New Roman" w:cs="Times New Roman"/>
          <w:sz w:val="24"/>
          <w:szCs w:val="24"/>
        </w:rPr>
        <w:t>, and at that point Babcock trusted Cazneau enough to ask him to serve as his interpreter while showing him some of his papers.</w:t>
      </w:r>
      <w:r w:rsidRPr="00BD6E3A">
        <w:rPr>
          <w:rFonts w:ascii="Times New Roman" w:hAnsi="Times New Roman" w:cs="Times New Roman"/>
          <w:sz w:val="24"/>
          <w:szCs w:val="24"/>
          <w:vertAlign w:val="superscript"/>
        </w:rPr>
        <w:footnoteReference w:id="543"/>
      </w:r>
      <w:r w:rsidRPr="00BD6E3A">
        <w:rPr>
          <w:rFonts w:ascii="Times New Roman" w:hAnsi="Times New Roman" w:cs="Times New Roman"/>
          <w:sz w:val="24"/>
          <w:szCs w:val="24"/>
        </w:rPr>
        <w:t xml:space="preserve"> Cazneau agreed to interpret for Babcock, and in doing so he informed Babcock about one of the most important things that could affect the potential annexation: the Hartmont Loan.</w:t>
      </w:r>
      <w:r w:rsidRPr="00BD6E3A">
        <w:rPr>
          <w:rFonts w:ascii="Times New Roman" w:hAnsi="Times New Roman" w:cs="Times New Roman"/>
          <w:sz w:val="24"/>
          <w:szCs w:val="24"/>
          <w:vertAlign w:val="superscript"/>
        </w:rPr>
        <w:footnoteReference w:id="544"/>
      </w:r>
      <w:r w:rsidRPr="00BD6E3A">
        <w:rPr>
          <w:rFonts w:ascii="Times New Roman" w:hAnsi="Times New Roman" w:cs="Times New Roman"/>
          <w:sz w:val="24"/>
          <w:szCs w:val="24"/>
        </w:rPr>
        <w:t xml:space="preserve"> The Hartmont Loan was an agreement the Dominican government entered into with a British firm just months prior in a desperate attempt to acquire funds. The firm lent the Dominicans £420,000, with a £100,000 commission, an initial payment of £37,000, and a promise to provide the rest by the end of the year, with repayment to come over the following 25 years.</w:t>
      </w:r>
      <w:r w:rsidRPr="00BD6E3A">
        <w:rPr>
          <w:rFonts w:ascii="Times New Roman" w:hAnsi="Times New Roman" w:cs="Times New Roman"/>
          <w:sz w:val="24"/>
          <w:szCs w:val="24"/>
          <w:vertAlign w:val="superscript"/>
        </w:rPr>
        <w:footnoteReference w:id="545"/>
      </w:r>
      <w:r w:rsidRPr="00BD6E3A">
        <w:rPr>
          <w:rFonts w:ascii="Times New Roman" w:hAnsi="Times New Roman" w:cs="Times New Roman"/>
          <w:sz w:val="24"/>
          <w:szCs w:val="24"/>
        </w:rPr>
        <w:t xml:space="preserve"> With an effective annual interest rate of 18%, the Dominican government pledged customs revenue, guano deposits, coal and other mines, and timber as guarantees of repayment while the Hartmont firm raised the funds by attempting to float bonds in Europe.</w:t>
      </w:r>
      <w:r w:rsidRPr="00BD6E3A">
        <w:rPr>
          <w:rFonts w:ascii="Times New Roman" w:hAnsi="Times New Roman" w:cs="Times New Roman"/>
          <w:sz w:val="24"/>
          <w:szCs w:val="24"/>
          <w:vertAlign w:val="superscript"/>
        </w:rPr>
        <w:footnoteReference w:id="546"/>
      </w:r>
      <w:r w:rsidRPr="00BD6E3A">
        <w:rPr>
          <w:rFonts w:ascii="Times New Roman" w:hAnsi="Times New Roman" w:cs="Times New Roman"/>
          <w:sz w:val="24"/>
          <w:szCs w:val="24"/>
        </w:rPr>
        <w:t xml:space="preserve"> Though there was an exit clause if the firm did not successfully raise the money by the end of the year, this arrangement hung over the potential annexation deal like the Sword of Damocles, as the possibility of the United States taking on the burden of such a large debt could kill the deal before it even began.</w:t>
      </w:r>
      <w:r w:rsidRPr="00BD6E3A">
        <w:rPr>
          <w:rFonts w:ascii="Times New Roman" w:hAnsi="Times New Roman" w:cs="Times New Roman"/>
          <w:sz w:val="24"/>
          <w:szCs w:val="24"/>
          <w:vertAlign w:val="superscript"/>
        </w:rPr>
        <w:footnoteReference w:id="547"/>
      </w:r>
      <w:r w:rsidRPr="00BD6E3A">
        <w:rPr>
          <w:rFonts w:ascii="Times New Roman" w:hAnsi="Times New Roman" w:cs="Times New Roman"/>
          <w:sz w:val="24"/>
          <w:szCs w:val="24"/>
        </w:rPr>
        <w:t xml:space="preserve"> Yet Cazneau pointed out that American failure to become involved via annexation could also prove problematic since the British could lay claim to Samaná Bay should the Dominicans default on </w:t>
      </w:r>
      <w:r w:rsidRPr="00BD6E3A">
        <w:rPr>
          <w:rFonts w:ascii="Times New Roman" w:hAnsi="Times New Roman" w:cs="Times New Roman"/>
          <w:sz w:val="24"/>
          <w:szCs w:val="24"/>
        </w:rPr>
        <w:lastRenderedPageBreak/>
        <w:t>their repayment.</w:t>
      </w:r>
      <w:r w:rsidRPr="00BD6E3A">
        <w:rPr>
          <w:rFonts w:ascii="Times New Roman" w:hAnsi="Times New Roman" w:cs="Times New Roman"/>
          <w:sz w:val="24"/>
          <w:szCs w:val="24"/>
          <w:vertAlign w:val="superscript"/>
        </w:rPr>
        <w:footnoteReference w:id="548"/>
      </w:r>
      <w:r w:rsidRPr="00BD6E3A">
        <w:rPr>
          <w:rFonts w:ascii="Times New Roman" w:hAnsi="Times New Roman" w:cs="Times New Roman"/>
          <w:sz w:val="24"/>
          <w:szCs w:val="24"/>
        </w:rPr>
        <w:t xml:space="preserve"> This left Babcock in a difficult position, but, armed with this new knowledge, he entered discussions with Dominican officials more prepared than he had ever been.</w:t>
      </w:r>
    </w:p>
    <w:p w14:paraId="59779FAC" w14:textId="503C384F"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Babcock met with Báez during the second week of August, calling on Cazneau and Fabens for assistance while </w:t>
      </w:r>
      <w:r w:rsidR="00A545CF">
        <w:rPr>
          <w:rFonts w:ascii="Times New Roman" w:hAnsi="Times New Roman" w:cs="Times New Roman"/>
          <w:sz w:val="24"/>
          <w:szCs w:val="24"/>
        </w:rPr>
        <w:t>exclud</w:t>
      </w:r>
      <w:r w:rsidRPr="00BD6E3A">
        <w:rPr>
          <w:rFonts w:ascii="Times New Roman" w:hAnsi="Times New Roman" w:cs="Times New Roman"/>
          <w:sz w:val="24"/>
          <w:szCs w:val="24"/>
        </w:rPr>
        <w:t>ing Smith.</w:t>
      </w:r>
      <w:r w:rsidRPr="00BD6E3A">
        <w:rPr>
          <w:rFonts w:ascii="Times New Roman" w:hAnsi="Times New Roman" w:cs="Times New Roman"/>
          <w:sz w:val="24"/>
          <w:szCs w:val="24"/>
          <w:vertAlign w:val="superscript"/>
        </w:rPr>
        <w:footnoteReference w:id="549"/>
      </w:r>
      <w:r w:rsidRPr="00BD6E3A">
        <w:rPr>
          <w:rFonts w:ascii="Times New Roman" w:hAnsi="Times New Roman" w:cs="Times New Roman"/>
          <w:sz w:val="24"/>
          <w:szCs w:val="24"/>
        </w:rPr>
        <w:t xml:space="preserve"> Here, Babcock laid bare his knowledge of the situation and was as transparent as could be without revealing state secrets. He informed the president that he had not come in an official capacity to offer to buy the island, but instead that he came at the behest of President Grant to investigate the varying reports coming from the island </w:t>
      </w:r>
      <w:r w:rsidR="00425895">
        <w:rPr>
          <w:rFonts w:ascii="Times New Roman" w:hAnsi="Times New Roman" w:cs="Times New Roman"/>
          <w:sz w:val="24"/>
          <w:szCs w:val="24"/>
        </w:rPr>
        <w:t xml:space="preserve">and </w:t>
      </w:r>
      <w:r w:rsidRPr="00BD6E3A">
        <w:rPr>
          <w:rFonts w:ascii="Times New Roman" w:hAnsi="Times New Roman" w:cs="Times New Roman"/>
          <w:sz w:val="24"/>
          <w:szCs w:val="24"/>
        </w:rPr>
        <w:t>to determine the potential benefits and drawbacks that could come from Santo Domingo joining the Union.</w:t>
      </w:r>
      <w:r w:rsidRPr="00BD6E3A">
        <w:rPr>
          <w:rFonts w:ascii="Times New Roman" w:hAnsi="Times New Roman" w:cs="Times New Roman"/>
          <w:sz w:val="24"/>
          <w:szCs w:val="24"/>
          <w:vertAlign w:val="superscript"/>
        </w:rPr>
        <w:footnoteReference w:id="550"/>
      </w:r>
      <w:r w:rsidRPr="00BD6E3A">
        <w:rPr>
          <w:rFonts w:ascii="Times New Roman" w:hAnsi="Times New Roman" w:cs="Times New Roman"/>
          <w:sz w:val="24"/>
          <w:szCs w:val="24"/>
        </w:rPr>
        <w:t xml:space="preserve"> Báez responded equally honestly that the nation had been “going backward,” and that he was convinced that, moving forward, they had “no chance but Annexation.”</w:t>
      </w:r>
      <w:r w:rsidRPr="00BD6E3A">
        <w:rPr>
          <w:rFonts w:ascii="Times New Roman" w:hAnsi="Times New Roman" w:cs="Times New Roman"/>
          <w:sz w:val="24"/>
          <w:szCs w:val="24"/>
          <w:vertAlign w:val="superscript"/>
        </w:rPr>
        <w:footnoteReference w:id="551"/>
      </w:r>
      <w:r w:rsidRPr="00BD6E3A">
        <w:rPr>
          <w:rFonts w:ascii="Times New Roman" w:hAnsi="Times New Roman" w:cs="Times New Roman"/>
          <w:sz w:val="24"/>
          <w:szCs w:val="24"/>
        </w:rPr>
        <w:t xml:space="preserve"> Babcock encouraged Báez to make an offer, but Báez was afraid that any official proposal he put forth would be rejected, so Babcock instead took it upon himself to draw up suggested terms alongside Cazneau.</w:t>
      </w:r>
      <w:r w:rsidRPr="00BD6E3A">
        <w:rPr>
          <w:rFonts w:ascii="Times New Roman" w:hAnsi="Times New Roman" w:cs="Times New Roman"/>
          <w:sz w:val="24"/>
          <w:szCs w:val="24"/>
          <w:vertAlign w:val="superscript"/>
        </w:rPr>
        <w:footnoteReference w:id="552"/>
      </w:r>
      <w:r w:rsidRPr="00BD6E3A">
        <w:rPr>
          <w:rFonts w:ascii="Times New Roman" w:hAnsi="Times New Roman" w:cs="Times New Roman"/>
          <w:sz w:val="24"/>
          <w:szCs w:val="24"/>
        </w:rPr>
        <w:t xml:space="preserve"> Among the suggestions made were that Santo Domingo should cede Samaná Bay to the United States, and in return he believed that President Grant would be able to offer money and munitions to aid with the efforts to suppress Dominican rebels.</w:t>
      </w:r>
      <w:r w:rsidRPr="00BD6E3A">
        <w:rPr>
          <w:rFonts w:ascii="Times New Roman" w:hAnsi="Times New Roman" w:cs="Times New Roman"/>
          <w:sz w:val="24"/>
          <w:szCs w:val="24"/>
          <w:vertAlign w:val="superscript"/>
        </w:rPr>
        <w:footnoteReference w:id="553"/>
      </w:r>
      <w:r w:rsidRPr="00BD6E3A">
        <w:rPr>
          <w:rFonts w:ascii="Times New Roman" w:hAnsi="Times New Roman" w:cs="Times New Roman"/>
          <w:sz w:val="24"/>
          <w:szCs w:val="24"/>
        </w:rPr>
        <w:t xml:space="preserve"> Babcock remained steadfast that he was only authorized to present proposals made by Báez to President Grant, but he continued to aid Báez by making suggestions for the official proposal. He advised him to have </w:t>
      </w:r>
      <w:r w:rsidR="0020083F">
        <w:rPr>
          <w:rFonts w:ascii="Times New Roman" w:hAnsi="Times New Roman" w:cs="Times New Roman"/>
          <w:sz w:val="24"/>
          <w:szCs w:val="24"/>
        </w:rPr>
        <w:t>F</w:t>
      </w:r>
      <w:r w:rsidRPr="00BD6E3A">
        <w:rPr>
          <w:rFonts w:ascii="Times New Roman" w:hAnsi="Times New Roman" w:cs="Times New Roman"/>
          <w:sz w:val="24"/>
          <w:szCs w:val="24"/>
        </w:rPr>
        <w:t xml:space="preserve">oreign </w:t>
      </w:r>
      <w:r w:rsidR="0020083F">
        <w:rPr>
          <w:rFonts w:ascii="Times New Roman" w:hAnsi="Times New Roman" w:cs="Times New Roman"/>
          <w:sz w:val="24"/>
          <w:szCs w:val="24"/>
        </w:rPr>
        <w:t>M</w:t>
      </w:r>
      <w:r w:rsidRPr="00BD6E3A">
        <w:rPr>
          <w:rFonts w:ascii="Times New Roman" w:hAnsi="Times New Roman" w:cs="Times New Roman"/>
          <w:sz w:val="24"/>
          <w:szCs w:val="24"/>
        </w:rPr>
        <w:t xml:space="preserve">inister Gautier write a memorandum that would outline suggested terms, providing some of his and Cazneau’s notes to help in this endeavor, and served as a sounding board when Báez asked about the path ahead for annexation in the </w:t>
      </w:r>
      <w:r w:rsidRPr="00BD6E3A">
        <w:rPr>
          <w:rFonts w:ascii="Times New Roman" w:hAnsi="Times New Roman" w:cs="Times New Roman"/>
          <w:sz w:val="24"/>
          <w:szCs w:val="24"/>
        </w:rPr>
        <w:lastRenderedPageBreak/>
        <w:t>American government.</w:t>
      </w:r>
      <w:r w:rsidRPr="00BD6E3A">
        <w:rPr>
          <w:rFonts w:ascii="Times New Roman" w:hAnsi="Times New Roman" w:cs="Times New Roman"/>
          <w:sz w:val="24"/>
          <w:szCs w:val="24"/>
          <w:vertAlign w:val="superscript"/>
        </w:rPr>
        <w:footnoteReference w:id="554"/>
      </w:r>
      <w:r w:rsidRPr="00BD6E3A">
        <w:rPr>
          <w:rFonts w:ascii="Times New Roman" w:hAnsi="Times New Roman" w:cs="Times New Roman"/>
          <w:sz w:val="24"/>
          <w:szCs w:val="24"/>
        </w:rPr>
        <w:t xml:space="preserve"> Babcock insisted that “Genl Grant [sic] would not enter into any treaty without weighing the matter well, and feeling assured that it would be approved,” leaving Báez and Gautier to formally write up an offer that he could take back to Washington.</w:t>
      </w:r>
      <w:r w:rsidRPr="00BD6E3A">
        <w:rPr>
          <w:rFonts w:ascii="Times New Roman" w:hAnsi="Times New Roman" w:cs="Times New Roman"/>
          <w:sz w:val="24"/>
          <w:szCs w:val="24"/>
          <w:vertAlign w:val="superscript"/>
        </w:rPr>
        <w:footnoteReference w:id="555"/>
      </w:r>
    </w:p>
    <w:p w14:paraId="5D3568A4" w14:textId="708554ED"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Though Babcock overstepped in his role by suggesting terms during his meetings with President Báez, it would be difficult to assert that there was a preplanned effort for Babcock to engage in corrupt activities on this initial trip. His diary records suggest as much, noting that he initially distrusted those with whom he became close on the island, and he continually insisted that he was unable to officially offer any terms.</w:t>
      </w:r>
      <w:r w:rsidRPr="00BD6E3A">
        <w:rPr>
          <w:rFonts w:ascii="Times New Roman" w:hAnsi="Times New Roman" w:cs="Times New Roman"/>
          <w:sz w:val="24"/>
          <w:szCs w:val="24"/>
          <w:vertAlign w:val="superscript"/>
        </w:rPr>
        <w:footnoteReference w:id="556"/>
      </w:r>
      <w:r w:rsidRPr="00BD6E3A">
        <w:rPr>
          <w:rFonts w:ascii="Times New Roman" w:hAnsi="Times New Roman" w:cs="Times New Roman"/>
          <w:sz w:val="24"/>
          <w:szCs w:val="24"/>
        </w:rPr>
        <w:t xml:space="preserve"> He took up residence in a local hotel instead of the presidential palace to avoid the perception of impropriety. He was extremely forthcoming with Báez, other members of the Dominican government, and even a select few other Americans who sought to make this deal happen. Yes, he certainly overstepped his authority by helping the Dominican government to prepare their proposal in as much detail as he did, and he further circumvented protocol by leaving Smith, an American </w:t>
      </w:r>
      <w:r w:rsidR="00B63C7E">
        <w:rPr>
          <w:rFonts w:ascii="Times New Roman" w:hAnsi="Times New Roman" w:cs="Times New Roman"/>
          <w:sz w:val="24"/>
          <w:szCs w:val="24"/>
        </w:rPr>
        <w:t>C</w:t>
      </w:r>
      <w:r w:rsidRPr="00BD6E3A">
        <w:rPr>
          <w:rFonts w:ascii="Times New Roman" w:hAnsi="Times New Roman" w:cs="Times New Roman"/>
          <w:sz w:val="24"/>
          <w:szCs w:val="24"/>
        </w:rPr>
        <w:t xml:space="preserve">ommercial </w:t>
      </w:r>
      <w:r w:rsidR="00B63C7E">
        <w:rPr>
          <w:rFonts w:ascii="Times New Roman" w:hAnsi="Times New Roman" w:cs="Times New Roman"/>
          <w:sz w:val="24"/>
          <w:szCs w:val="24"/>
        </w:rPr>
        <w:t>A</w:t>
      </w:r>
      <w:r w:rsidRPr="00BD6E3A">
        <w:rPr>
          <w:rFonts w:ascii="Times New Roman" w:hAnsi="Times New Roman" w:cs="Times New Roman"/>
          <w:sz w:val="24"/>
          <w:szCs w:val="24"/>
        </w:rPr>
        <w:t>gent, out of the bulk of the discussions. However, he did this knowing that it was his patron’s desire to annex the nation, and seeing as he had little to no training on how to behave as a member of the State Department, it is easy to attribute these actions as those of a friend attempting to do what he could to the best of his ability to ensure the success of such an historic endeavor.</w:t>
      </w:r>
    </w:p>
    <w:p w14:paraId="64FC4FA4" w14:textId="3336F474"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Although the Santo Domingo journey did not begin in any effort to engage in nefarious behavior, the road to Hell is paved with good intentions. For Babcock, this was the initial slide down a slippery slope toward both his personal fortune and damning political pragmatism. Báez and Babcock decided to pause the talks of annexation so the Dominicans could prepare their </w:t>
      </w:r>
      <w:r w:rsidRPr="00BD6E3A">
        <w:rPr>
          <w:rFonts w:ascii="Times New Roman" w:hAnsi="Times New Roman" w:cs="Times New Roman"/>
          <w:sz w:val="24"/>
          <w:szCs w:val="24"/>
        </w:rPr>
        <w:lastRenderedPageBreak/>
        <w:t>offer as effectively as possible. At that point, Babcock went on a tour of the country, guided by Fabens, in an effort to gather more information for the Grant Administration per his orders.</w:t>
      </w:r>
      <w:r w:rsidRPr="00BD6E3A">
        <w:rPr>
          <w:rFonts w:ascii="Times New Roman" w:hAnsi="Times New Roman" w:cs="Times New Roman"/>
          <w:sz w:val="24"/>
          <w:szCs w:val="24"/>
          <w:vertAlign w:val="superscript"/>
        </w:rPr>
        <w:footnoteReference w:id="557"/>
      </w:r>
      <w:r w:rsidRPr="00BD6E3A">
        <w:rPr>
          <w:rFonts w:ascii="Times New Roman" w:hAnsi="Times New Roman" w:cs="Times New Roman"/>
          <w:sz w:val="24"/>
          <w:szCs w:val="24"/>
        </w:rPr>
        <w:t xml:space="preserve"> Babcock and Fabens had already grown close during his time in Santo Domingo, but this trip deepened their friendship in new ways. Babcock observed more areas that he deemed “susceptible of the highest cultivation,” and they attempted to find the nation’s gold mines, though they had little success in this matter.</w:t>
      </w:r>
      <w:r w:rsidRPr="00BD6E3A">
        <w:rPr>
          <w:rFonts w:ascii="Times New Roman" w:hAnsi="Times New Roman" w:cs="Times New Roman"/>
          <w:sz w:val="24"/>
          <w:szCs w:val="24"/>
          <w:vertAlign w:val="superscript"/>
        </w:rPr>
        <w:footnoteReference w:id="558"/>
      </w:r>
      <w:r w:rsidRPr="00BD6E3A">
        <w:rPr>
          <w:rFonts w:ascii="Times New Roman" w:hAnsi="Times New Roman" w:cs="Times New Roman"/>
          <w:sz w:val="24"/>
          <w:szCs w:val="24"/>
        </w:rPr>
        <w:t xml:space="preserve"> After a fruitful trip in which Babcock learned much of the nation, he </w:t>
      </w:r>
      <w:r w:rsidR="00066E62">
        <w:rPr>
          <w:rFonts w:ascii="Times New Roman" w:hAnsi="Times New Roman" w:cs="Times New Roman"/>
          <w:sz w:val="24"/>
          <w:szCs w:val="24"/>
        </w:rPr>
        <w:t>expos</w:t>
      </w:r>
      <w:r w:rsidRPr="00BD6E3A">
        <w:rPr>
          <w:rFonts w:ascii="Times New Roman" w:hAnsi="Times New Roman" w:cs="Times New Roman"/>
          <w:sz w:val="24"/>
          <w:szCs w:val="24"/>
        </w:rPr>
        <w:t xml:space="preserve">ed </w:t>
      </w:r>
      <w:r w:rsidR="00066E62">
        <w:rPr>
          <w:rFonts w:ascii="Times New Roman" w:hAnsi="Times New Roman" w:cs="Times New Roman"/>
          <w:sz w:val="24"/>
          <w:szCs w:val="24"/>
        </w:rPr>
        <w:t xml:space="preserve">himself </w:t>
      </w:r>
      <w:r w:rsidRPr="00BD6E3A">
        <w:rPr>
          <w:rFonts w:ascii="Times New Roman" w:hAnsi="Times New Roman" w:cs="Times New Roman"/>
          <w:sz w:val="24"/>
          <w:szCs w:val="24"/>
        </w:rPr>
        <w:t>by writing in his diary “I shall be pleased to have the 1000 acres of Palenque promised me in case of annexation, it may make my fortune.”</w:t>
      </w:r>
      <w:r w:rsidRPr="00BD6E3A">
        <w:rPr>
          <w:rFonts w:ascii="Times New Roman" w:hAnsi="Times New Roman" w:cs="Times New Roman"/>
          <w:sz w:val="24"/>
          <w:szCs w:val="24"/>
          <w:vertAlign w:val="superscript"/>
        </w:rPr>
        <w:footnoteReference w:id="559"/>
      </w:r>
      <w:r w:rsidRPr="00BD6E3A">
        <w:rPr>
          <w:rFonts w:ascii="Times New Roman" w:hAnsi="Times New Roman" w:cs="Times New Roman"/>
          <w:sz w:val="24"/>
          <w:szCs w:val="24"/>
        </w:rPr>
        <w:t xml:space="preserve"> Palenque, one of the locations Babcock and Fabens visited, was a region of savanna that extended to beaches, a land ripe with possibility should annexation efforts succeed. Babcock did not indicate who made him this offer, though it is believed it was Fabens given a later letter to express his desire to “interest you [Babcock], in a </w:t>
      </w:r>
      <w:r w:rsidRPr="00BD6E3A">
        <w:rPr>
          <w:rFonts w:ascii="Times New Roman" w:hAnsi="Times New Roman" w:cs="Times New Roman"/>
          <w:i/>
          <w:iCs/>
          <w:sz w:val="24"/>
          <w:szCs w:val="24"/>
        </w:rPr>
        <w:t xml:space="preserve">material </w:t>
      </w:r>
      <w:r w:rsidRPr="00BD6E3A">
        <w:rPr>
          <w:rFonts w:ascii="Times New Roman" w:hAnsi="Times New Roman" w:cs="Times New Roman"/>
          <w:sz w:val="24"/>
          <w:szCs w:val="24"/>
        </w:rPr>
        <w:t>way, in our Survey Company.”</w:t>
      </w:r>
      <w:r w:rsidRPr="00BD6E3A">
        <w:rPr>
          <w:rFonts w:ascii="Times New Roman" w:hAnsi="Times New Roman" w:cs="Times New Roman"/>
          <w:sz w:val="24"/>
          <w:szCs w:val="24"/>
          <w:vertAlign w:val="superscript"/>
        </w:rPr>
        <w:footnoteReference w:id="560"/>
      </w:r>
      <w:r w:rsidRPr="00BD6E3A">
        <w:rPr>
          <w:rFonts w:ascii="Times New Roman" w:hAnsi="Times New Roman" w:cs="Times New Roman"/>
          <w:sz w:val="24"/>
          <w:szCs w:val="24"/>
        </w:rPr>
        <w:t xml:space="preserve"> Babcock was wise enough to turn down official government offers for land, namely one later made by Báez in thanks for his assistance, stating that that was the kind of thing that could jeopardize their entire enterprise.</w:t>
      </w:r>
      <w:r w:rsidRPr="00BD6E3A">
        <w:rPr>
          <w:rFonts w:ascii="Times New Roman" w:hAnsi="Times New Roman" w:cs="Times New Roman"/>
          <w:sz w:val="24"/>
          <w:szCs w:val="24"/>
          <w:vertAlign w:val="superscript"/>
        </w:rPr>
        <w:footnoteReference w:id="561"/>
      </w:r>
      <w:r w:rsidRPr="00BD6E3A">
        <w:rPr>
          <w:rFonts w:ascii="Times New Roman" w:hAnsi="Times New Roman" w:cs="Times New Roman"/>
          <w:sz w:val="24"/>
          <w:szCs w:val="24"/>
        </w:rPr>
        <w:t xml:space="preserve"> Still, this private offer was enough to </w:t>
      </w:r>
      <w:r w:rsidR="00BA650F">
        <w:rPr>
          <w:rFonts w:ascii="Times New Roman" w:hAnsi="Times New Roman" w:cs="Times New Roman"/>
          <w:sz w:val="24"/>
          <w:szCs w:val="24"/>
        </w:rPr>
        <w:t>tempt</w:t>
      </w:r>
      <w:r w:rsidRPr="00BD6E3A">
        <w:rPr>
          <w:rFonts w:ascii="Times New Roman" w:hAnsi="Times New Roman" w:cs="Times New Roman"/>
          <w:sz w:val="24"/>
          <w:szCs w:val="24"/>
        </w:rPr>
        <w:t xml:space="preserve"> Babcock with a more personal stake in the matter in Santo Domingo. This </w:t>
      </w:r>
      <w:r w:rsidR="00A46EAA">
        <w:rPr>
          <w:rFonts w:ascii="Times New Roman" w:hAnsi="Times New Roman" w:cs="Times New Roman"/>
          <w:sz w:val="24"/>
          <w:szCs w:val="24"/>
        </w:rPr>
        <w:t xml:space="preserve">was an </w:t>
      </w:r>
      <w:r w:rsidRPr="00BD6E3A">
        <w:rPr>
          <w:rFonts w:ascii="Times New Roman" w:hAnsi="Times New Roman" w:cs="Times New Roman"/>
          <w:sz w:val="24"/>
          <w:szCs w:val="24"/>
        </w:rPr>
        <w:t>offer Babcock</w:t>
      </w:r>
      <w:r w:rsidR="00A46EAA">
        <w:rPr>
          <w:rFonts w:ascii="Times New Roman" w:hAnsi="Times New Roman" w:cs="Times New Roman"/>
          <w:sz w:val="24"/>
          <w:szCs w:val="24"/>
        </w:rPr>
        <w:t xml:space="preserve"> could not refuse</w:t>
      </w:r>
      <w:r w:rsidRPr="00BD6E3A">
        <w:rPr>
          <w:rFonts w:ascii="Times New Roman" w:hAnsi="Times New Roman" w:cs="Times New Roman"/>
          <w:sz w:val="24"/>
          <w:szCs w:val="24"/>
        </w:rPr>
        <w:t>, and it not only deepened his relationship with Fabens, but it ensured his vigor as he worked to confirm the island’s annexation by the Union.</w:t>
      </w:r>
    </w:p>
    <w:p w14:paraId="3E882E47" w14:textId="205D3270"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As a result of the new possibilities unfurled before Babcock, he fell back on his military training and redoubled his efforts to resolve the issues currently before him surrounding </w:t>
      </w:r>
      <w:r w:rsidRPr="00BD6E3A">
        <w:rPr>
          <w:rFonts w:ascii="Times New Roman" w:hAnsi="Times New Roman" w:cs="Times New Roman"/>
          <w:sz w:val="24"/>
          <w:szCs w:val="24"/>
        </w:rPr>
        <w:lastRenderedPageBreak/>
        <w:t xml:space="preserve">annexation so he could return to America with haste. To this end, he approached Báez about the Hartmont Loan, and the president </w:t>
      </w:r>
      <w:r w:rsidR="00A55575">
        <w:rPr>
          <w:rFonts w:ascii="Times New Roman" w:hAnsi="Times New Roman" w:cs="Times New Roman"/>
          <w:sz w:val="24"/>
          <w:szCs w:val="24"/>
        </w:rPr>
        <w:t>confid</w:t>
      </w:r>
      <w:r w:rsidRPr="00BD6E3A">
        <w:rPr>
          <w:rFonts w:ascii="Times New Roman" w:hAnsi="Times New Roman" w:cs="Times New Roman"/>
          <w:sz w:val="24"/>
          <w:szCs w:val="24"/>
        </w:rPr>
        <w:t>ed</w:t>
      </w:r>
      <w:r w:rsidR="00A55575">
        <w:rPr>
          <w:rFonts w:ascii="Times New Roman" w:hAnsi="Times New Roman" w:cs="Times New Roman"/>
          <w:sz w:val="24"/>
          <w:szCs w:val="24"/>
        </w:rPr>
        <w:t xml:space="preserve"> in</w:t>
      </w:r>
      <w:r w:rsidRPr="00BD6E3A">
        <w:rPr>
          <w:rFonts w:ascii="Times New Roman" w:hAnsi="Times New Roman" w:cs="Times New Roman"/>
          <w:sz w:val="24"/>
          <w:szCs w:val="24"/>
        </w:rPr>
        <w:t xml:space="preserve"> him that he was merely desperate for money, which satisfied Babcock enough to continue aiding Báez.</w:t>
      </w:r>
      <w:r w:rsidRPr="00BD6E3A">
        <w:rPr>
          <w:rFonts w:ascii="Times New Roman" w:hAnsi="Times New Roman" w:cs="Times New Roman"/>
          <w:sz w:val="24"/>
          <w:szCs w:val="24"/>
          <w:vertAlign w:val="superscript"/>
        </w:rPr>
        <w:footnoteReference w:id="562"/>
      </w:r>
      <w:r w:rsidRPr="00BD6E3A">
        <w:rPr>
          <w:rFonts w:ascii="Times New Roman" w:hAnsi="Times New Roman" w:cs="Times New Roman"/>
          <w:sz w:val="24"/>
          <w:szCs w:val="24"/>
        </w:rPr>
        <w:t xml:space="preserve"> Annexation talks were interrupted by Smith, who entered the discussion to protest the treatment</w:t>
      </w:r>
      <w:r w:rsidR="00660B83">
        <w:rPr>
          <w:rFonts w:ascii="Times New Roman" w:hAnsi="Times New Roman" w:cs="Times New Roman"/>
          <w:sz w:val="24"/>
          <w:szCs w:val="24"/>
        </w:rPr>
        <w:t xml:space="preserve"> and</w:t>
      </w:r>
      <w:r w:rsidRPr="00BD6E3A">
        <w:rPr>
          <w:rFonts w:ascii="Times New Roman" w:hAnsi="Times New Roman" w:cs="Times New Roman"/>
          <w:sz w:val="24"/>
          <w:szCs w:val="24"/>
        </w:rPr>
        <w:t xml:space="preserve"> </w:t>
      </w:r>
      <w:r w:rsidR="00660B83" w:rsidRPr="00BD6E3A">
        <w:rPr>
          <w:rFonts w:ascii="Times New Roman" w:hAnsi="Times New Roman" w:cs="Times New Roman"/>
          <w:sz w:val="24"/>
          <w:szCs w:val="24"/>
        </w:rPr>
        <w:t xml:space="preserve">unfair imprisonment </w:t>
      </w:r>
      <w:r w:rsidRPr="00BD6E3A">
        <w:rPr>
          <w:rFonts w:ascii="Times New Roman" w:hAnsi="Times New Roman" w:cs="Times New Roman"/>
          <w:sz w:val="24"/>
          <w:szCs w:val="24"/>
        </w:rPr>
        <w:t>of an American named Davis Hatch by Báez.</w:t>
      </w:r>
      <w:r w:rsidRPr="00BD6E3A">
        <w:rPr>
          <w:rFonts w:ascii="Times New Roman" w:hAnsi="Times New Roman" w:cs="Times New Roman"/>
          <w:sz w:val="24"/>
          <w:szCs w:val="24"/>
          <w:vertAlign w:val="superscript"/>
        </w:rPr>
        <w:footnoteReference w:id="563"/>
      </w:r>
      <w:r w:rsidRPr="00BD6E3A">
        <w:rPr>
          <w:rFonts w:ascii="Times New Roman" w:hAnsi="Times New Roman" w:cs="Times New Roman"/>
          <w:sz w:val="24"/>
          <w:szCs w:val="24"/>
        </w:rPr>
        <w:t xml:space="preserve"> Smith asserted that Hatch was an influential American who was on the island tending to the business interests of an American railway baron and that his only crime was opposing Báez, not the government, which Báez countered with a claim that Hatch’s house had been made into “the arsenal and armory” for rebel forces.</w:t>
      </w:r>
      <w:r w:rsidRPr="00BD6E3A">
        <w:rPr>
          <w:rFonts w:ascii="Times New Roman" w:hAnsi="Times New Roman" w:cs="Times New Roman"/>
          <w:sz w:val="24"/>
          <w:szCs w:val="24"/>
          <w:vertAlign w:val="superscript"/>
        </w:rPr>
        <w:footnoteReference w:id="564"/>
      </w:r>
      <w:r w:rsidRPr="00BD6E3A">
        <w:rPr>
          <w:rFonts w:ascii="Times New Roman" w:hAnsi="Times New Roman" w:cs="Times New Roman"/>
          <w:sz w:val="24"/>
          <w:szCs w:val="24"/>
        </w:rPr>
        <w:t xml:space="preserve"> Babcock remained silent on this matter, which would later become a sticking point for several Americans in the calls for annexation, particularly as Babcock’s role meant he should have placed the interest of America and Americans</w:t>
      </w:r>
      <w:r w:rsidR="0043711F">
        <w:rPr>
          <w:rFonts w:ascii="Times New Roman" w:hAnsi="Times New Roman" w:cs="Times New Roman"/>
          <w:sz w:val="24"/>
          <w:szCs w:val="24"/>
        </w:rPr>
        <w:t>, including Hatch,</w:t>
      </w:r>
      <w:r w:rsidRPr="00BD6E3A">
        <w:rPr>
          <w:rFonts w:ascii="Times New Roman" w:hAnsi="Times New Roman" w:cs="Times New Roman"/>
          <w:sz w:val="24"/>
          <w:szCs w:val="24"/>
        </w:rPr>
        <w:t xml:space="preserve"> above all else, including that of his own potential fortune.</w:t>
      </w:r>
    </w:p>
    <w:p w14:paraId="3ED0E5C1" w14:textId="7CE5D526" w:rsidR="00BD6E3A" w:rsidRPr="00BD6E3A" w:rsidRDefault="00BD6E3A" w:rsidP="00BA7AB6">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As annexation talks resumed, Babcock became frustrated with the dragging pace of the process, noting at one point that the Dominicans “act like children” with their negotiations.</w:t>
      </w:r>
      <w:r w:rsidRPr="00BD6E3A">
        <w:rPr>
          <w:rFonts w:ascii="Times New Roman" w:hAnsi="Times New Roman" w:cs="Times New Roman"/>
          <w:sz w:val="24"/>
          <w:szCs w:val="24"/>
          <w:vertAlign w:val="superscript"/>
        </w:rPr>
        <w:footnoteReference w:id="565"/>
      </w:r>
      <w:r w:rsidRPr="00BD6E3A">
        <w:rPr>
          <w:rFonts w:ascii="Times New Roman" w:hAnsi="Times New Roman" w:cs="Times New Roman"/>
          <w:sz w:val="24"/>
          <w:szCs w:val="24"/>
        </w:rPr>
        <w:t xml:space="preserve"> Báez tried to assuage Babcock’s worries concerning the Hartmont Loan, insisting that the deal could be canceled, even offering that annexation could happen if the United States took on Dominican debts.</w:t>
      </w:r>
      <w:r w:rsidRPr="00BD6E3A">
        <w:rPr>
          <w:rFonts w:ascii="Times New Roman" w:hAnsi="Times New Roman" w:cs="Times New Roman"/>
          <w:sz w:val="24"/>
          <w:szCs w:val="24"/>
          <w:vertAlign w:val="superscript"/>
        </w:rPr>
        <w:footnoteReference w:id="566"/>
      </w:r>
      <w:r w:rsidRPr="00BD6E3A">
        <w:rPr>
          <w:rFonts w:ascii="Times New Roman" w:hAnsi="Times New Roman" w:cs="Times New Roman"/>
          <w:sz w:val="24"/>
          <w:szCs w:val="24"/>
        </w:rPr>
        <w:t xml:space="preserve"> Báez further asked for total annexation rather than splitting the nation by annexing only Samaná Bay, and he also asked for protection from American war vessels to scare off nearby rebel forces during the time when the proposal was under consideration.</w:t>
      </w:r>
      <w:r w:rsidRPr="00BD6E3A">
        <w:rPr>
          <w:rFonts w:ascii="Times New Roman" w:hAnsi="Times New Roman" w:cs="Times New Roman"/>
          <w:sz w:val="24"/>
          <w:szCs w:val="24"/>
          <w:vertAlign w:val="superscript"/>
        </w:rPr>
        <w:footnoteReference w:id="567"/>
      </w:r>
      <w:r w:rsidRPr="00BD6E3A">
        <w:rPr>
          <w:rFonts w:ascii="Times New Roman" w:hAnsi="Times New Roman" w:cs="Times New Roman"/>
          <w:sz w:val="24"/>
          <w:szCs w:val="24"/>
        </w:rPr>
        <w:t xml:space="preserve"> Babcock instructed Báez to put his thoughts on paper so he could deliver them to President Grant for his </w:t>
      </w:r>
      <w:r w:rsidRPr="00BD6E3A">
        <w:rPr>
          <w:rFonts w:ascii="Times New Roman" w:hAnsi="Times New Roman" w:cs="Times New Roman"/>
          <w:sz w:val="24"/>
          <w:szCs w:val="24"/>
        </w:rPr>
        <w:lastRenderedPageBreak/>
        <w:t>consideration, and foreign minister Gautier presented him with a draft outlining their suggested terms.</w:t>
      </w:r>
      <w:r w:rsidRPr="00BD6E3A">
        <w:rPr>
          <w:rFonts w:ascii="Times New Roman" w:hAnsi="Times New Roman" w:cs="Times New Roman"/>
          <w:sz w:val="24"/>
          <w:szCs w:val="24"/>
          <w:vertAlign w:val="superscript"/>
        </w:rPr>
        <w:footnoteReference w:id="568"/>
      </w:r>
      <w:r w:rsidRPr="00BD6E3A">
        <w:rPr>
          <w:rFonts w:ascii="Times New Roman" w:hAnsi="Times New Roman" w:cs="Times New Roman"/>
          <w:sz w:val="24"/>
          <w:szCs w:val="24"/>
        </w:rPr>
        <w:t xml:space="preserve"> Babcock ensured that the US warship </w:t>
      </w:r>
      <w:r w:rsidRPr="00BD6E3A">
        <w:rPr>
          <w:rFonts w:ascii="Times New Roman" w:hAnsi="Times New Roman" w:cs="Times New Roman"/>
          <w:i/>
          <w:iCs/>
          <w:sz w:val="24"/>
          <w:szCs w:val="24"/>
        </w:rPr>
        <w:t xml:space="preserve">Tuscarora </w:t>
      </w:r>
      <w:r w:rsidRPr="00BD6E3A">
        <w:rPr>
          <w:rFonts w:ascii="Times New Roman" w:hAnsi="Times New Roman" w:cs="Times New Roman"/>
          <w:sz w:val="24"/>
          <w:szCs w:val="24"/>
        </w:rPr>
        <w:t>would maintain a presence in the area to chase off rebel ships should Báez settle matters on his end, to which he agreed.</w:t>
      </w:r>
      <w:r w:rsidRPr="00BD6E3A">
        <w:rPr>
          <w:rFonts w:ascii="Times New Roman" w:hAnsi="Times New Roman" w:cs="Times New Roman"/>
          <w:sz w:val="24"/>
          <w:szCs w:val="24"/>
          <w:vertAlign w:val="superscript"/>
        </w:rPr>
        <w:footnoteReference w:id="569"/>
      </w:r>
      <w:r w:rsidRPr="00BD6E3A">
        <w:rPr>
          <w:rFonts w:ascii="Times New Roman" w:hAnsi="Times New Roman" w:cs="Times New Roman"/>
          <w:sz w:val="24"/>
          <w:szCs w:val="24"/>
        </w:rPr>
        <w:t xml:space="preserve"> Babcock remained uninvolved on the matter of Davis Hatch, </w:t>
      </w:r>
      <w:r w:rsidR="001E7770">
        <w:rPr>
          <w:rFonts w:ascii="Times New Roman" w:hAnsi="Times New Roman" w:cs="Times New Roman"/>
          <w:sz w:val="24"/>
          <w:szCs w:val="24"/>
        </w:rPr>
        <w:t>pos</w:t>
      </w:r>
      <w:r w:rsidRPr="00BD6E3A">
        <w:rPr>
          <w:rFonts w:ascii="Times New Roman" w:hAnsi="Times New Roman" w:cs="Times New Roman"/>
          <w:sz w:val="24"/>
          <w:szCs w:val="24"/>
        </w:rPr>
        <w:t xml:space="preserve">ing it </w:t>
      </w:r>
      <w:r w:rsidR="001E7770">
        <w:rPr>
          <w:rFonts w:ascii="Times New Roman" w:hAnsi="Times New Roman" w:cs="Times New Roman"/>
          <w:sz w:val="24"/>
          <w:szCs w:val="24"/>
        </w:rPr>
        <w:t xml:space="preserve">as </w:t>
      </w:r>
      <w:r w:rsidRPr="00BD6E3A">
        <w:rPr>
          <w:rFonts w:ascii="Times New Roman" w:hAnsi="Times New Roman" w:cs="Times New Roman"/>
          <w:sz w:val="24"/>
          <w:szCs w:val="24"/>
        </w:rPr>
        <w:t>a matter for Báez to deal with, which so infuriated Smith that he wrote to Hamilton Fish that Babcock ignored him entirely on his trip, correctly insisting that “he goes home with impressions derived chiefly from Cazneau and Fabens.”</w:t>
      </w:r>
      <w:r w:rsidRPr="00BD6E3A">
        <w:rPr>
          <w:rFonts w:ascii="Times New Roman" w:hAnsi="Times New Roman" w:cs="Times New Roman"/>
          <w:sz w:val="24"/>
          <w:szCs w:val="24"/>
          <w:vertAlign w:val="superscript"/>
        </w:rPr>
        <w:footnoteReference w:id="570"/>
      </w:r>
      <w:r w:rsidRPr="00BD6E3A">
        <w:rPr>
          <w:rFonts w:ascii="Times New Roman" w:hAnsi="Times New Roman" w:cs="Times New Roman"/>
          <w:sz w:val="24"/>
          <w:szCs w:val="24"/>
        </w:rPr>
        <w:t xml:space="preserve"> On September 4</w:t>
      </w:r>
      <w:r w:rsidRPr="00BD6E3A">
        <w:rPr>
          <w:rFonts w:ascii="Times New Roman" w:hAnsi="Times New Roman" w:cs="Times New Roman"/>
          <w:sz w:val="24"/>
          <w:szCs w:val="24"/>
          <w:vertAlign w:val="superscript"/>
        </w:rPr>
        <w:t>th</w:t>
      </w:r>
      <w:r w:rsidRPr="00BD6E3A">
        <w:rPr>
          <w:rFonts w:ascii="Times New Roman" w:hAnsi="Times New Roman" w:cs="Times New Roman"/>
          <w:sz w:val="24"/>
          <w:szCs w:val="24"/>
        </w:rPr>
        <w:t xml:space="preserve">, Gautier ran to Babcock in the harbor with the finalized proposal in hand as the </w:t>
      </w:r>
      <w:r w:rsidRPr="00BD6E3A">
        <w:rPr>
          <w:rFonts w:ascii="Times New Roman" w:hAnsi="Times New Roman" w:cs="Times New Roman"/>
          <w:i/>
          <w:iCs/>
          <w:sz w:val="24"/>
          <w:szCs w:val="24"/>
        </w:rPr>
        <w:t>Tybee</w:t>
      </w:r>
      <w:r w:rsidRPr="00BD6E3A">
        <w:rPr>
          <w:rFonts w:ascii="Times New Roman" w:hAnsi="Times New Roman" w:cs="Times New Roman"/>
          <w:sz w:val="24"/>
          <w:szCs w:val="24"/>
        </w:rPr>
        <w:t xml:space="preserve"> prepared for its trip home to the United States.</w:t>
      </w:r>
      <w:r w:rsidRPr="00BD6E3A">
        <w:rPr>
          <w:rFonts w:ascii="Times New Roman" w:hAnsi="Times New Roman" w:cs="Times New Roman"/>
          <w:sz w:val="24"/>
          <w:szCs w:val="24"/>
          <w:vertAlign w:val="superscript"/>
        </w:rPr>
        <w:footnoteReference w:id="571"/>
      </w:r>
      <w:r w:rsidRPr="00BD6E3A">
        <w:rPr>
          <w:rFonts w:ascii="Times New Roman" w:hAnsi="Times New Roman" w:cs="Times New Roman"/>
          <w:sz w:val="24"/>
          <w:szCs w:val="24"/>
        </w:rPr>
        <w:t xml:space="preserve"> Though nothing was officially settled, Babcock and the Dominicans took several steps along the road to annexation before Babcock left the island for the first time.</w:t>
      </w:r>
    </w:p>
    <w:p w14:paraId="6F0AFF44" w14:textId="77777777" w:rsidR="00BD6E3A" w:rsidRPr="00BD6E3A" w:rsidRDefault="00BD6E3A" w:rsidP="00BD6E3A">
      <w:pPr>
        <w:spacing w:line="480" w:lineRule="auto"/>
        <w:jc w:val="center"/>
        <w:rPr>
          <w:rFonts w:ascii="Times New Roman" w:hAnsi="Times New Roman" w:cs="Times New Roman"/>
          <w:sz w:val="24"/>
          <w:szCs w:val="24"/>
        </w:rPr>
      </w:pPr>
      <w:r w:rsidRPr="00BD6E3A">
        <w:rPr>
          <w:rFonts w:ascii="Times New Roman" w:hAnsi="Times New Roman" w:cs="Times New Roman"/>
          <w:sz w:val="24"/>
          <w:szCs w:val="24"/>
        </w:rPr>
        <w:t>Babcock Returns: A Report at Last</w:t>
      </w:r>
    </w:p>
    <w:p w14:paraId="13EFD1F6" w14:textId="1CE38A5B"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Babcock returned to Washington in mid-September 1869, eager to share his good news with President Grant. The President was out of town at this point, though, so Babcock made his report to Secretary Fish, who then advised Grant via letter before Babcock was able to inform him directly upon his return.</w:t>
      </w:r>
      <w:r w:rsidRPr="00BD6E3A">
        <w:rPr>
          <w:rFonts w:ascii="Times New Roman" w:hAnsi="Times New Roman" w:cs="Times New Roman"/>
          <w:sz w:val="24"/>
          <w:szCs w:val="24"/>
          <w:vertAlign w:val="superscript"/>
        </w:rPr>
        <w:footnoteReference w:id="572"/>
      </w:r>
      <w:r w:rsidRPr="00BD6E3A">
        <w:rPr>
          <w:rFonts w:ascii="Times New Roman" w:hAnsi="Times New Roman" w:cs="Times New Roman"/>
          <w:sz w:val="24"/>
          <w:szCs w:val="24"/>
        </w:rPr>
        <w:t xml:space="preserve"> The terms were laid out to the administration: for an asking price of $1.5 million – which would take care of the Dominican debt, pay their troops, and cover the transfer of power – the Dominicans would vote on annexation, and any money paid to the government would go to the purchase of Samaná Bay should the ratification of an annexation treaty fall through.</w:t>
      </w:r>
      <w:r w:rsidRPr="00BD6E3A">
        <w:rPr>
          <w:rFonts w:ascii="Times New Roman" w:hAnsi="Times New Roman" w:cs="Times New Roman"/>
          <w:sz w:val="24"/>
          <w:szCs w:val="24"/>
          <w:vertAlign w:val="superscript"/>
        </w:rPr>
        <w:footnoteReference w:id="573"/>
      </w:r>
      <w:r w:rsidRPr="00BD6E3A">
        <w:rPr>
          <w:rFonts w:ascii="Times New Roman" w:hAnsi="Times New Roman" w:cs="Times New Roman"/>
          <w:sz w:val="24"/>
          <w:szCs w:val="24"/>
        </w:rPr>
        <w:t xml:space="preserve"> Further, Fish informed Grant that the Dominicans would “arrest” the </w:t>
      </w:r>
      <w:r w:rsidRPr="00BD6E3A">
        <w:rPr>
          <w:rFonts w:ascii="Times New Roman" w:hAnsi="Times New Roman" w:cs="Times New Roman"/>
          <w:sz w:val="24"/>
          <w:szCs w:val="24"/>
        </w:rPr>
        <w:lastRenderedPageBreak/>
        <w:t>Hartmont Loan once they were informed that annexation was being strongly considered by the United States, attempting to remove arguably the biggest obstacle in the path forward.</w:t>
      </w:r>
      <w:r w:rsidRPr="00BD6E3A">
        <w:rPr>
          <w:rFonts w:ascii="Times New Roman" w:hAnsi="Times New Roman" w:cs="Times New Roman"/>
          <w:sz w:val="24"/>
          <w:szCs w:val="24"/>
          <w:vertAlign w:val="superscript"/>
        </w:rPr>
        <w:footnoteReference w:id="574"/>
      </w:r>
      <w:r w:rsidRPr="00BD6E3A">
        <w:rPr>
          <w:rFonts w:ascii="Times New Roman" w:hAnsi="Times New Roman" w:cs="Times New Roman"/>
          <w:sz w:val="24"/>
          <w:szCs w:val="24"/>
        </w:rPr>
        <w:t xml:space="preserve"> President Grant returned to Washington a few days later and received Babcock’s report on the matter, and he instructed Fish to message Gautier that he generally approved of the proposal but that some of the details needed to be negotiated further.</w:t>
      </w:r>
      <w:r w:rsidRPr="00BD6E3A">
        <w:rPr>
          <w:rFonts w:ascii="Times New Roman" w:hAnsi="Times New Roman" w:cs="Times New Roman"/>
          <w:sz w:val="24"/>
          <w:szCs w:val="24"/>
          <w:vertAlign w:val="superscript"/>
        </w:rPr>
        <w:footnoteReference w:id="575"/>
      </w:r>
      <w:r w:rsidRPr="00BD6E3A">
        <w:rPr>
          <w:rFonts w:ascii="Times New Roman" w:hAnsi="Times New Roman" w:cs="Times New Roman"/>
          <w:sz w:val="24"/>
          <w:szCs w:val="24"/>
        </w:rPr>
        <w:t xml:space="preserve"> Unfortunately, at this time domestic events took priority as the Gold Corner came to light and required the immediate attention of the administration, moving annexation talks to the back burner for the time being.</w:t>
      </w:r>
      <w:r w:rsidRPr="00BD6E3A">
        <w:rPr>
          <w:rFonts w:ascii="Times New Roman" w:hAnsi="Times New Roman" w:cs="Times New Roman"/>
          <w:sz w:val="24"/>
          <w:szCs w:val="24"/>
          <w:vertAlign w:val="superscript"/>
        </w:rPr>
        <w:footnoteReference w:id="576"/>
      </w:r>
      <w:r w:rsidRPr="00BD6E3A">
        <w:rPr>
          <w:rFonts w:ascii="Times New Roman" w:hAnsi="Times New Roman" w:cs="Times New Roman"/>
          <w:sz w:val="24"/>
          <w:szCs w:val="24"/>
        </w:rPr>
        <w:t xml:space="preserve"> Fish was tasked with remaining </w:t>
      </w:r>
      <w:r w:rsidRPr="00BD6E3A">
        <w:rPr>
          <w:rFonts w:ascii="Times New Roman" w:hAnsi="Times New Roman" w:cs="Times New Roman"/>
          <w:i/>
          <w:iCs/>
          <w:sz w:val="24"/>
          <w:szCs w:val="24"/>
        </w:rPr>
        <w:t xml:space="preserve">en communique </w:t>
      </w:r>
      <w:r w:rsidRPr="00BD6E3A">
        <w:rPr>
          <w:rFonts w:ascii="Times New Roman" w:hAnsi="Times New Roman" w:cs="Times New Roman"/>
          <w:sz w:val="24"/>
          <w:szCs w:val="24"/>
        </w:rPr>
        <w:t>with the Dominicans and working on negotiations, while Babcock remained in conversation with Cazneau and Fabens, yet again circumventing Smith.</w:t>
      </w:r>
      <w:r w:rsidRPr="00BD6E3A">
        <w:rPr>
          <w:rFonts w:ascii="Times New Roman" w:hAnsi="Times New Roman" w:cs="Times New Roman"/>
          <w:sz w:val="24"/>
          <w:szCs w:val="24"/>
          <w:vertAlign w:val="superscript"/>
        </w:rPr>
        <w:footnoteReference w:id="577"/>
      </w:r>
      <w:r w:rsidRPr="00BD6E3A">
        <w:rPr>
          <w:rFonts w:ascii="Times New Roman" w:hAnsi="Times New Roman" w:cs="Times New Roman"/>
          <w:sz w:val="24"/>
          <w:szCs w:val="24"/>
        </w:rPr>
        <w:t xml:space="preserve"> Babcock’s enmity for Smith and Smith’s displeasure with how matters of State were handled in Santo Domingo were enough to reach a breaking point, particularly when Gautier requested the appointment of a new commercial agent who could assist with “carrying into effect” annexation.</w:t>
      </w:r>
      <w:r w:rsidRPr="00BD6E3A">
        <w:rPr>
          <w:rFonts w:ascii="Times New Roman" w:hAnsi="Times New Roman" w:cs="Times New Roman"/>
          <w:sz w:val="24"/>
          <w:szCs w:val="24"/>
          <w:vertAlign w:val="superscript"/>
        </w:rPr>
        <w:footnoteReference w:id="578"/>
      </w:r>
      <w:r w:rsidRPr="00BD6E3A">
        <w:rPr>
          <w:rFonts w:ascii="Times New Roman" w:hAnsi="Times New Roman" w:cs="Times New Roman"/>
          <w:sz w:val="24"/>
          <w:szCs w:val="24"/>
        </w:rPr>
        <w:t xml:space="preserve"> This role required someone who was accredited with diplomatic status, meaning that Babcock was not suitable, and with news arriving that the Hartmont Loan was failing, haste and secrecy in this search took priority.</w:t>
      </w:r>
      <w:r w:rsidRPr="00BD6E3A">
        <w:rPr>
          <w:rFonts w:ascii="Times New Roman" w:hAnsi="Times New Roman" w:cs="Times New Roman"/>
          <w:sz w:val="24"/>
          <w:szCs w:val="24"/>
          <w:vertAlign w:val="superscript"/>
        </w:rPr>
        <w:footnoteReference w:id="579"/>
      </w:r>
      <w:r w:rsidRPr="00BD6E3A">
        <w:rPr>
          <w:rFonts w:ascii="Times New Roman" w:hAnsi="Times New Roman" w:cs="Times New Roman"/>
          <w:sz w:val="24"/>
          <w:szCs w:val="24"/>
        </w:rPr>
        <w:t xml:space="preserve"> President Grant decided on Raymond H.J. Perry, a thirty-three year old former-Union </w:t>
      </w:r>
      <w:r w:rsidR="00362309">
        <w:rPr>
          <w:rFonts w:ascii="Times New Roman" w:hAnsi="Times New Roman" w:cs="Times New Roman"/>
          <w:sz w:val="24"/>
          <w:szCs w:val="24"/>
        </w:rPr>
        <w:t>A</w:t>
      </w:r>
      <w:r w:rsidRPr="00BD6E3A">
        <w:rPr>
          <w:rFonts w:ascii="Times New Roman" w:hAnsi="Times New Roman" w:cs="Times New Roman"/>
          <w:sz w:val="24"/>
          <w:szCs w:val="24"/>
        </w:rPr>
        <w:t xml:space="preserve">rmy </w:t>
      </w:r>
      <w:r w:rsidR="00362309">
        <w:rPr>
          <w:rFonts w:ascii="Times New Roman" w:hAnsi="Times New Roman" w:cs="Times New Roman"/>
          <w:sz w:val="24"/>
          <w:szCs w:val="24"/>
        </w:rPr>
        <w:t>m</w:t>
      </w:r>
      <w:r w:rsidRPr="00BD6E3A">
        <w:rPr>
          <w:rFonts w:ascii="Times New Roman" w:hAnsi="Times New Roman" w:cs="Times New Roman"/>
          <w:sz w:val="24"/>
          <w:szCs w:val="24"/>
        </w:rPr>
        <w:t xml:space="preserve">ajor who had written the president that he was “ready </w:t>
      </w:r>
      <w:r w:rsidRPr="00BD6E3A">
        <w:rPr>
          <w:rFonts w:ascii="Times New Roman" w:hAnsi="Times New Roman" w:cs="Times New Roman"/>
          <w:sz w:val="24"/>
          <w:szCs w:val="24"/>
        </w:rPr>
        <w:lastRenderedPageBreak/>
        <w:t>to go at an hour’s notice to any part of the World alone or in company as you wish; and in any position to serve you.”</w:t>
      </w:r>
      <w:r w:rsidRPr="00BD6E3A">
        <w:rPr>
          <w:rFonts w:ascii="Times New Roman" w:hAnsi="Times New Roman" w:cs="Times New Roman"/>
          <w:sz w:val="24"/>
          <w:szCs w:val="24"/>
          <w:vertAlign w:val="superscript"/>
        </w:rPr>
        <w:footnoteReference w:id="580"/>
      </w:r>
    </w:p>
    <w:p w14:paraId="72568063" w14:textId="047DDD33"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Raymond Perry was, in no uncertain terms, a pragmatico like Babcock, though he initially had different intentions behind his actions: he desired to make “a reputation not money” as his path forward in politics.</w:t>
      </w:r>
      <w:r w:rsidRPr="00BD6E3A">
        <w:rPr>
          <w:rFonts w:ascii="Times New Roman" w:hAnsi="Times New Roman" w:cs="Times New Roman"/>
          <w:sz w:val="24"/>
          <w:szCs w:val="24"/>
          <w:vertAlign w:val="superscript"/>
        </w:rPr>
        <w:footnoteReference w:id="581"/>
      </w:r>
      <w:r w:rsidRPr="00BD6E3A">
        <w:rPr>
          <w:rFonts w:ascii="Times New Roman" w:hAnsi="Times New Roman" w:cs="Times New Roman"/>
          <w:sz w:val="24"/>
          <w:szCs w:val="24"/>
        </w:rPr>
        <w:t xml:space="preserve"> Perry joined the United States Army in 1858, and he served under General Phillip Sheridan during the Civil War.</w:t>
      </w:r>
      <w:r w:rsidRPr="00BD6E3A">
        <w:rPr>
          <w:rFonts w:ascii="Times New Roman" w:hAnsi="Times New Roman" w:cs="Times New Roman"/>
          <w:sz w:val="24"/>
          <w:szCs w:val="24"/>
          <w:vertAlign w:val="superscript"/>
        </w:rPr>
        <w:footnoteReference w:id="582"/>
      </w:r>
      <w:r w:rsidRPr="00BD6E3A">
        <w:rPr>
          <w:rFonts w:ascii="Times New Roman" w:hAnsi="Times New Roman" w:cs="Times New Roman"/>
          <w:sz w:val="24"/>
          <w:szCs w:val="24"/>
        </w:rPr>
        <w:t xml:space="preserve"> During his time in the military, Perry had a history of impulsivity and violence, including slapping a superior officer, shooting and cutting men for refusing to obey orders, and even killing a comrade in what he claimed was an act of self-defense.</w:t>
      </w:r>
      <w:r w:rsidRPr="00BD6E3A">
        <w:rPr>
          <w:rFonts w:ascii="Times New Roman" w:hAnsi="Times New Roman" w:cs="Times New Roman"/>
          <w:sz w:val="24"/>
          <w:szCs w:val="24"/>
          <w:vertAlign w:val="superscript"/>
        </w:rPr>
        <w:footnoteReference w:id="583"/>
      </w:r>
      <w:r w:rsidRPr="00BD6E3A">
        <w:rPr>
          <w:rFonts w:ascii="Times New Roman" w:hAnsi="Times New Roman" w:cs="Times New Roman"/>
          <w:sz w:val="24"/>
          <w:szCs w:val="24"/>
        </w:rPr>
        <w:t xml:space="preserve"> Perry was court-martialed in 1865, and that October he submitted his resignation to Sheridan.</w:t>
      </w:r>
      <w:r w:rsidRPr="00BD6E3A">
        <w:rPr>
          <w:rFonts w:ascii="Times New Roman" w:hAnsi="Times New Roman" w:cs="Times New Roman"/>
          <w:sz w:val="24"/>
          <w:szCs w:val="24"/>
          <w:vertAlign w:val="superscript"/>
        </w:rPr>
        <w:footnoteReference w:id="584"/>
      </w:r>
      <w:r w:rsidRPr="00BD6E3A">
        <w:rPr>
          <w:rFonts w:ascii="Times New Roman" w:hAnsi="Times New Roman" w:cs="Times New Roman"/>
          <w:sz w:val="24"/>
          <w:szCs w:val="24"/>
        </w:rPr>
        <w:t xml:space="preserve"> Sheridan however converted Perry’s resignation into an honorable discharge and hired him as a civilian scout in Texas during Reconstruction before seeking an appointment as a US </w:t>
      </w:r>
      <w:r w:rsidR="00FA5E78">
        <w:rPr>
          <w:rFonts w:ascii="Times New Roman" w:hAnsi="Times New Roman" w:cs="Times New Roman"/>
          <w:sz w:val="24"/>
          <w:szCs w:val="24"/>
        </w:rPr>
        <w:t>M</w:t>
      </w:r>
      <w:r w:rsidRPr="00BD6E3A">
        <w:rPr>
          <w:rFonts w:ascii="Times New Roman" w:hAnsi="Times New Roman" w:cs="Times New Roman"/>
          <w:sz w:val="24"/>
          <w:szCs w:val="24"/>
        </w:rPr>
        <w:t>arshal.</w:t>
      </w:r>
      <w:r w:rsidRPr="00BD6E3A">
        <w:rPr>
          <w:rFonts w:ascii="Times New Roman" w:hAnsi="Times New Roman" w:cs="Times New Roman"/>
          <w:sz w:val="24"/>
          <w:szCs w:val="24"/>
          <w:vertAlign w:val="superscript"/>
        </w:rPr>
        <w:footnoteReference w:id="585"/>
      </w:r>
      <w:r w:rsidRPr="00BD6E3A">
        <w:rPr>
          <w:rFonts w:ascii="Times New Roman" w:hAnsi="Times New Roman" w:cs="Times New Roman"/>
          <w:sz w:val="24"/>
          <w:szCs w:val="24"/>
        </w:rPr>
        <w:t xml:space="preserve"> He was passed over for the position of US </w:t>
      </w:r>
      <w:r w:rsidR="00FA5E78">
        <w:rPr>
          <w:rFonts w:ascii="Times New Roman" w:hAnsi="Times New Roman" w:cs="Times New Roman"/>
          <w:sz w:val="24"/>
          <w:szCs w:val="24"/>
        </w:rPr>
        <w:t>M</w:t>
      </w:r>
      <w:r w:rsidRPr="00BD6E3A">
        <w:rPr>
          <w:rFonts w:ascii="Times New Roman" w:hAnsi="Times New Roman" w:cs="Times New Roman"/>
          <w:sz w:val="24"/>
          <w:szCs w:val="24"/>
        </w:rPr>
        <w:t>arshal, but his persistence in reaching out to President Grant regarding “any rough work to do that requires nerve and activity and a man that will do his duty regardless of anything or anybody” struck a chord with Grant, who sent him to Santo Domingo to replace Smith.</w:t>
      </w:r>
      <w:r w:rsidRPr="00BD6E3A">
        <w:rPr>
          <w:rFonts w:ascii="Times New Roman" w:hAnsi="Times New Roman" w:cs="Times New Roman"/>
          <w:sz w:val="24"/>
          <w:szCs w:val="24"/>
          <w:vertAlign w:val="superscript"/>
        </w:rPr>
        <w:footnoteReference w:id="586"/>
      </w:r>
    </w:p>
    <w:p w14:paraId="7B8854BD" w14:textId="04C3AA58"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lastRenderedPageBreak/>
        <w:tab/>
        <w:t>Upon Perry’s appointment and arrival in Santo Domingo, he was thrust into his new role at the eleventh hour. Perry was initially unsure of his fit in this new role, suggesting to Fish that he “might be better employed to better advantage in the states.”</w:t>
      </w:r>
      <w:r w:rsidRPr="00BD6E3A">
        <w:rPr>
          <w:rFonts w:ascii="Times New Roman" w:hAnsi="Times New Roman" w:cs="Times New Roman"/>
          <w:sz w:val="24"/>
          <w:szCs w:val="24"/>
          <w:vertAlign w:val="superscript"/>
        </w:rPr>
        <w:footnoteReference w:id="587"/>
      </w:r>
      <w:r w:rsidRPr="00BD6E3A">
        <w:rPr>
          <w:rFonts w:ascii="Times New Roman" w:hAnsi="Times New Roman" w:cs="Times New Roman"/>
          <w:sz w:val="24"/>
          <w:szCs w:val="24"/>
        </w:rPr>
        <w:t xml:space="preserve"> Still he sailed to Santo Domingo aboard the </w:t>
      </w:r>
      <w:r w:rsidRPr="00BD6E3A">
        <w:rPr>
          <w:rFonts w:ascii="Times New Roman" w:hAnsi="Times New Roman" w:cs="Times New Roman"/>
          <w:i/>
          <w:iCs/>
          <w:sz w:val="24"/>
          <w:szCs w:val="24"/>
        </w:rPr>
        <w:t xml:space="preserve">Tybee </w:t>
      </w:r>
      <w:r w:rsidRPr="00BD6E3A">
        <w:rPr>
          <w:rFonts w:ascii="Times New Roman" w:hAnsi="Times New Roman" w:cs="Times New Roman"/>
          <w:sz w:val="24"/>
          <w:szCs w:val="24"/>
        </w:rPr>
        <w:t xml:space="preserve">as ordered and began to acquaint himself with the players involved. He met Fabens aboard the </w:t>
      </w:r>
      <w:r w:rsidRPr="00BD6E3A">
        <w:rPr>
          <w:rFonts w:ascii="Times New Roman" w:hAnsi="Times New Roman" w:cs="Times New Roman"/>
          <w:i/>
          <w:iCs/>
          <w:sz w:val="24"/>
          <w:szCs w:val="24"/>
        </w:rPr>
        <w:t>Tybee</w:t>
      </w:r>
      <w:r w:rsidRPr="00BD6E3A">
        <w:rPr>
          <w:rFonts w:ascii="Times New Roman" w:hAnsi="Times New Roman" w:cs="Times New Roman"/>
          <w:sz w:val="24"/>
          <w:szCs w:val="24"/>
        </w:rPr>
        <w:t>, who hinted that he had the “great opportunity for making a rapid fortune” in this role, while Cazneau suggested he could get “a fine plantation” on the island.</w:t>
      </w:r>
      <w:r w:rsidRPr="00BD6E3A">
        <w:rPr>
          <w:rFonts w:ascii="Times New Roman" w:hAnsi="Times New Roman" w:cs="Times New Roman"/>
          <w:sz w:val="24"/>
          <w:szCs w:val="24"/>
          <w:vertAlign w:val="superscript"/>
        </w:rPr>
        <w:footnoteReference w:id="588"/>
      </w:r>
      <w:r w:rsidRPr="00BD6E3A">
        <w:rPr>
          <w:rFonts w:ascii="Times New Roman" w:hAnsi="Times New Roman" w:cs="Times New Roman"/>
          <w:sz w:val="24"/>
          <w:szCs w:val="24"/>
        </w:rPr>
        <w:t xml:space="preserve"> Historians don’t believe Perry ever took these offers, as again, he sought to make a reputation for himself. Perry though wanted to ensure annexation so much that he informed Báez that if he gave him 250 mounted men, he would resign from his current post and put down the rebellion on the island to remove further obstacles in the path forward.</w:t>
      </w:r>
      <w:r w:rsidRPr="00BD6E3A">
        <w:rPr>
          <w:rFonts w:ascii="Times New Roman" w:hAnsi="Times New Roman" w:cs="Times New Roman"/>
          <w:sz w:val="24"/>
          <w:szCs w:val="24"/>
          <w:vertAlign w:val="superscript"/>
        </w:rPr>
        <w:footnoteReference w:id="589"/>
      </w:r>
      <w:r w:rsidRPr="00BD6E3A">
        <w:rPr>
          <w:rFonts w:ascii="Times New Roman" w:hAnsi="Times New Roman" w:cs="Times New Roman"/>
          <w:sz w:val="24"/>
          <w:szCs w:val="24"/>
        </w:rPr>
        <w:t xml:space="preserve"> This did not come to fruition, but his reliance on his military prowess proved him</w:t>
      </w:r>
      <w:r w:rsidR="00FB4544">
        <w:rPr>
          <w:rFonts w:ascii="Times New Roman" w:hAnsi="Times New Roman" w:cs="Times New Roman"/>
          <w:sz w:val="24"/>
          <w:szCs w:val="24"/>
        </w:rPr>
        <w:t xml:space="preserve"> willing</w:t>
      </w:r>
      <w:r w:rsidRPr="00BD6E3A">
        <w:rPr>
          <w:rFonts w:ascii="Times New Roman" w:hAnsi="Times New Roman" w:cs="Times New Roman"/>
          <w:sz w:val="24"/>
          <w:szCs w:val="24"/>
        </w:rPr>
        <w:t xml:space="preserve"> to ensure that he accomplished his goals as the blunt instrument he was, even if it meant that he would be scoffed at by others. Perry sought reputational advancement instead of monetary gain which made him a different breed than Babcock, but his ambition, his position as an appointee, and his desire to accomplish tasks effectively for his benefactor regardless of public perception, as proven through his relationships with Sheridan and Grant, certainly qualifies him as another pragmatico. </w:t>
      </w:r>
    </w:p>
    <w:p w14:paraId="3827E3C0" w14:textId="77777777"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In October 1869, with a new commercial agent in place, the administration put plans into motion which highlighted both Perry and Babcock to further negotiate annexation.  On October 19</w:t>
      </w:r>
      <w:r w:rsidRPr="00BD6E3A">
        <w:rPr>
          <w:rFonts w:ascii="Times New Roman" w:hAnsi="Times New Roman" w:cs="Times New Roman"/>
          <w:sz w:val="24"/>
          <w:szCs w:val="24"/>
          <w:vertAlign w:val="superscript"/>
        </w:rPr>
        <w:t>th</w:t>
      </w:r>
      <w:r w:rsidRPr="00BD6E3A">
        <w:rPr>
          <w:rFonts w:ascii="Times New Roman" w:hAnsi="Times New Roman" w:cs="Times New Roman"/>
          <w:sz w:val="24"/>
          <w:szCs w:val="24"/>
        </w:rPr>
        <w:t xml:space="preserve">, Fish presented a draft annexation treaty to the cabinet that was met with lukewarm reception, but the project carried forth as Fish continued to work on an additional draft to </w:t>
      </w:r>
      <w:r w:rsidRPr="00BD6E3A">
        <w:rPr>
          <w:rFonts w:ascii="Times New Roman" w:hAnsi="Times New Roman" w:cs="Times New Roman"/>
          <w:sz w:val="24"/>
          <w:szCs w:val="24"/>
        </w:rPr>
        <w:lastRenderedPageBreak/>
        <w:t>purchase Samaná Bay should annexation fall through.</w:t>
      </w:r>
      <w:r w:rsidRPr="00BD6E3A">
        <w:rPr>
          <w:rFonts w:ascii="Times New Roman" w:hAnsi="Times New Roman" w:cs="Times New Roman"/>
          <w:sz w:val="24"/>
          <w:szCs w:val="24"/>
          <w:vertAlign w:val="superscript"/>
        </w:rPr>
        <w:footnoteReference w:id="590"/>
      </w:r>
      <w:r w:rsidRPr="00BD6E3A">
        <w:rPr>
          <w:rFonts w:ascii="Times New Roman" w:hAnsi="Times New Roman" w:cs="Times New Roman"/>
          <w:sz w:val="24"/>
          <w:szCs w:val="24"/>
        </w:rPr>
        <w:t xml:space="preserve"> President Grant outlined a new plan of attack with Babcock at the center, taking both the proposed treaty and the draft to Santo Domingo for negotiations. The treaty posited that the United States would pay $1.5 million to Santo Domingo to be used for their debts in exchange for annexation.</w:t>
      </w:r>
      <w:r w:rsidRPr="00BD6E3A">
        <w:rPr>
          <w:rFonts w:ascii="Times New Roman" w:hAnsi="Times New Roman" w:cs="Times New Roman"/>
          <w:sz w:val="24"/>
          <w:szCs w:val="24"/>
          <w:vertAlign w:val="superscript"/>
        </w:rPr>
        <w:footnoteReference w:id="591"/>
      </w:r>
      <w:r w:rsidRPr="00BD6E3A">
        <w:rPr>
          <w:rFonts w:ascii="Times New Roman" w:hAnsi="Times New Roman" w:cs="Times New Roman"/>
          <w:sz w:val="24"/>
          <w:szCs w:val="24"/>
        </w:rPr>
        <w:t xml:space="preserve"> It also stipulated for a plebiscite by the Dominican people, and until that time the United States would protect the island nation from outside interference.</w:t>
      </w:r>
      <w:r w:rsidRPr="00BD6E3A">
        <w:rPr>
          <w:rFonts w:ascii="Times New Roman" w:hAnsi="Times New Roman" w:cs="Times New Roman"/>
          <w:sz w:val="24"/>
          <w:szCs w:val="24"/>
          <w:vertAlign w:val="superscript"/>
        </w:rPr>
        <w:footnoteReference w:id="592"/>
      </w:r>
      <w:r w:rsidRPr="00BD6E3A">
        <w:rPr>
          <w:rFonts w:ascii="Times New Roman" w:hAnsi="Times New Roman" w:cs="Times New Roman"/>
          <w:sz w:val="24"/>
          <w:szCs w:val="24"/>
        </w:rPr>
        <w:t xml:space="preserve"> The proposal required ratification from both sides within four months with no further debts to be taken on by the Dominicans in that time.</w:t>
      </w:r>
      <w:r w:rsidRPr="00BD6E3A">
        <w:rPr>
          <w:rFonts w:ascii="Times New Roman" w:hAnsi="Times New Roman" w:cs="Times New Roman"/>
          <w:sz w:val="24"/>
          <w:szCs w:val="24"/>
          <w:vertAlign w:val="superscript"/>
        </w:rPr>
        <w:footnoteReference w:id="593"/>
      </w:r>
      <w:r w:rsidRPr="00BD6E3A">
        <w:rPr>
          <w:rFonts w:ascii="Times New Roman" w:hAnsi="Times New Roman" w:cs="Times New Roman"/>
          <w:sz w:val="24"/>
          <w:szCs w:val="24"/>
        </w:rPr>
        <w:t xml:space="preserve"> The accompanying sale proposal for Samaná Bay indicated a down payment would be made, and that in the off chance annexation fell through, it would pay annual rent for ninety-nine years on Samaná Bay with an option to buy it outright for $2 million.</w:t>
      </w:r>
      <w:r w:rsidRPr="00BD6E3A">
        <w:rPr>
          <w:rFonts w:ascii="Times New Roman" w:hAnsi="Times New Roman" w:cs="Times New Roman"/>
          <w:sz w:val="24"/>
          <w:szCs w:val="24"/>
          <w:vertAlign w:val="superscript"/>
        </w:rPr>
        <w:footnoteReference w:id="594"/>
      </w:r>
      <w:r w:rsidRPr="00BD6E3A">
        <w:rPr>
          <w:rFonts w:ascii="Times New Roman" w:hAnsi="Times New Roman" w:cs="Times New Roman"/>
          <w:sz w:val="24"/>
          <w:szCs w:val="24"/>
        </w:rPr>
        <w:t xml:space="preserve"> </w:t>
      </w:r>
    </w:p>
    <w:p w14:paraId="6D5917C9" w14:textId="753E055F"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In early November, Fish met with Babcock to provide his and Perry’s orders moving forward, prioritizing annexation over the sale of Samaná Bay. By this point, Perry had already been dispatched to Santo Domingo with instructions that did not include anything about annexation, as the administration was still working on finalizing its policies on the matter when he left.</w:t>
      </w:r>
      <w:r w:rsidRPr="00BD6E3A">
        <w:rPr>
          <w:rFonts w:ascii="Times New Roman" w:hAnsi="Times New Roman" w:cs="Times New Roman"/>
          <w:sz w:val="24"/>
          <w:szCs w:val="24"/>
          <w:vertAlign w:val="superscript"/>
        </w:rPr>
        <w:footnoteReference w:id="595"/>
      </w:r>
      <w:r w:rsidRPr="00BD6E3A">
        <w:rPr>
          <w:rFonts w:ascii="Times New Roman" w:hAnsi="Times New Roman" w:cs="Times New Roman"/>
          <w:sz w:val="24"/>
          <w:szCs w:val="24"/>
        </w:rPr>
        <w:t xml:space="preserve"> Upon Perry’s arrival in Santo Domingo, he recognized the divide amongst Americans supporting annexation and the Báez government and those opposed with other interests, and he made a marked change to his predecessor</w:t>
      </w:r>
      <w:r w:rsidR="00E86A39">
        <w:rPr>
          <w:rFonts w:ascii="Times New Roman" w:hAnsi="Times New Roman" w:cs="Times New Roman"/>
          <w:sz w:val="24"/>
          <w:szCs w:val="24"/>
        </w:rPr>
        <w:t xml:space="preserve"> Smith</w:t>
      </w:r>
      <w:r w:rsidRPr="00BD6E3A">
        <w:rPr>
          <w:rFonts w:ascii="Times New Roman" w:hAnsi="Times New Roman" w:cs="Times New Roman"/>
          <w:sz w:val="24"/>
          <w:szCs w:val="24"/>
        </w:rPr>
        <w:t>’s policies by ordering that the consulate no longer be used as an asylum for Báez’s opponents.</w:t>
      </w:r>
      <w:r w:rsidRPr="00BD6E3A">
        <w:rPr>
          <w:rFonts w:ascii="Times New Roman" w:hAnsi="Times New Roman" w:cs="Times New Roman"/>
          <w:sz w:val="24"/>
          <w:szCs w:val="24"/>
          <w:vertAlign w:val="superscript"/>
        </w:rPr>
        <w:footnoteReference w:id="596"/>
      </w:r>
      <w:r w:rsidRPr="00BD6E3A">
        <w:rPr>
          <w:rFonts w:ascii="Times New Roman" w:hAnsi="Times New Roman" w:cs="Times New Roman"/>
          <w:sz w:val="24"/>
          <w:szCs w:val="24"/>
        </w:rPr>
        <w:t xml:space="preserve"> Fish instructed Perry that he had “full powers from the President” to complete the treaty and proposed sale Fish drafted, but he </w:t>
      </w:r>
      <w:r w:rsidRPr="00BD6E3A">
        <w:rPr>
          <w:rFonts w:ascii="Times New Roman" w:hAnsi="Times New Roman" w:cs="Times New Roman"/>
          <w:sz w:val="24"/>
          <w:szCs w:val="24"/>
        </w:rPr>
        <w:lastRenderedPageBreak/>
        <w:t>encouraged him that it was “the desire of the President that you should confer with General Babcock in every step of these negotiations,” as Babcock was acutely aware of the President’s stance on the matter.</w:t>
      </w:r>
      <w:r w:rsidRPr="00BD6E3A">
        <w:rPr>
          <w:rFonts w:ascii="Times New Roman" w:hAnsi="Times New Roman" w:cs="Times New Roman"/>
          <w:sz w:val="24"/>
          <w:szCs w:val="24"/>
          <w:vertAlign w:val="superscript"/>
        </w:rPr>
        <w:footnoteReference w:id="597"/>
      </w:r>
      <w:r w:rsidRPr="00BD6E3A">
        <w:rPr>
          <w:rFonts w:ascii="Times New Roman" w:hAnsi="Times New Roman" w:cs="Times New Roman"/>
          <w:sz w:val="24"/>
          <w:szCs w:val="24"/>
        </w:rPr>
        <w:t xml:space="preserve"> Babcock’s instructions were far longer than Perry’s. These instructions were detailed regarding the parameters for negotiations and instructing Babcock to coordinate with the American Navy in the area to ensure the validity of a plebiscite, but in short they directed him to “advise unofficially” with Perry regarding annexation, and should that fail, then to make the best deal that they could.</w:t>
      </w:r>
      <w:r w:rsidRPr="00BD6E3A">
        <w:rPr>
          <w:rFonts w:ascii="Times New Roman" w:hAnsi="Times New Roman" w:cs="Times New Roman"/>
          <w:sz w:val="24"/>
          <w:szCs w:val="24"/>
          <w:vertAlign w:val="superscript"/>
        </w:rPr>
        <w:footnoteReference w:id="598"/>
      </w:r>
      <w:r w:rsidRPr="00BD6E3A">
        <w:rPr>
          <w:rFonts w:ascii="Times New Roman" w:hAnsi="Times New Roman" w:cs="Times New Roman"/>
          <w:sz w:val="24"/>
          <w:szCs w:val="24"/>
        </w:rPr>
        <w:t xml:space="preserve"> It was clear from these instructions that Babcock would serve in the role of negotiator and that once he was satisfied with the terms, Perry would serve as the figurehead on behalf of the administration and sign whatever deal Babcock negotiated into effect. Babcock set off to New York with an armed envoy where he picked up $100,000 in gold and another $50,000 worth of arms to take to Santo Domingo as the down payment, alongside two high-ranking military officials serving in advisory and interpreting roles.</w:t>
      </w:r>
      <w:r w:rsidRPr="00BD6E3A">
        <w:rPr>
          <w:rFonts w:ascii="Times New Roman" w:hAnsi="Times New Roman" w:cs="Times New Roman"/>
          <w:sz w:val="24"/>
          <w:szCs w:val="24"/>
          <w:vertAlign w:val="superscript"/>
        </w:rPr>
        <w:footnoteReference w:id="599"/>
      </w:r>
      <w:r w:rsidRPr="00BD6E3A">
        <w:rPr>
          <w:rFonts w:ascii="Times New Roman" w:hAnsi="Times New Roman" w:cs="Times New Roman"/>
          <w:sz w:val="24"/>
          <w:szCs w:val="24"/>
        </w:rPr>
        <w:t xml:space="preserve"> Babcock arrived on the island on November 18</w:t>
      </w:r>
      <w:r w:rsidRPr="00BD6E3A">
        <w:rPr>
          <w:rFonts w:ascii="Times New Roman" w:hAnsi="Times New Roman" w:cs="Times New Roman"/>
          <w:sz w:val="24"/>
          <w:szCs w:val="24"/>
          <w:vertAlign w:val="superscript"/>
        </w:rPr>
        <w:t>th</w:t>
      </w:r>
      <w:r w:rsidRPr="00BD6E3A">
        <w:rPr>
          <w:rFonts w:ascii="Times New Roman" w:hAnsi="Times New Roman" w:cs="Times New Roman"/>
          <w:sz w:val="24"/>
          <w:szCs w:val="24"/>
        </w:rPr>
        <w:t>, quickly meeting with Perry and delivering their orders, and the two set out to begin the negotiations once again.</w:t>
      </w:r>
      <w:r w:rsidRPr="00BD6E3A">
        <w:rPr>
          <w:rFonts w:ascii="Times New Roman" w:hAnsi="Times New Roman" w:cs="Times New Roman"/>
          <w:sz w:val="24"/>
          <w:szCs w:val="24"/>
          <w:vertAlign w:val="superscript"/>
        </w:rPr>
        <w:footnoteReference w:id="600"/>
      </w:r>
    </w:p>
    <w:p w14:paraId="0DF26E76" w14:textId="4188C806"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The next day, an unofficial committee </w:t>
      </w:r>
      <w:r w:rsidR="000144E2">
        <w:rPr>
          <w:rFonts w:ascii="Times New Roman" w:hAnsi="Times New Roman" w:cs="Times New Roman"/>
          <w:sz w:val="24"/>
          <w:szCs w:val="24"/>
        </w:rPr>
        <w:t xml:space="preserve">comprised of </w:t>
      </w:r>
      <w:r w:rsidRPr="00BD6E3A">
        <w:rPr>
          <w:rFonts w:ascii="Times New Roman" w:hAnsi="Times New Roman" w:cs="Times New Roman"/>
          <w:sz w:val="24"/>
          <w:szCs w:val="24"/>
        </w:rPr>
        <w:t xml:space="preserve">Americans and Dominicans assembled to discuss annexation and to begin to nail down the specifics </w:t>
      </w:r>
      <w:r w:rsidR="00567256">
        <w:rPr>
          <w:rFonts w:ascii="Times New Roman" w:hAnsi="Times New Roman" w:cs="Times New Roman"/>
          <w:sz w:val="24"/>
          <w:szCs w:val="24"/>
        </w:rPr>
        <w:t>of such a deal</w:t>
      </w:r>
      <w:r w:rsidRPr="00BD6E3A">
        <w:rPr>
          <w:rFonts w:ascii="Times New Roman" w:hAnsi="Times New Roman" w:cs="Times New Roman"/>
          <w:sz w:val="24"/>
          <w:szCs w:val="24"/>
        </w:rPr>
        <w:t xml:space="preserve">. Much of the proposed deal was agreed to, but one stumbling block was put forth by the Dominicans. Gautier desired that an article be added to the treaty protecting the Dominicans’ ability to legislate their own mode of paying back the debt, ensuring that they would maintain their own </w:t>
      </w:r>
      <w:r w:rsidRPr="00BD6E3A">
        <w:rPr>
          <w:rFonts w:ascii="Times New Roman" w:hAnsi="Times New Roman" w:cs="Times New Roman"/>
          <w:sz w:val="24"/>
          <w:szCs w:val="24"/>
        </w:rPr>
        <w:lastRenderedPageBreak/>
        <w:t>management of their debts.</w:t>
      </w:r>
      <w:r w:rsidRPr="00BD6E3A">
        <w:rPr>
          <w:rFonts w:ascii="Times New Roman" w:hAnsi="Times New Roman" w:cs="Times New Roman"/>
          <w:sz w:val="24"/>
          <w:szCs w:val="24"/>
          <w:vertAlign w:val="superscript"/>
        </w:rPr>
        <w:footnoteReference w:id="601"/>
      </w:r>
      <w:r w:rsidRPr="00BD6E3A">
        <w:rPr>
          <w:rFonts w:ascii="Times New Roman" w:hAnsi="Times New Roman" w:cs="Times New Roman"/>
          <w:sz w:val="24"/>
          <w:szCs w:val="24"/>
        </w:rPr>
        <w:t xml:space="preserve"> Cazneau, who was asked</w:t>
      </w:r>
      <w:r w:rsidR="00F049F9">
        <w:rPr>
          <w:rFonts w:ascii="Times New Roman" w:hAnsi="Times New Roman" w:cs="Times New Roman"/>
          <w:sz w:val="24"/>
          <w:szCs w:val="24"/>
        </w:rPr>
        <w:t xml:space="preserve"> by President Báez</w:t>
      </w:r>
      <w:r w:rsidRPr="00BD6E3A">
        <w:rPr>
          <w:rFonts w:ascii="Times New Roman" w:hAnsi="Times New Roman" w:cs="Times New Roman"/>
          <w:sz w:val="24"/>
          <w:szCs w:val="24"/>
        </w:rPr>
        <w:t xml:space="preserve"> to serve as an interpreter</w:t>
      </w:r>
      <w:r w:rsidR="00F049F9">
        <w:rPr>
          <w:rFonts w:ascii="Times New Roman" w:hAnsi="Times New Roman" w:cs="Times New Roman"/>
          <w:sz w:val="24"/>
          <w:szCs w:val="24"/>
        </w:rPr>
        <w:t>,</w:t>
      </w:r>
      <w:r w:rsidRPr="00BD6E3A">
        <w:rPr>
          <w:rFonts w:ascii="Times New Roman" w:hAnsi="Times New Roman" w:cs="Times New Roman"/>
          <w:sz w:val="24"/>
          <w:szCs w:val="24"/>
        </w:rPr>
        <w:t xml:space="preserve"> should have had no hand in these negotiations</w:t>
      </w:r>
      <w:r w:rsidR="00F049F9">
        <w:rPr>
          <w:rFonts w:ascii="Times New Roman" w:hAnsi="Times New Roman" w:cs="Times New Roman"/>
          <w:sz w:val="24"/>
          <w:szCs w:val="24"/>
        </w:rPr>
        <w:t xml:space="preserve"> but</w:t>
      </w:r>
      <w:r w:rsidRPr="00BD6E3A">
        <w:rPr>
          <w:rFonts w:ascii="Times New Roman" w:hAnsi="Times New Roman" w:cs="Times New Roman"/>
          <w:sz w:val="24"/>
          <w:szCs w:val="24"/>
        </w:rPr>
        <w:t xml:space="preserve"> devised a new article ensuring Gautier’s wishes, and besides this one clause, the draft treaties looked almost identical to those created by Fish.</w:t>
      </w:r>
      <w:r w:rsidRPr="00BD6E3A">
        <w:rPr>
          <w:rFonts w:ascii="Times New Roman" w:hAnsi="Times New Roman" w:cs="Times New Roman"/>
          <w:sz w:val="24"/>
          <w:szCs w:val="24"/>
          <w:vertAlign w:val="superscript"/>
        </w:rPr>
        <w:footnoteReference w:id="602"/>
      </w:r>
      <w:r w:rsidRPr="00BD6E3A">
        <w:rPr>
          <w:rFonts w:ascii="Times New Roman" w:hAnsi="Times New Roman" w:cs="Times New Roman"/>
          <w:sz w:val="24"/>
          <w:szCs w:val="24"/>
        </w:rPr>
        <w:t xml:space="preserve"> </w:t>
      </w:r>
    </w:p>
    <w:p w14:paraId="00E48EAC" w14:textId="50AC734F" w:rsidR="00BD6E3A" w:rsidRPr="00BD6E3A" w:rsidRDefault="00BD6E3A" w:rsidP="00DD7768">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In late November, with the treaty ready to be signed, Báez attempted to halt the negotiations in order to show his gratitude to the Americans, namely Babcock, for their role in the treaty. The treaty stated that the Dominican government could issue no new land concessions once the treaty was enacted, and following existing practices on the island, Báez sought to grant Babcock a plot of land. Báez wanted to consult his senate about repaying this man for his “great kindness” in ensuring the island’s safety via the presence of the </w:t>
      </w:r>
      <w:r w:rsidRPr="00BD6E3A">
        <w:rPr>
          <w:rFonts w:ascii="Times New Roman" w:hAnsi="Times New Roman" w:cs="Times New Roman"/>
          <w:i/>
          <w:iCs/>
          <w:sz w:val="24"/>
          <w:szCs w:val="24"/>
        </w:rPr>
        <w:t xml:space="preserve">Tuscarora </w:t>
      </w:r>
      <w:r w:rsidRPr="00BD6E3A">
        <w:rPr>
          <w:rFonts w:ascii="Times New Roman" w:hAnsi="Times New Roman" w:cs="Times New Roman"/>
          <w:sz w:val="24"/>
          <w:szCs w:val="24"/>
        </w:rPr>
        <w:t>as well as his efforts to replace commercial agent Smith, thereby forwarding the cause of annexation.</w:t>
      </w:r>
      <w:r w:rsidRPr="00BD6E3A">
        <w:rPr>
          <w:rFonts w:ascii="Times New Roman" w:hAnsi="Times New Roman" w:cs="Times New Roman"/>
          <w:sz w:val="24"/>
          <w:szCs w:val="24"/>
          <w:vertAlign w:val="superscript"/>
        </w:rPr>
        <w:footnoteReference w:id="603"/>
      </w:r>
      <w:r w:rsidRPr="00BD6E3A">
        <w:rPr>
          <w:rFonts w:ascii="Times New Roman" w:hAnsi="Times New Roman" w:cs="Times New Roman"/>
          <w:sz w:val="24"/>
          <w:szCs w:val="24"/>
        </w:rPr>
        <w:t xml:space="preserve"> Babcock refused this official offer, allegedly declaring “My God! Anything of that kind would ruin the treaty; it would not do!”</w:t>
      </w:r>
      <w:r w:rsidRPr="00BD6E3A">
        <w:rPr>
          <w:rFonts w:ascii="Times New Roman" w:hAnsi="Times New Roman" w:cs="Times New Roman"/>
          <w:sz w:val="24"/>
          <w:szCs w:val="24"/>
          <w:vertAlign w:val="superscript"/>
        </w:rPr>
        <w:footnoteReference w:id="604"/>
      </w:r>
      <w:r w:rsidRPr="00BD6E3A">
        <w:rPr>
          <w:rFonts w:ascii="Times New Roman" w:hAnsi="Times New Roman" w:cs="Times New Roman"/>
          <w:sz w:val="24"/>
          <w:szCs w:val="24"/>
        </w:rPr>
        <w:t xml:space="preserve"> Babcock was aware that this official offer would be enough to ruin the treaty given his standing as a representative of the Grant administration, but he did indicate that “as a citizen of the U.S. I should like to go into Business with him, but could not accept a gift now.”</w:t>
      </w:r>
      <w:r w:rsidRPr="00BD6E3A">
        <w:rPr>
          <w:rFonts w:ascii="Times New Roman" w:hAnsi="Times New Roman" w:cs="Times New Roman"/>
          <w:sz w:val="24"/>
          <w:szCs w:val="24"/>
          <w:vertAlign w:val="superscript"/>
        </w:rPr>
        <w:footnoteReference w:id="605"/>
      </w:r>
      <w:r w:rsidRPr="00BD6E3A">
        <w:rPr>
          <w:rFonts w:ascii="Times New Roman" w:hAnsi="Times New Roman" w:cs="Times New Roman"/>
          <w:sz w:val="24"/>
          <w:szCs w:val="24"/>
        </w:rPr>
        <w:t xml:space="preserve"> He made no mention of further discussions regarding future endeavors between h</w:t>
      </w:r>
      <w:r w:rsidR="007F04AC">
        <w:rPr>
          <w:rFonts w:ascii="Times New Roman" w:hAnsi="Times New Roman" w:cs="Times New Roman"/>
          <w:sz w:val="24"/>
          <w:szCs w:val="24"/>
        </w:rPr>
        <w:t>imself</w:t>
      </w:r>
      <w:r w:rsidRPr="00BD6E3A">
        <w:rPr>
          <w:rFonts w:ascii="Times New Roman" w:hAnsi="Times New Roman" w:cs="Times New Roman"/>
          <w:sz w:val="24"/>
          <w:szCs w:val="24"/>
        </w:rPr>
        <w:t xml:space="preserve"> and Báez, nor of the offer of land previously made by Fabens, focusing only on this offer by the state as improper. With these obstacles finally removed, Perry and Gautier signed the documents as the official negotiators, though it was clear this was a deal between Babcock and </w:t>
      </w:r>
      <w:r w:rsidRPr="00BD6E3A">
        <w:rPr>
          <w:rFonts w:ascii="Times New Roman" w:hAnsi="Times New Roman" w:cs="Times New Roman"/>
          <w:sz w:val="24"/>
          <w:szCs w:val="24"/>
        </w:rPr>
        <w:lastRenderedPageBreak/>
        <w:t>Báez.</w:t>
      </w:r>
      <w:r w:rsidRPr="00BD6E3A">
        <w:rPr>
          <w:rFonts w:ascii="Times New Roman" w:hAnsi="Times New Roman" w:cs="Times New Roman"/>
          <w:sz w:val="24"/>
          <w:szCs w:val="24"/>
          <w:vertAlign w:val="superscript"/>
        </w:rPr>
        <w:footnoteReference w:id="606"/>
      </w:r>
      <w:r w:rsidRPr="00BD6E3A">
        <w:rPr>
          <w:rFonts w:ascii="Times New Roman" w:hAnsi="Times New Roman" w:cs="Times New Roman"/>
          <w:sz w:val="24"/>
          <w:szCs w:val="24"/>
        </w:rPr>
        <w:t xml:space="preserve"> Perry later indicated that “General Babcock ought to have the credit as he had had the labor” involved in the process.</w:t>
      </w:r>
      <w:r w:rsidRPr="00BD6E3A">
        <w:rPr>
          <w:rFonts w:ascii="Times New Roman" w:hAnsi="Times New Roman" w:cs="Times New Roman"/>
          <w:sz w:val="24"/>
          <w:szCs w:val="24"/>
          <w:vertAlign w:val="superscript"/>
        </w:rPr>
        <w:footnoteReference w:id="607"/>
      </w:r>
      <w:r w:rsidRPr="00BD6E3A">
        <w:rPr>
          <w:rFonts w:ascii="Times New Roman" w:hAnsi="Times New Roman" w:cs="Times New Roman"/>
          <w:sz w:val="24"/>
          <w:szCs w:val="24"/>
        </w:rPr>
        <w:t xml:space="preserve"> Babcock finally departed the island in early December, leaving a military presence in Samaná Bay under the newly-raised American flag, and returned to the capital having ably accomplished the task assigned to him.</w:t>
      </w:r>
      <w:r w:rsidRPr="00BD6E3A">
        <w:rPr>
          <w:rFonts w:ascii="Times New Roman" w:hAnsi="Times New Roman" w:cs="Times New Roman"/>
          <w:sz w:val="24"/>
          <w:szCs w:val="24"/>
          <w:vertAlign w:val="superscript"/>
        </w:rPr>
        <w:footnoteReference w:id="608"/>
      </w:r>
    </w:p>
    <w:p w14:paraId="5B41FD60" w14:textId="3A2F5FAC" w:rsidR="00BD6E3A" w:rsidRPr="00BD6E3A" w:rsidRDefault="00BD6E3A" w:rsidP="00BD6E3A">
      <w:pPr>
        <w:spacing w:line="480" w:lineRule="auto"/>
        <w:jc w:val="center"/>
        <w:rPr>
          <w:rFonts w:ascii="Times New Roman" w:hAnsi="Times New Roman" w:cs="Times New Roman"/>
          <w:sz w:val="24"/>
          <w:szCs w:val="24"/>
        </w:rPr>
      </w:pPr>
      <w:r w:rsidRPr="00BD6E3A">
        <w:rPr>
          <w:rFonts w:ascii="Times New Roman" w:hAnsi="Times New Roman" w:cs="Times New Roman"/>
          <w:sz w:val="24"/>
          <w:szCs w:val="24"/>
        </w:rPr>
        <w:t xml:space="preserve">Issues </w:t>
      </w:r>
      <w:r w:rsidR="00A222C1">
        <w:rPr>
          <w:rFonts w:ascii="Times New Roman" w:hAnsi="Times New Roman" w:cs="Times New Roman"/>
          <w:sz w:val="24"/>
          <w:szCs w:val="24"/>
        </w:rPr>
        <w:t>Domestic</w:t>
      </w:r>
      <w:r w:rsidRPr="00BD6E3A">
        <w:rPr>
          <w:rFonts w:ascii="Times New Roman" w:hAnsi="Times New Roman" w:cs="Times New Roman"/>
          <w:sz w:val="24"/>
          <w:szCs w:val="24"/>
        </w:rPr>
        <w:t xml:space="preserve"> Because of Issues </w:t>
      </w:r>
      <w:r w:rsidR="00A222C1">
        <w:rPr>
          <w:rFonts w:ascii="Times New Roman" w:hAnsi="Times New Roman" w:cs="Times New Roman"/>
          <w:sz w:val="24"/>
          <w:szCs w:val="24"/>
        </w:rPr>
        <w:t>Foreign</w:t>
      </w:r>
    </w:p>
    <w:p w14:paraId="0DA2421E" w14:textId="57161738"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Upon Babcock’s return, he presented both the lease treaty and the annexation treaty that were approved in Santo Domingo to the Cabinet. When the President called for discussion of the matter, he encouraged cabinet members to discuss the lease proposal, but to remain tightlipped about annexation until the effects of the Hartmont Loan concluded at the end of the year.</w:t>
      </w:r>
      <w:r w:rsidRPr="00BD6E3A">
        <w:rPr>
          <w:rFonts w:ascii="Times New Roman" w:hAnsi="Times New Roman" w:cs="Times New Roman"/>
          <w:sz w:val="24"/>
          <w:szCs w:val="24"/>
          <w:vertAlign w:val="superscript"/>
        </w:rPr>
        <w:footnoteReference w:id="609"/>
      </w:r>
      <w:r w:rsidRPr="00BD6E3A">
        <w:rPr>
          <w:rFonts w:ascii="Times New Roman" w:hAnsi="Times New Roman" w:cs="Times New Roman"/>
          <w:sz w:val="24"/>
          <w:szCs w:val="24"/>
        </w:rPr>
        <w:t xml:space="preserve"> The president remained excited about the prospects of annexation, so much so that he insisted on its strategic importance as “the gate to the Carib[b]ean” in his memo “Reasons Why Santo Domingo Should Be Annexed to the United States.”</w:t>
      </w:r>
      <w:r w:rsidRPr="00BD6E3A">
        <w:rPr>
          <w:rFonts w:ascii="Times New Roman" w:hAnsi="Times New Roman" w:cs="Times New Roman"/>
          <w:sz w:val="24"/>
          <w:szCs w:val="24"/>
          <w:vertAlign w:val="superscript"/>
        </w:rPr>
        <w:footnoteReference w:id="610"/>
      </w:r>
      <w:r w:rsidRPr="00BD6E3A">
        <w:rPr>
          <w:rFonts w:ascii="Times New Roman" w:hAnsi="Times New Roman" w:cs="Times New Roman"/>
          <w:sz w:val="24"/>
          <w:szCs w:val="24"/>
        </w:rPr>
        <w:t xml:space="preserve"> Grant hoped that this matter could be resolved quickly, and that the annexation of this new territory to the Union could serve as a crowning achievement for his first term, possibly even earning him a second term in the process. He discussed the potential of the deal as “carrying out Manifest destiny” while suggesting that the deal was nothing but common sense: “Can anyone favor rejecting so valuable a gift who voted $7,200,000 for the icebergs of Alasca [sic]?”</w:t>
      </w:r>
      <w:r w:rsidRPr="00BD6E3A">
        <w:rPr>
          <w:rFonts w:ascii="Times New Roman" w:hAnsi="Times New Roman" w:cs="Times New Roman"/>
          <w:sz w:val="24"/>
          <w:szCs w:val="24"/>
          <w:vertAlign w:val="superscript"/>
        </w:rPr>
        <w:footnoteReference w:id="611"/>
      </w:r>
      <w:r w:rsidRPr="00BD6E3A">
        <w:rPr>
          <w:rFonts w:ascii="Times New Roman" w:hAnsi="Times New Roman" w:cs="Times New Roman"/>
          <w:sz w:val="24"/>
          <w:szCs w:val="24"/>
        </w:rPr>
        <w:t xml:space="preserve"> The key here was ensuring the deal’s secrecy </w:t>
      </w:r>
      <w:r w:rsidRPr="00BD6E3A">
        <w:rPr>
          <w:rFonts w:ascii="Times New Roman" w:hAnsi="Times New Roman" w:cs="Times New Roman"/>
          <w:sz w:val="24"/>
          <w:szCs w:val="24"/>
        </w:rPr>
        <w:lastRenderedPageBreak/>
        <w:t>until the major issues were resolved, leaving no room for concern from political opponents. Unfortunately, on December 23</w:t>
      </w:r>
      <w:r w:rsidRPr="00BD6E3A">
        <w:rPr>
          <w:rFonts w:ascii="Times New Roman" w:hAnsi="Times New Roman" w:cs="Times New Roman"/>
          <w:sz w:val="24"/>
          <w:szCs w:val="24"/>
          <w:vertAlign w:val="superscript"/>
        </w:rPr>
        <w:t>rd</w:t>
      </w:r>
      <w:r w:rsidRPr="00BD6E3A">
        <w:rPr>
          <w:rFonts w:ascii="Times New Roman" w:hAnsi="Times New Roman" w:cs="Times New Roman"/>
          <w:sz w:val="24"/>
          <w:szCs w:val="24"/>
        </w:rPr>
        <w:t xml:space="preserve">, only two days after Babcock’s return, discussions surrounding annexation leaked in a very detailed and accurate story in the </w:t>
      </w:r>
      <w:r w:rsidRPr="00BD6E3A">
        <w:rPr>
          <w:rFonts w:ascii="Times New Roman" w:hAnsi="Times New Roman" w:cs="Times New Roman"/>
          <w:i/>
          <w:iCs/>
          <w:sz w:val="24"/>
          <w:szCs w:val="24"/>
        </w:rPr>
        <w:t xml:space="preserve">New York Herald </w:t>
      </w:r>
      <w:r w:rsidRPr="00BD6E3A">
        <w:rPr>
          <w:rFonts w:ascii="Times New Roman" w:hAnsi="Times New Roman" w:cs="Times New Roman"/>
          <w:sz w:val="24"/>
          <w:szCs w:val="24"/>
        </w:rPr>
        <w:t xml:space="preserve">that could have only been written with assistance from someone with insider knowledge </w:t>
      </w:r>
      <w:r w:rsidR="00F72BB9" w:rsidRPr="00BD6E3A">
        <w:rPr>
          <w:rFonts w:ascii="Times New Roman" w:hAnsi="Times New Roman" w:cs="Times New Roman"/>
          <w:sz w:val="24"/>
          <w:szCs w:val="24"/>
        </w:rPr>
        <w:t>of</w:t>
      </w:r>
      <w:r w:rsidRPr="00BD6E3A">
        <w:rPr>
          <w:rFonts w:ascii="Times New Roman" w:hAnsi="Times New Roman" w:cs="Times New Roman"/>
          <w:sz w:val="24"/>
          <w:szCs w:val="24"/>
        </w:rPr>
        <w:t xml:space="preserve"> the matter.</w:t>
      </w:r>
      <w:r w:rsidRPr="00BD6E3A">
        <w:rPr>
          <w:rFonts w:ascii="Times New Roman" w:hAnsi="Times New Roman" w:cs="Times New Roman"/>
          <w:sz w:val="24"/>
          <w:szCs w:val="24"/>
          <w:vertAlign w:val="superscript"/>
        </w:rPr>
        <w:footnoteReference w:id="612"/>
      </w:r>
      <w:r w:rsidRPr="00BD6E3A">
        <w:rPr>
          <w:rFonts w:ascii="Times New Roman" w:hAnsi="Times New Roman" w:cs="Times New Roman"/>
          <w:sz w:val="24"/>
          <w:szCs w:val="24"/>
        </w:rPr>
        <w:t xml:space="preserve"> </w:t>
      </w:r>
    </w:p>
    <w:p w14:paraId="24CF299B" w14:textId="3774666F"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The response to the information about annexation getting out was less than ideal, particularly when Charles Sumner decided to speak on the matter himself</w:t>
      </w:r>
      <w:r w:rsidR="0074413B">
        <w:rPr>
          <w:rFonts w:ascii="Times New Roman" w:hAnsi="Times New Roman" w:cs="Times New Roman"/>
          <w:sz w:val="24"/>
          <w:szCs w:val="24"/>
        </w:rPr>
        <w:t xml:space="preserve"> (</w:t>
      </w:r>
      <w:r w:rsidR="0074413B">
        <w:rPr>
          <w:rFonts w:ascii="Times New Roman" w:hAnsi="Times New Roman" w:cs="Times New Roman"/>
          <w:b/>
          <w:bCs/>
          <w:sz w:val="24"/>
          <w:szCs w:val="24"/>
        </w:rPr>
        <w:t>Figure 2.3</w:t>
      </w:r>
      <w:r w:rsidR="0074413B">
        <w:rPr>
          <w:rFonts w:ascii="Times New Roman" w:hAnsi="Times New Roman" w:cs="Times New Roman"/>
          <w:sz w:val="24"/>
          <w:szCs w:val="24"/>
        </w:rPr>
        <w:t>)</w:t>
      </w:r>
      <w:r w:rsidRPr="00BD6E3A">
        <w:rPr>
          <w:rFonts w:ascii="Times New Roman" w:hAnsi="Times New Roman" w:cs="Times New Roman"/>
          <w:sz w:val="24"/>
          <w:szCs w:val="24"/>
        </w:rPr>
        <w:t>. Sumner, a long-time advocate of racial equality in the United States and an opponent of relocation arguments, began to publicly comment on the idea of acquiring territory in the West Indies, insisting that “we should neither purchase them nor assist in wresting them from the powers to which they belong.”</w:t>
      </w:r>
      <w:r w:rsidRPr="00BD6E3A">
        <w:rPr>
          <w:rFonts w:ascii="Times New Roman" w:hAnsi="Times New Roman" w:cs="Times New Roman"/>
          <w:sz w:val="24"/>
          <w:szCs w:val="24"/>
          <w:vertAlign w:val="superscript"/>
        </w:rPr>
        <w:footnoteReference w:id="613"/>
      </w:r>
      <w:r w:rsidRPr="00BD6E3A">
        <w:rPr>
          <w:rFonts w:ascii="Times New Roman" w:hAnsi="Times New Roman" w:cs="Times New Roman"/>
          <w:sz w:val="24"/>
          <w:szCs w:val="24"/>
        </w:rPr>
        <w:t xml:space="preserve"> Grant previously encountered difficulties with Sumner and his Foreign Relations Committee on such matters as the </w:t>
      </w:r>
      <w:r w:rsidRPr="00BD6E3A">
        <w:rPr>
          <w:rFonts w:ascii="Times New Roman" w:hAnsi="Times New Roman" w:cs="Times New Roman"/>
          <w:i/>
          <w:iCs/>
          <w:sz w:val="24"/>
          <w:szCs w:val="24"/>
        </w:rPr>
        <w:t xml:space="preserve">Alabama </w:t>
      </w:r>
      <w:r w:rsidRPr="00BD6E3A">
        <w:rPr>
          <w:rFonts w:ascii="Times New Roman" w:hAnsi="Times New Roman" w:cs="Times New Roman"/>
          <w:sz w:val="24"/>
          <w:szCs w:val="24"/>
        </w:rPr>
        <w:t>claims, and he did not desire to instigate another drawn out debate on something he deemed so important for the future of the Union.</w:t>
      </w:r>
      <w:r w:rsidRPr="00BD6E3A">
        <w:rPr>
          <w:rFonts w:ascii="Times New Roman" w:hAnsi="Times New Roman" w:cs="Times New Roman"/>
          <w:sz w:val="24"/>
          <w:szCs w:val="24"/>
          <w:vertAlign w:val="superscript"/>
        </w:rPr>
        <w:footnoteReference w:id="614"/>
      </w:r>
      <w:r w:rsidRPr="00BD6E3A">
        <w:rPr>
          <w:rFonts w:ascii="Times New Roman" w:hAnsi="Times New Roman" w:cs="Times New Roman"/>
          <w:sz w:val="24"/>
          <w:szCs w:val="24"/>
        </w:rPr>
        <w:t xml:space="preserve"> In an effort to assuage Sumner, Grant felt it necessary to give Sumner a personal preview of the treaty before revealing it to Congress in an effort to alleviate concerns about Hartmont.</w:t>
      </w:r>
      <w:r w:rsidRPr="00BD6E3A">
        <w:rPr>
          <w:rFonts w:ascii="Times New Roman" w:hAnsi="Times New Roman" w:cs="Times New Roman"/>
          <w:sz w:val="24"/>
          <w:szCs w:val="24"/>
          <w:vertAlign w:val="superscript"/>
        </w:rPr>
        <w:footnoteReference w:id="615"/>
      </w:r>
      <w:r w:rsidRPr="00BD6E3A">
        <w:rPr>
          <w:rFonts w:ascii="Times New Roman" w:hAnsi="Times New Roman" w:cs="Times New Roman"/>
          <w:sz w:val="24"/>
          <w:szCs w:val="24"/>
        </w:rPr>
        <w:t xml:space="preserve"> With this decision made, the idea of secrecy surrounding this project was abandoned and the fight for ratification stateside was on.</w:t>
      </w:r>
    </w:p>
    <w:p w14:paraId="3A7BD555" w14:textId="085BCB2B" w:rsid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 xml:space="preserve"> </w:t>
      </w:r>
      <w:r w:rsidRPr="00BD6E3A">
        <w:rPr>
          <w:rFonts w:ascii="Times New Roman" w:hAnsi="Times New Roman" w:cs="Times New Roman"/>
          <w:sz w:val="24"/>
          <w:szCs w:val="24"/>
        </w:rPr>
        <w:tab/>
        <w:t xml:space="preserve">This battle opened with the President desiring peace between his faction and Sumner, and as such he believed that “a personal visit, &amp; the communication to him, the </w:t>
      </w:r>
      <w:r w:rsidRPr="00BD6E3A">
        <w:rPr>
          <w:rFonts w:ascii="Times New Roman" w:hAnsi="Times New Roman" w:cs="Times New Roman"/>
          <w:i/>
          <w:iCs/>
          <w:sz w:val="24"/>
          <w:szCs w:val="24"/>
        </w:rPr>
        <w:t xml:space="preserve">first </w:t>
      </w:r>
      <w:r w:rsidRPr="00BD6E3A">
        <w:rPr>
          <w:rFonts w:ascii="Times New Roman" w:hAnsi="Times New Roman" w:cs="Times New Roman"/>
          <w:sz w:val="24"/>
          <w:szCs w:val="24"/>
        </w:rPr>
        <w:t xml:space="preserve">outside of his Cabinet, was proper, &amp; would be received as a suitable recognition of his position &amp; as a mark of </w:t>
      </w:r>
      <w:r w:rsidRPr="00BD6E3A">
        <w:rPr>
          <w:rFonts w:ascii="Times New Roman" w:hAnsi="Times New Roman" w:cs="Times New Roman"/>
          <w:sz w:val="24"/>
          <w:szCs w:val="24"/>
        </w:rPr>
        <w:lastRenderedPageBreak/>
        <w:t>confidence.”</w:t>
      </w:r>
      <w:r w:rsidRPr="00BD6E3A">
        <w:rPr>
          <w:rFonts w:ascii="Times New Roman" w:hAnsi="Times New Roman" w:cs="Times New Roman"/>
          <w:sz w:val="24"/>
          <w:szCs w:val="24"/>
          <w:vertAlign w:val="superscript"/>
        </w:rPr>
        <w:footnoteReference w:id="616"/>
      </w:r>
      <w:r w:rsidRPr="00BD6E3A">
        <w:rPr>
          <w:rFonts w:ascii="Times New Roman" w:hAnsi="Times New Roman" w:cs="Times New Roman"/>
          <w:sz w:val="24"/>
          <w:szCs w:val="24"/>
        </w:rPr>
        <w:t xml:space="preserve"> As such, Grant used the tool of the politician, deference, and personally journeyed to Sumner’s home to discuss the matter at hand.</w:t>
      </w:r>
      <w:r w:rsidRPr="00BD6E3A">
        <w:rPr>
          <w:rFonts w:ascii="Times New Roman" w:hAnsi="Times New Roman" w:cs="Times New Roman"/>
          <w:sz w:val="24"/>
          <w:szCs w:val="24"/>
          <w:vertAlign w:val="superscript"/>
        </w:rPr>
        <w:footnoteReference w:id="617"/>
      </w:r>
      <w:r w:rsidRPr="00BD6E3A">
        <w:rPr>
          <w:rFonts w:ascii="Times New Roman" w:hAnsi="Times New Roman" w:cs="Times New Roman"/>
          <w:sz w:val="24"/>
          <w:szCs w:val="24"/>
        </w:rPr>
        <w:t xml:space="preserve"> Grant arrived to find Sumner entertaining two journalists at dinner, and at one point in the evening they were joined by Secretary of the Treasury George Boutwell.</w:t>
      </w:r>
      <w:r w:rsidRPr="00BD6E3A">
        <w:rPr>
          <w:rFonts w:ascii="Times New Roman" w:hAnsi="Times New Roman" w:cs="Times New Roman"/>
          <w:sz w:val="24"/>
          <w:szCs w:val="24"/>
          <w:vertAlign w:val="superscript"/>
        </w:rPr>
        <w:footnoteReference w:id="618"/>
      </w:r>
      <w:r w:rsidRPr="00BD6E3A">
        <w:rPr>
          <w:rFonts w:ascii="Times New Roman" w:hAnsi="Times New Roman" w:cs="Times New Roman"/>
          <w:sz w:val="24"/>
          <w:szCs w:val="24"/>
        </w:rPr>
        <w:t xml:space="preserve"> President Grant expressed that he had come as a courtesy to the longtime senator and laid out both the outlines and the benefits of the treaty as it existed.</w:t>
      </w:r>
      <w:r w:rsidRPr="00BD6E3A">
        <w:rPr>
          <w:rFonts w:ascii="Times New Roman" w:hAnsi="Times New Roman" w:cs="Times New Roman"/>
          <w:sz w:val="24"/>
          <w:szCs w:val="24"/>
          <w:vertAlign w:val="superscript"/>
        </w:rPr>
        <w:footnoteReference w:id="619"/>
      </w:r>
      <w:r w:rsidRPr="00BD6E3A">
        <w:rPr>
          <w:rFonts w:ascii="Times New Roman" w:hAnsi="Times New Roman" w:cs="Times New Roman"/>
          <w:sz w:val="24"/>
          <w:szCs w:val="24"/>
        </w:rPr>
        <w:t xml:space="preserve"> Sumner listened to the President throughout his explanation without raising any objection, though he would later contest such congeniality through the press during his assaults on the administration for their handling of the matters at hand.</w:t>
      </w:r>
      <w:r w:rsidRPr="00BD6E3A">
        <w:rPr>
          <w:rFonts w:ascii="Times New Roman" w:hAnsi="Times New Roman" w:cs="Times New Roman"/>
          <w:sz w:val="24"/>
          <w:szCs w:val="24"/>
          <w:vertAlign w:val="superscript"/>
        </w:rPr>
        <w:footnoteReference w:id="620"/>
      </w:r>
      <w:r w:rsidRPr="00BD6E3A">
        <w:rPr>
          <w:rFonts w:ascii="Times New Roman" w:hAnsi="Times New Roman" w:cs="Times New Roman"/>
          <w:sz w:val="24"/>
          <w:szCs w:val="24"/>
        </w:rPr>
        <w:t xml:space="preserve"> At one point Sumner</w:t>
      </w:r>
    </w:p>
    <w:p w14:paraId="36B9D3B8" w14:textId="00C4761E" w:rsidR="0043071A" w:rsidRDefault="00930CC2" w:rsidP="0043071A">
      <w:pPr>
        <w:spacing w:line="240"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BF3FFD2" wp14:editId="2AA9C121">
            <wp:extent cx="2065020" cy="2647484"/>
            <wp:effectExtent l="0" t="0" r="0" b="635"/>
            <wp:docPr id="80805531" name="Picture 2" descr="A portrait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5531" name="Picture 2" descr="A portrait of a person&#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1260" cy="2655485"/>
                    </a:xfrm>
                    <a:prstGeom prst="rect">
                      <a:avLst/>
                    </a:prstGeom>
                    <a:noFill/>
                  </pic:spPr>
                </pic:pic>
              </a:graphicData>
            </a:graphic>
          </wp:inline>
        </w:drawing>
      </w:r>
    </w:p>
    <w:p w14:paraId="09FFB956" w14:textId="078A79AF" w:rsidR="0043071A" w:rsidRPr="0043071A" w:rsidRDefault="00E1766C" w:rsidP="00C5702A">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Figure 2.3: </w:t>
      </w:r>
      <w:r w:rsidR="008F6098">
        <w:rPr>
          <w:rFonts w:ascii="Times New Roman" w:hAnsi="Times New Roman" w:cs="Times New Roman"/>
          <w:b/>
          <w:bCs/>
          <w:sz w:val="20"/>
          <w:szCs w:val="20"/>
        </w:rPr>
        <w:t xml:space="preserve">Charles Sumner: </w:t>
      </w:r>
      <w:r w:rsidR="008F6098">
        <w:rPr>
          <w:rFonts w:ascii="Times New Roman" w:hAnsi="Times New Roman" w:cs="Times New Roman"/>
          <w:sz w:val="20"/>
          <w:szCs w:val="20"/>
        </w:rPr>
        <w:t>The a</w:t>
      </w:r>
      <w:r w:rsidR="0043071A">
        <w:rPr>
          <w:rFonts w:ascii="Times New Roman" w:hAnsi="Times New Roman" w:cs="Times New Roman"/>
          <w:sz w:val="20"/>
          <w:szCs w:val="20"/>
        </w:rPr>
        <w:t>bove</w:t>
      </w:r>
      <w:r w:rsidR="008F6098">
        <w:rPr>
          <w:rFonts w:ascii="Times New Roman" w:hAnsi="Times New Roman" w:cs="Times New Roman"/>
          <w:sz w:val="20"/>
          <w:szCs w:val="20"/>
        </w:rPr>
        <w:t xml:space="preserve"> lithograph of Senator Charles Sumner, depicts him as a champion of his fight for equality, with his hand resting on a paper that reads “Equal rights to all.”</w:t>
      </w:r>
      <w:r w:rsidR="0043071A">
        <w:rPr>
          <w:rFonts w:ascii="Times New Roman" w:hAnsi="Times New Roman" w:cs="Times New Roman"/>
          <w:sz w:val="20"/>
          <w:szCs w:val="20"/>
        </w:rPr>
        <w:t xml:space="preserve">: Lithograph of </w:t>
      </w:r>
      <w:r w:rsidR="0043071A" w:rsidRPr="0043071A">
        <w:rPr>
          <w:rFonts w:ascii="Times New Roman" w:hAnsi="Times New Roman" w:cs="Times New Roman"/>
          <w:sz w:val="20"/>
          <w:szCs w:val="20"/>
        </w:rPr>
        <w:t xml:space="preserve">Charles Sumner, three-quarter length portrait, standing, facing slightly right, hand resting on paper that reads: "Equal rights to all." </w:t>
      </w:r>
      <w:r w:rsidR="0043071A">
        <w:rPr>
          <w:rFonts w:ascii="Times New Roman" w:hAnsi="Times New Roman" w:cs="Times New Roman"/>
          <w:sz w:val="20"/>
          <w:szCs w:val="20"/>
        </w:rPr>
        <w:t>By Henry Schile, 1874.</w:t>
      </w:r>
      <w:r w:rsidR="0043071A">
        <w:rPr>
          <w:rStyle w:val="FootnoteReference"/>
          <w:rFonts w:ascii="Times New Roman" w:hAnsi="Times New Roman" w:cs="Times New Roman"/>
          <w:sz w:val="20"/>
          <w:szCs w:val="20"/>
        </w:rPr>
        <w:footnoteReference w:id="621"/>
      </w:r>
    </w:p>
    <w:p w14:paraId="02139D48" w14:textId="1BB42CB3" w:rsidR="00930CC2" w:rsidRDefault="00930CC2" w:rsidP="00930CC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interjected </w:t>
      </w:r>
      <w:r w:rsidRPr="00BD6E3A">
        <w:rPr>
          <w:rFonts w:ascii="Times New Roman" w:hAnsi="Times New Roman" w:cs="Times New Roman"/>
          <w:sz w:val="24"/>
          <w:szCs w:val="24"/>
        </w:rPr>
        <w:t>to bring forth a patronage case amid their discussions which soured the mood of the evening, but overall the events of the night seemed promising for annexation.</w:t>
      </w:r>
      <w:r w:rsidRPr="00BD6E3A">
        <w:rPr>
          <w:rFonts w:ascii="Times New Roman" w:hAnsi="Times New Roman" w:cs="Times New Roman"/>
          <w:sz w:val="24"/>
          <w:szCs w:val="24"/>
          <w:vertAlign w:val="superscript"/>
        </w:rPr>
        <w:footnoteReference w:id="622"/>
      </w:r>
      <w:r w:rsidRPr="00BD6E3A">
        <w:rPr>
          <w:rFonts w:ascii="Times New Roman" w:hAnsi="Times New Roman" w:cs="Times New Roman"/>
          <w:sz w:val="24"/>
          <w:szCs w:val="24"/>
        </w:rPr>
        <w:t xml:space="preserve"> Grant left Sumner’s home feeling that the senator “had assured him, in the presence of another person, of his friendship to the Treaty,” and Boutwell remembered Sumner saying on their departure “I expect, Mr. President, to support the measures of your administration.”</w:t>
      </w:r>
      <w:r w:rsidRPr="00BD6E3A">
        <w:rPr>
          <w:rFonts w:ascii="Times New Roman" w:hAnsi="Times New Roman" w:cs="Times New Roman"/>
          <w:sz w:val="24"/>
          <w:szCs w:val="24"/>
          <w:vertAlign w:val="superscript"/>
        </w:rPr>
        <w:footnoteReference w:id="623"/>
      </w:r>
      <w:r w:rsidRPr="00BD6E3A">
        <w:rPr>
          <w:rFonts w:ascii="Times New Roman" w:hAnsi="Times New Roman" w:cs="Times New Roman"/>
          <w:sz w:val="24"/>
          <w:szCs w:val="24"/>
        </w:rPr>
        <w:t xml:space="preserve"> Sumner’s later actions, however, suggested exactly the opposite was true</w:t>
      </w:r>
      <w:r>
        <w:rPr>
          <w:rFonts w:ascii="Times New Roman" w:hAnsi="Times New Roman" w:cs="Times New Roman"/>
          <w:sz w:val="24"/>
          <w:szCs w:val="24"/>
        </w:rPr>
        <w:t>.</w:t>
      </w:r>
    </w:p>
    <w:p w14:paraId="3BB3F64B" w14:textId="2FA90438"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The contention surrounding this matter quickly rose to a boiling point. Sumner’s committee received the proposed treaty on January 10, 1870, </w:t>
      </w:r>
      <w:r w:rsidR="000763C5">
        <w:rPr>
          <w:rFonts w:ascii="Times New Roman" w:hAnsi="Times New Roman" w:cs="Times New Roman"/>
          <w:sz w:val="24"/>
          <w:szCs w:val="24"/>
        </w:rPr>
        <w:t>where</w:t>
      </w:r>
      <w:r w:rsidRPr="00BD6E3A">
        <w:rPr>
          <w:rFonts w:ascii="Times New Roman" w:hAnsi="Times New Roman" w:cs="Times New Roman"/>
          <w:sz w:val="24"/>
          <w:szCs w:val="24"/>
        </w:rPr>
        <w:t xml:space="preserve"> it sat untouched for several months. </w:t>
      </w:r>
      <w:r w:rsidR="001F141D">
        <w:rPr>
          <w:rFonts w:ascii="Times New Roman" w:hAnsi="Times New Roman" w:cs="Times New Roman"/>
          <w:sz w:val="24"/>
          <w:szCs w:val="24"/>
        </w:rPr>
        <w:t>F</w:t>
      </w:r>
      <w:r w:rsidRPr="00BD6E3A">
        <w:rPr>
          <w:rFonts w:ascii="Times New Roman" w:hAnsi="Times New Roman" w:cs="Times New Roman"/>
          <w:sz w:val="24"/>
          <w:szCs w:val="24"/>
        </w:rPr>
        <w:t>ollowing the meeting at Sumner’s home, the senator put forth a drastically different recollection of the events that occurred that evening and assailed the administration’s proposed plan for annexation. Sumner argued that he had long held the idea of the United States maintaining a protectorate in the Caribbean, though this was never something that he brought forth until after he saw the annexation proposal.</w:t>
      </w:r>
      <w:r w:rsidRPr="00BD6E3A">
        <w:rPr>
          <w:rFonts w:ascii="Times New Roman" w:hAnsi="Times New Roman" w:cs="Times New Roman"/>
          <w:sz w:val="24"/>
          <w:szCs w:val="24"/>
          <w:vertAlign w:val="superscript"/>
        </w:rPr>
        <w:footnoteReference w:id="624"/>
      </w:r>
      <w:r w:rsidRPr="00BD6E3A">
        <w:rPr>
          <w:rFonts w:ascii="Times New Roman" w:hAnsi="Times New Roman" w:cs="Times New Roman"/>
          <w:sz w:val="24"/>
          <w:szCs w:val="24"/>
        </w:rPr>
        <w:t xml:space="preserve"> Perhaps even worse, because of his dislike for the plan, Sumner circulated rumors that Grant imbibed of alcohol far too freely during their meeting, once again returning to the tired old practice of claiming Grant’s drunkenness made him an ineffective leader.</w:t>
      </w:r>
      <w:r w:rsidRPr="00BD6E3A">
        <w:rPr>
          <w:rFonts w:ascii="Times New Roman" w:hAnsi="Times New Roman" w:cs="Times New Roman"/>
          <w:sz w:val="24"/>
          <w:szCs w:val="24"/>
          <w:vertAlign w:val="superscript"/>
        </w:rPr>
        <w:footnoteReference w:id="625"/>
      </w:r>
      <w:r w:rsidRPr="00BD6E3A">
        <w:rPr>
          <w:rFonts w:ascii="Times New Roman" w:hAnsi="Times New Roman" w:cs="Times New Roman"/>
          <w:sz w:val="24"/>
          <w:szCs w:val="24"/>
        </w:rPr>
        <w:t xml:space="preserve"> Sumner made this claim to Fish months after the meeting rather than directly after, placing in question his motives for revealing this as he could have easily reported it directly after, but instead he waited for a heightened moment during their debates.</w:t>
      </w:r>
      <w:r w:rsidRPr="00BD6E3A">
        <w:rPr>
          <w:rFonts w:ascii="Times New Roman" w:hAnsi="Times New Roman" w:cs="Times New Roman"/>
          <w:sz w:val="24"/>
          <w:szCs w:val="24"/>
          <w:vertAlign w:val="superscript"/>
        </w:rPr>
        <w:footnoteReference w:id="626"/>
      </w:r>
      <w:r w:rsidRPr="00BD6E3A">
        <w:rPr>
          <w:rFonts w:ascii="Times New Roman" w:hAnsi="Times New Roman" w:cs="Times New Roman"/>
          <w:sz w:val="24"/>
          <w:szCs w:val="24"/>
        </w:rPr>
        <w:t xml:space="preserve"> Multiple reports from that night suggest that Grant did not have a single drink on the evening in question, </w:t>
      </w:r>
      <w:r w:rsidRPr="00BD6E3A">
        <w:rPr>
          <w:rFonts w:ascii="Times New Roman" w:hAnsi="Times New Roman" w:cs="Times New Roman"/>
          <w:sz w:val="24"/>
          <w:szCs w:val="24"/>
        </w:rPr>
        <w:lastRenderedPageBreak/>
        <w:t>including one from Boutwell who attested that “Grant was entirely free from alcoholic influence on that occasion,” unlike others in attendance that evening.</w:t>
      </w:r>
      <w:r w:rsidRPr="00BD6E3A">
        <w:rPr>
          <w:rFonts w:ascii="Times New Roman" w:hAnsi="Times New Roman" w:cs="Times New Roman"/>
          <w:sz w:val="24"/>
          <w:szCs w:val="24"/>
          <w:vertAlign w:val="superscript"/>
        </w:rPr>
        <w:footnoteReference w:id="627"/>
      </w:r>
      <w:r w:rsidRPr="00BD6E3A">
        <w:rPr>
          <w:rFonts w:ascii="Times New Roman" w:hAnsi="Times New Roman" w:cs="Times New Roman"/>
          <w:sz w:val="24"/>
          <w:szCs w:val="24"/>
        </w:rPr>
        <w:t xml:space="preserve"> The attacks on the proposed annexation became personal attacks, and Grant realized that Sumner was attempting to draw out the process until the end of March, at which point the treaty would expire and annexation would be killed. </w:t>
      </w:r>
    </w:p>
    <w:p w14:paraId="01FC81FA" w14:textId="77777777" w:rsidR="00BD6E3A" w:rsidRDefault="00BD6E3A" w:rsidP="00F046AD">
      <w:pPr>
        <w:spacing w:after="0"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Suddenly, the Grant Administration was forced to consider several new options in the process of achieving annexation while remaining true to his word on others. In an effort to hold up their end of the negotiated deal with the Dominicans, American forces continued to protect the Dominican government under Báez until annexation was voted on by the general population of the island nation and until annexation could be considered by Congress, aiding with assaults from insurgents and neighboring Haitians.</w:t>
      </w:r>
      <w:r w:rsidRPr="00BD6E3A">
        <w:rPr>
          <w:rFonts w:ascii="Times New Roman" w:hAnsi="Times New Roman" w:cs="Times New Roman"/>
          <w:sz w:val="24"/>
          <w:szCs w:val="24"/>
          <w:vertAlign w:val="superscript"/>
        </w:rPr>
        <w:footnoteReference w:id="628"/>
      </w:r>
      <w:r w:rsidRPr="00BD6E3A">
        <w:rPr>
          <w:rFonts w:ascii="Times New Roman" w:hAnsi="Times New Roman" w:cs="Times New Roman"/>
          <w:sz w:val="24"/>
          <w:szCs w:val="24"/>
        </w:rPr>
        <w:t xml:space="preserve"> By early March, the administration received word that the plebiscite on annexation was completed and was in favor of the effort, perhaps showing the lack of speed exerted by Sumner on the matter.</w:t>
      </w:r>
      <w:r w:rsidRPr="00BD6E3A">
        <w:rPr>
          <w:rFonts w:ascii="Times New Roman" w:hAnsi="Times New Roman" w:cs="Times New Roman"/>
          <w:sz w:val="24"/>
          <w:szCs w:val="24"/>
          <w:vertAlign w:val="superscript"/>
        </w:rPr>
        <w:footnoteReference w:id="629"/>
      </w:r>
      <w:r w:rsidRPr="00BD6E3A">
        <w:rPr>
          <w:rFonts w:ascii="Times New Roman" w:hAnsi="Times New Roman" w:cs="Times New Roman"/>
          <w:sz w:val="24"/>
          <w:szCs w:val="24"/>
        </w:rPr>
        <w:t xml:space="preserve"> In response, Sumner led the Foreign Relations Committee through a rushed investigation into both the practicality of annexation and the negotiation efforts Babcock undertook.</w:t>
      </w:r>
      <w:r w:rsidRPr="00BD6E3A">
        <w:rPr>
          <w:rFonts w:ascii="Times New Roman" w:hAnsi="Times New Roman" w:cs="Times New Roman"/>
          <w:sz w:val="24"/>
          <w:szCs w:val="24"/>
          <w:vertAlign w:val="superscript"/>
        </w:rPr>
        <w:footnoteReference w:id="630"/>
      </w:r>
      <w:r w:rsidRPr="00BD6E3A">
        <w:rPr>
          <w:rFonts w:ascii="Times New Roman" w:hAnsi="Times New Roman" w:cs="Times New Roman"/>
          <w:sz w:val="24"/>
          <w:szCs w:val="24"/>
        </w:rPr>
        <w:t xml:space="preserve"> The investigation left the committee members doubting the process and reluctant to move forward.</w:t>
      </w:r>
      <w:r w:rsidRPr="00BD6E3A">
        <w:rPr>
          <w:rFonts w:ascii="Times New Roman" w:hAnsi="Times New Roman" w:cs="Times New Roman"/>
          <w:sz w:val="24"/>
          <w:szCs w:val="24"/>
          <w:vertAlign w:val="superscript"/>
        </w:rPr>
        <w:footnoteReference w:id="631"/>
      </w:r>
      <w:r w:rsidRPr="00BD6E3A">
        <w:rPr>
          <w:rFonts w:ascii="Times New Roman" w:hAnsi="Times New Roman" w:cs="Times New Roman"/>
          <w:sz w:val="24"/>
          <w:szCs w:val="24"/>
        </w:rPr>
        <w:t xml:space="preserve"> President Grant reached out to Sumner in an effort to remind him of the upcoming expiration deadline at the end of March, and the next day the committee voted down the treaty by a 5-2 vote.</w:t>
      </w:r>
      <w:r w:rsidRPr="00BD6E3A">
        <w:rPr>
          <w:rFonts w:ascii="Times New Roman" w:hAnsi="Times New Roman" w:cs="Times New Roman"/>
          <w:sz w:val="24"/>
          <w:szCs w:val="24"/>
          <w:vertAlign w:val="superscript"/>
        </w:rPr>
        <w:footnoteReference w:id="632"/>
      </w:r>
      <w:r w:rsidRPr="00BD6E3A">
        <w:rPr>
          <w:rFonts w:ascii="Times New Roman" w:hAnsi="Times New Roman" w:cs="Times New Roman"/>
          <w:sz w:val="24"/>
          <w:szCs w:val="24"/>
        </w:rPr>
        <w:t xml:space="preserve"> In response, Grant himself traveled to </w:t>
      </w:r>
      <w:r w:rsidRPr="00BD6E3A">
        <w:rPr>
          <w:rFonts w:ascii="Times New Roman" w:hAnsi="Times New Roman" w:cs="Times New Roman"/>
          <w:sz w:val="24"/>
          <w:szCs w:val="24"/>
        </w:rPr>
        <w:lastRenderedPageBreak/>
        <w:t>the Capitol in an effort to lobby on behalf of the annexation treaty, an act that bothered Sumner so deeply that he wrote to Fish “must I accept every thing without any exercise of my own judgement?”</w:t>
      </w:r>
      <w:r w:rsidRPr="00BD6E3A">
        <w:rPr>
          <w:rFonts w:ascii="Times New Roman" w:hAnsi="Times New Roman" w:cs="Times New Roman"/>
          <w:sz w:val="24"/>
          <w:szCs w:val="24"/>
          <w:vertAlign w:val="superscript"/>
        </w:rPr>
        <w:footnoteReference w:id="633"/>
      </w:r>
      <w:r w:rsidRPr="00BD6E3A">
        <w:rPr>
          <w:rFonts w:ascii="Times New Roman" w:hAnsi="Times New Roman" w:cs="Times New Roman"/>
          <w:sz w:val="24"/>
          <w:szCs w:val="24"/>
        </w:rPr>
        <w:t xml:space="preserve"> Sumner was so upset by these developments that he launched into a two-day filibuster against the proposed annexation deal, warning the committee that this deal meant the acquisition of a land filled with debt and a tumultuous history while denigrating the Dominican population as unfit for inclusion in American society.</w:t>
      </w:r>
      <w:r w:rsidRPr="00BD6E3A">
        <w:rPr>
          <w:rFonts w:ascii="Times New Roman" w:hAnsi="Times New Roman" w:cs="Times New Roman"/>
          <w:sz w:val="24"/>
          <w:szCs w:val="24"/>
          <w:vertAlign w:val="superscript"/>
        </w:rPr>
        <w:footnoteReference w:id="634"/>
      </w:r>
      <w:r w:rsidRPr="00BD6E3A">
        <w:rPr>
          <w:rFonts w:ascii="Times New Roman" w:hAnsi="Times New Roman" w:cs="Times New Roman"/>
          <w:sz w:val="24"/>
          <w:szCs w:val="24"/>
        </w:rPr>
        <w:t xml:space="preserve"> In response to this speech, Grant garnered the support of Mississippi Senator Hiram Revels, America’s first black Congressman, who argued that annexation was “the duty of our powerful, wealthy, and Christian nation, regardless of the trouble and expense which may attend to it.”</w:t>
      </w:r>
      <w:r w:rsidRPr="00BD6E3A">
        <w:rPr>
          <w:rFonts w:ascii="Times New Roman" w:hAnsi="Times New Roman" w:cs="Times New Roman"/>
          <w:sz w:val="24"/>
          <w:szCs w:val="24"/>
          <w:vertAlign w:val="superscript"/>
        </w:rPr>
        <w:footnoteReference w:id="635"/>
      </w:r>
      <w:r w:rsidRPr="00BD6E3A">
        <w:rPr>
          <w:rFonts w:ascii="Times New Roman" w:hAnsi="Times New Roman" w:cs="Times New Roman"/>
          <w:sz w:val="24"/>
          <w:szCs w:val="24"/>
        </w:rPr>
        <w:t xml:space="preserve"> The debate over annexation found Sumner as its latest hurdle, and with such an obstruction in his path, Grant was forced to consider new options, including extending the timeline for ratification, seeking a joint resolution on the matter of annexation, sending a new team of commissioners to investigate Santo Domingo and generate another report, and even highlighting the importance of an American presence in the Caribbean through other legislation like the creation of a canal across the Isthmus of Panama.</w:t>
      </w:r>
      <w:r w:rsidRPr="00BD6E3A">
        <w:rPr>
          <w:rFonts w:ascii="Times New Roman" w:hAnsi="Times New Roman" w:cs="Times New Roman"/>
          <w:sz w:val="24"/>
          <w:szCs w:val="24"/>
          <w:vertAlign w:val="superscript"/>
        </w:rPr>
        <w:footnoteReference w:id="636"/>
      </w:r>
    </w:p>
    <w:p w14:paraId="4E5E67CA" w14:textId="684DA06D" w:rsidR="00376C3A" w:rsidRPr="00BD6E3A" w:rsidRDefault="00376C3A" w:rsidP="00376C3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Issues </w:t>
      </w:r>
      <w:r w:rsidR="00A222C1">
        <w:rPr>
          <w:rFonts w:ascii="Times New Roman" w:hAnsi="Times New Roman" w:cs="Times New Roman"/>
          <w:sz w:val="24"/>
          <w:szCs w:val="24"/>
        </w:rPr>
        <w:t>Foreign</w:t>
      </w:r>
      <w:r>
        <w:rPr>
          <w:rFonts w:ascii="Times New Roman" w:hAnsi="Times New Roman" w:cs="Times New Roman"/>
          <w:sz w:val="24"/>
          <w:szCs w:val="24"/>
        </w:rPr>
        <w:t xml:space="preserve"> Because of Issues </w:t>
      </w:r>
      <w:r w:rsidR="00A222C1">
        <w:rPr>
          <w:rFonts w:ascii="Times New Roman" w:hAnsi="Times New Roman" w:cs="Times New Roman"/>
          <w:sz w:val="24"/>
          <w:szCs w:val="24"/>
        </w:rPr>
        <w:t>Domestic</w:t>
      </w:r>
    </w:p>
    <w:p w14:paraId="4F13086B" w14:textId="17310DF3"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While issues festered in Washington, new problems emerged in Santo Domingo that further threatened the treaty’s ratification. Commercial Agent Raymond Perry continued to send </w:t>
      </w:r>
      <w:r w:rsidRPr="00BD6E3A">
        <w:rPr>
          <w:rFonts w:ascii="Times New Roman" w:hAnsi="Times New Roman" w:cs="Times New Roman"/>
          <w:sz w:val="24"/>
          <w:szCs w:val="24"/>
        </w:rPr>
        <w:lastRenderedPageBreak/>
        <w:t xml:space="preserve">reports to Hamilton Fish regarding annexation, and in some of these missives he informed the secretary that self-interest was at the heart of some of the </w:t>
      </w:r>
      <w:r w:rsidR="00F25FC1" w:rsidRPr="00BD6E3A">
        <w:rPr>
          <w:rFonts w:ascii="Times New Roman" w:hAnsi="Times New Roman" w:cs="Times New Roman"/>
          <w:sz w:val="24"/>
          <w:szCs w:val="24"/>
        </w:rPr>
        <w:t>principal</w:t>
      </w:r>
      <w:r w:rsidRPr="00BD6E3A">
        <w:rPr>
          <w:rFonts w:ascii="Times New Roman" w:hAnsi="Times New Roman" w:cs="Times New Roman"/>
          <w:sz w:val="24"/>
          <w:szCs w:val="24"/>
        </w:rPr>
        <w:t xml:space="preserve"> players involved.</w:t>
      </w:r>
      <w:r w:rsidRPr="00BD6E3A">
        <w:rPr>
          <w:rFonts w:ascii="Times New Roman" w:hAnsi="Times New Roman" w:cs="Times New Roman"/>
          <w:sz w:val="24"/>
          <w:szCs w:val="24"/>
          <w:vertAlign w:val="superscript"/>
        </w:rPr>
        <w:footnoteReference w:id="637"/>
      </w:r>
      <w:r w:rsidRPr="00BD6E3A">
        <w:rPr>
          <w:rFonts w:ascii="Times New Roman" w:hAnsi="Times New Roman" w:cs="Times New Roman"/>
          <w:sz w:val="24"/>
          <w:szCs w:val="24"/>
        </w:rPr>
        <w:t xml:space="preserve"> Contrary to his initial pleas to President Grant, Perry also grew enamored by the financial opportunity presented to him on the island. Early in his posting to Santo Domingo, Perry expressed his interest in making a quick buck on the island, and Fabens and Cazneau both attempted to aid with this, though </w:t>
      </w:r>
      <w:r w:rsidR="00C128BA">
        <w:rPr>
          <w:rFonts w:ascii="Times New Roman" w:hAnsi="Times New Roman" w:cs="Times New Roman"/>
          <w:sz w:val="24"/>
          <w:szCs w:val="24"/>
        </w:rPr>
        <w:t>it</w:t>
      </w:r>
      <w:r w:rsidRPr="00BD6E3A">
        <w:rPr>
          <w:rFonts w:ascii="Times New Roman" w:hAnsi="Times New Roman" w:cs="Times New Roman"/>
          <w:sz w:val="24"/>
          <w:szCs w:val="24"/>
        </w:rPr>
        <w:t xml:space="preserve"> did not pan out.</w:t>
      </w:r>
      <w:r w:rsidRPr="00BD6E3A">
        <w:rPr>
          <w:rFonts w:ascii="Times New Roman" w:hAnsi="Times New Roman" w:cs="Times New Roman"/>
          <w:sz w:val="24"/>
          <w:szCs w:val="24"/>
          <w:vertAlign w:val="superscript"/>
        </w:rPr>
        <w:footnoteReference w:id="638"/>
      </w:r>
      <w:r w:rsidRPr="00BD6E3A">
        <w:rPr>
          <w:rFonts w:ascii="Times New Roman" w:hAnsi="Times New Roman" w:cs="Times New Roman"/>
          <w:sz w:val="24"/>
          <w:szCs w:val="24"/>
        </w:rPr>
        <w:t xml:space="preserve"> Perry quickly grew unhappy with these men and their actions, particularly with Cazneau, who claimed to be an American agent and used letters from Babcock as a form of currency to support that claim.</w:t>
      </w:r>
      <w:r w:rsidRPr="00BD6E3A">
        <w:rPr>
          <w:rFonts w:ascii="Times New Roman" w:hAnsi="Times New Roman" w:cs="Times New Roman"/>
          <w:sz w:val="24"/>
          <w:szCs w:val="24"/>
          <w:vertAlign w:val="superscript"/>
        </w:rPr>
        <w:footnoteReference w:id="639"/>
      </w:r>
      <w:r w:rsidRPr="00BD6E3A">
        <w:rPr>
          <w:rFonts w:ascii="Times New Roman" w:hAnsi="Times New Roman" w:cs="Times New Roman"/>
          <w:sz w:val="24"/>
          <w:szCs w:val="24"/>
        </w:rPr>
        <w:t xml:space="preserve"> Perry made these reports as early as December 1869, but his displeasure rooted deep in February 1870, as it was “time my Govmt [sic] should be informed” of the characters of such “dishonest” men.</w:t>
      </w:r>
      <w:r w:rsidRPr="00BD6E3A">
        <w:rPr>
          <w:rFonts w:ascii="Times New Roman" w:hAnsi="Times New Roman" w:cs="Times New Roman"/>
          <w:sz w:val="24"/>
          <w:szCs w:val="24"/>
          <w:vertAlign w:val="superscript"/>
        </w:rPr>
        <w:footnoteReference w:id="640"/>
      </w:r>
      <w:r w:rsidRPr="00BD6E3A">
        <w:rPr>
          <w:rFonts w:ascii="Times New Roman" w:hAnsi="Times New Roman" w:cs="Times New Roman"/>
          <w:sz w:val="24"/>
          <w:szCs w:val="24"/>
        </w:rPr>
        <w:t xml:space="preserve"> Fish showed the missives to the president as a warning in mid-March, but Grant was more focused on acquiring Santo Domingo.</w:t>
      </w:r>
      <w:r w:rsidRPr="00BD6E3A">
        <w:rPr>
          <w:rFonts w:ascii="Times New Roman" w:hAnsi="Times New Roman" w:cs="Times New Roman"/>
          <w:sz w:val="24"/>
          <w:szCs w:val="24"/>
          <w:vertAlign w:val="superscript"/>
        </w:rPr>
        <w:footnoteReference w:id="641"/>
      </w:r>
    </w:p>
    <w:p w14:paraId="2836DE58" w14:textId="4B98B35F"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Perry’s exchanges were not limited to those sent to Fish, as he also kept Babcock appraised of the situation he long worked to achieve. Perry assured Babcock that “everything is working favorably for annexation,” though he did make him aware of the growing discord between himself and Cazneau, warning Babcock “they are not true men, General, they are full of little dirty tricks, and will use or abuse their Gvt. [sic] or friends for their own interest.”</w:t>
      </w:r>
      <w:r w:rsidRPr="00BD6E3A">
        <w:rPr>
          <w:rFonts w:ascii="Times New Roman" w:hAnsi="Times New Roman" w:cs="Times New Roman"/>
          <w:sz w:val="24"/>
          <w:szCs w:val="24"/>
          <w:vertAlign w:val="superscript"/>
        </w:rPr>
        <w:footnoteReference w:id="642"/>
      </w:r>
      <w:r w:rsidRPr="00BD6E3A">
        <w:rPr>
          <w:rFonts w:ascii="Times New Roman" w:hAnsi="Times New Roman" w:cs="Times New Roman"/>
          <w:sz w:val="24"/>
          <w:szCs w:val="24"/>
        </w:rPr>
        <w:t xml:space="preserve"> This development surprised Babcock, who received conflicting reports from Cazneau that Perry was </w:t>
      </w:r>
      <w:r w:rsidRPr="00BD6E3A">
        <w:rPr>
          <w:rFonts w:ascii="Times New Roman" w:hAnsi="Times New Roman" w:cs="Times New Roman"/>
          <w:sz w:val="24"/>
          <w:szCs w:val="24"/>
        </w:rPr>
        <w:lastRenderedPageBreak/>
        <w:t>“embarrassing affairs” due to his lack of “tact, forethought, and experience.”</w:t>
      </w:r>
      <w:r w:rsidRPr="00BD6E3A">
        <w:rPr>
          <w:rFonts w:ascii="Times New Roman" w:hAnsi="Times New Roman" w:cs="Times New Roman"/>
          <w:sz w:val="24"/>
          <w:szCs w:val="24"/>
          <w:vertAlign w:val="superscript"/>
        </w:rPr>
        <w:footnoteReference w:id="643"/>
      </w:r>
      <w:r w:rsidRPr="00BD6E3A">
        <w:rPr>
          <w:rFonts w:ascii="Times New Roman" w:hAnsi="Times New Roman" w:cs="Times New Roman"/>
          <w:sz w:val="24"/>
          <w:szCs w:val="24"/>
        </w:rPr>
        <w:t xml:space="preserve"> Babcock, perhaps recalling the thousand acres of island land he was promised, attempted to appease Perry by suggesting he keep private and official matters separate, as this dispute, among others, w</w:t>
      </w:r>
      <w:r w:rsidR="00A2442D">
        <w:rPr>
          <w:rFonts w:ascii="Times New Roman" w:hAnsi="Times New Roman" w:cs="Times New Roman"/>
          <w:sz w:val="24"/>
          <w:szCs w:val="24"/>
        </w:rPr>
        <w:t>as</w:t>
      </w:r>
      <w:r w:rsidRPr="00BD6E3A">
        <w:rPr>
          <w:rFonts w:ascii="Times New Roman" w:hAnsi="Times New Roman" w:cs="Times New Roman"/>
          <w:sz w:val="24"/>
          <w:szCs w:val="24"/>
        </w:rPr>
        <w:t xml:space="preserve"> being used by anti-annexation forces at home for their cause.</w:t>
      </w:r>
      <w:r w:rsidRPr="00BD6E3A">
        <w:rPr>
          <w:rFonts w:ascii="Times New Roman" w:hAnsi="Times New Roman" w:cs="Times New Roman"/>
          <w:sz w:val="24"/>
          <w:szCs w:val="24"/>
          <w:vertAlign w:val="superscript"/>
        </w:rPr>
        <w:footnoteReference w:id="644"/>
      </w:r>
      <w:r w:rsidRPr="00BD6E3A">
        <w:rPr>
          <w:rFonts w:ascii="Times New Roman" w:hAnsi="Times New Roman" w:cs="Times New Roman"/>
          <w:sz w:val="24"/>
          <w:szCs w:val="24"/>
        </w:rPr>
        <w:t xml:space="preserve"> This attempted cajoling bothered Perry, who insisted that he “shall never hesitate from any motives of personal prudence to explore any intrigues against my Government which may come to my knowledge,” omitting that he had applied to serve as US </w:t>
      </w:r>
      <w:r w:rsidR="005B6D6C">
        <w:rPr>
          <w:rFonts w:ascii="Times New Roman" w:hAnsi="Times New Roman" w:cs="Times New Roman"/>
          <w:sz w:val="24"/>
          <w:szCs w:val="24"/>
        </w:rPr>
        <w:t>M</w:t>
      </w:r>
      <w:r w:rsidRPr="00BD6E3A">
        <w:rPr>
          <w:rFonts w:ascii="Times New Roman" w:hAnsi="Times New Roman" w:cs="Times New Roman"/>
          <w:sz w:val="24"/>
          <w:szCs w:val="24"/>
        </w:rPr>
        <w:t>arshal for Santo Domingo should annexation occur.</w:t>
      </w:r>
      <w:r w:rsidRPr="00BD6E3A">
        <w:rPr>
          <w:rFonts w:ascii="Times New Roman" w:hAnsi="Times New Roman" w:cs="Times New Roman"/>
          <w:sz w:val="24"/>
          <w:szCs w:val="24"/>
          <w:vertAlign w:val="superscript"/>
        </w:rPr>
        <w:footnoteReference w:id="645"/>
      </w:r>
      <w:r w:rsidRPr="00BD6E3A">
        <w:rPr>
          <w:rFonts w:ascii="Times New Roman" w:hAnsi="Times New Roman" w:cs="Times New Roman"/>
          <w:sz w:val="24"/>
          <w:szCs w:val="24"/>
        </w:rPr>
        <w:t xml:space="preserve"> What’s more, the matter of annexation rapidly re-enmeshed with the case for freeing Davis Hatch, the American businessman who was imprisoned by the Dominicans since mid-1869 and who was a rival of Fabens and an ally of Báez’s political opponent.</w:t>
      </w:r>
      <w:r w:rsidRPr="00BD6E3A">
        <w:rPr>
          <w:rFonts w:ascii="Times New Roman" w:hAnsi="Times New Roman" w:cs="Times New Roman"/>
          <w:sz w:val="24"/>
          <w:szCs w:val="24"/>
          <w:vertAlign w:val="superscript"/>
        </w:rPr>
        <w:footnoteReference w:id="646"/>
      </w:r>
      <w:r w:rsidRPr="00BD6E3A">
        <w:rPr>
          <w:rFonts w:ascii="Times New Roman" w:hAnsi="Times New Roman" w:cs="Times New Roman"/>
          <w:sz w:val="24"/>
          <w:szCs w:val="24"/>
        </w:rPr>
        <w:t xml:space="preserve"> The Hatch situation escalated as political tensions grew in</w:t>
      </w:r>
      <w:r w:rsidR="005B6D6C">
        <w:rPr>
          <w:rFonts w:ascii="Times New Roman" w:hAnsi="Times New Roman" w:cs="Times New Roman"/>
          <w:sz w:val="24"/>
          <w:szCs w:val="24"/>
        </w:rPr>
        <w:t xml:space="preserve"> both</w:t>
      </w:r>
      <w:r w:rsidRPr="00BD6E3A">
        <w:rPr>
          <w:rFonts w:ascii="Times New Roman" w:hAnsi="Times New Roman" w:cs="Times New Roman"/>
          <w:sz w:val="24"/>
          <w:szCs w:val="24"/>
        </w:rPr>
        <w:t xml:space="preserve"> Santo Domingo and the United States until J. Somers Smith reiterated his claims that Babcock’s inaction and attempts to schmooze Báez were the reason for Hatch’s sustained incarceration.</w:t>
      </w:r>
      <w:r w:rsidRPr="00BD6E3A">
        <w:rPr>
          <w:rFonts w:ascii="Times New Roman" w:hAnsi="Times New Roman" w:cs="Times New Roman"/>
          <w:sz w:val="24"/>
          <w:szCs w:val="24"/>
          <w:vertAlign w:val="superscript"/>
        </w:rPr>
        <w:footnoteReference w:id="647"/>
      </w:r>
      <w:r w:rsidRPr="00BD6E3A">
        <w:rPr>
          <w:rFonts w:ascii="Times New Roman" w:hAnsi="Times New Roman" w:cs="Times New Roman"/>
          <w:sz w:val="24"/>
          <w:szCs w:val="24"/>
        </w:rPr>
        <w:t xml:space="preserve"> Fish insisted on Hatch’s release, and Báez, near desperate for annexation, acceded, at which point Hatch assailed Babcock for his role in continuing his imprisonment: “you ought to have been born in the days of the Inquisition… you certainly would not go so far [on] one side of your line of duty as to encourage Mr. Báez in persecuting me, were it not for the hope of some favor – some reward – directly or indirectly.”</w:t>
      </w:r>
      <w:r w:rsidRPr="00BD6E3A">
        <w:rPr>
          <w:rFonts w:ascii="Times New Roman" w:hAnsi="Times New Roman" w:cs="Times New Roman"/>
          <w:sz w:val="24"/>
          <w:szCs w:val="24"/>
          <w:vertAlign w:val="superscript"/>
        </w:rPr>
        <w:footnoteReference w:id="648"/>
      </w:r>
      <w:r w:rsidRPr="00BD6E3A">
        <w:rPr>
          <w:rFonts w:ascii="Times New Roman" w:hAnsi="Times New Roman" w:cs="Times New Roman"/>
          <w:sz w:val="24"/>
          <w:szCs w:val="24"/>
        </w:rPr>
        <w:t xml:space="preserve"> The Hatch case continued to serve as a thorn in the side of the annexationists over the course of the debate, as well as for Babcock and his accused impropriety.</w:t>
      </w:r>
    </w:p>
    <w:p w14:paraId="5BFCAEE8" w14:textId="2859C65F"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lastRenderedPageBreak/>
        <w:t xml:space="preserve">On March 29, 1870, the treaty ratification deadline passed, leaving those in favor of annexation at a standstill. In April, Massachusetts Representative and </w:t>
      </w:r>
      <w:r w:rsidR="005B6D6C">
        <w:rPr>
          <w:rFonts w:ascii="Times New Roman" w:hAnsi="Times New Roman" w:cs="Times New Roman"/>
          <w:sz w:val="24"/>
          <w:szCs w:val="24"/>
        </w:rPr>
        <w:t>Grant</w:t>
      </w:r>
      <w:r w:rsidRPr="00BD6E3A">
        <w:rPr>
          <w:rFonts w:ascii="Times New Roman" w:hAnsi="Times New Roman" w:cs="Times New Roman"/>
          <w:sz w:val="24"/>
          <w:szCs w:val="24"/>
        </w:rPr>
        <w:t xml:space="preserve"> ally Benjamin Butler attempted to attain a joint resolution on annexation through Congress to no avail.</w:t>
      </w:r>
      <w:r w:rsidRPr="00BD6E3A">
        <w:rPr>
          <w:rFonts w:ascii="Times New Roman" w:hAnsi="Times New Roman" w:cs="Times New Roman"/>
          <w:sz w:val="24"/>
          <w:szCs w:val="24"/>
          <w:vertAlign w:val="superscript"/>
        </w:rPr>
        <w:t xml:space="preserve"> </w:t>
      </w:r>
      <w:r w:rsidRPr="00BD6E3A">
        <w:rPr>
          <w:rFonts w:ascii="Times New Roman" w:hAnsi="Times New Roman" w:cs="Times New Roman"/>
          <w:sz w:val="24"/>
          <w:szCs w:val="24"/>
          <w:vertAlign w:val="superscript"/>
        </w:rPr>
        <w:footnoteReference w:id="649"/>
      </w:r>
      <w:r w:rsidRPr="00BD6E3A">
        <w:rPr>
          <w:rFonts w:ascii="Times New Roman" w:hAnsi="Times New Roman" w:cs="Times New Roman"/>
          <w:sz w:val="24"/>
          <w:szCs w:val="24"/>
        </w:rPr>
        <w:t xml:space="preserve"> Around this time, Fabens travelled stateside to speak with members of the administration in a new capacity as a representative from the Dominican Republic.</w:t>
      </w:r>
      <w:r w:rsidRPr="00BD6E3A">
        <w:rPr>
          <w:rFonts w:ascii="Times New Roman" w:hAnsi="Times New Roman" w:cs="Times New Roman"/>
          <w:sz w:val="24"/>
          <w:szCs w:val="24"/>
          <w:vertAlign w:val="superscript"/>
        </w:rPr>
        <w:footnoteReference w:id="650"/>
      </w:r>
      <w:r w:rsidRPr="00BD6E3A">
        <w:rPr>
          <w:rFonts w:ascii="Times New Roman" w:hAnsi="Times New Roman" w:cs="Times New Roman"/>
          <w:sz w:val="24"/>
          <w:szCs w:val="24"/>
        </w:rPr>
        <w:t xml:space="preserve"> Upon his arrival in Washington, Fabens showed his inexperience in diplomacy, bypassing proper protocol in meeting with Secretary of State Fish and instead heading straight to the White House to plot out annexation strategy with Grant and Babcock.</w:t>
      </w:r>
      <w:r w:rsidRPr="00BD6E3A">
        <w:rPr>
          <w:rFonts w:ascii="Times New Roman" w:hAnsi="Times New Roman" w:cs="Times New Roman"/>
          <w:sz w:val="24"/>
          <w:szCs w:val="24"/>
          <w:vertAlign w:val="superscript"/>
        </w:rPr>
        <w:footnoteReference w:id="651"/>
      </w:r>
      <w:r w:rsidRPr="00BD6E3A">
        <w:rPr>
          <w:rFonts w:ascii="Times New Roman" w:hAnsi="Times New Roman" w:cs="Times New Roman"/>
          <w:sz w:val="24"/>
          <w:szCs w:val="24"/>
        </w:rPr>
        <w:t xml:space="preserve"> He also met with Senator Sumner for four hours in an effort to quell his concerns, and eventually he was </w:t>
      </w:r>
      <w:r w:rsidR="005B6D6C">
        <w:rPr>
          <w:rFonts w:ascii="Times New Roman" w:hAnsi="Times New Roman" w:cs="Times New Roman"/>
          <w:sz w:val="24"/>
          <w:szCs w:val="24"/>
        </w:rPr>
        <w:t>pacifi</w:t>
      </w:r>
      <w:r w:rsidRPr="00BD6E3A">
        <w:rPr>
          <w:rFonts w:ascii="Times New Roman" w:hAnsi="Times New Roman" w:cs="Times New Roman"/>
          <w:sz w:val="24"/>
          <w:szCs w:val="24"/>
        </w:rPr>
        <w:t>ed enough for Fabens and Fish to sign an extension on the ratification deadline until July 1</w:t>
      </w:r>
      <w:r w:rsidRPr="00BD6E3A">
        <w:rPr>
          <w:rFonts w:ascii="Times New Roman" w:hAnsi="Times New Roman" w:cs="Times New Roman"/>
          <w:sz w:val="24"/>
          <w:szCs w:val="24"/>
          <w:vertAlign w:val="superscript"/>
        </w:rPr>
        <w:t>st</w:t>
      </w:r>
      <w:r w:rsidRPr="00BD6E3A">
        <w:rPr>
          <w:rFonts w:ascii="Times New Roman" w:hAnsi="Times New Roman" w:cs="Times New Roman"/>
          <w:sz w:val="24"/>
          <w:szCs w:val="24"/>
        </w:rPr>
        <w:t>.</w:t>
      </w:r>
      <w:r w:rsidRPr="00BD6E3A">
        <w:rPr>
          <w:rFonts w:ascii="Times New Roman" w:hAnsi="Times New Roman" w:cs="Times New Roman"/>
          <w:sz w:val="24"/>
          <w:szCs w:val="24"/>
          <w:vertAlign w:val="superscript"/>
        </w:rPr>
        <w:footnoteReference w:id="652"/>
      </w:r>
    </w:p>
    <w:p w14:paraId="07CEEB6D" w14:textId="1A3733E5"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Once the deadline was extended, the Grant </w:t>
      </w:r>
      <w:r w:rsidR="00BD33FF">
        <w:rPr>
          <w:rFonts w:ascii="Times New Roman" w:hAnsi="Times New Roman" w:cs="Times New Roman"/>
          <w:sz w:val="24"/>
          <w:szCs w:val="24"/>
        </w:rPr>
        <w:t>A</w:t>
      </w:r>
      <w:r w:rsidRPr="00BD6E3A">
        <w:rPr>
          <w:rFonts w:ascii="Times New Roman" w:hAnsi="Times New Roman" w:cs="Times New Roman"/>
          <w:sz w:val="24"/>
          <w:szCs w:val="24"/>
        </w:rPr>
        <w:t>dministration began a fierce battle to ensure the success of the treaty. In early May, Grant asked Fish to work with the Senate to float amendments that might ensure the treaty’s passage.</w:t>
      </w:r>
      <w:r w:rsidRPr="00BD6E3A">
        <w:rPr>
          <w:rFonts w:ascii="Times New Roman" w:hAnsi="Times New Roman" w:cs="Times New Roman"/>
          <w:sz w:val="24"/>
          <w:szCs w:val="24"/>
          <w:vertAlign w:val="superscript"/>
        </w:rPr>
        <w:footnoteReference w:id="653"/>
      </w:r>
      <w:r w:rsidRPr="00BD6E3A">
        <w:rPr>
          <w:rFonts w:ascii="Times New Roman" w:hAnsi="Times New Roman" w:cs="Times New Roman"/>
          <w:sz w:val="24"/>
          <w:szCs w:val="24"/>
        </w:rPr>
        <w:t xml:space="preserve"> The administration sought to make the treaty more palatable through such stipulations as limits to American responsibility for Dominican debts and the appointment of commissioners to oversee the repayment of debt while also ensuring Fabens and Báez that the amendments would “not very materially” affect annexation efforts but that the changes “may obtain the assent of the Senate.”</w:t>
      </w:r>
      <w:r w:rsidRPr="00BD6E3A">
        <w:rPr>
          <w:rFonts w:ascii="Times New Roman" w:hAnsi="Times New Roman" w:cs="Times New Roman"/>
          <w:sz w:val="24"/>
          <w:szCs w:val="24"/>
          <w:vertAlign w:val="superscript"/>
        </w:rPr>
        <w:footnoteReference w:id="654"/>
      </w:r>
      <w:r w:rsidRPr="00BD6E3A">
        <w:rPr>
          <w:rFonts w:ascii="Times New Roman" w:hAnsi="Times New Roman" w:cs="Times New Roman"/>
          <w:sz w:val="24"/>
          <w:szCs w:val="24"/>
        </w:rPr>
        <w:t xml:space="preserve"> The administration sought to sway public opinion through press efforts proclaiming Santo Domingo </w:t>
      </w:r>
      <w:r w:rsidRPr="00BD6E3A">
        <w:rPr>
          <w:rFonts w:ascii="Times New Roman" w:hAnsi="Times New Roman" w:cs="Times New Roman"/>
          <w:sz w:val="24"/>
          <w:szCs w:val="24"/>
        </w:rPr>
        <w:lastRenderedPageBreak/>
        <w:t>as the “Gem of the Antilles.”</w:t>
      </w:r>
      <w:r w:rsidRPr="00BD6E3A">
        <w:rPr>
          <w:rFonts w:ascii="Times New Roman" w:hAnsi="Times New Roman" w:cs="Times New Roman"/>
          <w:sz w:val="24"/>
          <w:szCs w:val="24"/>
          <w:vertAlign w:val="superscript"/>
        </w:rPr>
        <w:footnoteReference w:id="655"/>
      </w:r>
      <w:r w:rsidRPr="00BD6E3A">
        <w:rPr>
          <w:rFonts w:ascii="Times New Roman" w:hAnsi="Times New Roman" w:cs="Times New Roman"/>
          <w:sz w:val="24"/>
          <w:szCs w:val="24"/>
        </w:rPr>
        <w:t xml:space="preserve"> Fish sought to curry favor with influential citizens as well, focusing on Santo Domingo as “the </w:t>
      </w:r>
      <w:r w:rsidRPr="00BD6E3A">
        <w:rPr>
          <w:rFonts w:ascii="Times New Roman" w:hAnsi="Times New Roman" w:cs="Times New Roman"/>
          <w:i/>
          <w:iCs/>
          <w:sz w:val="24"/>
          <w:szCs w:val="24"/>
        </w:rPr>
        <w:t xml:space="preserve">key </w:t>
      </w:r>
      <w:r w:rsidRPr="00BD6E3A">
        <w:rPr>
          <w:rFonts w:ascii="Times New Roman" w:hAnsi="Times New Roman" w:cs="Times New Roman"/>
          <w:sz w:val="24"/>
          <w:szCs w:val="24"/>
        </w:rPr>
        <w:t>to the Gulf” that would compel Spain to forfeit its claims in Cuba and encourage Britain to do the same.</w:t>
      </w:r>
      <w:r w:rsidRPr="00BD6E3A">
        <w:rPr>
          <w:rFonts w:ascii="Times New Roman" w:hAnsi="Times New Roman" w:cs="Times New Roman"/>
          <w:sz w:val="24"/>
          <w:szCs w:val="24"/>
          <w:vertAlign w:val="superscript"/>
        </w:rPr>
        <w:footnoteReference w:id="656"/>
      </w:r>
      <w:r w:rsidRPr="00BD6E3A">
        <w:rPr>
          <w:rFonts w:ascii="Times New Roman" w:hAnsi="Times New Roman" w:cs="Times New Roman"/>
          <w:sz w:val="24"/>
          <w:szCs w:val="24"/>
        </w:rPr>
        <w:t xml:space="preserve"> Babcock continued to work to achieve the treaty as well, thanking those who spoke favorably of the treaty for their “decided success” in swaying public opinion.</w:t>
      </w:r>
      <w:r w:rsidRPr="00BD6E3A">
        <w:rPr>
          <w:rFonts w:ascii="Times New Roman" w:hAnsi="Times New Roman" w:cs="Times New Roman"/>
          <w:sz w:val="24"/>
          <w:szCs w:val="24"/>
          <w:vertAlign w:val="superscript"/>
        </w:rPr>
        <w:footnoteReference w:id="657"/>
      </w:r>
      <w:r w:rsidRPr="00BD6E3A">
        <w:rPr>
          <w:rFonts w:ascii="Times New Roman" w:hAnsi="Times New Roman" w:cs="Times New Roman"/>
          <w:sz w:val="24"/>
          <w:szCs w:val="24"/>
        </w:rPr>
        <w:t xml:space="preserve"> The </w:t>
      </w:r>
      <w:r w:rsidRPr="00BD6E3A">
        <w:rPr>
          <w:rFonts w:ascii="Times New Roman" w:hAnsi="Times New Roman" w:cs="Times New Roman"/>
          <w:i/>
          <w:iCs/>
          <w:sz w:val="24"/>
          <w:szCs w:val="24"/>
        </w:rPr>
        <w:t>piece de resistance</w:t>
      </w:r>
      <w:r w:rsidRPr="00BD6E3A">
        <w:rPr>
          <w:rFonts w:ascii="Times New Roman" w:hAnsi="Times New Roman" w:cs="Times New Roman"/>
          <w:sz w:val="24"/>
          <w:szCs w:val="24"/>
        </w:rPr>
        <w:t xml:space="preserve"> of this plan was a letter from President Grant to the Senate, once again laying out the benefits of the annexation treaty, heavily focusing on the economic implications to appease the radical wing of the Republican Party.</w:t>
      </w:r>
      <w:r w:rsidRPr="00BD6E3A">
        <w:rPr>
          <w:rFonts w:ascii="Times New Roman" w:hAnsi="Times New Roman" w:cs="Times New Roman"/>
          <w:sz w:val="24"/>
          <w:szCs w:val="24"/>
          <w:vertAlign w:val="superscript"/>
        </w:rPr>
        <w:footnoteReference w:id="658"/>
      </w:r>
      <w:r w:rsidRPr="00BD6E3A">
        <w:rPr>
          <w:rFonts w:ascii="Times New Roman" w:hAnsi="Times New Roman" w:cs="Times New Roman"/>
          <w:sz w:val="24"/>
          <w:szCs w:val="24"/>
        </w:rPr>
        <w:t xml:space="preserve"> </w:t>
      </w:r>
    </w:p>
    <w:p w14:paraId="282A72B7" w14:textId="3F7FC95E" w:rsidR="00BD6E3A" w:rsidRPr="00BD6E3A" w:rsidRDefault="00BD6E3A" w:rsidP="00BD6E3A">
      <w:pPr>
        <w:spacing w:after="0"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Even with the efforts of the Grant Administration, opposition to the treaty remained strong in the Senate. To some, like the editorial staff of the </w:t>
      </w:r>
      <w:r w:rsidRPr="00BD6E3A">
        <w:rPr>
          <w:rFonts w:ascii="Times New Roman" w:hAnsi="Times New Roman" w:cs="Times New Roman"/>
          <w:i/>
          <w:iCs/>
          <w:sz w:val="24"/>
          <w:szCs w:val="24"/>
        </w:rPr>
        <w:t>New York Herald</w:t>
      </w:r>
      <w:r w:rsidRPr="00BD6E3A">
        <w:rPr>
          <w:rFonts w:ascii="Times New Roman" w:hAnsi="Times New Roman" w:cs="Times New Roman"/>
          <w:sz w:val="24"/>
          <w:szCs w:val="24"/>
        </w:rPr>
        <w:t>, the reason for this opposition was clearly linked to allegations of corruption rather than to any policy issues with the treaty.</w:t>
      </w:r>
      <w:r w:rsidRPr="00BD6E3A">
        <w:rPr>
          <w:rFonts w:ascii="Times New Roman" w:hAnsi="Times New Roman" w:cs="Times New Roman"/>
          <w:sz w:val="24"/>
          <w:szCs w:val="24"/>
          <w:vertAlign w:val="superscript"/>
        </w:rPr>
        <w:footnoteReference w:id="659"/>
      </w:r>
      <w:r w:rsidRPr="00BD6E3A">
        <w:rPr>
          <w:rFonts w:ascii="Times New Roman" w:hAnsi="Times New Roman" w:cs="Times New Roman"/>
          <w:sz w:val="24"/>
          <w:szCs w:val="24"/>
        </w:rPr>
        <w:t xml:space="preserve"> In an editorial for the </w:t>
      </w:r>
      <w:r w:rsidRPr="00BD6E3A">
        <w:rPr>
          <w:rFonts w:ascii="Times New Roman" w:hAnsi="Times New Roman" w:cs="Times New Roman"/>
          <w:i/>
          <w:iCs/>
          <w:sz w:val="24"/>
          <w:szCs w:val="24"/>
        </w:rPr>
        <w:t>Herald</w:t>
      </w:r>
      <w:r w:rsidRPr="00BD6E3A">
        <w:rPr>
          <w:rFonts w:ascii="Times New Roman" w:hAnsi="Times New Roman" w:cs="Times New Roman"/>
          <w:sz w:val="24"/>
          <w:szCs w:val="24"/>
        </w:rPr>
        <w:t>, one writer commented “is there ever a question of territorial purchase or acquisition without a job – without there being certain parties who will make money from it?”</w:t>
      </w:r>
      <w:r w:rsidRPr="00BD6E3A">
        <w:rPr>
          <w:rFonts w:ascii="Times New Roman" w:hAnsi="Times New Roman" w:cs="Times New Roman"/>
          <w:sz w:val="24"/>
          <w:szCs w:val="24"/>
          <w:vertAlign w:val="superscript"/>
        </w:rPr>
        <w:footnoteReference w:id="660"/>
      </w:r>
      <w:r w:rsidRPr="00BD6E3A">
        <w:rPr>
          <w:rFonts w:ascii="Times New Roman" w:hAnsi="Times New Roman" w:cs="Times New Roman"/>
          <w:sz w:val="24"/>
          <w:szCs w:val="24"/>
        </w:rPr>
        <w:t xml:space="preserve"> Rumors surrounding Fabens, Cazneau, and Babcock made their rounds, and opponents continued to circulate these rumors, and more, to the point that people began saying that it was commonplace for such corruption to occur. This exacerbated to the point that Senator Carl Schurz of Missouri, as close an ally as Sumner had in Congress, called for the Foreign Relations Committee to conduct a hearing to “inquire into the conduct of certain agents connected with the negotiation of the treaty.”</w:t>
      </w:r>
      <w:r w:rsidRPr="00BD6E3A">
        <w:rPr>
          <w:rFonts w:ascii="Times New Roman" w:hAnsi="Times New Roman" w:cs="Times New Roman"/>
          <w:sz w:val="24"/>
          <w:szCs w:val="24"/>
          <w:vertAlign w:val="superscript"/>
        </w:rPr>
        <w:footnoteReference w:id="661"/>
      </w:r>
      <w:r w:rsidRPr="00BD6E3A">
        <w:rPr>
          <w:rFonts w:ascii="Times New Roman" w:hAnsi="Times New Roman" w:cs="Times New Roman"/>
          <w:sz w:val="24"/>
          <w:szCs w:val="24"/>
        </w:rPr>
        <w:t xml:space="preserve"> Though this proposal was narrowly defeated in </w:t>
      </w:r>
      <w:r w:rsidRPr="00BD6E3A">
        <w:rPr>
          <w:rFonts w:ascii="Times New Roman" w:hAnsi="Times New Roman" w:cs="Times New Roman"/>
          <w:sz w:val="24"/>
          <w:szCs w:val="24"/>
        </w:rPr>
        <w:lastRenderedPageBreak/>
        <w:t>the Senate, those</w:t>
      </w:r>
      <w:r w:rsidR="00C7625C">
        <w:rPr>
          <w:rFonts w:ascii="Times New Roman" w:hAnsi="Times New Roman" w:cs="Times New Roman"/>
          <w:sz w:val="24"/>
          <w:szCs w:val="24"/>
        </w:rPr>
        <w:t xml:space="preserve"> devot</w:t>
      </w:r>
      <w:r w:rsidRPr="00BD6E3A">
        <w:rPr>
          <w:rFonts w:ascii="Times New Roman" w:hAnsi="Times New Roman" w:cs="Times New Roman"/>
          <w:sz w:val="24"/>
          <w:szCs w:val="24"/>
        </w:rPr>
        <w:t>ed to defeating the treaty could now focus on the how rather than the what.</w:t>
      </w:r>
      <w:r w:rsidRPr="00BD6E3A">
        <w:rPr>
          <w:rFonts w:ascii="Times New Roman" w:hAnsi="Times New Roman" w:cs="Times New Roman"/>
          <w:sz w:val="24"/>
          <w:szCs w:val="24"/>
          <w:vertAlign w:val="superscript"/>
        </w:rPr>
        <w:footnoteReference w:id="662"/>
      </w:r>
    </w:p>
    <w:p w14:paraId="7F7FA035" w14:textId="4209A0DE"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Another wrench thrown in</w:t>
      </w:r>
      <w:r w:rsidR="004403FC">
        <w:rPr>
          <w:rFonts w:ascii="Times New Roman" w:hAnsi="Times New Roman" w:cs="Times New Roman"/>
          <w:sz w:val="24"/>
          <w:szCs w:val="24"/>
        </w:rPr>
        <w:t>to</w:t>
      </w:r>
      <w:r w:rsidRPr="00BD6E3A">
        <w:rPr>
          <w:rFonts w:ascii="Times New Roman" w:hAnsi="Times New Roman" w:cs="Times New Roman"/>
          <w:sz w:val="24"/>
          <w:szCs w:val="24"/>
        </w:rPr>
        <w:t xml:space="preserve"> the </w:t>
      </w:r>
      <w:r w:rsidR="004403FC">
        <w:rPr>
          <w:rFonts w:ascii="Times New Roman" w:hAnsi="Times New Roman" w:cs="Times New Roman"/>
          <w:sz w:val="24"/>
          <w:szCs w:val="24"/>
        </w:rPr>
        <w:t>work</w:t>
      </w:r>
      <w:r w:rsidRPr="00BD6E3A">
        <w:rPr>
          <w:rFonts w:ascii="Times New Roman" w:hAnsi="Times New Roman" w:cs="Times New Roman"/>
          <w:sz w:val="24"/>
          <w:szCs w:val="24"/>
        </w:rPr>
        <w:t xml:space="preserve">s of the Grant Administration was Perry’s return stateside on a leave of absence in late May, one which occurred amidst the animosity between </w:t>
      </w:r>
      <w:r w:rsidR="00612961">
        <w:rPr>
          <w:rFonts w:ascii="Times New Roman" w:hAnsi="Times New Roman" w:cs="Times New Roman"/>
          <w:sz w:val="24"/>
          <w:szCs w:val="24"/>
        </w:rPr>
        <w:t>himself</w:t>
      </w:r>
      <w:r w:rsidRPr="00BD6E3A">
        <w:rPr>
          <w:rFonts w:ascii="Times New Roman" w:hAnsi="Times New Roman" w:cs="Times New Roman"/>
          <w:sz w:val="24"/>
          <w:szCs w:val="24"/>
        </w:rPr>
        <w:t xml:space="preserve"> and other operatives in Santo Domingo. Before his leave, Perry was outraged by a proposal put forth to the Dominican senate to establish a land grant for immigrant refugees that would violate the pending treaty with the United States.</w:t>
      </w:r>
      <w:r w:rsidRPr="00BD6E3A">
        <w:rPr>
          <w:rFonts w:ascii="Times New Roman" w:hAnsi="Times New Roman" w:cs="Times New Roman"/>
          <w:sz w:val="24"/>
          <w:szCs w:val="24"/>
          <w:vertAlign w:val="superscript"/>
        </w:rPr>
        <w:footnoteReference w:id="663"/>
      </w:r>
      <w:r w:rsidRPr="00BD6E3A">
        <w:rPr>
          <w:rFonts w:ascii="Times New Roman" w:hAnsi="Times New Roman" w:cs="Times New Roman"/>
          <w:sz w:val="24"/>
          <w:szCs w:val="24"/>
        </w:rPr>
        <w:t xml:space="preserve"> Perry made such a ruckus that he even accused Foreign Minister Gautier of having a hidden financial interest in the plan, leading Gautier to ask Fish to “prevent” Perry’s return to Santo Domingo.</w:t>
      </w:r>
      <w:r w:rsidRPr="00BD6E3A">
        <w:rPr>
          <w:rFonts w:ascii="Times New Roman" w:hAnsi="Times New Roman" w:cs="Times New Roman"/>
          <w:sz w:val="24"/>
          <w:szCs w:val="24"/>
          <w:vertAlign w:val="superscript"/>
        </w:rPr>
        <w:footnoteReference w:id="664"/>
      </w:r>
      <w:r w:rsidRPr="00BD6E3A">
        <w:rPr>
          <w:rFonts w:ascii="Times New Roman" w:hAnsi="Times New Roman" w:cs="Times New Roman"/>
          <w:sz w:val="24"/>
          <w:szCs w:val="24"/>
        </w:rPr>
        <w:t xml:space="preserve"> Cazneau echoed these concerns to Fish, painting him as “a man of reckless and violent impulses” who was not cut out for his current post.</w:t>
      </w:r>
      <w:r w:rsidRPr="00BD6E3A">
        <w:rPr>
          <w:rFonts w:ascii="Times New Roman" w:hAnsi="Times New Roman" w:cs="Times New Roman"/>
          <w:sz w:val="24"/>
          <w:szCs w:val="24"/>
          <w:vertAlign w:val="superscript"/>
        </w:rPr>
        <w:footnoteReference w:id="665"/>
      </w:r>
      <w:r w:rsidRPr="00BD6E3A">
        <w:rPr>
          <w:rFonts w:ascii="Times New Roman" w:hAnsi="Times New Roman" w:cs="Times New Roman"/>
          <w:sz w:val="24"/>
          <w:szCs w:val="24"/>
        </w:rPr>
        <w:t xml:space="preserve"> Perry responded in turn, arguing that Fabens and Cazneau were taking up land concessions from Báez, while labeling Babcock as a “damned rascal” who encouraged him to support Fabens’s and Cazneau’s respective applications for land, and in return, he “could be a rich man before he left the Island.”</w:t>
      </w:r>
      <w:r w:rsidRPr="00BD6E3A">
        <w:rPr>
          <w:rFonts w:ascii="Times New Roman" w:hAnsi="Times New Roman" w:cs="Times New Roman"/>
          <w:sz w:val="24"/>
          <w:szCs w:val="24"/>
          <w:vertAlign w:val="superscript"/>
        </w:rPr>
        <w:footnoteReference w:id="666"/>
      </w:r>
      <w:r w:rsidRPr="00BD6E3A">
        <w:rPr>
          <w:rFonts w:ascii="Times New Roman" w:hAnsi="Times New Roman" w:cs="Times New Roman"/>
          <w:sz w:val="24"/>
          <w:szCs w:val="24"/>
        </w:rPr>
        <w:t xml:space="preserve"> Perry presented his suspicions to Fish, who in turn presented them to President Grant since they implicated Babcock, a noted member of the administration. Perry also presented his correspondence to Sumner, who capitalized on the tumult to paint the efforts of the administration as even more corrupt.</w:t>
      </w:r>
      <w:r w:rsidRPr="00BD6E3A">
        <w:rPr>
          <w:rFonts w:ascii="Times New Roman" w:hAnsi="Times New Roman" w:cs="Times New Roman"/>
          <w:sz w:val="24"/>
          <w:szCs w:val="24"/>
          <w:vertAlign w:val="superscript"/>
        </w:rPr>
        <w:footnoteReference w:id="667"/>
      </w:r>
      <w:r w:rsidRPr="00BD6E3A">
        <w:rPr>
          <w:rFonts w:ascii="Times New Roman" w:hAnsi="Times New Roman" w:cs="Times New Roman"/>
          <w:sz w:val="24"/>
          <w:szCs w:val="24"/>
        </w:rPr>
        <w:t xml:space="preserve"> With these issues aired </w:t>
      </w:r>
      <w:r w:rsidR="00C50C60">
        <w:rPr>
          <w:rFonts w:ascii="Times New Roman" w:hAnsi="Times New Roman" w:cs="Times New Roman"/>
          <w:sz w:val="24"/>
          <w:szCs w:val="24"/>
        </w:rPr>
        <w:t xml:space="preserve">like dirty laundry </w:t>
      </w:r>
      <w:r w:rsidRPr="00BD6E3A">
        <w:rPr>
          <w:rFonts w:ascii="Times New Roman" w:hAnsi="Times New Roman" w:cs="Times New Roman"/>
          <w:sz w:val="24"/>
          <w:szCs w:val="24"/>
        </w:rPr>
        <w:t xml:space="preserve">to the masses, Grant was forced to comment on the matters, assuring Fish that </w:t>
      </w:r>
      <w:r w:rsidRPr="00BD6E3A">
        <w:rPr>
          <w:rFonts w:ascii="Times New Roman" w:hAnsi="Times New Roman" w:cs="Times New Roman"/>
          <w:sz w:val="24"/>
          <w:szCs w:val="24"/>
        </w:rPr>
        <w:lastRenderedPageBreak/>
        <w:t>he warned Babcock “that if anything dishonorable or dishonest was proved,” then he would “answer it with his Commission.”</w:t>
      </w:r>
      <w:r w:rsidRPr="00BD6E3A">
        <w:rPr>
          <w:rFonts w:ascii="Times New Roman" w:hAnsi="Times New Roman" w:cs="Times New Roman"/>
          <w:sz w:val="24"/>
          <w:szCs w:val="24"/>
          <w:vertAlign w:val="superscript"/>
        </w:rPr>
        <w:footnoteReference w:id="668"/>
      </w:r>
    </w:p>
    <w:p w14:paraId="5E320744" w14:textId="431BFC28"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In the wake of these claims of impropriety, members of the Grant Administration continued to act to prove they were on the side of moral duty. The </w:t>
      </w:r>
      <w:r w:rsidRPr="00BD6E3A">
        <w:rPr>
          <w:rFonts w:ascii="Times New Roman" w:hAnsi="Times New Roman" w:cs="Times New Roman"/>
          <w:i/>
          <w:iCs/>
          <w:sz w:val="24"/>
          <w:szCs w:val="24"/>
        </w:rPr>
        <w:t>New York Herald</w:t>
      </w:r>
      <w:r w:rsidRPr="00BD6E3A">
        <w:rPr>
          <w:rFonts w:ascii="Times New Roman" w:hAnsi="Times New Roman" w:cs="Times New Roman"/>
          <w:sz w:val="24"/>
          <w:szCs w:val="24"/>
        </w:rPr>
        <w:t xml:space="preserve"> reported that “President Grant has implicit confidence in the honor and integrity of General Babcock” and called for an investigation into Perry’s claims, which he felt would show “there has been nothing in [Babcock’s] conduct in this matter which should justly expose him to adverse criticism.”</w:t>
      </w:r>
      <w:r w:rsidRPr="00BD6E3A">
        <w:rPr>
          <w:rFonts w:ascii="Times New Roman" w:hAnsi="Times New Roman" w:cs="Times New Roman"/>
          <w:sz w:val="24"/>
          <w:szCs w:val="24"/>
          <w:vertAlign w:val="superscript"/>
        </w:rPr>
        <w:footnoteReference w:id="669"/>
      </w:r>
      <w:r w:rsidRPr="00BD6E3A">
        <w:rPr>
          <w:rFonts w:ascii="Times New Roman" w:hAnsi="Times New Roman" w:cs="Times New Roman"/>
          <w:sz w:val="24"/>
          <w:szCs w:val="24"/>
        </w:rPr>
        <w:t xml:space="preserve"> Grant further stipulated that any land grants awarded by the Dominicans since the signing of the treaty would be “treated as null and void by the United States government,” indicating that any of the alleged backroom deals for land on the island would not be tolerated by the administration.</w:t>
      </w:r>
      <w:r w:rsidRPr="00BD6E3A">
        <w:rPr>
          <w:rFonts w:ascii="Times New Roman" w:hAnsi="Times New Roman" w:cs="Times New Roman"/>
          <w:sz w:val="24"/>
          <w:szCs w:val="24"/>
          <w:vertAlign w:val="superscript"/>
        </w:rPr>
        <w:footnoteReference w:id="670"/>
      </w:r>
      <w:r w:rsidRPr="00BD6E3A">
        <w:rPr>
          <w:rFonts w:ascii="Times New Roman" w:hAnsi="Times New Roman" w:cs="Times New Roman"/>
          <w:sz w:val="24"/>
          <w:szCs w:val="24"/>
        </w:rPr>
        <w:t xml:space="preserve"> Fabens too attempted to rebuke Perry’s account, even going so far as to accuse Sumner of misrepresenting meetings the two shared “to meet his personal ends.”</w:t>
      </w:r>
      <w:r w:rsidRPr="00BD6E3A">
        <w:rPr>
          <w:rFonts w:ascii="Times New Roman" w:hAnsi="Times New Roman" w:cs="Times New Roman"/>
          <w:sz w:val="24"/>
          <w:szCs w:val="24"/>
          <w:vertAlign w:val="superscript"/>
        </w:rPr>
        <w:footnoteReference w:id="671"/>
      </w:r>
      <w:r w:rsidRPr="00BD6E3A">
        <w:rPr>
          <w:rFonts w:ascii="Times New Roman" w:hAnsi="Times New Roman" w:cs="Times New Roman"/>
          <w:sz w:val="24"/>
          <w:szCs w:val="24"/>
        </w:rPr>
        <w:t xml:space="preserve"> Caught in the middle of all of this was Fish, who had to try to hide his ill feelings towards both Fabens and Sumner over this matter in an effort to achieve the ratification of the treaty. Fish asked Perry to submit his accusations against Babcock in writing in a letter that reflected his “reluctance to do or say any thing [sic] that would influence the Senate” regarding annexation.</w:t>
      </w:r>
      <w:r w:rsidRPr="00BD6E3A">
        <w:rPr>
          <w:rFonts w:ascii="Times New Roman" w:hAnsi="Times New Roman" w:cs="Times New Roman"/>
          <w:sz w:val="24"/>
          <w:szCs w:val="24"/>
          <w:vertAlign w:val="superscript"/>
        </w:rPr>
        <w:footnoteReference w:id="672"/>
      </w:r>
      <w:r w:rsidRPr="00BD6E3A">
        <w:rPr>
          <w:rFonts w:ascii="Times New Roman" w:hAnsi="Times New Roman" w:cs="Times New Roman"/>
          <w:sz w:val="24"/>
          <w:szCs w:val="24"/>
        </w:rPr>
        <w:t xml:space="preserve"> This letter made no mention of Babcock, and in doing so he left an opportunity for Fish to claim that his refusal to mention any specific misdeeds constituted a retraction and that Perry’s claims were “as now </w:t>
      </w:r>
      <w:r w:rsidRPr="00BD6E3A">
        <w:rPr>
          <w:rFonts w:ascii="Times New Roman" w:hAnsi="Times New Roman" w:cs="Times New Roman"/>
          <w:sz w:val="24"/>
          <w:szCs w:val="24"/>
        </w:rPr>
        <w:lastRenderedPageBreak/>
        <w:t>withdrawn.”</w:t>
      </w:r>
      <w:r w:rsidRPr="00BD6E3A">
        <w:rPr>
          <w:rFonts w:ascii="Times New Roman" w:hAnsi="Times New Roman" w:cs="Times New Roman"/>
          <w:sz w:val="24"/>
          <w:szCs w:val="24"/>
          <w:vertAlign w:val="superscript"/>
        </w:rPr>
        <w:footnoteReference w:id="673"/>
      </w:r>
      <w:r w:rsidRPr="00BD6E3A">
        <w:rPr>
          <w:rFonts w:ascii="Times New Roman" w:hAnsi="Times New Roman" w:cs="Times New Roman"/>
          <w:sz w:val="24"/>
          <w:szCs w:val="24"/>
        </w:rPr>
        <w:t xml:space="preserve"> After this point, the relationship between Perry and the Grant Administration was so strained that it was likely impossible to reconcile, though he retained his post for a time.</w:t>
      </w:r>
    </w:p>
    <w:p w14:paraId="404D98D7" w14:textId="77777777"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Opponents of annexation realized their existing approach was not working, and as such they returned to the case of Davis Hatch as their standard for further assailing the administration. In May, as these other conversations took place, Hatch sent a petition to Senator Orris Ferry, asking for the American government to assist with his release from the Dominicans as he also sought compensation upwards of $60,000 for lost property as well as pain and suffering.</w:t>
      </w:r>
      <w:r w:rsidRPr="00BD6E3A">
        <w:rPr>
          <w:rFonts w:ascii="Times New Roman" w:hAnsi="Times New Roman" w:cs="Times New Roman"/>
          <w:sz w:val="24"/>
          <w:szCs w:val="24"/>
          <w:vertAlign w:val="superscript"/>
        </w:rPr>
        <w:footnoteReference w:id="674"/>
      </w:r>
      <w:r w:rsidRPr="00BD6E3A">
        <w:rPr>
          <w:rFonts w:ascii="Times New Roman" w:hAnsi="Times New Roman" w:cs="Times New Roman"/>
          <w:sz w:val="24"/>
          <w:szCs w:val="24"/>
        </w:rPr>
        <w:t xml:space="preserve"> Hatch’s request was a last-chance, grasping at straws attempt to make something of his imprisonment abroad with little possibility of achieving his goal, but by sending it to a Senator, he was able to restir the political pot. Senator Ferry transported this letter to the Senate, championing Hatch as an excuse to get involved in the Santo Domingo affair and assailing Babcock for his efforts “to keep an innocent citizen in prison.”</w:t>
      </w:r>
      <w:r w:rsidRPr="00BD6E3A">
        <w:rPr>
          <w:rFonts w:ascii="Times New Roman" w:hAnsi="Times New Roman" w:cs="Times New Roman"/>
          <w:sz w:val="24"/>
          <w:szCs w:val="24"/>
          <w:vertAlign w:val="superscript"/>
        </w:rPr>
        <w:footnoteReference w:id="675"/>
      </w:r>
      <w:r w:rsidRPr="00BD6E3A">
        <w:rPr>
          <w:rFonts w:ascii="Times New Roman" w:hAnsi="Times New Roman" w:cs="Times New Roman"/>
          <w:sz w:val="24"/>
          <w:szCs w:val="24"/>
        </w:rPr>
        <w:t xml:space="preserve"> Sumner quickly followed this by stating that Babcock “ought to be cashiered at once” with his name “struck from the roll of honorable men,” further chastising Babcock, and by association President Grant, for his efforts in Santo Domingo. As a result, Ferry called for an investigation into the matter by the Senate Foreign Relations Committee, which would place Sumner in charge of the affair.</w:t>
      </w:r>
      <w:r w:rsidRPr="00BD6E3A">
        <w:rPr>
          <w:rFonts w:ascii="Times New Roman" w:hAnsi="Times New Roman" w:cs="Times New Roman"/>
          <w:sz w:val="24"/>
          <w:szCs w:val="24"/>
          <w:vertAlign w:val="superscript"/>
        </w:rPr>
        <w:footnoteReference w:id="676"/>
      </w:r>
      <w:r w:rsidRPr="00BD6E3A">
        <w:rPr>
          <w:rFonts w:ascii="Times New Roman" w:hAnsi="Times New Roman" w:cs="Times New Roman"/>
          <w:sz w:val="24"/>
          <w:szCs w:val="24"/>
        </w:rPr>
        <w:t xml:space="preserve"> One senator with ties to the administration lamented that this investigation was “simply the Senate undertaking to investigate the conduct of the President for the purpose of affecting action upon a pending treaty,” fully identifying this as a political maneuver instead of a needed investigation.</w:t>
      </w:r>
      <w:r w:rsidRPr="00BD6E3A">
        <w:rPr>
          <w:rFonts w:ascii="Times New Roman" w:hAnsi="Times New Roman" w:cs="Times New Roman"/>
          <w:sz w:val="24"/>
          <w:szCs w:val="24"/>
          <w:vertAlign w:val="superscript"/>
        </w:rPr>
        <w:footnoteReference w:id="677"/>
      </w:r>
    </w:p>
    <w:p w14:paraId="7BED4179" w14:textId="25E06F5D"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lastRenderedPageBreak/>
        <w:tab/>
        <w:t>The Hatch investigation was anything but impartial. Vice President Schuyler Colfax was unable to pack the select committee exclusively with administration supporters, but he was able to give them a majority with seven seats.</w:t>
      </w:r>
      <w:r w:rsidRPr="00BD6E3A">
        <w:rPr>
          <w:rFonts w:ascii="Times New Roman" w:hAnsi="Times New Roman" w:cs="Times New Roman"/>
          <w:sz w:val="24"/>
          <w:szCs w:val="24"/>
          <w:vertAlign w:val="superscript"/>
        </w:rPr>
        <w:footnoteReference w:id="678"/>
      </w:r>
      <w:r w:rsidRPr="00BD6E3A">
        <w:rPr>
          <w:rFonts w:ascii="Times New Roman" w:hAnsi="Times New Roman" w:cs="Times New Roman"/>
          <w:sz w:val="24"/>
          <w:szCs w:val="24"/>
        </w:rPr>
        <w:t xml:space="preserve"> Hatch did not return to the mainland to address his concerns in person, and as a result, the investigation took on a different tone – the investigation became less about Hatch’s actual case and more about how it could be used as a political tool to embarrass the administration.</w:t>
      </w:r>
      <w:r w:rsidRPr="00BD6E3A">
        <w:rPr>
          <w:rFonts w:ascii="Times New Roman" w:hAnsi="Times New Roman" w:cs="Times New Roman"/>
          <w:sz w:val="24"/>
          <w:szCs w:val="24"/>
          <w:vertAlign w:val="superscript"/>
        </w:rPr>
        <w:footnoteReference w:id="679"/>
      </w:r>
      <w:r w:rsidRPr="00BD6E3A">
        <w:rPr>
          <w:rFonts w:ascii="Times New Roman" w:hAnsi="Times New Roman" w:cs="Times New Roman"/>
          <w:sz w:val="24"/>
          <w:szCs w:val="24"/>
        </w:rPr>
        <w:t xml:space="preserve"> The lines were drawn taut as pro- and anti-administration officials aligned themselves according to their allies’ opinions on the matter. It was clear that the opponents of the treaty desired nothing but to discredit the motives of those </w:t>
      </w:r>
      <w:r w:rsidR="0027483E">
        <w:rPr>
          <w:rFonts w:ascii="Times New Roman" w:hAnsi="Times New Roman" w:cs="Times New Roman"/>
          <w:sz w:val="24"/>
          <w:szCs w:val="24"/>
        </w:rPr>
        <w:t>favor</w:t>
      </w:r>
      <w:r w:rsidRPr="00BD6E3A">
        <w:rPr>
          <w:rFonts w:ascii="Times New Roman" w:hAnsi="Times New Roman" w:cs="Times New Roman"/>
          <w:sz w:val="24"/>
          <w:szCs w:val="24"/>
        </w:rPr>
        <w:t>ing annexation itself rather than hearing the case of Hatch- he was instead used as a pawn to push forth a political agenda.</w:t>
      </w:r>
    </w:p>
    <w:p w14:paraId="57F5C933" w14:textId="3DCB2E7B"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Babcock quickly found himself thrust into the midst of this imbroglio as his name continued to be dragged through the mud by anti-administration factions and by Perry, who quickly became the star witness for the prosecution. At the outset of the </w:t>
      </w:r>
      <w:r w:rsidR="000127A8">
        <w:rPr>
          <w:rFonts w:ascii="Times New Roman" w:hAnsi="Times New Roman" w:cs="Times New Roman"/>
          <w:sz w:val="24"/>
          <w:szCs w:val="24"/>
        </w:rPr>
        <w:t>hearing</w:t>
      </w:r>
      <w:r w:rsidRPr="00BD6E3A">
        <w:rPr>
          <w:rFonts w:ascii="Times New Roman" w:hAnsi="Times New Roman" w:cs="Times New Roman"/>
          <w:sz w:val="24"/>
          <w:szCs w:val="24"/>
        </w:rPr>
        <w:t>, Babcock contacted the chairman of the committee, Senator James Nye of Nevada, to provide him some tips on how to counter Sumner’s “misstatements,” adding new layers of impropriety to the matter by attempting to sway things in his favor.</w:t>
      </w:r>
      <w:r w:rsidRPr="00BD6E3A">
        <w:rPr>
          <w:rFonts w:ascii="Times New Roman" w:hAnsi="Times New Roman" w:cs="Times New Roman"/>
          <w:sz w:val="24"/>
          <w:szCs w:val="24"/>
          <w:vertAlign w:val="superscript"/>
        </w:rPr>
        <w:footnoteReference w:id="680"/>
      </w:r>
      <w:r w:rsidRPr="00BD6E3A">
        <w:rPr>
          <w:rFonts w:ascii="Times New Roman" w:hAnsi="Times New Roman" w:cs="Times New Roman"/>
          <w:sz w:val="24"/>
          <w:szCs w:val="24"/>
        </w:rPr>
        <w:t xml:space="preserve"> Still this was not enough to put the matter behind him, particularly once Perry took the stand. To the surprise of many, Perry arrived in the committee room armed with his revolver, explaining to the awestruck officials that he never went anywhere without it.</w:t>
      </w:r>
      <w:r w:rsidRPr="00BD6E3A">
        <w:rPr>
          <w:rFonts w:ascii="Times New Roman" w:hAnsi="Times New Roman" w:cs="Times New Roman"/>
          <w:sz w:val="24"/>
          <w:szCs w:val="24"/>
          <w:vertAlign w:val="superscript"/>
        </w:rPr>
        <w:footnoteReference w:id="681"/>
      </w:r>
      <w:r w:rsidRPr="00BD6E3A">
        <w:rPr>
          <w:rFonts w:ascii="Times New Roman" w:hAnsi="Times New Roman" w:cs="Times New Roman"/>
          <w:sz w:val="24"/>
          <w:szCs w:val="24"/>
        </w:rPr>
        <w:t xml:space="preserve"> Regardless of his state of arms, Perry’s testimony was critical to this debate. Perry asserted that Babcock advised him not to intervene on the Hatch matter because doing so would affect annexation in a negative manner, and he further claimed that </w:t>
      </w:r>
      <w:r w:rsidRPr="00BD6E3A">
        <w:rPr>
          <w:rFonts w:ascii="Times New Roman" w:hAnsi="Times New Roman" w:cs="Times New Roman"/>
          <w:sz w:val="24"/>
          <w:szCs w:val="24"/>
        </w:rPr>
        <w:lastRenderedPageBreak/>
        <w:t>Babcock scolded him for protesting the government’s issuing of grants in the Spring of 1870, which again</w:t>
      </w:r>
      <w:r w:rsidR="00A40BD5">
        <w:rPr>
          <w:rFonts w:ascii="Times New Roman" w:hAnsi="Times New Roman" w:cs="Times New Roman"/>
          <w:sz w:val="24"/>
          <w:szCs w:val="24"/>
        </w:rPr>
        <w:t xml:space="preserve"> Perry</w:t>
      </w:r>
      <w:r w:rsidR="000127A8">
        <w:rPr>
          <w:rFonts w:ascii="Times New Roman" w:hAnsi="Times New Roman" w:cs="Times New Roman"/>
          <w:sz w:val="24"/>
          <w:szCs w:val="24"/>
        </w:rPr>
        <w:t xml:space="preserve"> claimed</w:t>
      </w:r>
      <w:r w:rsidRPr="00BD6E3A">
        <w:rPr>
          <w:rFonts w:ascii="Times New Roman" w:hAnsi="Times New Roman" w:cs="Times New Roman"/>
          <w:sz w:val="24"/>
          <w:szCs w:val="24"/>
        </w:rPr>
        <w:t xml:space="preserve"> </w:t>
      </w:r>
      <w:r w:rsidR="000127A8">
        <w:rPr>
          <w:rFonts w:ascii="Times New Roman" w:hAnsi="Times New Roman" w:cs="Times New Roman"/>
          <w:sz w:val="24"/>
          <w:szCs w:val="24"/>
        </w:rPr>
        <w:t xml:space="preserve">Babcock said </w:t>
      </w:r>
      <w:r w:rsidRPr="00BD6E3A">
        <w:rPr>
          <w:rFonts w:ascii="Times New Roman" w:hAnsi="Times New Roman" w:cs="Times New Roman"/>
          <w:sz w:val="24"/>
          <w:szCs w:val="24"/>
        </w:rPr>
        <w:t>would hurt the annexation deal.</w:t>
      </w:r>
      <w:r w:rsidRPr="00BD6E3A">
        <w:rPr>
          <w:rFonts w:ascii="Times New Roman" w:hAnsi="Times New Roman" w:cs="Times New Roman"/>
          <w:sz w:val="24"/>
          <w:szCs w:val="24"/>
          <w:vertAlign w:val="superscript"/>
        </w:rPr>
        <w:footnoteReference w:id="682"/>
      </w:r>
      <w:r w:rsidRPr="00BD6E3A">
        <w:rPr>
          <w:rFonts w:ascii="Times New Roman" w:hAnsi="Times New Roman" w:cs="Times New Roman"/>
          <w:sz w:val="24"/>
          <w:szCs w:val="24"/>
        </w:rPr>
        <w:t xml:space="preserve"> Perhaps most damning was Perry’s assertion that Babcock told him that he, Fabens, and Cazneau held real estate interests on the island, placing Babcock at the center of a potentially huge scandal.</w:t>
      </w:r>
      <w:r w:rsidRPr="00BD6E3A">
        <w:rPr>
          <w:rFonts w:ascii="Times New Roman" w:hAnsi="Times New Roman" w:cs="Times New Roman"/>
          <w:sz w:val="24"/>
          <w:szCs w:val="24"/>
          <w:vertAlign w:val="superscript"/>
        </w:rPr>
        <w:footnoteReference w:id="683"/>
      </w:r>
    </w:p>
    <w:p w14:paraId="0B348851" w14:textId="77777777"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Babcock was quick to defend himself from these charges, denying each of Perry’s claims in turn. Babcock had the aid of the diary that he kept while in Santo Domingo to remind himself of events and dates, but he conveniently omitted acknowledging its existence to the committee, which could have subpoenaed it, including the damning real estate entries, had they known of it.</w:t>
      </w:r>
      <w:r w:rsidRPr="00BD6E3A">
        <w:rPr>
          <w:rFonts w:ascii="Times New Roman" w:hAnsi="Times New Roman" w:cs="Times New Roman"/>
          <w:sz w:val="24"/>
          <w:szCs w:val="24"/>
          <w:vertAlign w:val="superscript"/>
        </w:rPr>
        <w:footnoteReference w:id="684"/>
      </w:r>
      <w:r w:rsidRPr="00BD6E3A">
        <w:rPr>
          <w:rFonts w:ascii="Times New Roman" w:hAnsi="Times New Roman" w:cs="Times New Roman"/>
          <w:sz w:val="24"/>
          <w:szCs w:val="24"/>
        </w:rPr>
        <w:t xml:space="preserve"> This knowledge allowed Babcock to remain calm under questioning, a stark contrast from the more excitable Perry.</w:t>
      </w:r>
      <w:r w:rsidRPr="00BD6E3A">
        <w:rPr>
          <w:rFonts w:ascii="Times New Roman" w:hAnsi="Times New Roman" w:cs="Times New Roman"/>
          <w:sz w:val="24"/>
          <w:szCs w:val="24"/>
          <w:vertAlign w:val="superscript"/>
        </w:rPr>
        <w:footnoteReference w:id="685"/>
      </w:r>
      <w:r w:rsidRPr="00BD6E3A">
        <w:rPr>
          <w:rFonts w:ascii="Times New Roman" w:hAnsi="Times New Roman" w:cs="Times New Roman"/>
          <w:sz w:val="24"/>
          <w:szCs w:val="24"/>
        </w:rPr>
        <w:t xml:space="preserve"> Babcock admitted that he did not move on the Hatch affair because he did not have the diplomatic authority to do so, which was true given the limited capacity that Grant and Fish afforded him.</w:t>
      </w:r>
      <w:r w:rsidRPr="00BD6E3A">
        <w:rPr>
          <w:rFonts w:ascii="Times New Roman" w:hAnsi="Times New Roman" w:cs="Times New Roman"/>
          <w:sz w:val="24"/>
          <w:szCs w:val="24"/>
          <w:vertAlign w:val="superscript"/>
        </w:rPr>
        <w:footnoteReference w:id="686"/>
      </w:r>
      <w:r w:rsidRPr="00BD6E3A">
        <w:rPr>
          <w:rFonts w:ascii="Times New Roman" w:hAnsi="Times New Roman" w:cs="Times New Roman"/>
          <w:sz w:val="24"/>
          <w:szCs w:val="24"/>
        </w:rPr>
        <w:t xml:space="preserve"> Babcock further asserted that he had not made claims of any desire to keep Hatch imprisoned, particularly as it related to annexation, because, as he understood it, “Mr. Hatch was in favor of annexation of the island of San Domingo.”</w:t>
      </w:r>
      <w:r w:rsidRPr="00BD6E3A">
        <w:rPr>
          <w:rFonts w:ascii="Times New Roman" w:hAnsi="Times New Roman" w:cs="Times New Roman"/>
          <w:sz w:val="24"/>
          <w:szCs w:val="24"/>
          <w:vertAlign w:val="superscript"/>
        </w:rPr>
        <w:footnoteReference w:id="687"/>
      </w:r>
      <w:r w:rsidRPr="00BD6E3A">
        <w:rPr>
          <w:rFonts w:ascii="Times New Roman" w:hAnsi="Times New Roman" w:cs="Times New Roman"/>
          <w:sz w:val="24"/>
          <w:szCs w:val="24"/>
        </w:rPr>
        <w:t xml:space="preserve"> Fish later confirmed both of these points, asserting that Babcock was sent to merely negotiate a treaty and nothing more, while also asserting that Babcock’s instructions “did not anticipate any case of [Hatch’s] kind,” but that he could not conceive of an officer acting on behalf of the United States asking Perry not to intervene.</w:t>
      </w:r>
      <w:r w:rsidRPr="00BD6E3A">
        <w:rPr>
          <w:rFonts w:ascii="Times New Roman" w:hAnsi="Times New Roman" w:cs="Times New Roman"/>
          <w:sz w:val="24"/>
          <w:szCs w:val="24"/>
          <w:vertAlign w:val="superscript"/>
        </w:rPr>
        <w:footnoteReference w:id="688"/>
      </w:r>
      <w:r w:rsidRPr="00BD6E3A">
        <w:rPr>
          <w:rFonts w:ascii="Times New Roman" w:hAnsi="Times New Roman" w:cs="Times New Roman"/>
          <w:sz w:val="24"/>
          <w:szCs w:val="24"/>
        </w:rPr>
        <w:t xml:space="preserve"> Babcock further asserted that, regardless of his authority, he </w:t>
      </w:r>
      <w:r w:rsidRPr="00BD6E3A">
        <w:rPr>
          <w:rFonts w:ascii="Times New Roman" w:hAnsi="Times New Roman" w:cs="Times New Roman"/>
          <w:sz w:val="24"/>
          <w:szCs w:val="24"/>
        </w:rPr>
        <w:lastRenderedPageBreak/>
        <w:t>understood Hatch to be working with Dominican rebels to undermine the existing government, presenting evidence that linked him with pirate vessels in the area.</w:t>
      </w:r>
      <w:r w:rsidRPr="00BD6E3A">
        <w:rPr>
          <w:rFonts w:ascii="Times New Roman" w:hAnsi="Times New Roman" w:cs="Times New Roman"/>
          <w:sz w:val="24"/>
          <w:szCs w:val="24"/>
          <w:vertAlign w:val="superscript"/>
        </w:rPr>
        <w:footnoteReference w:id="689"/>
      </w:r>
    </w:p>
    <w:p w14:paraId="3046B66C" w14:textId="23F10BE4" w:rsidR="00DC5338" w:rsidRPr="00BD6E3A" w:rsidRDefault="00BD6E3A" w:rsidP="00701BC6">
      <w:pPr>
        <w:spacing w:after="0"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Perhaps the most important dynamic to the Hatch investigation lies in the administration’s decision not to engage on matters of politicking in the committee room, but instead trying the </w:t>
      </w:r>
      <w:r w:rsidR="00DC5338">
        <w:rPr>
          <w:rFonts w:ascii="Times New Roman" w:hAnsi="Times New Roman" w:cs="Times New Roman"/>
          <w:sz w:val="24"/>
          <w:szCs w:val="24"/>
        </w:rPr>
        <w:t>allegations</w:t>
      </w:r>
      <w:r w:rsidRPr="00BD6E3A">
        <w:rPr>
          <w:rFonts w:ascii="Times New Roman" w:hAnsi="Times New Roman" w:cs="Times New Roman"/>
          <w:sz w:val="24"/>
          <w:szCs w:val="24"/>
        </w:rPr>
        <w:t xml:space="preserve"> as </w:t>
      </w:r>
      <w:r w:rsidR="00DC5338">
        <w:rPr>
          <w:rFonts w:ascii="Times New Roman" w:hAnsi="Times New Roman" w:cs="Times New Roman"/>
          <w:sz w:val="24"/>
          <w:szCs w:val="24"/>
        </w:rPr>
        <w:t>they</w:t>
      </w:r>
      <w:r w:rsidRPr="00BD6E3A">
        <w:rPr>
          <w:rFonts w:ascii="Times New Roman" w:hAnsi="Times New Roman" w:cs="Times New Roman"/>
          <w:sz w:val="24"/>
          <w:szCs w:val="24"/>
        </w:rPr>
        <w:t xml:space="preserve"> w</w:t>
      </w:r>
      <w:r w:rsidR="00DC5338">
        <w:rPr>
          <w:rFonts w:ascii="Times New Roman" w:hAnsi="Times New Roman" w:cs="Times New Roman"/>
          <w:sz w:val="24"/>
          <w:szCs w:val="24"/>
        </w:rPr>
        <w:t>ere</w:t>
      </w:r>
      <w:r w:rsidRPr="00BD6E3A">
        <w:rPr>
          <w:rFonts w:ascii="Times New Roman" w:hAnsi="Times New Roman" w:cs="Times New Roman"/>
          <w:sz w:val="24"/>
          <w:szCs w:val="24"/>
        </w:rPr>
        <w:t xml:space="preserve"> charged, which enabled them to focus on Hatch’s impropriety rather than any in which Babcock may have been involved. Babcock testified that he “believed Mr. hatch [sic] was guilty of joining the rebellion, and I was not going to have anything to do with his case.”</w:t>
      </w:r>
      <w:r w:rsidRPr="00BD6E3A">
        <w:rPr>
          <w:rFonts w:ascii="Times New Roman" w:hAnsi="Times New Roman" w:cs="Times New Roman"/>
          <w:sz w:val="24"/>
          <w:szCs w:val="24"/>
          <w:vertAlign w:val="superscript"/>
        </w:rPr>
        <w:footnoteReference w:id="690"/>
      </w:r>
      <w:r w:rsidRPr="00BD6E3A">
        <w:rPr>
          <w:rFonts w:ascii="Times New Roman" w:hAnsi="Times New Roman" w:cs="Times New Roman"/>
          <w:sz w:val="24"/>
          <w:szCs w:val="24"/>
        </w:rPr>
        <w:t xml:space="preserve"> According to his diary, Babcock told Báez that he “would trust” Báez to handle the Hatch situation, and in his testimony he took this a step further, indicating that he communicated the following to the Dominican leader:</w:t>
      </w:r>
    </w:p>
    <w:p w14:paraId="2E556477" w14:textId="77777777" w:rsidR="00BD6E3A" w:rsidRPr="00BD6E3A" w:rsidRDefault="00BD6E3A" w:rsidP="00DC5338">
      <w:pPr>
        <w:spacing w:line="276" w:lineRule="auto"/>
        <w:ind w:left="720" w:right="720"/>
        <w:rPr>
          <w:rFonts w:ascii="Times New Roman" w:hAnsi="Times New Roman" w:cs="Times New Roman"/>
          <w:sz w:val="24"/>
          <w:szCs w:val="24"/>
        </w:rPr>
      </w:pPr>
      <w:r w:rsidRPr="00BD6E3A">
        <w:rPr>
          <w:rFonts w:ascii="Times New Roman" w:hAnsi="Times New Roman" w:cs="Times New Roman"/>
          <w:sz w:val="24"/>
          <w:szCs w:val="24"/>
        </w:rPr>
        <w:t>Mr. President, you must be certain that you are right in the question of the law, if you try Mr. Hatch for any such thing; if you have the proof positive that he has been attempting to overthrow your government, I do not suppose our government will in any way interfere in the case; but you must be very certain that your evidence is entirely correct.</w:t>
      </w:r>
      <w:r w:rsidRPr="00BD6E3A">
        <w:rPr>
          <w:rFonts w:ascii="Times New Roman" w:hAnsi="Times New Roman" w:cs="Times New Roman"/>
          <w:sz w:val="24"/>
          <w:szCs w:val="24"/>
          <w:vertAlign w:val="superscript"/>
        </w:rPr>
        <w:footnoteReference w:id="691"/>
      </w:r>
    </w:p>
    <w:p w14:paraId="1CFBE9E5" w14:textId="536A5EFF"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Fish substantiated Babcock’s claims by presenting a lengthy document with Hatch’s charges and the evidence against him, and the committee decided by a majority vote that the judicial process of Santo Domingo was in line in this case with precedent and did not warrant intervention or complaint from the United States.</w:t>
      </w:r>
      <w:r w:rsidRPr="00BD6E3A">
        <w:rPr>
          <w:rFonts w:ascii="Times New Roman" w:hAnsi="Times New Roman" w:cs="Times New Roman"/>
          <w:sz w:val="24"/>
          <w:szCs w:val="24"/>
          <w:vertAlign w:val="superscript"/>
        </w:rPr>
        <w:footnoteReference w:id="692"/>
      </w:r>
      <w:r w:rsidRPr="00BD6E3A">
        <w:rPr>
          <w:rFonts w:ascii="Times New Roman" w:hAnsi="Times New Roman" w:cs="Times New Roman"/>
          <w:sz w:val="24"/>
          <w:szCs w:val="24"/>
        </w:rPr>
        <w:t xml:space="preserve"> The tactic of focusing on the </w:t>
      </w:r>
      <w:r w:rsidR="004936FB">
        <w:rPr>
          <w:rFonts w:ascii="Times New Roman" w:hAnsi="Times New Roman" w:cs="Times New Roman"/>
          <w:sz w:val="24"/>
          <w:szCs w:val="24"/>
        </w:rPr>
        <w:t>facts</w:t>
      </w:r>
      <w:r w:rsidRPr="00BD6E3A">
        <w:rPr>
          <w:rFonts w:ascii="Times New Roman" w:hAnsi="Times New Roman" w:cs="Times New Roman"/>
          <w:sz w:val="24"/>
          <w:szCs w:val="24"/>
        </w:rPr>
        <w:t xml:space="preserve"> </w:t>
      </w:r>
      <w:r w:rsidR="009714CF">
        <w:rPr>
          <w:rFonts w:ascii="Times New Roman" w:hAnsi="Times New Roman" w:cs="Times New Roman"/>
          <w:sz w:val="24"/>
          <w:szCs w:val="24"/>
        </w:rPr>
        <w:t>themselves</w:t>
      </w:r>
      <w:r w:rsidRPr="00BD6E3A">
        <w:rPr>
          <w:rFonts w:ascii="Times New Roman" w:hAnsi="Times New Roman" w:cs="Times New Roman"/>
          <w:sz w:val="24"/>
          <w:szCs w:val="24"/>
        </w:rPr>
        <w:t xml:space="preserve"> rather than the political circus it carried with it proved effective for the administration, though in the aftermath the committee minority members ironically decried the investigation as “a barbarous farce – a transparent act of persecution.”</w:t>
      </w:r>
      <w:r w:rsidRPr="00BD6E3A">
        <w:rPr>
          <w:rFonts w:ascii="Times New Roman" w:hAnsi="Times New Roman" w:cs="Times New Roman"/>
          <w:sz w:val="24"/>
          <w:szCs w:val="24"/>
          <w:vertAlign w:val="superscript"/>
        </w:rPr>
        <w:footnoteReference w:id="693"/>
      </w:r>
    </w:p>
    <w:p w14:paraId="0748C6AB" w14:textId="7A1F9814"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lastRenderedPageBreak/>
        <w:tab/>
        <w:t>A highpoint in the trial came when Babcock was directly pressed to reveal his motives for promoting the annexation efforts. The treaty’s opponents continued to use the investigation to discredit annexation and its supporters, and they focused on Perry’s claims that Fabens, Cazneau, Báez, and Babcock destroyed any credibility for the project through their self-serving actions.</w:t>
      </w:r>
      <w:r w:rsidRPr="00BD6E3A">
        <w:rPr>
          <w:rFonts w:ascii="Times New Roman" w:hAnsi="Times New Roman" w:cs="Times New Roman"/>
          <w:sz w:val="24"/>
          <w:szCs w:val="24"/>
          <w:vertAlign w:val="superscript"/>
        </w:rPr>
        <w:footnoteReference w:id="694"/>
      </w:r>
      <w:r w:rsidRPr="00BD6E3A">
        <w:rPr>
          <w:rFonts w:ascii="Times New Roman" w:hAnsi="Times New Roman" w:cs="Times New Roman"/>
          <w:sz w:val="24"/>
          <w:szCs w:val="24"/>
        </w:rPr>
        <w:t xml:space="preserve"> Perry asserted that “Babcock often told me that I must stand by Cazneau and Fabens, and advise with them, that they represented large interests on the island; that he had interests with them,” a claim Babcock continuously denied.</w:t>
      </w:r>
      <w:r w:rsidRPr="00BD6E3A">
        <w:rPr>
          <w:rFonts w:ascii="Times New Roman" w:hAnsi="Times New Roman" w:cs="Times New Roman"/>
          <w:sz w:val="24"/>
          <w:szCs w:val="24"/>
          <w:vertAlign w:val="superscript"/>
        </w:rPr>
        <w:footnoteReference w:id="695"/>
      </w:r>
      <w:r w:rsidRPr="00BD6E3A">
        <w:rPr>
          <w:rFonts w:ascii="Times New Roman" w:hAnsi="Times New Roman" w:cs="Times New Roman"/>
          <w:sz w:val="24"/>
          <w:szCs w:val="24"/>
        </w:rPr>
        <w:t xml:space="preserve"> In his testimony to the committee, Babcock recounted that Báez attempted to give him a land grant as thanks for his assistance with the treaty preparations, but that he turned it down as it would destroy the chances of ratification.</w:t>
      </w:r>
      <w:r w:rsidRPr="00BD6E3A">
        <w:rPr>
          <w:rFonts w:ascii="Times New Roman" w:hAnsi="Times New Roman" w:cs="Times New Roman"/>
          <w:sz w:val="24"/>
          <w:szCs w:val="24"/>
          <w:vertAlign w:val="superscript"/>
        </w:rPr>
        <w:footnoteReference w:id="696"/>
      </w:r>
      <w:r w:rsidRPr="00BD6E3A">
        <w:rPr>
          <w:rFonts w:ascii="Times New Roman" w:hAnsi="Times New Roman" w:cs="Times New Roman"/>
          <w:sz w:val="24"/>
          <w:szCs w:val="24"/>
        </w:rPr>
        <w:t xml:space="preserve"> A committee member went further, asking of his financial ties to Cazneau and Fabens, to which Babcock insisted that “It is not true. I never had one cent interest with either gentleman on the island.”</w:t>
      </w:r>
      <w:r w:rsidRPr="00BD6E3A">
        <w:rPr>
          <w:rFonts w:ascii="Times New Roman" w:hAnsi="Times New Roman" w:cs="Times New Roman"/>
          <w:sz w:val="24"/>
          <w:szCs w:val="24"/>
          <w:vertAlign w:val="superscript"/>
        </w:rPr>
        <w:footnoteReference w:id="697"/>
      </w:r>
      <w:r w:rsidRPr="00BD6E3A">
        <w:rPr>
          <w:rFonts w:ascii="Times New Roman" w:hAnsi="Times New Roman" w:cs="Times New Roman"/>
          <w:sz w:val="24"/>
          <w:szCs w:val="24"/>
        </w:rPr>
        <w:t xml:space="preserve"> This was a shrewd, carefully maneuvered effort to not perjure himself. Babcock carefully omitted the fact that he stated in his diary that would have changed the entire line of questioning: “I will be pleased to have the 1000 acres of Palenque promised in case of annexation.”</w:t>
      </w:r>
      <w:r w:rsidRPr="00BD6E3A">
        <w:rPr>
          <w:rFonts w:ascii="Times New Roman" w:hAnsi="Times New Roman" w:cs="Times New Roman"/>
          <w:sz w:val="24"/>
          <w:szCs w:val="24"/>
          <w:vertAlign w:val="superscript"/>
        </w:rPr>
        <w:footnoteReference w:id="698"/>
      </w:r>
      <w:r w:rsidRPr="00BD6E3A">
        <w:rPr>
          <w:rFonts w:ascii="Times New Roman" w:hAnsi="Times New Roman" w:cs="Times New Roman"/>
          <w:sz w:val="24"/>
          <w:szCs w:val="24"/>
        </w:rPr>
        <w:t xml:space="preserve"> Because he did not have any investments</w:t>
      </w:r>
      <w:r w:rsidR="009714CF">
        <w:rPr>
          <w:rFonts w:ascii="Times New Roman" w:hAnsi="Times New Roman" w:cs="Times New Roman"/>
          <w:sz w:val="24"/>
          <w:szCs w:val="24"/>
        </w:rPr>
        <w:t xml:space="preserve"> as</w:t>
      </w:r>
      <w:r w:rsidRPr="00BD6E3A">
        <w:rPr>
          <w:rFonts w:ascii="Times New Roman" w:hAnsi="Times New Roman" w:cs="Times New Roman"/>
          <w:sz w:val="24"/>
          <w:szCs w:val="24"/>
        </w:rPr>
        <w:t xml:space="preserve"> yet, technically Babcock </w:t>
      </w:r>
      <w:r w:rsidR="001A6EE6">
        <w:rPr>
          <w:rFonts w:ascii="Times New Roman" w:hAnsi="Times New Roman" w:cs="Times New Roman"/>
          <w:sz w:val="24"/>
          <w:szCs w:val="24"/>
        </w:rPr>
        <w:t>did not lie</w:t>
      </w:r>
      <w:r w:rsidRPr="00BD6E3A">
        <w:rPr>
          <w:rFonts w:ascii="Times New Roman" w:hAnsi="Times New Roman" w:cs="Times New Roman"/>
          <w:sz w:val="24"/>
          <w:szCs w:val="24"/>
        </w:rPr>
        <w:t>, but this smoking gun could have completely changed the perception of the annexation treaty.</w:t>
      </w:r>
    </w:p>
    <w:p w14:paraId="0DFA44BF" w14:textId="77777777"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These hearings on the matter of Davis Hatch show the deep divide between those in favor of annexing Santo Domingo and those against such an effort. Sumner, Schurz, and Perry proved to be against the treaty and continually assailed those involved with annexation and others who supported it.</w:t>
      </w:r>
      <w:r w:rsidRPr="00BD6E3A">
        <w:rPr>
          <w:rFonts w:ascii="Times New Roman" w:hAnsi="Times New Roman" w:cs="Times New Roman"/>
          <w:sz w:val="24"/>
          <w:szCs w:val="24"/>
          <w:vertAlign w:val="superscript"/>
        </w:rPr>
        <w:footnoteReference w:id="699"/>
      </w:r>
      <w:r w:rsidRPr="00BD6E3A">
        <w:rPr>
          <w:rFonts w:ascii="Times New Roman" w:hAnsi="Times New Roman" w:cs="Times New Roman"/>
          <w:sz w:val="24"/>
          <w:szCs w:val="24"/>
        </w:rPr>
        <w:t xml:space="preserve"> Grant’s administration and its supporters continued to stand behind their efforts, </w:t>
      </w:r>
      <w:r w:rsidRPr="00BD6E3A">
        <w:rPr>
          <w:rFonts w:ascii="Times New Roman" w:hAnsi="Times New Roman" w:cs="Times New Roman"/>
          <w:sz w:val="24"/>
          <w:szCs w:val="24"/>
        </w:rPr>
        <w:lastRenderedPageBreak/>
        <w:t>even when Grant became convinced that his opponents sought only to injure him, stating that it was “strange that men cannot allow others to differ with them, without charging corruption as the cause of the difference.”</w:t>
      </w:r>
      <w:r w:rsidRPr="00BD6E3A">
        <w:rPr>
          <w:rFonts w:ascii="Times New Roman" w:hAnsi="Times New Roman" w:cs="Times New Roman"/>
          <w:sz w:val="24"/>
          <w:szCs w:val="24"/>
          <w:vertAlign w:val="superscript"/>
        </w:rPr>
        <w:footnoteReference w:id="700"/>
      </w:r>
      <w:r w:rsidRPr="00BD6E3A">
        <w:rPr>
          <w:rFonts w:ascii="Times New Roman" w:hAnsi="Times New Roman" w:cs="Times New Roman"/>
          <w:sz w:val="24"/>
          <w:szCs w:val="24"/>
        </w:rPr>
        <w:t xml:space="preserve"> Grant continued to speak “warmly and affectionately to Babcock, whose innocence of the charges against him he confidently believes” after warning him that he would lose his commission should anything immoral be proven against him.</w:t>
      </w:r>
      <w:r w:rsidRPr="00BD6E3A">
        <w:rPr>
          <w:rFonts w:ascii="Times New Roman" w:hAnsi="Times New Roman" w:cs="Times New Roman"/>
          <w:sz w:val="24"/>
          <w:szCs w:val="24"/>
          <w:vertAlign w:val="superscript"/>
        </w:rPr>
        <w:footnoteReference w:id="701"/>
      </w:r>
      <w:r w:rsidRPr="00BD6E3A">
        <w:rPr>
          <w:rFonts w:ascii="Times New Roman" w:hAnsi="Times New Roman" w:cs="Times New Roman"/>
          <w:sz w:val="24"/>
          <w:szCs w:val="24"/>
        </w:rPr>
        <w:t xml:space="preserve"> Babcock held similar suspicions to Grant, writing to Adam Badeau in the aftermath of the investigation that “they were after the President and hoped to hitch something onto me – and thus hurt the old man.”</w:t>
      </w:r>
      <w:r w:rsidRPr="00BD6E3A">
        <w:rPr>
          <w:rFonts w:ascii="Times New Roman" w:hAnsi="Times New Roman" w:cs="Times New Roman"/>
          <w:sz w:val="24"/>
          <w:szCs w:val="24"/>
          <w:vertAlign w:val="superscript"/>
        </w:rPr>
        <w:footnoteReference w:id="702"/>
      </w:r>
      <w:r w:rsidRPr="00BD6E3A">
        <w:rPr>
          <w:rFonts w:ascii="Times New Roman" w:hAnsi="Times New Roman" w:cs="Times New Roman"/>
          <w:sz w:val="24"/>
          <w:szCs w:val="24"/>
        </w:rPr>
        <w:t xml:space="preserve"> The investigation ultimately concluded with divided statements from the two sides. The majority, consisting of annexation and administration supporters, found the charges against Babcock to be “totally unfounded” and that “the treaty is free from any fraud or unfairness” as “the agents employed by the respective governments have all acted with becoming frankness and sincerity.”</w:t>
      </w:r>
      <w:r w:rsidRPr="00BD6E3A">
        <w:rPr>
          <w:rFonts w:ascii="Times New Roman" w:hAnsi="Times New Roman" w:cs="Times New Roman"/>
          <w:sz w:val="24"/>
          <w:szCs w:val="24"/>
          <w:vertAlign w:val="superscript"/>
        </w:rPr>
        <w:footnoteReference w:id="703"/>
      </w:r>
      <w:r w:rsidRPr="00BD6E3A">
        <w:rPr>
          <w:rFonts w:ascii="Times New Roman" w:hAnsi="Times New Roman" w:cs="Times New Roman"/>
          <w:sz w:val="24"/>
          <w:szCs w:val="24"/>
        </w:rPr>
        <w:t xml:space="preserve"> The minority report, authored by Carl Schurz, characterized Babcock’s relationship with Cazneau as “most suspicious,” and that Babcock’s influence was used against Hatch in this case, but that “committee acquired only incidental information” regarding any actual corruption and therefore could not bring forth official charges.</w:t>
      </w:r>
      <w:r w:rsidRPr="00BD6E3A">
        <w:rPr>
          <w:rFonts w:ascii="Times New Roman" w:hAnsi="Times New Roman" w:cs="Times New Roman"/>
          <w:sz w:val="24"/>
          <w:szCs w:val="24"/>
          <w:vertAlign w:val="superscript"/>
        </w:rPr>
        <w:footnoteReference w:id="704"/>
      </w:r>
      <w:r w:rsidRPr="00BD6E3A">
        <w:rPr>
          <w:rFonts w:ascii="Times New Roman" w:hAnsi="Times New Roman" w:cs="Times New Roman"/>
          <w:sz w:val="24"/>
          <w:szCs w:val="24"/>
        </w:rPr>
        <w:t xml:space="preserve"> Thus, the minority succeeded in sewing doubt and discord regarding the potential annexation treaty, which proved to be a victory in its own right.</w:t>
      </w:r>
    </w:p>
    <w:p w14:paraId="552C16D2" w14:textId="06720354"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After the conclusion of the Hatch affair, the deadline for ratification remained, and President Grant was determined to acquire the island territory. Babcock referenced as much in a letter, stating that “the fight has opened, and [Grant] is as much in earnest, as he was in the </w:t>
      </w:r>
      <w:r w:rsidRPr="00BD6E3A">
        <w:rPr>
          <w:rFonts w:ascii="Times New Roman" w:hAnsi="Times New Roman" w:cs="Times New Roman"/>
          <w:sz w:val="24"/>
          <w:szCs w:val="24"/>
        </w:rPr>
        <w:lastRenderedPageBreak/>
        <w:t>Wilderness.”</w:t>
      </w:r>
      <w:r w:rsidRPr="00BD6E3A">
        <w:rPr>
          <w:rFonts w:ascii="Times New Roman" w:hAnsi="Times New Roman" w:cs="Times New Roman"/>
          <w:sz w:val="24"/>
          <w:szCs w:val="24"/>
          <w:vertAlign w:val="superscript"/>
        </w:rPr>
        <w:footnoteReference w:id="705"/>
      </w:r>
      <w:r w:rsidRPr="00BD6E3A">
        <w:rPr>
          <w:rFonts w:ascii="Times New Roman" w:hAnsi="Times New Roman" w:cs="Times New Roman"/>
          <w:sz w:val="24"/>
          <w:szCs w:val="24"/>
        </w:rPr>
        <w:t xml:space="preserve"> The President sought to use one main tactic to accomplish his goal: relying on the loyalty of those in patronage positions and his appointees in the Cabinet. Fish noted that Grant would not “consider those who oppose his policy as entitled to influence in obtaining positions under him,” alluding to Sumner’s desire to take control of foreign affairs from his post in the Senate.</w:t>
      </w:r>
      <w:r w:rsidRPr="00BD6E3A">
        <w:rPr>
          <w:rFonts w:ascii="Times New Roman" w:hAnsi="Times New Roman" w:cs="Times New Roman"/>
          <w:sz w:val="24"/>
          <w:szCs w:val="24"/>
          <w:vertAlign w:val="superscript"/>
        </w:rPr>
        <w:footnoteReference w:id="706"/>
      </w:r>
      <w:r w:rsidRPr="00BD6E3A">
        <w:rPr>
          <w:rFonts w:ascii="Times New Roman" w:hAnsi="Times New Roman" w:cs="Times New Roman"/>
          <w:sz w:val="24"/>
          <w:szCs w:val="24"/>
        </w:rPr>
        <w:t xml:space="preserve"> Grant continued to attempt to stop Sumner’s assault, his noted opposition, with a handwritten note that he was confident that Sumner, at their previous winter meeting, used “such language as to leave no doubt upon my mind that he would support” the treaty.</w:t>
      </w:r>
      <w:r w:rsidRPr="00BD6E3A">
        <w:rPr>
          <w:rFonts w:ascii="Times New Roman" w:hAnsi="Times New Roman" w:cs="Times New Roman"/>
          <w:sz w:val="24"/>
          <w:szCs w:val="24"/>
          <w:vertAlign w:val="superscript"/>
        </w:rPr>
        <w:footnoteReference w:id="707"/>
      </w:r>
      <w:r w:rsidRPr="00BD6E3A">
        <w:rPr>
          <w:rFonts w:ascii="Times New Roman" w:hAnsi="Times New Roman" w:cs="Times New Roman"/>
          <w:sz w:val="24"/>
          <w:szCs w:val="24"/>
        </w:rPr>
        <w:t xml:space="preserve"> Meanwhile, Grant’s Cabinet left some questions of loyalty, as some like Fish supported their patron, while others like Secretary of the Treasury George Boutwell, Secretary of the Interior Jacob Cox, and Attorney General Ebenezer Hoar stood in opposition.</w:t>
      </w:r>
      <w:r w:rsidRPr="00BD6E3A">
        <w:rPr>
          <w:rFonts w:ascii="Times New Roman" w:hAnsi="Times New Roman" w:cs="Times New Roman"/>
          <w:sz w:val="24"/>
          <w:szCs w:val="24"/>
          <w:vertAlign w:val="superscript"/>
        </w:rPr>
        <w:footnoteReference w:id="708"/>
      </w:r>
      <w:r w:rsidRPr="00BD6E3A">
        <w:rPr>
          <w:rFonts w:ascii="Times New Roman" w:hAnsi="Times New Roman" w:cs="Times New Roman"/>
          <w:sz w:val="24"/>
          <w:szCs w:val="24"/>
        </w:rPr>
        <w:t xml:space="preserve"> At the time, Hoar posed the biggest problem, as his approach to patronage in his department upset multiple senators on the hill.</w:t>
      </w:r>
      <w:r w:rsidRPr="00BD6E3A">
        <w:rPr>
          <w:rFonts w:ascii="Times New Roman" w:hAnsi="Times New Roman" w:cs="Times New Roman"/>
          <w:sz w:val="24"/>
          <w:szCs w:val="24"/>
          <w:vertAlign w:val="superscript"/>
        </w:rPr>
        <w:footnoteReference w:id="709"/>
      </w:r>
      <w:r w:rsidRPr="00BD6E3A">
        <w:rPr>
          <w:rFonts w:ascii="Times New Roman" w:hAnsi="Times New Roman" w:cs="Times New Roman"/>
          <w:sz w:val="24"/>
          <w:szCs w:val="24"/>
        </w:rPr>
        <w:t xml:space="preserve"> President Grant requested Hoar’s resignation on June 15</w:t>
      </w:r>
      <w:r w:rsidRPr="00BD6E3A">
        <w:rPr>
          <w:rFonts w:ascii="Times New Roman" w:hAnsi="Times New Roman" w:cs="Times New Roman"/>
          <w:sz w:val="24"/>
          <w:szCs w:val="24"/>
          <w:vertAlign w:val="superscript"/>
        </w:rPr>
        <w:t>th</w:t>
      </w:r>
      <w:r w:rsidRPr="00BD6E3A">
        <w:rPr>
          <w:rFonts w:ascii="Times New Roman" w:hAnsi="Times New Roman" w:cs="Times New Roman"/>
          <w:sz w:val="24"/>
          <w:szCs w:val="24"/>
        </w:rPr>
        <w:t>, 1870, at which point it was offered immediately, and the president nominated Amos Akerman of Georgia as his replacement.</w:t>
      </w:r>
      <w:r w:rsidRPr="00BD6E3A">
        <w:rPr>
          <w:rFonts w:ascii="Times New Roman" w:hAnsi="Times New Roman" w:cs="Times New Roman"/>
          <w:sz w:val="24"/>
          <w:szCs w:val="24"/>
          <w:vertAlign w:val="superscript"/>
        </w:rPr>
        <w:footnoteReference w:id="710"/>
      </w:r>
      <w:r w:rsidRPr="00BD6E3A">
        <w:rPr>
          <w:rFonts w:ascii="Times New Roman" w:hAnsi="Times New Roman" w:cs="Times New Roman"/>
          <w:sz w:val="24"/>
          <w:szCs w:val="24"/>
        </w:rPr>
        <w:t xml:space="preserve"> By this point it was clear that Grant was willing to work with forces in the legislature to ensure Santo Domingo’s annexation, but one obstinate roadblock remained in their path forward: Senator Charles Sumner, who, alongside his supporters, voiced objections to the proposed acquisition to anyone within earshot.</w:t>
      </w:r>
    </w:p>
    <w:p w14:paraId="1774626A" w14:textId="6ED7E265"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Sumner’s forces continued their assault on Babcock in relation to his role in the Santo Domingo annexation efforts. These were led by Carl Schurz, who claimed Babcock represented </w:t>
      </w:r>
      <w:r w:rsidRPr="00BD6E3A">
        <w:rPr>
          <w:rFonts w:ascii="Times New Roman" w:hAnsi="Times New Roman" w:cs="Times New Roman"/>
          <w:sz w:val="24"/>
          <w:szCs w:val="24"/>
        </w:rPr>
        <w:lastRenderedPageBreak/>
        <w:t>an attempt to institute a militaristic government in the United States under Grant. In the minority report for the Hatch investigation, Schurz asserted that Babcock initially introduced himself to Báez as an “aide-de-camp to the President,” which they wrote into the protocol of the treaty as a sign of respect for Babcock’s military service.</w:t>
      </w:r>
      <w:r w:rsidRPr="00BD6E3A">
        <w:rPr>
          <w:rFonts w:ascii="Times New Roman" w:hAnsi="Times New Roman" w:cs="Times New Roman"/>
          <w:sz w:val="24"/>
          <w:szCs w:val="24"/>
          <w:vertAlign w:val="superscript"/>
        </w:rPr>
        <w:footnoteReference w:id="711"/>
      </w:r>
      <w:r w:rsidRPr="00BD6E3A">
        <w:rPr>
          <w:rFonts w:ascii="Times New Roman" w:hAnsi="Times New Roman" w:cs="Times New Roman"/>
          <w:sz w:val="24"/>
          <w:szCs w:val="24"/>
        </w:rPr>
        <w:t xml:space="preserve"> Further, Schurz argued that, because the </w:t>
      </w:r>
      <w:r w:rsidRPr="00BD6E3A">
        <w:rPr>
          <w:rFonts w:ascii="Times New Roman" w:hAnsi="Times New Roman" w:cs="Times New Roman"/>
          <w:i/>
          <w:iCs/>
          <w:sz w:val="24"/>
          <w:szCs w:val="24"/>
        </w:rPr>
        <w:t xml:space="preserve">Tybee </w:t>
      </w:r>
      <w:r w:rsidRPr="00BD6E3A">
        <w:rPr>
          <w:rFonts w:ascii="Times New Roman" w:hAnsi="Times New Roman" w:cs="Times New Roman"/>
          <w:sz w:val="24"/>
          <w:szCs w:val="24"/>
        </w:rPr>
        <w:t>was set to sail quickly after receipt of the proposal from the Dominicans, Babcock did not have time to correct a statement that the President would “privately…use all his influence” to achieve annexation, and to leave the legislature out of the matter “until he shall be certain that it will be approved by a majority.”</w:t>
      </w:r>
      <w:r w:rsidRPr="00BD6E3A">
        <w:rPr>
          <w:rFonts w:ascii="Times New Roman" w:hAnsi="Times New Roman" w:cs="Times New Roman"/>
          <w:sz w:val="24"/>
          <w:szCs w:val="24"/>
          <w:vertAlign w:val="superscript"/>
        </w:rPr>
        <w:footnoteReference w:id="712"/>
      </w:r>
      <w:r w:rsidRPr="00BD6E3A">
        <w:rPr>
          <w:rFonts w:ascii="Times New Roman" w:hAnsi="Times New Roman" w:cs="Times New Roman"/>
          <w:sz w:val="24"/>
          <w:szCs w:val="24"/>
        </w:rPr>
        <w:t xml:space="preserve"> By levying these claims, Schurz’s plan was laid bare. Either Babcock went against his instructions from Fish and Grant, thus invalidating the proceedings, or that Grant himself ordered such an overreach. Schurz made this clear by asserting that Babcock had gone “so far beyond his instructions as to seriously compromise the name of the President.”</w:t>
      </w:r>
      <w:r w:rsidRPr="00BD6E3A">
        <w:rPr>
          <w:rFonts w:ascii="Times New Roman" w:hAnsi="Times New Roman" w:cs="Times New Roman"/>
          <w:sz w:val="24"/>
          <w:szCs w:val="24"/>
          <w:vertAlign w:val="superscript"/>
        </w:rPr>
        <w:footnoteReference w:id="713"/>
      </w:r>
      <w:r w:rsidRPr="00BD6E3A">
        <w:rPr>
          <w:rFonts w:ascii="Times New Roman" w:hAnsi="Times New Roman" w:cs="Times New Roman"/>
          <w:sz w:val="24"/>
          <w:szCs w:val="24"/>
        </w:rPr>
        <w:t xml:space="preserve"> President Grant expressed his concern with these attacks to Ohio governor Rutherford B. Hayes, expressing that he felt “‘much embittered’ against Sumner for unjust attacks on Major Babcock,” who could not defend himself – “‘I can defend myself, but he is merely a major of engineers with no opportunity to meet a Senator.’”</w:t>
      </w:r>
      <w:r w:rsidRPr="00BD6E3A">
        <w:rPr>
          <w:rFonts w:ascii="Times New Roman" w:hAnsi="Times New Roman" w:cs="Times New Roman"/>
          <w:sz w:val="24"/>
          <w:szCs w:val="24"/>
          <w:vertAlign w:val="superscript"/>
        </w:rPr>
        <w:footnoteReference w:id="714"/>
      </w:r>
      <w:r w:rsidRPr="00BD6E3A">
        <w:rPr>
          <w:rFonts w:ascii="Times New Roman" w:hAnsi="Times New Roman" w:cs="Times New Roman"/>
          <w:sz w:val="24"/>
          <w:szCs w:val="24"/>
        </w:rPr>
        <w:t xml:space="preserve"> In response to Schurz’s claims, Grant stood by his secretary, writing to Senator James Nye that “Gen. [sic] Babcock did not exceed my wishes or my verbal instructions,” pointing out that the protocol in question “was not binding, or intended to be binding upon either government” until both governments continued negotiations.</w:t>
      </w:r>
      <w:r w:rsidRPr="00BD6E3A">
        <w:rPr>
          <w:rFonts w:ascii="Times New Roman" w:hAnsi="Times New Roman" w:cs="Times New Roman"/>
          <w:sz w:val="24"/>
          <w:szCs w:val="24"/>
          <w:vertAlign w:val="superscript"/>
        </w:rPr>
        <w:footnoteReference w:id="715"/>
      </w:r>
      <w:r w:rsidRPr="00BD6E3A">
        <w:rPr>
          <w:rFonts w:ascii="Times New Roman" w:hAnsi="Times New Roman" w:cs="Times New Roman"/>
          <w:sz w:val="24"/>
          <w:szCs w:val="24"/>
        </w:rPr>
        <w:t xml:space="preserve"> He concluded that “Gen. [sic] Babcock’s conduct throughout meets </w:t>
      </w:r>
      <w:r w:rsidRPr="00BD6E3A">
        <w:rPr>
          <w:rFonts w:ascii="Times New Roman" w:hAnsi="Times New Roman" w:cs="Times New Roman"/>
          <w:sz w:val="24"/>
          <w:szCs w:val="24"/>
        </w:rPr>
        <w:lastRenderedPageBreak/>
        <w:t>my entire approval,” leaving the president open to continued claims of executive overreach but standing between his secretary</w:t>
      </w:r>
      <w:r w:rsidR="0009503E">
        <w:rPr>
          <w:rFonts w:ascii="Times New Roman" w:hAnsi="Times New Roman" w:cs="Times New Roman"/>
          <w:sz w:val="24"/>
          <w:szCs w:val="24"/>
        </w:rPr>
        <w:t>/soldier</w:t>
      </w:r>
      <w:r w:rsidRPr="00BD6E3A">
        <w:rPr>
          <w:rFonts w:ascii="Times New Roman" w:hAnsi="Times New Roman" w:cs="Times New Roman"/>
          <w:sz w:val="24"/>
          <w:szCs w:val="24"/>
        </w:rPr>
        <w:t xml:space="preserve"> and the enemies at the gate.</w:t>
      </w:r>
      <w:r w:rsidRPr="00BD6E3A">
        <w:rPr>
          <w:rFonts w:ascii="Times New Roman" w:hAnsi="Times New Roman" w:cs="Times New Roman"/>
          <w:sz w:val="24"/>
          <w:szCs w:val="24"/>
          <w:vertAlign w:val="superscript"/>
        </w:rPr>
        <w:footnoteReference w:id="716"/>
      </w:r>
    </w:p>
    <w:p w14:paraId="66F0341A" w14:textId="77777777"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In early June, amidst the ongoing debates around Babcock, an opportunity arose that breathed promise into the annexation treaty – potentially nominating Sumner as Minister to Great Britain. The standing Minister, John Lothrop Motley, was an abrupt individual with limited diplomatic capacities who proved himself less than efficient when dealing with disputes concerning the </w:t>
      </w:r>
      <w:r w:rsidRPr="00BD6E3A">
        <w:rPr>
          <w:rFonts w:ascii="Times New Roman" w:hAnsi="Times New Roman" w:cs="Times New Roman"/>
          <w:i/>
          <w:iCs/>
          <w:sz w:val="24"/>
          <w:szCs w:val="24"/>
        </w:rPr>
        <w:t>CSS</w:t>
      </w:r>
      <w:r w:rsidRPr="00BD6E3A">
        <w:rPr>
          <w:rFonts w:ascii="Times New Roman" w:hAnsi="Times New Roman" w:cs="Times New Roman"/>
          <w:sz w:val="24"/>
          <w:szCs w:val="24"/>
        </w:rPr>
        <w:t xml:space="preserve"> </w:t>
      </w:r>
      <w:r w:rsidRPr="00BD6E3A">
        <w:rPr>
          <w:rFonts w:ascii="Times New Roman" w:hAnsi="Times New Roman" w:cs="Times New Roman"/>
          <w:i/>
          <w:iCs/>
          <w:sz w:val="24"/>
          <w:szCs w:val="24"/>
        </w:rPr>
        <w:t>Alabama.</w:t>
      </w:r>
      <w:r w:rsidRPr="00BD6E3A">
        <w:rPr>
          <w:rFonts w:ascii="Times New Roman" w:hAnsi="Times New Roman" w:cs="Times New Roman"/>
          <w:sz w:val="24"/>
          <w:szCs w:val="24"/>
          <w:vertAlign w:val="superscript"/>
        </w:rPr>
        <w:footnoteReference w:id="717"/>
      </w:r>
      <w:r w:rsidRPr="00BD6E3A">
        <w:rPr>
          <w:rFonts w:ascii="Times New Roman" w:hAnsi="Times New Roman" w:cs="Times New Roman"/>
          <w:i/>
          <w:iCs/>
          <w:sz w:val="24"/>
          <w:szCs w:val="24"/>
        </w:rPr>
        <w:t xml:space="preserve"> </w:t>
      </w:r>
      <w:r w:rsidRPr="00BD6E3A">
        <w:rPr>
          <w:rFonts w:ascii="Times New Roman" w:hAnsi="Times New Roman" w:cs="Times New Roman"/>
          <w:sz w:val="24"/>
          <w:szCs w:val="24"/>
        </w:rPr>
        <w:t>The administration thus began to search for potential replacements to the Court of St. James, and Fish, months prior and in passing, had suggested to Sumner that he could be a viable replacement.</w:t>
      </w:r>
      <w:r w:rsidRPr="00BD6E3A">
        <w:rPr>
          <w:rFonts w:ascii="Times New Roman" w:hAnsi="Times New Roman" w:cs="Times New Roman"/>
          <w:sz w:val="24"/>
          <w:szCs w:val="24"/>
          <w:vertAlign w:val="superscript"/>
        </w:rPr>
        <w:footnoteReference w:id="718"/>
      </w:r>
      <w:r w:rsidRPr="00BD6E3A">
        <w:rPr>
          <w:rFonts w:ascii="Times New Roman" w:hAnsi="Times New Roman" w:cs="Times New Roman"/>
          <w:sz w:val="24"/>
          <w:szCs w:val="24"/>
        </w:rPr>
        <w:t xml:space="preserve"> Between that time and Motley’s removal, much transpired between Sumner and the administration, and Sumner therefore claimed that Fish had done this in an attempt at bribery to cease his opposition to annexation.</w:t>
      </w:r>
      <w:r w:rsidRPr="00BD6E3A">
        <w:rPr>
          <w:rFonts w:ascii="Times New Roman" w:hAnsi="Times New Roman" w:cs="Times New Roman"/>
          <w:sz w:val="24"/>
          <w:szCs w:val="24"/>
          <w:vertAlign w:val="superscript"/>
        </w:rPr>
        <w:footnoteReference w:id="719"/>
      </w:r>
      <w:r w:rsidRPr="00BD6E3A">
        <w:rPr>
          <w:rFonts w:ascii="Times New Roman" w:hAnsi="Times New Roman" w:cs="Times New Roman"/>
          <w:sz w:val="24"/>
          <w:szCs w:val="24"/>
        </w:rPr>
        <w:t xml:space="preserve"> Though Fish denied this claim, Grant’s allies in the Senate urged the president to consider such an appointment as an olive branch that could unite the Republican Party, confident that they could pass the treaty with him gone and that he would lose sympathy if he were to turn the post down, thus strengthening their case in either event.</w:t>
      </w:r>
      <w:r w:rsidRPr="00BD6E3A">
        <w:rPr>
          <w:rFonts w:ascii="Times New Roman" w:hAnsi="Times New Roman" w:cs="Times New Roman"/>
          <w:sz w:val="24"/>
          <w:szCs w:val="24"/>
          <w:vertAlign w:val="superscript"/>
        </w:rPr>
        <w:footnoteReference w:id="720"/>
      </w:r>
      <w:r w:rsidRPr="00BD6E3A">
        <w:rPr>
          <w:rFonts w:ascii="Times New Roman" w:hAnsi="Times New Roman" w:cs="Times New Roman"/>
          <w:sz w:val="24"/>
          <w:szCs w:val="24"/>
        </w:rPr>
        <w:t xml:space="preserve"> Fish finally suggested this at a meeting of Grant’s Cabinet, at which point the President laughed and offered that he would gladly offer the post to Sumner “on condition that he first resign his seat in the Senate, &amp; with the understanding that he would remove him as soon as the nomination was confirmed.”</w:t>
      </w:r>
      <w:r w:rsidRPr="00BD6E3A">
        <w:rPr>
          <w:rFonts w:ascii="Times New Roman" w:hAnsi="Times New Roman" w:cs="Times New Roman"/>
          <w:sz w:val="24"/>
          <w:szCs w:val="24"/>
          <w:vertAlign w:val="superscript"/>
        </w:rPr>
        <w:footnoteReference w:id="721"/>
      </w:r>
      <w:r w:rsidRPr="00BD6E3A">
        <w:rPr>
          <w:rFonts w:ascii="Times New Roman" w:hAnsi="Times New Roman" w:cs="Times New Roman"/>
          <w:sz w:val="24"/>
          <w:szCs w:val="24"/>
        </w:rPr>
        <w:t xml:space="preserve"> Grant’s efforts extending political good will and deference to Sumner had been permanently burned like the many bridges by </w:t>
      </w:r>
      <w:r w:rsidRPr="00BD6E3A">
        <w:rPr>
          <w:rFonts w:ascii="Times New Roman" w:hAnsi="Times New Roman" w:cs="Times New Roman"/>
          <w:sz w:val="24"/>
          <w:szCs w:val="24"/>
        </w:rPr>
        <w:lastRenderedPageBreak/>
        <w:t>Grant’s previous adversaries in war. It was utterly clear that this fight would be settled between Grant and Sumner for better or worse.</w:t>
      </w:r>
    </w:p>
    <w:p w14:paraId="280BC11C" w14:textId="77777777"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Formal consideration of the treaty began in the Senate on June 29</w:t>
      </w:r>
      <w:r w:rsidRPr="00BD6E3A">
        <w:rPr>
          <w:rFonts w:ascii="Times New Roman" w:hAnsi="Times New Roman" w:cs="Times New Roman"/>
          <w:sz w:val="24"/>
          <w:szCs w:val="24"/>
          <w:vertAlign w:val="superscript"/>
        </w:rPr>
        <w:t>th</w:t>
      </w:r>
      <w:r w:rsidRPr="00BD6E3A">
        <w:rPr>
          <w:rFonts w:ascii="Times New Roman" w:hAnsi="Times New Roman" w:cs="Times New Roman"/>
          <w:sz w:val="24"/>
          <w:szCs w:val="24"/>
        </w:rPr>
        <w:t>.</w:t>
      </w:r>
      <w:r w:rsidRPr="00BD6E3A">
        <w:rPr>
          <w:rFonts w:ascii="Times New Roman" w:hAnsi="Times New Roman" w:cs="Times New Roman"/>
          <w:sz w:val="24"/>
          <w:szCs w:val="24"/>
          <w:vertAlign w:val="superscript"/>
        </w:rPr>
        <w:footnoteReference w:id="722"/>
      </w:r>
      <w:r w:rsidRPr="00BD6E3A">
        <w:rPr>
          <w:rFonts w:ascii="Times New Roman" w:hAnsi="Times New Roman" w:cs="Times New Roman"/>
          <w:sz w:val="24"/>
          <w:szCs w:val="24"/>
        </w:rPr>
        <w:t xml:space="preserve"> Sumner, so sure that he had done his part to defeat the annexation efforts, offered no remarks on the proposal. The administration was not so blasé as Sumner, though. In an attempt to gain the favor of those senators still sitting on the fence, Grant and Fish, through Senator Jacob Howard, offered their amendments to the treaty meant to limit American liability for the debt accrued by the Dominicans.</w:t>
      </w:r>
      <w:r w:rsidRPr="00BD6E3A">
        <w:rPr>
          <w:rFonts w:ascii="Times New Roman" w:hAnsi="Times New Roman" w:cs="Times New Roman"/>
          <w:sz w:val="24"/>
          <w:szCs w:val="24"/>
          <w:vertAlign w:val="superscript"/>
        </w:rPr>
        <w:footnoteReference w:id="723"/>
      </w:r>
      <w:r w:rsidRPr="00BD6E3A">
        <w:rPr>
          <w:rFonts w:ascii="Times New Roman" w:hAnsi="Times New Roman" w:cs="Times New Roman"/>
          <w:sz w:val="24"/>
          <w:szCs w:val="24"/>
        </w:rPr>
        <w:t xml:space="preserve"> Each of these amendments was adopted, but by this point their efforts proved to fall short of the administration’s goal. During the official vote, the Senate did not meet the required two-thirds majority to adopt the treaty, finishing with a vote of 28-28, as Sumner and Schurz led a contingent of nineteen Republican Senators who voted against the proposal.</w:t>
      </w:r>
      <w:r w:rsidRPr="00BD6E3A">
        <w:rPr>
          <w:rFonts w:ascii="Times New Roman" w:hAnsi="Times New Roman" w:cs="Times New Roman"/>
          <w:sz w:val="24"/>
          <w:szCs w:val="24"/>
          <w:vertAlign w:val="superscript"/>
        </w:rPr>
        <w:footnoteReference w:id="724"/>
      </w:r>
      <w:r w:rsidRPr="00BD6E3A">
        <w:rPr>
          <w:rFonts w:ascii="Times New Roman" w:hAnsi="Times New Roman" w:cs="Times New Roman"/>
          <w:sz w:val="24"/>
          <w:szCs w:val="24"/>
        </w:rPr>
        <w:t xml:space="preserve"> </w:t>
      </w:r>
    </w:p>
    <w:p w14:paraId="0CBC124F" w14:textId="77777777" w:rsidR="00B773DC" w:rsidRDefault="00BD6E3A" w:rsidP="00B773DC">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In the wake of the treaty’s defeat, President Grant continued to fight, hoping that the work he and his cabinet had done wasn’t for naught. Shortly following the treaty’s defeat, Fish agreed with Fabens to extend the ratification date for the separate Samaná Bay lease agreement for a year in hopes that more could be achieved on this front, though this offer was not formalized into a law in effect in the United States.</w:t>
      </w:r>
      <w:r w:rsidRPr="00BD6E3A">
        <w:rPr>
          <w:rFonts w:ascii="Times New Roman" w:hAnsi="Times New Roman" w:cs="Times New Roman"/>
          <w:sz w:val="24"/>
          <w:szCs w:val="24"/>
          <w:vertAlign w:val="superscript"/>
        </w:rPr>
        <w:footnoteReference w:id="725"/>
      </w:r>
      <w:r w:rsidRPr="00BD6E3A">
        <w:rPr>
          <w:rFonts w:ascii="Times New Roman" w:hAnsi="Times New Roman" w:cs="Times New Roman"/>
          <w:sz w:val="24"/>
          <w:szCs w:val="24"/>
        </w:rPr>
        <w:t xml:space="preserve"> The administration further hoped that a joint resolution could present an avenue for annexation, but this too proved to be a nonstarter as no such proposal was offered.</w:t>
      </w:r>
      <w:r w:rsidRPr="00BD6E3A">
        <w:rPr>
          <w:rFonts w:ascii="Times New Roman" w:hAnsi="Times New Roman" w:cs="Times New Roman"/>
          <w:sz w:val="24"/>
          <w:szCs w:val="24"/>
          <w:vertAlign w:val="superscript"/>
        </w:rPr>
        <w:footnoteReference w:id="726"/>
      </w:r>
      <w:r w:rsidRPr="00BD6E3A">
        <w:rPr>
          <w:rFonts w:ascii="Times New Roman" w:hAnsi="Times New Roman" w:cs="Times New Roman"/>
          <w:sz w:val="24"/>
          <w:szCs w:val="24"/>
        </w:rPr>
        <w:t xml:space="preserve">  Perhaps in retaliation for Sumner’s vocal opposition to his proposal, President Grant sought the resignation of John Motley, the American Minister to </w:t>
      </w:r>
      <w:r w:rsidRPr="00BD6E3A">
        <w:rPr>
          <w:rFonts w:ascii="Times New Roman" w:hAnsi="Times New Roman" w:cs="Times New Roman"/>
          <w:sz w:val="24"/>
          <w:szCs w:val="24"/>
        </w:rPr>
        <w:lastRenderedPageBreak/>
        <w:t xml:space="preserve">England who had erred regarding the </w:t>
      </w:r>
      <w:r w:rsidRPr="00BD6E3A">
        <w:rPr>
          <w:rFonts w:ascii="Times New Roman" w:hAnsi="Times New Roman" w:cs="Times New Roman"/>
          <w:i/>
          <w:iCs/>
          <w:sz w:val="24"/>
          <w:szCs w:val="24"/>
        </w:rPr>
        <w:t xml:space="preserve">Alabama </w:t>
      </w:r>
      <w:r w:rsidRPr="00BD6E3A">
        <w:rPr>
          <w:rFonts w:ascii="Times New Roman" w:hAnsi="Times New Roman" w:cs="Times New Roman"/>
          <w:sz w:val="24"/>
          <w:szCs w:val="24"/>
        </w:rPr>
        <w:t>affairs and who was a close confidant of Sumner, claiming that he would “not allow Mr. Sumner to ride over me.”</w:t>
      </w:r>
      <w:r w:rsidRPr="00BD6E3A">
        <w:rPr>
          <w:rFonts w:ascii="Times New Roman" w:hAnsi="Times New Roman" w:cs="Times New Roman"/>
          <w:sz w:val="24"/>
          <w:szCs w:val="24"/>
          <w:vertAlign w:val="superscript"/>
        </w:rPr>
        <w:footnoteReference w:id="727"/>
      </w:r>
      <w:r w:rsidRPr="00BD6E3A">
        <w:rPr>
          <w:rFonts w:ascii="Times New Roman" w:hAnsi="Times New Roman" w:cs="Times New Roman"/>
          <w:sz w:val="24"/>
          <w:szCs w:val="24"/>
        </w:rPr>
        <w:t xml:space="preserve"> Sumner subsequently launched into a tirade defending Motley on the floor of the Senate, but by this point Grant proved that Sumner was not untouchable in foreign affairs, even if his main goal was not met.</w:t>
      </w:r>
      <w:r w:rsidRPr="00BD6E3A">
        <w:rPr>
          <w:rFonts w:ascii="Times New Roman" w:hAnsi="Times New Roman" w:cs="Times New Roman"/>
          <w:sz w:val="24"/>
          <w:szCs w:val="24"/>
          <w:vertAlign w:val="superscript"/>
        </w:rPr>
        <w:footnoteReference w:id="728"/>
      </w:r>
      <w:r w:rsidRPr="00BD6E3A">
        <w:rPr>
          <w:rFonts w:ascii="Times New Roman" w:hAnsi="Times New Roman" w:cs="Times New Roman"/>
          <w:sz w:val="24"/>
          <w:szCs w:val="24"/>
        </w:rPr>
        <w:t xml:space="preserve"> For all intents and purposes, Grant’s dream of a new, permanent American presence in the Caribbean was dashed.</w:t>
      </w:r>
    </w:p>
    <w:p w14:paraId="57C824BA" w14:textId="50DEC1C2" w:rsidR="00BD6E3A" w:rsidRPr="00BD6E3A" w:rsidRDefault="00BD6E3A" w:rsidP="00B773DC">
      <w:pPr>
        <w:spacing w:line="480" w:lineRule="auto"/>
        <w:jc w:val="center"/>
        <w:rPr>
          <w:rFonts w:ascii="Times New Roman" w:hAnsi="Times New Roman" w:cs="Times New Roman"/>
          <w:sz w:val="24"/>
          <w:szCs w:val="24"/>
        </w:rPr>
      </w:pPr>
      <w:r w:rsidRPr="00BD6E3A">
        <w:rPr>
          <w:rFonts w:ascii="Times New Roman" w:hAnsi="Times New Roman" w:cs="Times New Roman"/>
          <w:sz w:val="24"/>
          <w:szCs w:val="24"/>
        </w:rPr>
        <w:t>Failed Annexation Efforts</w:t>
      </w:r>
    </w:p>
    <w:p w14:paraId="3435D128" w14:textId="77777777"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The attempted annexation of Santo Domingo meant several steps back for the Grant Administration. President Grant’s split with Senator Sumner proved that divisions existed within the Republican Party that maintained control over the nation during Reconstruction, and Sumner emerged as a leading opponent of the administration. The affair further led to dissension within Grant’s own ranks. Hamilton Fish attempted to resign from his post as Secretary of State, intimating that he had not agreed with Grant on such key matters as Santo Domingo or Babcock’s role in this matter, but he instead took much of the blame for the administration’s failures in the attempted annexation.</w:t>
      </w:r>
      <w:r w:rsidRPr="00BD6E3A">
        <w:rPr>
          <w:rFonts w:ascii="Times New Roman" w:hAnsi="Times New Roman" w:cs="Times New Roman"/>
          <w:sz w:val="24"/>
          <w:szCs w:val="24"/>
          <w:vertAlign w:val="superscript"/>
        </w:rPr>
        <w:footnoteReference w:id="729"/>
      </w:r>
      <w:r w:rsidRPr="00BD6E3A">
        <w:rPr>
          <w:rFonts w:ascii="Times New Roman" w:hAnsi="Times New Roman" w:cs="Times New Roman"/>
          <w:sz w:val="24"/>
          <w:szCs w:val="24"/>
        </w:rPr>
        <w:t xml:space="preserve"> Grant assured Fish that he would not accept his resignation, that his performance as Secretary pleased both his President and the nation he served, and Fish, though not elated, agreed to continue to serve.</w:t>
      </w:r>
      <w:r w:rsidRPr="00BD6E3A">
        <w:rPr>
          <w:rFonts w:ascii="Times New Roman" w:hAnsi="Times New Roman" w:cs="Times New Roman"/>
          <w:sz w:val="24"/>
          <w:szCs w:val="24"/>
          <w:vertAlign w:val="superscript"/>
        </w:rPr>
        <w:footnoteReference w:id="730"/>
      </w:r>
      <w:r w:rsidRPr="00BD6E3A">
        <w:rPr>
          <w:rFonts w:ascii="Times New Roman" w:hAnsi="Times New Roman" w:cs="Times New Roman"/>
          <w:sz w:val="24"/>
          <w:szCs w:val="24"/>
        </w:rPr>
        <w:t xml:space="preserve"> Perhaps most lasting, the failure of the annexation treaty and the vocal opposition to those who supported it contributed to a growing reputation of Grant’s administration as one laden with corruption and incompetence. </w:t>
      </w:r>
      <w:r w:rsidRPr="00BD6E3A">
        <w:rPr>
          <w:rFonts w:ascii="Times New Roman" w:hAnsi="Times New Roman" w:cs="Times New Roman"/>
          <w:sz w:val="24"/>
          <w:szCs w:val="24"/>
        </w:rPr>
        <w:lastRenderedPageBreak/>
        <w:t>The attempt at annexation that began with such potential for American growth turned into a festering pox on the Grant Administration.</w:t>
      </w:r>
    </w:p>
    <w:p w14:paraId="0FA5C05A" w14:textId="1A2101D9" w:rsidR="00BD6E3A" w:rsidRPr="00BD6E3A" w:rsidRDefault="00BD6E3A" w:rsidP="00BD6E3A">
      <w:pPr>
        <w:spacing w:line="480" w:lineRule="auto"/>
        <w:rPr>
          <w:rFonts w:ascii="Times New Roman" w:hAnsi="Times New Roman" w:cs="Times New Roman"/>
          <w:sz w:val="24"/>
          <w:szCs w:val="24"/>
        </w:rPr>
      </w:pPr>
      <w:r w:rsidRPr="00BD6E3A">
        <w:rPr>
          <w:rFonts w:ascii="Times New Roman" w:hAnsi="Times New Roman" w:cs="Times New Roman"/>
          <w:sz w:val="24"/>
          <w:szCs w:val="24"/>
        </w:rPr>
        <w:tab/>
        <w:t xml:space="preserve">Babcock’s centrality to this important moment elevated him as a major player in national debate and international affairs, though he returned to his post in the White House. Still, the notoriety he attained due to his role in these events brought the eye of the masses upon him, and not always in a good way.  He was labeled a “damned rascal” in the eyes of some important Washingtonians, as well as the public, once discussions of his activities were reported in print. His actions were deemed impermissible by opponents of the administration, and by allowing him to remain at his post, Grant virtually accepted additional critiques levied against him and his administration.  </w:t>
      </w:r>
    </w:p>
    <w:p w14:paraId="64D107D9" w14:textId="00D96709"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While Babcock was offered land by Baez, he did not accept it in an official capacity because it could derail the treaty he was sent to oversee. His diary suggests that he was excited for a separate offer of land in Santo Domingo, but this land was never acquired because of the failure of the annexation treaty. He allowed personal issues with individuals like Perry to </w:t>
      </w:r>
      <w:r w:rsidR="00D04C43">
        <w:rPr>
          <w:rFonts w:ascii="Times New Roman" w:hAnsi="Times New Roman" w:cs="Times New Roman"/>
          <w:sz w:val="24"/>
          <w:szCs w:val="24"/>
        </w:rPr>
        <w:t xml:space="preserve">block </w:t>
      </w:r>
      <w:r w:rsidRPr="00BD6E3A">
        <w:rPr>
          <w:rFonts w:ascii="Times New Roman" w:hAnsi="Times New Roman" w:cs="Times New Roman"/>
          <w:sz w:val="24"/>
          <w:szCs w:val="24"/>
        </w:rPr>
        <w:t xml:space="preserve">some </w:t>
      </w:r>
      <w:r w:rsidR="007C44EF">
        <w:rPr>
          <w:rFonts w:ascii="Times New Roman" w:hAnsi="Times New Roman" w:cs="Times New Roman"/>
          <w:sz w:val="24"/>
          <w:szCs w:val="24"/>
        </w:rPr>
        <w:t>avenue</w:t>
      </w:r>
      <w:r w:rsidRPr="00BD6E3A">
        <w:rPr>
          <w:rFonts w:ascii="Times New Roman" w:hAnsi="Times New Roman" w:cs="Times New Roman"/>
          <w:sz w:val="24"/>
          <w:szCs w:val="24"/>
        </w:rPr>
        <w:t xml:space="preserve">s that could help the annexation efforts, but these types of mistakes may be considered typical of novice political agents in their first true operation in the field. Babcock missed out on the fortune that could have supported him for years, but he gained a taste of what could be if he were to engage with other like-minded individuals in the future. </w:t>
      </w:r>
    </w:p>
    <w:p w14:paraId="4226F0CA" w14:textId="60AE0CA5" w:rsidR="00BD6E3A" w:rsidRPr="00BD6E3A" w:rsidRDefault="00BD6E3A" w:rsidP="00BD6E3A">
      <w:pPr>
        <w:spacing w:line="480" w:lineRule="auto"/>
        <w:ind w:firstLine="720"/>
        <w:rPr>
          <w:rFonts w:ascii="Times New Roman" w:hAnsi="Times New Roman" w:cs="Times New Roman"/>
          <w:sz w:val="24"/>
          <w:szCs w:val="24"/>
        </w:rPr>
      </w:pPr>
      <w:r w:rsidRPr="00BD6E3A">
        <w:rPr>
          <w:rFonts w:ascii="Times New Roman" w:hAnsi="Times New Roman" w:cs="Times New Roman"/>
          <w:sz w:val="24"/>
          <w:szCs w:val="24"/>
        </w:rPr>
        <w:t xml:space="preserve">Whether Babcock was actually involved in illicit activities in the case of Santo Domingo may never be officially proven. However, we can safely state that this event tainted Babcock as an individual believed to be involved in corrupt behavior. We can assume through historical documentation that Babcock was, at the very least, exposed to corrupt activities and tempted by the opportunities to secure his financial nest egg in the Caribbean. </w:t>
      </w:r>
      <w:r w:rsidR="00D91A76">
        <w:rPr>
          <w:rFonts w:ascii="Times New Roman" w:hAnsi="Times New Roman" w:cs="Times New Roman"/>
          <w:sz w:val="24"/>
          <w:szCs w:val="24"/>
        </w:rPr>
        <w:t>He goes on to seek</w:t>
      </w:r>
      <w:r w:rsidRPr="00BD6E3A">
        <w:rPr>
          <w:rFonts w:ascii="Times New Roman" w:hAnsi="Times New Roman" w:cs="Times New Roman"/>
          <w:sz w:val="24"/>
          <w:szCs w:val="24"/>
        </w:rPr>
        <w:t xml:space="preserve"> other </w:t>
      </w:r>
      <w:r w:rsidRPr="00BD6E3A">
        <w:rPr>
          <w:rFonts w:ascii="Times New Roman" w:hAnsi="Times New Roman" w:cs="Times New Roman"/>
          <w:sz w:val="24"/>
          <w:szCs w:val="24"/>
        </w:rPr>
        <w:lastRenderedPageBreak/>
        <w:t xml:space="preserve">questionable financial and personal opportunities in his political career after his escapades in Santo Domingo. With individuals in political circles, the press, and the general public bombarded with claims of impropriety, and the nature of this occurring to not only a White House official, but also a close personal friend of the President, assumptions that Babcock was corrupt became par for the course.  </w:t>
      </w:r>
      <w:r w:rsidR="00D91A76">
        <w:rPr>
          <w:rFonts w:ascii="Times New Roman" w:hAnsi="Times New Roman" w:cs="Times New Roman"/>
          <w:sz w:val="24"/>
          <w:szCs w:val="24"/>
        </w:rPr>
        <w:t>T</w:t>
      </w:r>
      <w:r w:rsidRPr="00BD6E3A">
        <w:rPr>
          <w:rFonts w:ascii="Times New Roman" w:hAnsi="Times New Roman" w:cs="Times New Roman"/>
          <w:sz w:val="24"/>
          <w:szCs w:val="24"/>
        </w:rPr>
        <w:t>he stigma that came with his actions in this important moment in history led to an assumption amongst the masses that Babcock could be linked to corrupt activities during the Reconstruction Era, and by association, the entire Grant Administration was tainted by such claims, whether justified or not. Nevertheless, Babcock remained in good standing with the one person that mattered- his employer, Grant- and as a result his position within the nation’s capital was secure for the moment.</w:t>
      </w:r>
    </w:p>
    <w:p w14:paraId="6AF050DE" w14:textId="77777777" w:rsidR="00BD6E3A" w:rsidRDefault="00BD6E3A" w:rsidP="00BD6E3A">
      <w:pPr>
        <w:spacing w:line="480" w:lineRule="auto"/>
        <w:rPr>
          <w:rFonts w:ascii="Times New Roman" w:hAnsi="Times New Roman" w:cs="Times New Roman"/>
          <w:sz w:val="24"/>
          <w:szCs w:val="24"/>
        </w:rPr>
      </w:pPr>
    </w:p>
    <w:p w14:paraId="077CE8D4" w14:textId="77777777" w:rsidR="00952AEA" w:rsidRDefault="00952AEA" w:rsidP="00BD6E3A">
      <w:pPr>
        <w:spacing w:line="480" w:lineRule="auto"/>
        <w:rPr>
          <w:rFonts w:ascii="Times New Roman" w:hAnsi="Times New Roman" w:cs="Times New Roman"/>
          <w:sz w:val="24"/>
          <w:szCs w:val="24"/>
        </w:rPr>
      </w:pPr>
    </w:p>
    <w:p w14:paraId="09F405D6" w14:textId="77777777" w:rsidR="00816BCF" w:rsidRDefault="00816BCF" w:rsidP="00BD6E3A">
      <w:pPr>
        <w:spacing w:line="480" w:lineRule="auto"/>
        <w:rPr>
          <w:rFonts w:ascii="Times New Roman" w:hAnsi="Times New Roman" w:cs="Times New Roman"/>
          <w:sz w:val="24"/>
          <w:szCs w:val="24"/>
        </w:rPr>
      </w:pPr>
    </w:p>
    <w:p w14:paraId="3E8579BD" w14:textId="77777777" w:rsidR="00952AEA" w:rsidRDefault="00952AEA" w:rsidP="00BD6E3A">
      <w:pPr>
        <w:spacing w:line="480" w:lineRule="auto"/>
        <w:rPr>
          <w:rFonts w:ascii="Times New Roman" w:hAnsi="Times New Roman" w:cs="Times New Roman"/>
          <w:sz w:val="24"/>
          <w:szCs w:val="24"/>
        </w:rPr>
      </w:pPr>
    </w:p>
    <w:p w14:paraId="2A4CEFAA" w14:textId="77777777" w:rsidR="00613943" w:rsidRDefault="00613943" w:rsidP="00BD6E3A">
      <w:pPr>
        <w:spacing w:line="480" w:lineRule="auto"/>
        <w:rPr>
          <w:rFonts w:ascii="Times New Roman" w:hAnsi="Times New Roman" w:cs="Times New Roman"/>
          <w:sz w:val="24"/>
          <w:szCs w:val="24"/>
        </w:rPr>
      </w:pPr>
    </w:p>
    <w:p w14:paraId="7A1D45B1" w14:textId="77777777" w:rsidR="00613943" w:rsidRDefault="00613943" w:rsidP="00BD6E3A">
      <w:pPr>
        <w:spacing w:line="480" w:lineRule="auto"/>
        <w:rPr>
          <w:rFonts w:ascii="Times New Roman" w:hAnsi="Times New Roman" w:cs="Times New Roman"/>
          <w:sz w:val="24"/>
          <w:szCs w:val="24"/>
        </w:rPr>
      </w:pPr>
    </w:p>
    <w:p w14:paraId="4FF84E44" w14:textId="77777777" w:rsidR="00613943" w:rsidRDefault="00613943" w:rsidP="00BD6E3A">
      <w:pPr>
        <w:spacing w:line="480" w:lineRule="auto"/>
        <w:rPr>
          <w:rFonts w:ascii="Times New Roman" w:hAnsi="Times New Roman" w:cs="Times New Roman"/>
          <w:sz w:val="24"/>
          <w:szCs w:val="24"/>
        </w:rPr>
      </w:pPr>
    </w:p>
    <w:p w14:paraId="2B6DA755" w14:textId="77777777" w:rsidR="00613943" w:rsidRDefault="00613943" w:rsidP="00BD6E3A">
      <w:pPr>
        <w:spacing w:line="480" w:lineRule="auto"/>
        <w:rPr>
          <w:rFonts w:ascii="Times New Roman" w:hAnsi="Times New Roman" w:cs="Times New Roman"/>
          <w:sz w:val="24"/>
          <w:szCs w:val="24"/>
        </w:rPr>
      </w:pPr>
    </w:p>
    <w:p w14:paraId="65D8E47D" w14:textId="77777777" w:rsidR="00613943" w:rsidRDefault="00613943" w:rsidP="00BD6E3A">
      <w:pPr>
        <w:spacing w:line="480" w:lineRule="auto"/>
        <w:rPr>
          <w:rFonts w:ascii="Times New Roman" w:hAnsi="Times New Roman" w:cs="Times New Roman"/>
          <w:sz w:val="24"/>
          <w:szCs w:val="24"/>
        </w:rPr>
      </w:pPr>
    </w:p>
    <w:p w14:paraId="5BF00F87" w14:textId="77777777" w:rsidR="00613943" w:rsidRPr="00BD6E3A" w:rsidRDefault="00613943" w:rsidP="00BD6E3A">
      <w:pPr>
        <w:spacing w:line="480" w:lineRule="auto"/>
        <w:rPr>
          <w:rFonts w:ascii="Times New Roman" w:hAnsi="Times New Roman" w:cs="Times New Roman"/>
          <w:sz w:val="24"/>
          <w:szCs w:val="24"/>
        </w:rPr>
      </w:pPr>
    </w:p>
    <w:p w14:paraId="2BCF9F07" w14:textId="5EE8D0D6" w:rsidR="002D394D" w:rsidRPr="002D394D" w:rsidRDefault="002D394D" w:rsidP="00986484">
      <w:pPr>
        <w:spacing w:line="480" w:lineRule="auto"/>
        <w:jc w:val="center"/>
        <w:rPr>
          <w:rFonts w:ascii="Times New Roman" w:hAnsi="Times New Roman" w:cs="Times New Roman"/>
          <w:sz w:val="24"/>
          <w:szCs w:val="24"/>
        </w:rPr>
      </w:pPr>
      <w:r w:rsidRPr="002D394D">
        <w:rPr>
          <w:rFonts w:ascii="Times New Roman" w:hAnsi="Times New Roman" w:cs="Times New Roman"/>
          <w:sz w:val="24"/>
          <w:szCs w:val="24"/>
        </w:rPr>
        <w:lastRenderedPageBreak/>
        <w:t xml:space="preserve">Chapter </w:t>
      </w:r>
      <w:r w:rsidR="004E4290">
        <w:rPr>
          <w:rFonts w:ascii="Times New Roman" w:hAnsi="Times New Roman" w:cs="Times New Roman"/>
          <w:sz w:val="24"/>
          <w:szCs w:val="24"/>
        </w:rPr>
        <w:t>Three</w:t>
      </w:r>
      <w:r w:rsidRPr="002D394D">
        <w:rPr>
          <w:rFonts w:ascii="Times New Roman" w:hAnsi="Times New Roman" w:cs="Times New Roman"/>
          <w:sz w:val="24"/>
          <w:szCs w:val="24"/>
        </w:rPr>
        <w:t xml:space="preserve">: </w:t>
      </w:r>
      <w:bookmarkStart w:id="42" w:name="_Hlk200793694"/>
      <w:r w:rsidRPr="002D394D">
        <w:rPr>
          <w:rFonts w:ascii="Times New Roman" w:hAnsi="Times New Roman" w:cs="Times New Roman"/>
          <w:sz w:val="24"/>
          <w:szCs w:val="24"/>
        </w:rPr>
        <w:t>Public Works and Private Workings: How Beautifying the Capital Led to Forgiveness for Alleged Grift</w:t>
      </w:r>
      <w:bookmarkEnd w:id="42"/>
    </w:p>
    <w:p w14:paraId="0E633438" w14:textId="77777777" w:rsidR="0074413B"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 xml:space="preserve">Orville Babcock escaped the Santo Domingo imbroglio relatively unscathed save from rumors about his alleged improprieties. He was unsuccessful in his efforts to annex the island, but he accomplished his </w:t>
      </w:r>
      <w:r w:rsidR="00495999">
        <w:rPr>
          <w:rFonts w:ascii="Times New Roman" w:hAnsi="Times New Roman" w:cs="Times New Roman"/>
          <w:sz w:val="24"/>
          <w:szCs w:val="24"/>
        </w:rPr>
        <w:t xml:space="preserve">assigned </w:t>
      </w:r>
      <w:r w:rsidRPr="002D394D">
        <w:rPr>
          <w:rFonts w:ascii="Times New Roman" w:hAnsi="Times New Roman" w:cs="Times New Roman"/>
          <w:sz w:val="24"/>
          <w:szCs w:val="24"/>
        </w:rPr>
        <w:t xml:space="preserve">tasks ably, and, to the knowledge of the </w:t>
      </w:r>
      <w:r w:rsidR="00495999">
        <w:rPr>
          <w:rFonts w:ascii="Times New Roman" w:hAnsi="Times New Roman" w:cs="Times New Roman"/>
          <w:sz w:val="24"/>
          <w:szCs w:val="24"/>
        </w:rPr>
        <w:t xml:space="preserve">President </w:t>
      </w:r>
      <w:r w:rsidRPr="002D394D">
        <w:rPr>
          <w:rFonts w:ascii="Times New Roman" w:hAnsi="Times New Roman" w:cs="Times New Roman"/>
          <w:sz w:val="24"/>
          <w:szCs w:val="24"/>
        </w:rPr>
        <w:t>Grant, he did so without succumbing to the corruption claimed by opponents. As such, Grant afforded him an increased presence in the nation’s capital.  Babcock became a mouthpiece for the President, taking on new roles in the administration based on the trust he e</w:t>
      </w:r>
      <w:r w:rsidR="005250E0">
        <w:rPr>
          <w:rFonts w:ascii="Times New Roman" w:hAnsi="Times New Roman" w:cs="Times New Roman"/>
          <w:sz w:val="24"/>
          <w:szCs w:val="24"/>
        </w:rPr>
        <w:t>ngender</w:t>
      </w:r>
      <w:r w:rsidRPr="002D394D">
        <w:rPr>
          <w:rFonts w:ascii="Times New Roman" w:hAnsi="Times New Roman" w:cs="Times New Roman"/>
          <w:sz w:val="24"/>
          <w:szCs w:val="24"/>
        </w:rPr>
        <w:t xml:space="preserve">ed from his former general. He became a key member of Washington society through his </w:t>
      </w:r>
      <w:r w:rsidR="00B731F8">
        <w:rPr>
          <w:rFonts w:ascii="Times New Roman" w:hAnsi="Times New Roman" w:cs="Times New Roman"/>
          <w:sz w:val="24"/>
          <w:szCs w:val="24"/>
        </w:rPr>
        <w:t>leadership</w:t>
      </w:r>
      <w:r w:rsidRPr="002D394D">
        <w:rPr>
          <w:rFonts w:ascii="Times New Roman" w:hAnsi="Times New Roman" w:cs="Times New Roman"/>
          <w:sz w:val="24"/>
          <w:szCs w:val="24"/>
        </w:rPr>
        <w:t xml:space="preserve"> improving the p</w:t>
      </w:r>
      <w:r w:rsidR="00E814B2">
        <w:rPr>
          <w:rFonts w:ascii="Times New Roman" w:hAnsi="Times New Roman" w:cs="Times New Roman"/>
          <w:sz w:val="24"/>
          <w:szCs w:val="24"/>
        </w:rPr>
        <w:t>hysical</w:t>
      </w:r>
      <w:r w:rsidRPr="002D394D">
        <w:rPr>
          <w:rFonts w:ascii="Times New Roman" w:hAnsi="Times New Roman" w:cs="Times New Roman"/>
          <w:sz w:val="24"/>
          <w:szCs w:val="24"/>
        </w:rPr>
        <w:t xml:space="preserve"> landscape of the city.  He was thus in contact with other politically savvy individuals, for better or worse, as he worked publicly for the good of the many, and privately for the good of the few, namely himself and these new unsavory friends. While rumors about Babcock’s alleged immorality resurfaced, his successes in the public sphere, combined with Grant’s trust, made him nigh untouchable</w:t>
      </w:r>
      <w:r w:rsidR="0074413B">
        <w:rPr>
          <w:rFonts w:ascii="Times New Roman" w:hAnsi="Times New Roman" w:cs="Times New Roman"/>
          <w:sz w:val="24"/>
          <w:szCs w:val="24"/>
        </w:rPr>
        <w:t xml:space="preserve"> (</w:t>
      </w:r>
      <w:r w:rsidR="0074413B">
        <w:rPr>
          <w:rFonts w:ascii="Times New Roman" w:hAnsi="Times New Roman" w:cs="Times New Roman"/>
          <w:b/>
          <w:bCs/>
          <w:sz w:val="24"/>
          <w:szCs w:val="24"/>
        </w:rPr>
        <w:t>Figure 3.1</w:t>
      </w:r>
      <w:r w:rsidR="0074413B">
        <w:rPr>
          <w:rFonts w:ascii="Times New Roman" w:hAnsi="Times New Roman" w:cs="Times New Roman"/>
          <w:sz w:val="24"/>
          <w:szCs w:val="24"/>
        </w:rPr>
        <w:t>)</w:t>
      </w:r>
      <w:r w:rsidRPr="002D394D">
        <w:rPr>
          <w:rFonts w:ascii="Times New Roman" w:hAnsi="Times New Roman" w:cs="Times New Roman"/>
          <w:sz w:val="24"/>
          <w:szCs w:val="24"/>
        </w:rPr>
        <w:t xml:space="preserve">. </w:t>
      </w:r>
    </w:p>
    <w:p w14:paraId="571488C9" w14:textId="6786B471" w:rsidR="002D394D" w:rsidRPr="002D394D" w:rsidRDefault="002D394D" w:rsidP="0074413B">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 </w:t>
      </w:r>
      <w:r w:rsidR="0074413B" w:rsidRPr="002D394D">
        <w:rPr>
          <w:rFonts w:ascii="Times New Roman" w:hAnsi="Times New Roman" w:cs="Times New Roman"/>
          <w:sz w:val="24"/>
          <w:szCs w:val="24"/>
        </w:rPr>
        <w:t>The very presence of these allegations of scandal and corruption are what matters most to Babcock’s story and to those of other pragmaticos during the Reconstruction Era, particularly in the nation’s capital. Several of the patronage positions filled by military men were filled by individuals who did not have experience in these roles, as no one had any experience in these</w:t>
      </w:r>
      <w:r w:rsidR="0074413B" w:rsidRPr="0074413B">
        <w:rPr>
          <w:rFonts w:ascii="Times New Roman" w:hAnsi="Times New Roman" w:cs="Times New Roman"/>
          <w:sz w:val="24"/>
          <w:szCs w:val="24"/>
        </w:rPr>
        <w:t xml:space="preserve"> </w:t>
      </w:r>
      <w:r w:rsidR="0074413B" w:rsidRPr="002D394D">
        <w:rPr>
          <w:rFonts w:ascii="Times New Roman" w:hAnsi="Times New Roman" w:cs="Times New Roman"/>
          <w:sz w:val="24"/>
          <w:szCs w:val="24"/>
        </w:rPr>
        <w:t>new roles. This was especially true in Washington, as the city faced such challenges as a restructured system of government and a potential relocation of the federal government to the American Midwest.  The landscape of the city was in shambles, ravaged by warfare training sites and makeshift defenses.</w:t>
      </w:r>
      <w:r w:rsidR="0074413B" w:rsidRPr="0074413B">
        <w:rPr>
          <w:rFonts w:ascii="Times New Roman" w:hAnsi="Times New Roman" w:cs="Times New Roman"/>
          <w:sz w:val="24"/>
          <w:szCs w:val="24"/>
        </w:rPr>
        <w:t xml:space="preserve"> </w:t>
      </w:r>
      <w:r w:rsidR="0074413B" w:rsidRPr="002D394D">
        <w:rPr>
          <w:rFonts w:ascii="Times New Roman" w:hAnsi="Times New Roman" w:cs="Times New Roman"/>
          <w:sz w:val="24"/>
          <w:szCs w:val="24"/>
        </w:rPr>
        <w:t>The capital was ill-equipped for the influx of freedpeople after</w:t>
      </w:r>
      <w:r w:rsidR="0018028E" w:rsidRPr="0018028E">
        <w:rPr>
          <w:rFonts w:ascii="Times New Roman" w:hAnsi="Times New Roman" w:cs="Times New Roman"/>
          <w:sz w:val="24"/>
          <w:szCs w:val="24"/>
        </w:rPr>
        <w:t xml:space="preserve"> </w:t>
      </w:r>
      <w:r w:rsidR="0018028E" w:rsidRPr="002D394D">
        <w:rPr>
          <w:rFonts w:ascii="Times New Roman" w:hAnsi="Times New Roman" w:cs="Times New Roman"/>
          <w:sz w:val="24"/>
          <w:szCs w:val="24"/>
        </w:rPr>
        <w:t>the Emancipation Proclamation, and the poorly constructed</w:t>
      </w:r>
      <w:r w:rsidR="0018028E" w:rsidRPr="0018028E">
        <w:rPr>
          <w:rFonts w:ascii="Times New Roman" w:hAnsi="Times New Roman" w:cs="Times New Roman"/>
          <w:sz w:val="24"/>
          <w:szCs w:val="24"/>
        </w:rPr>
        <w:t xml:space="preserve"> </w:t>
      </w:r>
      <w:r w:rsidR="0018028E" w:rsidRPr="002D394D">
        <w:rPr>
          <w:rFonts w:ascii="Times New Roman" w:hAnsi="Times New Roman" w:cs="Times New Roman"/>
          <w:sz w:val="24"/>
          <w:szCs w:val="24"/>
        </w:rPr>
        <w:t>temporary housing these people lived in</w:t>
      </w:r>
    </w:p>
    <w:p w14:paraId="6949B3AC" w14:textId="2390A46F" w:rsidR="0074413B" w:rsidRDefault="0074413B" w:rsidP="0074413B">
      <w:pPr>
        <w:spacing w:line="240" w:lineRule="auto"/>
        <w:jc w:val="center"/>
        <w:rPr>
          <w:rFonts w:ascii="Times New Roman" w:hAnsi="Times New Roman" w:cs="Times New Roman"/>
          <w:b/>
          <w:bCs/>
          <w:sz w:val="20"/>
          <w:szCs w:val="20"/>
        </w:rPr>
      </w:pPr>
      <w:r w:rsidRPr="002D394D">
        <w:rPr>
          <w:rFonts w:ascii="Times New Roman" w:hAnsi="Times New Roman" w:cs="Times New Roman"/>
          <w:noProof/>
          <w:sz w:val="24"/>
          <w:szCs w:val="24"/>
        </w:rPr>
        <w:lastRenderedPageBreak/>
        <w:drawing>
          <wp:inline distT="0" distB="0" distL="0" distR="0" wp14:anchorId="0765150C" wp14:editId="5114E4AC">
            <wp:extent cx="2065020" cy="2620609"/>
            <wp:effectExtent l="0" t="0" r="0" b="8890"/>
            <wp:docPr id="665666611" name="Picture 2" descr="A group of men in military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66611" name="Picture 2" descr="A group of men in military uniforms&#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504" r="3245" b="3095"/>
                    <a:stretch>
                      <a:fillRect/>
                    </a:stretch>
                  </pic:blipFill>
                  <pic:spPr bwMode="auto">
                    <a:xfrm>
                      <a:off x="0" y="0"/>
                      <a:ext cx="2087861" cy="2649596"/>
                    </a:xfrm>
                    <a:prstGeom prst="rect">
                      <a:avLst/>
                    </a:prstGeom>
                    <a:noFill/>
                    <a:ln>
                      <a:noFill/>
                    </a:ln>
                    <a:extLst>
                      <a:ext uri="{53640926-AAD7-44D8-BBD7-CCE9431645EC}">
                        <a14:shadowObscured xmlns:a14="http://schemas.microsoft.com/office/drawing/2010/main"/>
                      </a:ext>
                    </a:extLst>
                  </pic:spPr>
                </pic:pic>
              </a:graphicData>
            </a:graphic>
          </wp:inline>
        </w:drawing>
      </w:r>
      <w:r w:rsidRPr="0074413B">
        <w:rPr>
          <w:rFonts w:ascii="Times New Roman" w:hAnsi="Times New Roman" w:cs="Times New Roman"/>
          <w:b/>
          <w:bCs/>
          <w:sz w:val="20"/>
          <w:szCs w:val="20"/>
        </w:rPr>
        <w:t xml:space="preserve"> </w:t>
      </w:r>
    </w:p>
    <w:p w14:paraId="540B0979" w14:textId="699737EF" w:rsidR="0074413B" w:rsidRPr="00E1766C" w:rsidRDefault="0074413B" w:rsidP="00C5702A">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Figure 3.1: </w:t>
      </w:r>
      <w:r w:rsidRPr="00E1766C">
        <w:rPr>
          <w:rFonts w:ascii="Times New Roman" w:hAnsi="Times New Roman" w:cs="Times New Roman"/>
          <w:b/>
          <w:bCs/>
          <w:sz w:val="20"/>
          <w:szCs w:val="20"/>
        </w:rPr>
        <w:t>“A Subtle and Unscrupulous Iago”</w:t>
      </w:r>
      <w:r>
        <w:rPr>
          <w:rFonts w:ascii="Times New Roman" w:hAnsi="Times New Roman" w:cs="Times New Roman"/>
          <w:b/>
          <w:bCs/>
          <w:sz w:val="20"/>
          <w:szCs w:val="20"/>
        </w:rPr>
        <w:t>:</w:t>
      </w:r>
      <w:r w:rsidRPr="00E1766C">
        <w:rPr>
          <w:rFonts w:ascii="Times New Roman" w:hAnsi="Times New Roman" w:cs="Times New Roman"/>
          <w:sz w:val="20"/>
          <w:szCs w:val="20"/>
        </w:rPr>
        <w:t xml:space="preserve"> Ulysses S. Grant (seated) flanked by two of his staffers, Adam Badeau (left) and Orville Babcock (right). Here, Babcock looms over Grant, less comfortable in his pose than Badeau, perhaps reflecting the way his presence cast a pall over the Grant presidency.</w:t>
      </w:r>
      <w:r w:rsidRPr="00E1766C">
        <w:rPr>
          <w:rFonts w:ascii="Times New Roman" w:hAnsi="Times New Roman" w:cs="Times New Roman"/>
          <w:sz w:val="20"/>
          <w:szCs w:val="20"/>
          <w:vertAlign w:val="superscript"/>
        </w:rPr>
        <w:footnoteReference w:id="731"/>
      </w:r>
    </w:p>
    <w:p w14:paraId="49D07E88" w14:textId="53CF3992" w:rsidR="002D394D" w:rsidRPr="002D394D" w:rsidRDefault="0018028E" w:rsidP="0074413B">
      <w:pPr>
        <w:spacing w:line="480" w:lineRule="auto"/>
        <w:rPr>
          <w:rFonts w:ascii="Times New Roman" w:hAnsi="Times New Roman" w:cs="Times New Roman"/>
          <w:sz w:val="24"/>
          <w:szCs w:val="24"/>
        </w:rPr>
      </w:pPr>
      <w:r>
        <w:rPr>
          <w:rFonts w:ascii="Times New Roman" w:hAnsi="Times New Roman" w:cs="Times New Roman"/>
          <w:sz w:val="24"/>
          <w:szCs w:val="24"/>
        </w:rPr>
        <w:t xml:space="preserve">made </w:t>
      </w:r>
      <w:r w:rsidR="002D394D" w:rsidRPr="002D394D">
        <w:rPr>
          <w:rFonts w:ascii="Times New Roman" w:hAnsi="Times New Roman" w:cs="Times New Roman"/>
          <w:sz w:val="24"/>
          <w:szCs w:val="24"/>
        </w:rPr>
        <w:t>crime far easier than even in preexisting neighborhoods. Perhaps worst of all, the federal government spurned its home city when it came to funding, never appropriately covering the budget for which it was burdened and leaving residents of the capital to essentially fend for themselves. The capital, to say the least, was in a sorry state.</w:t>
      </w:r>
    </w:p>
    <w:p w14:paraId="4702D250" w14:textId="79F5BC19" w:rsidR="002D394D" w:rsidRPr="002D394D" w:rsidRDefault="002D394D" w:rsidP="00B71093">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The many problems facing the capital</w:t>
      </w:r>
      <w:r w:rsidR="001A08EB">
        <w:rPr>
          <w:rFonts w:ascii="Times New Roman" w:hAnsi="Times New Roman" w:cs="Times New Roman"/>
          <w:sz w:val="24"/>
          <w:szCs w:val="24"/>
        </w:rPr>
        <w:t xml:space="preserve"> required new thinking and new ways of doing things to improve the city. Along with the necessary improvements to the city, a new form of government emerged that </w:t>
      </w:r>
      <w:r w:rsidRPr="002D394D">
        <w:rPr>
          <w:rFonts w:ascii="Times New Roman" w:hAnsi="Times New Roman" w:cs="Times New Roman"/>
          <w:sz w:val="24"/>
          <w:szCs w:val="24"/>
        </w:rPr>
        <w:t xml:space="preserve">caused those entrenched in the old way of doing things to cry “foul” of novel approaches to accomplishing tasks.  Claims of corruption ran rampant through every level of Washington politics, whether these claims were verifiable, suspected, or politically motivated.  The glut of corruption assertions served to water down the effectiveness of such claims by creating a “boy-who-cried-wolf” effect, especially when partisanism was involved in the claims.  However, it also served as a smokescreen of protection for those actually engaged in corruption, </w:t>
      </w:r>
      <w:r w:rsidRPr="002D394D">
        <w:rPr>
          <w:rFonts w:ascii="Times New Roman" w:hAnsi="Times New Roman" w:cs="Times New Roman"/>
          <w:sz w:val="24"/>
          <w:szCs w:val="24"/>
        </w:rPr>
        <w:lastRenderedPageBreak/>
        <w:t xml:space="preserve">as they could assert that partisanism or old-fashioned political gamesmanship were behind these allegations while continuing their nefarious business. Babcock is the lead actor in this Washingtonian political </w:t>
      </w:r>
      <w:r w:rsidR="001144A3">
        <w:rPr>
          <w:rFonts w:ascii="Times New Roman" w:hAnsi="Times New Roman" w:cs="Times New Roman"/>
          <w:sz w:val="24"/>
          <w:szCs w:val="24"/>
        </w:rPr>
        <w:t>drama</w:t>
      </w:r>
      <w:r w:rsidRPr="002D394D">
        <w:rPr>
          <w:rFonts w:ascii="Times New Roman" w:hAnsi="Times New Roman" w:cs="Times New Roman"/>
          <w:sz w:val="24"/>
          <w:szCs w:val="24"/>
        </w:rPr>
        <w:t xml:space="preserve">, and his role with the </w:t>
      </w:r>
      <w:r w:rsidR="00E0338B">
        <w:rPr>
          <w:rFonts w:ascii="Times New Roman" w:hAnsi="Times New Roman" w:cs="Times New Roman"/>
          <w:sz w:val="24"/>
          <w:szCs w:val="24"/>
        </w:rPr>
        <w:t>Office of Public Buildings and Grounds</w:t>
      </w:r>
      <w:r w:rsidRPr="002D394D">
        <w:rPr>
          <w:rFonts w:ascii="Times New Roman" w:hAnsi="Times New Roman" w:cs="Times New Roman"/>
          <w:sz w:val="24"/>
          <w:szCs w:val="24"/>
        </w:rPr>
        <w:t xml:space="preserve"> is the epitome of this new pragmatico archetype that emerged during Reconstruction.</w:t>
      </w:r>
    </w:p>
    <w:p w14:paraId="524B1031" w14:textId="77777777" w:rsidR="002D394D" w:rsidRPr="002D394D" w:rsidRDefault="002D394D" w:rsidP="00B71093">
      <w:pPr>
        <w:spacing w:after="0" w:line="240" w:lineRule="auto"/>
        <w:jc w:val="center"/>
        <w:rPr>
          <w:rFonts w:ascii="Times New Roman" w:hAnsi="Times New Roman" w:cs="Times New Roman"/>
          <w:sz w:val="24"/>
          <w:szCs w:val="24"/>
        </w:rPr>
      </w:pPr>
      <w:r w:rsidRPr="002D394D">
        <w:rPr>
          <w:rFonts w:ascii="Times New Roman" w:hAnsi="Times New Roman" w:cs="Times New Roman"/>
          <w:sz w:val="24"/>
          <w:szCs w:val="24"/>
        </w:rPr>
        <w:t>Duties of a Major White House Player</w:t>
      </w:r>
    </w:p>
    <w:p w14:paraId="24B90C6E" w14:textId="77777777" w:rsidR="002D394D" w:rsidRPr="002D394D" w:rsidRDefault="002D394D" w:rsidP="00910A62">
      <w:pPr>
        <w:spacing w:line="240" w:lineRule="auto"/>
        <w:jc w:val="right"/>
        <w:rPr>
          <w:rFonts w:ascii="Times New Roman" w:hAnsi="Times New Roman" w:cs="Times New Roman"/>
          <w:sz w:val="24"/>
          <w:szCs w:val="24"/>
        </w:rPr>
      </w:pPr>
    </w:p>
    <w:p w14:paraId="6A1EAFA0" w14:textId="1CE9B077"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Upon his return from Santo Domingo, Babcock hit his stride in his civil service duties, and the more he accomplished in his role as President Grant’s Private Secretary, the more he was able to make connections to individuals that would shape the public’s perception of him. He assumed additional roles when tasked by President Grant, which served to expand his role in the administration, strengthen his loyalty to his patron, and enhance his societal standing amongst the capital’s elite.</w:t>
      </w:r>
      <w:r w:rsidRPr="002D394D">
        <w:rPr>
          <w:rFonts w:ascii="Times New Roman" w:hAnsi="Times New Roman" w:cs="Times New Roman"/>
          <w:sz w:val="24"/>
          <w:szCs w:val="24"/>
          <w:vertAlign w:val="superscript"/>
        </w:rPr>
        <w:footnoteReference w:id="732"/>
      </w:r>
      <w:r w:rsidRPr="002D394D">
        <w:rPr>
          <w:rFonts w:ascii="Times New Roman" w:hAnsi="Times New Roman" w:cs="Times New Roman"/>
          <w:sz w:val="24"/>
          <w:szCs w:val="24"/>
        </w:rPr>
        <w:t xml:space="preserve"> Babcock </w:t>
      </w:r>
      <w:r w:rsidR="00B737B1">
        <w:rPr>
          <w:rFonts w:ascii="Times New Roman" w:hAnsi="Times New Roman" w:cs="Times New Roman"/>
          <w:sz w:val="24"/>
          <w:szCs w:val="24"/>
        </w:rPr>
        <w:t xml:space="preserve">had often </w:t>
      </w:r>
      <w:r w:rsidRPr="002D394D">
        <w:rPr>
          <w:rFonts w:ascii="Times New Roman" w:hAnsi="Times New Roman" w:cs="Times New Roman"/>
          <w:sz w:val="24"/>
          <w:szCs w:val="24"/>
        </w:rPr>
        <w:t xml:space="preserve">served as the President’s eyes and ears, but he found a new capacity as well: that of his voice. Babcock </w:t>
      </w:r>
      <w:r w:rsidR="00B516B5">
        <w:rPr>
          <w:rFonts w:ascii="Times New Roman" w:hAnsi="Times New Roman" w:cs="Times New Roman"/>
          <w:sz w:val="24"/>
          <w:szCs w:val="24"/>
        </w:rPr>
        <w:t xml:space="preserve">increasingly </w:t>
      </w:r>
      <w:r w:rsidRPr="002D394D">
        <w:rPr>
          <w:rFonts w:ascii="Times New Roman" w:hAnsi="Times New Roman" w:cs="Times New Roman"/>
          <w:sz w:val="24"/>
          <w:szCs w:val="24"/>
        </w:rPr>
        <w:t xml:space="preserve">served as a mouthpiece for the </w:t>
      </w:r>
      <w:r w:rsidR="00B516B5">
        <w:rPr>
          <w:rFonts w:ascii="Times New Roman" w:hAnsi="Times New Roman" w:cs="Times New Roman"/>
          <w:sz w:val="24"/>
          <w:szCs w:val="24"/>
        </w:rPr>
        <w:t>p</w:t>
      </w:r>
      <w:r w:rsidRPr="002D394D">
        <w:rPr>
          <w:rFonts w:ascii="Times New Roman" w:hAnsi="Times New Roman" w:cs="Times New Roman"/>
          <w:sz w:val="24"/>
          <w:szCs w:val="24"/>
        </w:rPr>
        <w:t xml:space="preserve">resident to the </w:t>
      </w:r>
      <w:r w:rsidR="00EC1FF6">
        <w:rPr>
          <w:rFonts w:ascii="Times New Roman" w:hAnsi="Times New Roman" w:cs="Times New Roman"/>
          <w:sz w:val="24"/>
          <w:szCs w:val="24"/>
        </w:rPr>
        <w:t>C</w:t>
      </w:r>
      <w:r w:rsidRPr="002D394D">
        <w:rPr>
          <w:rFonts w:ascii="Times New Roman" w:hAnsi="Times New Roman" w:cs="Times New Roman"/>
          <w:sz w:val="24"/>
          <w:szCs w:val="24"/>
        </w:rPr>
        <w:t xml:space="preserve">abinet and to the general public, and at times he even spoke on behalf of the First Lady. Babcock’s willingness to aid Grant in these additional roles only strengthened his place in the White House as the President’s Private Secretary.  </w:t>
      </w:r>
    </w:p>
    <w:p w14:paraId="36447AE5" w14:textId="436036CA"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Babcock was, in many ways, Grant’s</w:t>
      </w:r>
      <w:r w:rsidR="00F958BF">
        <w:rPr>
          <w:rFonts w:ascii="Times New Roman" w:hAnsi="Times New Roman" w:cs="Times New Roman"/>
          <w:sz w:val="24"/>
          <w:szCs w:val="24"/>
        </w:rPr>
        <w:t xml:space="preserve"> intermediary</w:t>
      </w:r>
      <w:r w:rsidRPr="002D394D">
        <w:rPr>
          <w:rFonts w:ascii="Times New Roman" w:hAnsi="Times New Roman" w:cs="Times New Roman"/>
          <w:sz w:val="24"/>
          <w:szCs w:val="24"/>
        </w:rPr>
        <w:t xml:space="preserve"> to the </w:t>
      </w:r>
      <w:r w:rsidR="00EC1FF6">
        <w:rPr>
          <w:rFonts w:ascii="Times New Roman" w:hAnsi="Times New Roman" w:cs="Times New Roman"/>
          <w:sz w:val="24"/>
          <w:szCs w:val="24"/>
        </w:rPr>
        <w:t>C</w:t>
      </w:r>
      <w:r w:rsidRPr="002D394D">
        <w:rPr>
          <w:rFonts w:ascii="Times New Roman" w:hAnsi="Times New Roman" w:cs="Times New Roman"/>
          <w:sz w:val="24"/>
          <w:szCs w:val="24"/>
        </w:rPr>
        <w:t>abinet.  He made regular contact with cabinet members and their staffs, and in these co</w:t>
      </w:r>
      <w:r w:rsidR="00D90913">
        <w:rPr>
          <w:rFonts w:ascii="Times New Roman" w:hAnsi="Times New Roman" w:cs="Times New Roman"/>
          <w:sz w:val="24"/>
          <w:szCs w:val="24"/>
        </w:rPr>
        <w:t>mmunication</w:t>
      </w:r>
      <w:r w:rsidRPr="002D394D">
        <w:rPr>
          <w:rFonts w:ascii="Times New Roman" w:hAnsi="Times New Roman" w:cs="Times New Roman"/>
          <w:sz w:val="24"/>
          <w:szCs w:val="24"/>
        </w:rPr>
        <w:t xml:space="preserve">s, he forwarded requests, referrals, and recommendations made by the </w:t>
      </w:r>
      <w:r w:rsidR="00EC1FF6">
        <w:rPr>
          <w:rFonts w:ascii="Times New Roman" w:hAnsi="Times New Roman" w:cs="Times New Roman"/>
          <w:sz w:val="24"/>
          <w:szCs w:val="24"/>
        </w:rPr>
        <w:t>p</w:t>
      </w:r>
      <w:r w:rsidRPr="002D394D">
        <w:rPr>
          <w:rFonts w:ascii="Times New Roman" w:hAnsi="Times New Roman" w:cs="Times New Roman"/>
          <w:sz w:val="24"/>
          <w:szCs w:val="24"/>
        </w:rPr>
        <w:t>resident or even on behalf of Grant when he felt qualified to speak for him.</w:t>
      </w:r>
      <w:r w:rsidRPr="002D394D">
        <w:rPr>
          <w:rFonts w:ascii="Times New Roman" w:hAnsi="Times New Roman" w:cs="Times New Roman"/>
          <w:sz w:val="24"/>
          <w:szCs w:val="24"/>
          <w:vertAlign w:val="superscript"/>
        </w:rPr>
        <w:footnoteReference w:id="733"/>
      </w:r>
      <w:r w:rsidRPr="002D394D">
        <w:rPr>
          <w:rFonts w:ascii="Times New Roman" w:hAnsi="Times New Roman" w:cs="Times New Roman"/>
          <w:sz w:val="24"/>
          <w:szCs w:val="24"/>
        </w:rPr>
        <w:t xml:space="preserve"> </w:t>
      </w:r>
      <w:bookmarkStart w:id="43" w:name="_Hlk163468684"/>
      <w:r w:rsidRPr="002D394D">
        <w:rPr>
          <w:rFonts w:ascii="Times New Roman" w:hAnsi="Times New Roman" w:cs="Times New Roman"/>
          <w:sz w:val="24"/>
          <w:szCs w:val="24"/>
        </w:rPr>
        <w:t xml:space="preserve">He made some innocuous requests of other Cabinet offices, </w:t>
      </w:r>
      <w:r w:rsidRPr="002D394D">
        <w:rPr>
          <w:rFonts w:ascii="Times New Roman" w:hAnsi="Times New Roman" w:cs="Times New Roman"/>
          <w:sz w:val="24"/>
          <w:szCs w:val="24"/>
        </w:rPr>
        <w:lastRenderedPageBreak/>
        <w:t>asking for anything from translations from the State Department to stamps from the Postmaster to scheduling the Marine Corps Band’s attendance at official events</w:t>
      </w:r>
      <w:bookmarkEnd w:id="43"/>
      <w:r w:rsidRPr="002D394D">
        <w:rPr>
          <w:rFonts w:ascii="Times New Roman" w:hAnsi="Times New Roman" w:cs="Times New Roman"/>
          <w:sz w:val="24"/>
          <w:szCs w:val="24"/>
        </w:rPr>
        <w:t>.</w:t>
      </w:r>
      <w:r w:rsidRPr="002D394D">
        <w:rPr>
          <w:rFonts w:ascii="Times New Roman" w:hAnsi="Times New Roman" w:cs="Times New Roman"/>
          <w:sz w:val="24"/>
          <w:szCs w:val="24"/>
          <w:vertAlign w:val="superscript"/>
        </w:rPr>
        <w:footnoteReference w:id="734"/>
      </w:r>
      <w:r w:rsidRPr="002D394D">
        <w:rPr>
          <w:rFonts w:ascii="Times New Roman" w:hAnsi="Times New Roman" w:cs="Times New Roman"/>
          <w:sz w:val="24"/>
          <w:szCs w:val="24"/>
        </w:rPr>
        <w:t xml:space="preserve">  One of Babcock’s most common tasks was inquiring on behalf of Grant as to </w:t>
      </w:r>
      <w:r w:rsidR="00CF1D40">
        <w:rPr>
          <w:rFonts w:ascii="Times New Roman" w:hAnsi="Times New Roman" w:cs="Times New Roman"/>
          <w:sz w:val="24"/>
          <w:szCs w:val="24"/>
        </w:rPr>
        <w:t>C</w:t>
      </w:r>
      <w:r w:rsidRPr="002D394D">
        <w:rPr>
          <w:rFonts w:ascii="Times New Roman" w:hAnsi="Times New Roman" w:cs="Times New Roman"/>
          <w:sz w:val="24"/>
          <w:szCs w:val="24"/>
        </w:rPr>
        <w:t>abinet members</w:t>
      </w:r>
      <w:r w:rsidR="00B05F3C">
        <w:rPr>
          <w:rFonts w:ascii="Times New Roman" w:hAnsi="Times New Roman" w:cs="Times New Roman"/>
          <w:sz w:val="24"/>
          <w:szCs w:val="24"/>
        </w:rPr>
        <w:t>’</w:t>
      </w:r>
      <w:r w:rsidRPr="002D394D">
        <w:rPr>
          <w:rFonts w:ascii="Times New Roman" w:hAnsi="Times New Roman" w:cs="Times New Roman"/>
          <w:sz w:val="24"/>
          <w:szCs w:val="24"/>
        </w:rPr>
        <w:t xml:space="preserve"> thoughts of certain bills, asking for their expert opinions on legislation that came across Grant’s desk.</w:t>
      </w:r>
      <w:r w:rsidRPr="002D394D">
        <w:rPr>
          <w:rFonts w:ascii="Times New Roman" w:hAnsi="Times New Roman" w:cs="Times New Roman"/>
          <w:sz w:val="24"/>
          <w:szCs w:val="24"/>
          <w:vertAlign w:val="superscript"/>
        </w:rPr>
        <w:footnoteReference w:id="735"/>
      </w:r>
      <w:r w:rsidRPr="002D394D">
        <w:rPr>
          <w:rFonts w:ascii="Times New Roman" w:hAnsi="Times New Roman" w:cs="Times New Roman"/>
          <w:sz w:val="24"/>
          <w:szCs w:val="24"/>
        </w:rPr>
        <w:t xml:space="preserve"> At times Babcock was responsible for attending Cabinet meetings, even scheduling them on occasion.</w:t>
      </w:r>
      <w:r w:rsidRPr="002D394D">
        <w:rPr>
          <w:rFonts w:ascii="Times New Roman" w:hAnsi="Times New Roman" w:cs="Times New Roman"/>
          <w:sz w:val="24"/>
          <w:szCs w:val="24"/>
          <w:vertAlign w:val="superscript"/>
        </w:rPr>
        <w:footnoteReference w:id="736"/>
      </w:r>
    </w:p>
    <w:p w14:paraId="7C2B8100" w14:textId="239110AE" w:rsidR="002D394D" w:rsidRPr="002D394D" w:rsidRDefault="002D394D" w:rsidP="00600A2E">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lastRenderedPageBreak/>
        <w:t xml:space="preserve">Babcock’s placement between the President and his Cabinet made Babcock a target for ill feelings amongst members of the administration. Babcock’s presence as Grant’s </w:t>
      </w:r>
      <w:r w:rsidR="00600A2E">
        <w:rPr>
          <w:rFonts w:ascii="Times New Roman" w:hAnsi="Times New Roman" w:cs="Times New Roman"/>
          <w:sz w:val="24"/>
          <w:szCs w:val="24"/>
        </w:rPr>
        <w:t>unofficial</w:t>
      </w:r>
      <w:r w:rsidRPr="002D394D">
        <w:rPr>
          <w:rFonts w:ascii="Times New Roman" w:hAnsi="Times New Roman" w:cs="Times New Roman"/>
          <w:sz w:val="24"/>
          <w:szCs w:val="24"/>
        </w:rPr>
        <w:t xml:space="preserve"> </w:t>
      </w:r>
      <w:r w:rsidR="005A3188">
        <w:rPr>
          <w:rFonts w:ascii="Times New Roman" w:hAnsi="Times New Roman" w:cs="Times New Roman"/>
          <w:sz w:val="24"/>
          <w:szCs w:val="24"/>
        </w:rPr>
        <w:t>sentinel</w:t>
      </w:r>
      <w:r w:rsidRPr="002D394D">
        <w:rPr>
          <w:rFonts w:ascii="Times New Roman" w:hAnsi="Times New Roman" w:cs="Times New Roman"/>
          <w:sz w:val="24"/>
          <w:szCs w:val="24"/>
        </w:rPr>
        <w:t xml:space="preserve"> meant he had the power to rebuff those who sought meetings with their leader. What’s more, Babcock had the ear and implicit trust of the President, meaning that his </w:t>
      </w:r>
      <w:r w:rsidR="00F84A89" w:rsidRPr="002D394D">
        <w:rPr>
          <w:rFonts w:ascii="Times New Roman" w:hAnsi="Times New Roman" w:cs="Times New Roman"/>
          <w:sz w:val="24"/>
          <w:szCs w:val="24"/>
        </w:rPr>
        <w:t>advice</w:t>
      </w:r>
      <w:r w:rsidRPr="002D394D">
        <w:rPr>
          <w:rFonts w:ascii="Times New Roman" w:hAnsi="Times New Roman" w:cs="Times New Roman"/>
          <w:sz w:val="24"/>
          <w:szCs w:val="24"/>
        </w:rPr>
        <w:t xml:space="preserve"> was heeded with as much weight, if not more, </w:t>
      </w:r>
      <w:r w:rsidR="00F84A89">
        <w:rPr>
          <w:rFonts w:ascii="Times New Roman" w:hAnsi="Times New Roman" w:cs="Times New Roman"/>
          <w:sz w:val="24"/>
          <w:szCs w:val="24"/>
        </w:rPr>
        <w:t>than</w:t>
      </w:r>
      <w:r w:rsidRPr="002D394D">
        <w:rPr>
          <w:rFonts w:ascii="Times New Roman" w:hAnsi="Times New Roman" w:cs="Times New Roman"/>
          <w:sz w:val="24"/>
          <w:szCs w:val="24"/>
        </w:rPr>
        <w:t xml:space="preserve"> that of Cabinet </w:t>
      </w:r>
      <w:r w:rsidR="0072317A">
        <w:rPr>
          <w:rFonts w:ascii="Times New Roman" w:hAnsi="Times New Roman" w:cs="Times New Roman"/>
          <w:sz w:val="24"/>
          <w:szCs w:val="24"/>
        </w:rPr>
        <w:t>m</w:t>
      </w:r>
      <w:r w:rsidRPr="002D394D">
        <w:rPr>
          <w:rFonts w:ascii="Times New Roman" w:hAnsi="Times New Roman" w:cs="Times New Roman"/>
          <w:sz w:val="24"/>
          <w:szCs w:val="24"/>
        </w:rPr>
        <w:t>embers.</w:t>
      </w:r>
      <w:r w:rsidRPr="002D394D">
        <w:rPr>
          <w:rFonts w:ascii="Times New Roman" w:hAnsi="Times New Roman" w:cs="Times New Roman"/>
          <w:sz w:val="24"/>
          <w:szCs w:val="24"/>
          <w:vertAlign w:val="superscript"/>
        </w:rPr>
        <w:footnoteReference w:id="737"/>
      </w:r>
      <w:r w:rsidRPr="002D394D">
        <w:rPr>
          <w:rFonts w:ascii="Times New Roman" w:hAnsi="Times New Roman" w:cs="Times New Roman"/>
          <w:sz w:val="24"/>
          <w:szCs w:val="24"/>
        </w:rPr>
        <w:t xml:space="preserve"> This rankled several members of the administration, namely Hamilton Fish, who expressed his displeasure with Babcock in his own diaries.</w:t>
      </w:r>
      <w:r w:rsidRPr="002D394D">
        <w:rPr>
          <w:rFonts w:ascii="Times New Roman" w:hAnsi="Times New Roman" w:cs="Times New Roman"/>
          <w:sz w:val="24"/>
          <w:szCs w:val="24"/>
          <w:vertAlign w:val="superscript"/>
        </w:rPr>
        <w:footnoteReference w:id="738"/>
      </w:r>
      <w:r w:rsidRPr="002D394D">
        <w:rPr>
          <w:rFonts w:ascii="Times New Roman" w:hAnsi="Times New Roman" w:cs="Times New Roman"/>
          <w:sz w:val="24"/>
          <w:szCs w:val="24"/>
        </w:rPr>
        <w:t xml:space="preserve"> In a way this meant that Babcock was doing his job by serving as an effective gatekeeper, though he was also ensuring that his voice would be heard first and foremost on matters, </w:t>
      </w:r>
      <w:r w:rsidR="00597DA7">
        <w:rPr>
          <w:rFonts w:ascii="Times New Roman" w:hAnsi="Times New Roman" w:cs="Times New Roman"/>
          <w:sz w:val="24"/>
          <w:szCs w:val="24"/>
        </w:rPr>
        <w:t>cement</w:t>
      </w:r>
      <w:r w:rsidRPr="002D394D">
        <w:rPr>
          <w:rFonts w:ascii="Times New Roman" w:hAnsi="Times New Roman" w:cs="Times New Roman"/>
          <w:sz w:val="24"/>
          <w:szCs w:val="24"/>
        </w:rPr>
        <w:t>ing his place in the administration.</w:t>
      </w:r>
    </w:p>
    <w:p w14:paraId="2C00C6BA" w14:textId="7887EFB3"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Babcock also represented the President to members of the general public requesting favors from Grant and the White House.  As patronage was a primary method of acquiring appointments in the American political system, President Grant received many requests for appointments or for assistance from the White House.</w:t>
      </w:r>
      <w:r w:rsidRPr="002D394D">
        <w:rPr>
          <w:rFonts w:ascii="Times New Roman" w:hAnsi="Times New Roman" w:cs="Times New Roman"/>
          <w:sz w:val="24"/>
          <w:szCs w:val="24"/>
          <w:vertAlign w:val="superscript"/>
        </w:rPr>
        <w:footnoteReference w:id="739"/>
      </w:r>
      <w:r w:rsidRPr="002D394D">
        <w:rPr>
          <w:rFonts w:ascii="Times New Roman" w:hAnsi="Times New Roman" w:cs="Times New Roman"/>
          <w:sz w:val="24"/>
          <w:szCs w:val="24"/>
        </w:rPr>
        <w:t xml:space="preserve"> Babcock fielded a great deal of these requests, </w:t>
      </w:r>
      <w:r w:rsidR="00F9768F">
        <w:rPr>
          <w:rFonts w:ascii="Times New Roman" w:hAnsi="Times New Roman" w:cs="Times New Roman"/>
          <w:sz w:val="24"/>
          <w:szCs w:val="24"/>
        </w:rPr>
        <w:t xml:space="preserve">in some instances </w:t>
      </w:r>
      <w:r w:rsidRPr="002D394D">
        <w:rPr>
          <w:rFonts w:ascii="Times New Roman" w:hAnsi="Times New Roman" w:cs="Times New Roman"/>
          <w:sz w:val="24"/>
          <w:szCs w:val="24"/>
        </w:rPr>
        <w:t xml:space="preserve">referring them to </w:t>
      </w:r>
      <w:r w:rsidR="00F9768F">
        <w:rPr>
          <w:rFonts w:ascii="Times New Roman" w:hAnsi="Times New Roman" w:cs="Times New Roman"/>
          <w:sz w:val="24"/>
          <w:szCs w:val="24"/>
        </w:rPr>
        <w:t>C</w:t>
      </w:r>
      <w:r w:rsidRPr="002D394D">
        <w:rPr>
          <w:rFonts w:ascii="Times New Roman" w:hAnsi="Times New Roman" w:cs="Times New Roman"/>
          <w:sz w:val="24"/>
          <w:szCs w:val="24"/>
        </w:rPr>
        <w:t>abinet members or their staffs, and in others returning them with notice that their request was not feasible at the time.</w:t>
      </w:r>
      <w:r w:rsidRPr="002D394D">
        <w:rPr>
          <w:rFonts w:ascii="Times New Roman" w:hAnsi="Times New Roman" w:cs="Times New Roman"/>
          <w:sz w:val="24"/>
          <w:szCs w:val="24"/>
          <w:vertAlign w:val="superscript"/>
        </w:rPr>
        <w:footnoteReference w:id="740"/>
      </w:r>
      <w:r w:rsidRPr="002D394D">
        <w:rPr>
          <w:rFonts w:ascii="Times New Roman" w:hAnsi="Times New Roman" w:cs="Times New Roman"/>
          <w:sz w:val="24"/>
          <w:szCs w:val="24"/>
        </w:rPr>
        <w:t xml:space="preserve"> Babcock sent </w:t>
      </w:r>
      <w:r w:rsidRPr="002D394D">
        <w:rPr>
          <w:rFonts w:ascii="Times New Roman" w:hAnsi="Times New Roman" w:cs="Times New Roman"/>
          <w:sz w:val="24"/>
          <w:szCs w:val="24"/>
        </w:rPr>
        <w:lastRenderedPageBreak/>
        <w:t>missives of thanks and congratulations on Grant’s behalf for both personal and official matters, as well as rejection notifications to those requesting his attendance at events and for people soliciting sales to the President.</w:t>
      </w:r>
      <w:r w:rsidRPr="002D394D">
        <w:rPr>
          <w:rFonts w:ascii="Times New Roman" w:hAnsi="Times New Roman" w:cs="Times New Roman"/>
          <w:sz w:val="24"/>
          <w:szCs w:val="24"/>
          <w:vertAlign w:val="superscript"/>
        </w:rPr>
        <w:footnoteReference w:id="741"/>
      </w:r>
      <w:r w:rsidRPr="002D394D">
        <w:rPr>
          <w:rFonts w:ascii="Times New Roman" w:hAnsi="Times New Roman" w:cs="Times New Roman"/>
          <w:sz w:val="24"/>
          <w:szCs w:val="24"/>
        </w:rPr>
        <w:t xml:space="preserve"> He handled the President’s datebook, scheduling formal and informal meetings with the executive, and in an era where presidential security was more lax, he even informed those interested in meeting with Grant when he would be traveling if they desired to journey with him or meet him along the way.</w:t>
      </w:r>
      <w:r w:rsidRPr="002D394D">
        <w:rPr>
          <w:rFonts w:ascii="Times New Roman" w:hAnsi="Times New Roman" w:cs="Times New Roman"/>
          <w:sz w:val="24"/>
          <w:szCs w:val="24"/>
          <w:vertAlign w:val="superscript"/>
        </w:rPr>
        <w:footnoteReference w:id="742"/>
      </w:r>
      <w:r w:rsidRPr="002D394D">
        <w:rPr>
          <w:rFonts w:ascii="Times New Roman" w:hAnsi="Times New Roman" w:cs="Times New Roman"/>
          <w:sz w:val="24"/>
          <w:szCs w:val="24"/>
        </w:rPr>
        <w:t xml:space="preserve"> </w:t>
      </w:r>
    </w:p>
    <w:p w14:paraId="34D48C70" w14:textId="0BD82DC7"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 xml:space="preserve">Babcock even served as the </w:t>
      </w:r>
      <w:r w:rsidR="005457D2">
        <w:rPr>
          <w:rFonts w:ascii="Times New Roman" w:hAnsi="Times New Roman" w:cs="Times New Roman"/>
          <w:sz w:val="24"/>
          <w:szCs w:val="24"/>
        </w:rPr>
        <w:t>spokesperson</w:t>
      </w:r>
      <w:r w:rsidRPr="002D394D">
        <w:rPr>
          <w:rFonts w:ascii="Times New Roman" w:hAnsi="Times New Roman" w:cs="Times New Roman"/>
          <w:sz w:val="24"/>
          <w:szCs w:val="24"/>
        </w:rPr>
        <w:t xml:space="preserve"> of the First Lady, Julia Grant. This era predated</w:t>
      </w:r>
      <w:r w:rsidR="00496620">
        <w:rPr>
          <w:rFonts w:ascii="Times New Roman" w:hAnsi="Times New Roman" w:cs="Times New Roman"/>
          <w:sz w:val="24"/>
          <w:szCs w:val="24"/>
        </w:rPr>
        <w:t xml:space="preserve"> </w:t>
      </w:r>
      <w:r w:rsidRPr="002D394D">
        <w:rPr>
          <w:rFonts w:ascii="Times New Roman" w:hAnsi="Times New Roman" w:cs="Times New Roman"/>
          <w:sz w:val="24"/>
          <w:szCs w:val="24"/>
        </w:rPr>
        <w:t xml:space="preserve">First Ladies </w:t>
      </w:r>
      <w:r w:rsidR="00496620">
        <w:rPr>
          <w:rFonts w:ascii="Times New Roman" w:hAnsi="Times New Roman" w:cs="Times New Roman"/>
          <w:sz w:val="24"/>
          <w:szCs w:val="24"/>
        </w:rPr>
        <w:t>being</w:t>
      </w:r>
      <w:r w:rsidRPr="002D394D">
        <w:rPr>
          <w:rFonts w:ascii="Times New Roman" w:hAnsi="Times New Roman" w:cs="Times New Roman"/>
          <w:sz w:val="24"/>
          <w:szCs w:val="24"/>
        </w:rPr>
        <w:t xml:space="preserve"> fully engrossed in formal politics via the vote and therefore did not maintain full political staffs.</w:t>
      </w:r>
      <w:r w:rsidRPr="002D394D">
        <w:rPr>
          <w:rFonts w:ascii="Times New Roman" w:hAnsi="Times New Roman" w:cs="Times New Roman"/>
          <w:sz w:val="24"/>
          <w:szCs w:val="24"/>
          <w:vertAlign w:val="superscript"/>
        </w:rPr>
        <w:footnoteReference w:id="743"/>
      </w:r>
      <w:r w:rsidRPr="002D394D">
        <w:rPr>
          <w:rFonts w:ascii="Times New Roman" w:hAnsi="Times New Roman" w:cs="Times New Roman"/>
          <w:sz w:val="24"/>
          <w:szCs w:val="24"/>
        </w:rPr>
        <w:t xml:space="preserve">  As a result, it was commonplace for the President to ask his staffers to </w:t>
      </w:r>
      <w:r w:rsidRPr="002D394D">
        <w:rPr>
          <w:rFonts w:ascii="Times New Roman" w:hAnsi="Times New Roman" w:cs="Times New Roman"/>
          <w:sz w:val="24"/>
          <w:szCs w:val="24"/>
        </w:rPr>
        <w:lastRenderedPageBreak/>
        <w:t>assist the First Lady with any matters that might arise as a part of her daily schedule.  When Babcock acted on behalf of the First Lady, many of the missives he wrote regarded such matters as thanking someone for a gift, acknowledging receipt of a letter, or inquiring about payment on behalf of the First Family.</w:t>
      </w:r>
      <w:r w:rsidRPr="002D394D">
        <w:rPr>
          <w:rFonts w:ascii="Times New Roman" w:hAnsi="Times New Roman" w:cs="Times New Roman"/>
          <w:sz w:val="24"/>
          <w:szCs w:val="24"/>
          <w:vertAlign w:val="superscript"/>
        </w:rPr>
        <w:footnoteReference w:id="744"/>
      </w:r>
      <w:r w:rsidRPr="002D394D">
        <w:rPr>
          <w:rFonts w:ascii="Times New Roman" w:hAnsi="Times New Roman" w:cs="Times New Roman"/>
          <w:sz w:val="24"/>
          <w:szCs w:val="24"/>
        </w:rPr>
        <w:t xml:space="preserve"> There were however instances where Babcock handled Julia’s official business, whether it be in her capacity as the First Lady, or as a lady in good standing in Washington’s social circles, suggesting that his responsibilities went beyond simple cursory assistance to a friend’s wife.</w:t>
      </w:r>
      <w:r w:rsidRPr="002D394D">
        <w:rPr>
          <w:rFonts w:ascii="Times New Roman" w:hAnsi="Times New Roman" w:cs="Times New Roman"/>
          <w:sz w:val="24"/>
          <w:szCs w:val="24"/>
          <w:vertAlign w:val="superscript"/>
        </w:rPr>
        <w:footnoteReference w:id="745"/>
      </w:r>
      <w:r w:rsidRPr="002D394D">
        <w:rPr>
          <w:rFonts w:ascii="Times New Roman" w:hAnsi="Times New Roman" w:cs="Times New Roman"/>
          <w:sz w:val="24"/>
          <w:szCs w:val="24"/>
        </w:rPr>
        <w:t xml:space="preserve">  While it was a typical practice in the White House, it is important to note that President Grant would have given this task only to a man whom he trusted. Grant entrusted not only his good name, but that of his beloved wife to Babcock, showing just how deeply his trust in his friend truly went.</w:t>
      </w:r>
    </w:p>
    <w:p w14:paraId="591C675F" w14:textId="572B0E02"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 xml:space="preserve">Even as he served as the President’s </w:t>
      </w:r>
      <w:r w:rsidR="00D26DD2">
        <w:rPr>
          <w:rFonts w:ascii="Times New Roman" w:hAnsi="Times New Roman" w:cs="Times New Roman"/>
          <w:sz w:val="24"/>
          <w:szCs w:val="24"/>
        </w:rPr>
        <w:t>S</w:t>
      </w:r>
      <w:r w:rsidRPr="002D394D">
        <w:rPr>
          <w:rFonts w:ascii="Times New Roman" w:hAnsi="Times New Roman" w:cs="Times New Roman"/>
          <w:sz w:val="24"/>
          <w:szCs w:val="24"/>
        </w:rPr>
        <w:t xml:space="preserve">ecretary, Babcock continued to represent Grant on fact-finding missions. President Grant retained several Private Secretaries on his staff, including Robert M. Douglas, Colonel Levi Luckey, Brigadier General Frederick Tracy Dent, and Colonel </w:t>
      </w:r>
      <w:r w:rsidRPr="002D394D">
        <w:rPr>
          <w:rFonts w:ascii="Times New Roman" w:hAnsi="Times New Roman" w:cs="Times New Roman"/>
          <w:sz w:val="24"/>
          <w:szCs w:val="24"/>
        </w:rPr>
        <w:lastRenderedPageBreak/>
        <w:t>Horace Porter, and each but Douglas served with Grant during the Civil War.</w:t>
      </w:r>
      <w:r w:rsidRPr="002D394D">
        <w:rPr>
          <w:rFonts w:ascii="Times New Roman" w:hAnsi="Times New Roman" w:cs="Times New Roman"/>
          <w:sz w:val="24"/>
          <w:szCs w:val="24"/>
          <w:vertAlign w:val="superscript"/>
        </w:rPr>
        <w:footnoteReference w:id="746"/>
      </w:r>
      <w:r w:rsidRPr="002D394D">
        <w:rPr>
          <w:rFonts w:ascii="Times New Roman" w:hAnsi="Times New Roman" w:cs="Times New Roman"/>
          <w:sz w:val="24"/>
          <w:szCs w:val="24"/>
        </w:rPr>
        <w:t xml:space="preserve"> Grant asked Babcock to go on exploratory trips or to take care of matters on his behalf as he did in Santo Domingo while Porter or Dent could stay in Washington and handle the White House clerical work. Babcock’s work kept him away from the White House for</w:t>
      </w:r>
      <w:r w:rsidR="00F300C9">
        <w:rPr>
          <w:rFonts w:ascii="Times New Roman" w:hAnsi="Times New Roman" w:cs="Times New Roman"/>
          <w:sz w:val="24"/>
          <w:szCs w:val="24"/>
        </w:rPr>
        <w:t xml:space="preserve"> lengthy</w:t>
      </w:r>
      <w:r w:rsidRPr="002D394D">
        <w:rPr>
          <w:rFonts w:ascii="Times New Roman" w:hAnsi="Times New Roman" w:cs="Times New Roman"/>
          <w:sz w:val="24"/>
          <w:szCs w:val="24"/>
        </w:rPr>
        <w:t xml:space="preserve"> stretches of time. He is on record as having been sent to West Point, Philadelphia, and Harrisburg, Pennsylvania on behalf of the President at different moments.</w:t>
      </w:r>
      <w:r w:rsidRPr="002D394D">
        <w:rPr>
          <w:rFonts w:ascii="Times New Roman" w:hAnsi="Times New Roman" w:cs="Times New Roman"/>
          <w:sz w:val="24"/>
          <w:szCs w:val="24"/>
          <w:vertAlign w:val="superscript"/>
        </w:rPr>
        <w:footnoteReference w:id="747"/>
      </w:r>
      <w:r w:rsidRPr="002D394D">
        <w:rPr>
          <w:rFonts w:ascii="Times New Roman" w:hAnsi="Times New Roman" w:cs="Times New Roman"/>
          <w:sz w:val="24"/>
          <w:szCs w:val="24"/>
        </w:rPr>
        <w:t xml:space="preserve"> He regularly traveled to New York City given the federal institutions that were located there like the Treasury Department and the Secret Service, and some of these travels led to future assumptions by Grant’s opponents that Babcock was visiting not on official business, but to meet with nefarious New Yorkers such as Tammany Hall’s Boss Tweed.</w:t>
      </w:r>
      <w:r w:rsidRPr="002D394D">
        <w:rPr>
          <w:rFonts w:ascii="Times New Roman" w:hAnsi="Times New Roman" w:cs="Times New Roman"/>
          <w:sz w:val="24"/>
          <w:szCs w:val="24"/>
          <w:vertAlign w:val="superscript"/>
        </w:rPr>
        <w:footnoteReference w:id="748"/>
      </w:r>
      <w:r w:rsidRPr="002D394D">
        <w:rPr>
          <w:rFonts w:ascii="Times New Roman" w:hAnsi="Times New Roman" w:cs="Times New Roman"/>
          <w:sz w:val="24"/>
          <w:szCs w:val="24"/>
        </w:rPr>
        <w:t xml:space="preserve"> He further traveled within New York in order to deliver materials to, meet with, and serve President Grant during summers while the President was at his family’s summer home in Long Branch.</w:t>
      </w:r>
      <w:r w:rsidRPr="002D394D">
        <w:rPr>
          <w:rFonts w:ascii="Times New Roman" w:hAnsi="Times New Roman" w:cs="Times New Roman"/>
          <w:sz w:val="24"/>
          <w:szCs w:val="24"/>
          <w:vertAlign w:val="superscript"/>
        </w:rPr>
        <w:footnoteReference w:id="749"/>
      </w:r>
      <w:r w:rsidRPr="002D394D">
        <w:rPr>
          <w:rFonts w:ascii="Times New Roman" w:hAnsi="Times New Roman" w:cs="Times New Roman"/>
          <w:sz w:val="24"/>
          <w:szCs w:val="24"/>
        </w:rPr>
        <w:t xml:space="preserve"> The amount of traveling that Babcock did on behalf of the President </w:t>
      </w:r>
      <w:r w:rsidRPr="002D394D">
        <w:rPr>
          <w:rFonts w:ascii="Times New Roman" w:hAnsi="Times New Roman" w:cs="Times New Roman"/>
          <w:sz w:val="24"/>
          <w:szCs w:val="24"/>
        </w:rPr>
        <w:lastRenderedPageBreak/>
        <w:t>made it even more impressive how much he was able to accomplish in Washington as his Private Secretary</w:t>
      </w:r>
      <w:r w:rsidR="001815CB">
        <w:rPr>
          <w:rFonts w:ascii="Times New Roman" w:hAnsi="Times New Roman" w:cs="Times New Roman"/>
          <w:sz w:val="24"/>
          <w:szCs w:val="24"/>
        </w:rPr>
        <w:t>, not to mention his successes in other offices</w:t>
      </w:r>
      <w:r w:rsidRPr="002D394D">
        <w:rPr>
          <w:rFonts w:ascii="Times New Roman" w:hAnsi="Times New Roman" w:cs="Times New Roman"/>
          <w:sz w:val="24"/>
          <w:szCs w:val="24"/>
        </w:rPr>
        <w:t>.</w:t>
      </w:r>
    </w:p>
    <w:p w14:paraId="4558BFA8" w14:textId="6887847B" w:rsidR="002D394D" w:rsidRPr="002D394D" w:rsidRDefault="002D394D" w:rsidP="00322413">
      <w:pPr>
        <w:spacing w:before="240" w:line="480" w:lineRule="auto"/>
        <w:jc w:val="center"/>
        <w:rPr>
          <w:rFonts w:ascii="Times New Roman" w:hAnsi="Times New Roman" w:cs="Times New Roman"/>
          <w:sz w:val="24"/>
          <w:szCs w:val="24"/>
        </w:rPr>
      </w:pPr>
      <w:r w:rsidRPr="002D394D">
        <w:rPr>
          <w:rFonts w:ascii="Times New Roman" w:hAnsi="Times New Roman" w:cs="Times New Roman"/>
          <w:sz w:val="24"/>
          <w:szCs w:val="24"/>
        </w:rPr>
        <w:t>Shaping the Capital: Washington</w:t>
      </w:r>
      <w:r w:rsidR="001B255D">
        <w:rPr>
          <w:rFonts w:ascii="Times New Roman" w:hAnsi="Times New Roman" w:cs="Times New Roman"/>
          <w:sz w:val="24"/>
          <w:szCs w:val="24"/>
        </w:rPr>
        <w:t>’s Early</w:t>
      </w:r>
      <w:r w:rsidRPr="002D394D">
        <w:rPr>
          <w:rFonts w:ascii="Times New Roman" w:hAnsi="Times New Roman" w:cs="Times New Roman"/>
          <w:sz w:val="24"/>
          <w:szCs w:val="24"/>
        </w:rPr>
        <w:t xml:space="preserve"> </w:t>
      </w:r>
      <w:r w:rsidR="00322292">
        <w:rPr>
          <w:rFonts w:ascii="Times New Roman" w:hAnsi="Times New Roman" w:cs="Times New Roman"/>
          <w:sz w:val="24"/>
          <w:szCs w:val="24"/>
        </w:rPr>
        <w:t>Land</w:t>
      </w:r>
      <w:r w:rsidR="007930B5">
        <w:rPr>
          <w:rFonts w:ascii="Times New Roman" w:hAnsi="Times New Roman" w:cs="Times New Roman"/>
          <w:sz w:val="24"/>
          <w:szCs w:val="24"/>
        </w:rPr>
        <w:t>scap</w:t>
      </w:r>
      <w:r w:rsidR="00B77716">
        <w:rPr>
          <w:rFonts w:ascii="Times New Roman" w:hAnsi="Times New Roman" w:cs="Times New Roman"/>
          <w:sz w:val="24"/>
          <w:szCs w:val="24"/>
        </w:rPr>
        <w:t>ing</w:t>
      </w:r>
      <w:r w:rsidR="001B255D">
        <w:rPr>
          <w:rFonts w:ascii="Times New Roman" w:hAnsi="Times New Roman" w:cs="Times New Roman"/>
          <w:sz w:val="24"/>
          <w:szCs w:val="24"/>
        </w:rPr>
        <w:t xml:space="preserve"> and Boss Shepherd’s </w:t>
      </w:r>
      <w:r w:rsidR="00395536">
        <w:rPr>
          <w:rFonts w:ascii="Times New Roman" w:hAnsi="Times New Roman" w:cs="Times New Roman"/>
          <w:sz w:val="24"/>
          <w:szCs w:val="24"/>
        </w:rPr>
        <w:t>Rule</w:t>
      </w:r>
    </w:p>
    <w:p w14:paraId="72DDEB19" w14:textId="2A85D8F5" w:rsidR="00C76DE9" w:rsidRDefault="002D394D" w:rsidP="00E75F2A">
      <w:pPr>
        <w:spacing w:before="240" w:line="480" w:lineRule="auto"/>
        <w:rPr>
          <w:rFonts w:ascii="Times New Roman" w:hAnsi="Times New Roman" w:cs="Times New Roman"/>
          <w:sz w:val="24"/>
          <w:szCs w:val="24"/>
        </w:rPr>
      </w:pPr>
      <w:r w:rsidRPr="002D394D">
        <w:rPr>
          <w:rFonts w:ascii="Times New Roman" w:hAnsi="Times New Roman" w:cs="Times New Roman"/>
          <w:sz w:val="24"/>
          <w:szCs w:val="24"/>
        </w:rPr>
        <w:tab/>
        <w:t>Babcock served ably in his post within the Grant Administration, so much so that when a post fit for a military engineer in the capital came open, Grant saw no problem offering his friend’s name forth. While retaining his post in the White House, Babcock became the Superintendent for the Washingto</w:t>
      </w:r>
      <w:r w:rsidR="00C41378">
        <w:rPr>
          <w:rFonts w:ascii="Times New Roman" w:hAnsi="Times New Roman" w:cs="Times New Roman"/>
          <w:sz w:val="24"/>
          <w:szCs w:val="24"/>
        </w:rPr>
        <w:t>n Office of Public Buildings and Grounds</w:t>
      </w:r>
      <w:r w:rsidRPr="002D394D">
        <w:rPr>
          <w:rFonts w:ascii="Times New Roman" w:hAnsi="Times New Roman" w:cs="Times New Roman"/>
          <w:sz w:val="24"/>
          <w:szCs w:val="24"/>
        </w:rPr>
        <w:t>. During his tenure in this pos</w:t>
      </w:r>
      <w:r w:rsidR="00E732B4">
        <w:rPr>
          <w:rFonts w:ascii="Times New Roman" w:hAnsi="Times New Roman" w:cs="Times New Roman"/>
          <w:sz w:val="24"/>
          <w:szCs w:val="24"/>
        </w:rPr>
        <w:t>i</w:t>
      </w:r>
      <w:r w:rsidRPr="002D394D">
        <w:rPr>
          <w:rFonts w:ascii="Times New Roman" w:hAnsi="Times New Roman" w:cs="Times New Roman"/>
          <w:sz w:val="24"/>
          <w:szCs w:val="24"/>
        </w:rPr>
        <w:t>t</w:t>
      </w:r>
      <w:r w:rsidR="00E732B4">
        <w:rPr>
          <w:rFonts w:ascii="Times New Roman" w:hAnsi="Times New Roman" w:cs="Times New Roman"/>
          <w:sz w:val="24"/>
          <w:szCs w:val="24"/>
        </w:rPr>
        <w:t>ion</w:t>
      </w:r>
      <w:r w:rsidRPr="002D394D">
        <w:rPr>
          <w:rFonts w:ascii="Times New Roman" w:hAnsi="Times New Roman" w:cs="Times New Roman"/>
          <w:sz w:val="24"/>
          <w:szCs w:val="24"/>
        </w:rPr>
        <w:t xml:space="preserve">, Babcock became a part of a complex century-long history of those who shaped the physical landscape of the nation’s capital. The city of Washington is located in a swampy area of the Chesapeake Watershed, and the nature of the </w:t>
      </w:r>
      <w:r w:rsidR="003B430F">
        <w:rPr>
          <w:rFonts w:ascii="Times New Roman" w:hAnsi="Times New Roman" w:cs="Times New Roman"/>
          <w:sz w:val="24"/>
          <w:szCs w:val="24"/>
        </w:rPr>
        <w:t>soil</w:t>
      </w:r>
      <w:r w:rsidRPr="002D394D">
        <w:rPr>
          <w:rFonts w:ascii="Times New Roman" w:hAnsi="Times New Roman" w:cs="Times New Roman"/>
          <w:sz w:val="24"/>
          <w:szCs w:val="24"/>
        </w:rPr>
        <w:t xml:space="preserve"> combined with its location near rivers and the ocean made properly structuring the city a necessity.  The original plans for the city were crafted by French military engineer Pierre L’Enfant, and his plans for a city that doubled as both a political symbol and a commercial center were based on Paris, Amsterdam, and Milan – cities with broad streets that radiated out from a city center, located near a national mall.</w:t>
      </w:r>
      <w:r w:rsidRPr="002D394D">
        <w:rPr>
          <w:rFonts w:ascii="Times New Roman" w:hAnsi="Times New Roman" w:cs="Times New Roman"/>
          <w:sz w:val="24"/>
          <w:szCs w:val="24"/>
          <w:vertAlign w:val="superscript"/>
        </w:rPr>
        <w:footnoteReference w:id="750"/>
      </w:r>
      <w:r w:rsidRPr="002D394D">
        <w:rPr>
          <w:rFonts w:ascii="Times New Roman" w:hAnsi="Times New Roman" w:cs="Times New Roman"/>
          <w:sz w:val="24"/>
          <w:szCs w:val="24"/>
        </w:rPr>
        <w:t xml:space="preserve"> However, during the first half of the nineteenth century, major discrepanc</w:t>
      </w:r>
      <w:r w:rsidR="00A9624B">
        <w:rPr>
          <w:rFonts w:ascii="Times New Roman" w:hAnsi="Times New Roman" w:cs="Times New Roman"/>
          <w:sz w:val="24"/>
          <w:szCs w:val="24"/>
        </w:rPr>
        <w:t>ies</w:t>
      </w:r>
      <w:r w:rsidRPr="002D394D">
        <w:rPr>
          <w:rFonts w:ascii="Times New Roman" w:hAnsi="Times New Roman" w:cs="Times New Roman"/>
          <w:sz w:val="24"/>
          <w:szCs w:val="24"/>
        </w:rPr>
        <w:t xml:space="preserve"> developed between the original plans for the city and its reality. Many of the city’s roads remained but lines on a plan, while those that did exist were a mess, kicking up dust storms during dry periods and creating muddy trenches that were difficult to traverse when wet.</w:t>
      </w:r>
      <w:r w:rsidRPr="002D394D">
        <w:rPr>
          <w:rFonts w:ascii="Times New Roman" w:hAnsi="Times New Roman" w:cs="Times New Roman"/>
          <w:sz w:val="24"/>
          <w:szCs w:val="24"/>
          <w:vertAlign w:val="superscript"/>
        </w:rPr>
        <w:footnoteReference w:id="751"/>
      </w:r>
      <w:r w:rsidRPr="002D394D">
        <w:rPr>
          <w:rFonts w:ascii="Times New Roman" w:hAnsi="Times New Roman" w:cs="Times New Roman"/>
          <w:sz w:val="24"/>
          <w:szCs w:val="24"/>
        </w:rPr>
        <w:t xml:space="preserve"> The Washington Canal, central to </w:t>
      </w:r>
      <w:r w:rsidRPr="002D394D">
        <w:rPr>
          <w:rFonts w:ascii="Times New Roman" w:hAnsi="Times New Roman" w:cs="Times New Roman"/>
          <w:sz w:val="24"/>
          <w:szCs w:val="24"/>
        </w:rPr>
        <w:lastRenderedPageBreak/>
        <w:t>L</w:t>
      </w:r>
      <w:r w:rsidR="001B255D">
        <w:rPr>
          <w:rFonts w:ascii="Times New Roman" w:hAnsi="Times New Roman" w:cs="Times New Roman"/>
          <w:sz w:val="24"/>
          <w:szCs w:val="24"/>
        </w:rPr>
        <w:t>'</w:t>
      </w:r>
      <w:r w:rsidRPr="002D394D">
        <w:rPr>
          <w:rFonts w:ascii="Times New Roman" w:hAnsi="Times New Roman" w:cs="Times New Roman"/>
          <w:sz w:val="24"/>
          <w:szCs w:val="24"/>
        </w:rPr>
        <w:t>Enfant’s plan for the city’s commercial futures, was polluted and stagnant.</w:t>
      </w:r>
      <w:r w:rsidRPr="002D394D">
        <w:rPr>
          <w:rFonts w:ascii="Times New Roman" w:hAnsi="Times New Roman" w:cs="Times New Roman"/>
          <w:sz w:val="24"/>
          <w:szCs w:val="24"/>
          <w:vertAlign w:val="superscript"/>
        </w:rPr>
        <w:footnoteReference w:id="752"/>
      </w:r>
      <w:r w:rsidRPr="002D394D">
        <w:rPr>
          <w:rFonts w:ascii="Times New Roman" w:hAnsi="Times New Roman" w:cs="Times New Roman"/>
          <w:sz w:val="24"/>
          <w:szCs w:val="24"/>
        </w:rPr>
        <w:t xml:space="preserve"> The primary blame for these issues belonged to Congress, which controlled the purse strings for the capital but rarely acknowledged this obligation, especially when presidents like Thomas Jefferson and Andrew Jackson were in office and feared that a large capital city would become a den of corruption.</w:t>
      </w:r>
      <w:r w:rsidRPr="002D394D">
        <w:rPr>
          <w:rFonts w:ascii="Times New Roman" w:hAnsi="Times New Roman" w:cs="Times New Roman"/>
          <w:sz w:val="24"/>
          <w:szCs w:val="24"/>
          <w:vertAlign w:val="superscript"/>
        </w:rPr>
        <w:footnoteReference w:id="753"/>
      </w:r>
      <w:r w:rsidRPr="002D394D">
        <w:rPr>
          <w:rFonts w:ascii="Times New Roman" w:hAnsi="Times New Roman" w:cs="Times New Roman"/>
          <w:sz w:val="24"/>
          <w:szCs w:val="24"/>
        </w:rPr>
        <w:t xml:space="preserve"> As a result, the capital became a run-down city not befit to house the center of governance. After a visit in 1842, Charles Dickens described Washington as a crumbling locale: </w:t>
      </w:r>
    </w:p>
    <w:p w14:paraId="2CFB7A0C" w14:textId="76E965C6" w:rsidR="002D394D" w:rsidRPr="002D394D" w:rsidRDefault="002D394D" w:rsidP="00A819D3">
      <w:pPr>
        <w:spacing w:line="240" w:lineRule="auto"/>
        <w:ind w:left="720" w:right="720"/>
        <w:rPr>
          <w:rFonts w:ascii="Times New Roman" w:hAnsi="Times New Roman" w:cs="Times New Roman"/>
          <w:sz w:val="24"/>
          <w:szCs w:val="24"/>
        </w:rPr>
      </w:pPr>
      <w:r w:rsidRPr="002D394D">
        <w:rPr>
          <w:rFonts w:ascii="Times New Roman" w:hAnsi="Times New Roman" w:cs="Times New Roman"/>
          <w:sz w:val="24"/>
          <w:szCs w:val="24"/>
        </w:rPr>
        <w:t>“It is sometimes called the City of Magnificent Distances, but it might with greater propriety be termed the City of Magnificent Intentions… Spacious avenues that begin in nothing, and lead nowhere; streets, miles-long, that only want houses, roads, and inhabitants; public buildings that need but a public to be complete; and ornaments of great thoroughfare – which only lack great thoroughfares to ornament – are its leading features.”</w:t>
      </w:r>
      <w:r w:rsidRPr="002D394D">
        <w:rPr>
          <w:rFonts w:ascii="Times New Roman" w:hAnsi="Times New Roman" w:cs="Times New Roman"/>
          <w:sz w:val="24"/>
          <w:szCs w:val="24"/>
          <w:vertAlign w:val="superscript"/>
        </w:rPr>
        <w:footnoteReference w:id="754"/>
      </w:r>
    </w:p>
    <w:p w14:paraId="4685E371" w14:textId="75BEE735" w:rsidR="002D394D" w:rsidRPr="002D394D" w:rsidRDefault="002D394D" w:rsidP="00DE397E">
      <w:pPr>
        <w:spacing w:before="240" w:line="480" w:lineRule="auto"/>
        <w:rPr>
          <w:rFonts w:ascii="Times New Roman" w:hAnsi="Times New Roman" w:cs="Times New Roman"/>
          <w:sz w:val="24"/>
          <w:szCs w:val="24"/>
        </w:rPr>
      </w:pPr>
      <w:r w:rsidRPr="002D394D">
        <w:rPr>
          <w:rFonts w:ascii="Times New Roman" w:hAnsi="Times New Roman" w:cs="Times New Roman"/>
          <w:sz w:val="24"/>
          <w:szCs w:val="24"/>
        </w:rPr>
        <w:t xml:space="preserve">Due to federal control of the city, the Army Corps of Engineers was left to deal with the majority of upkeep and improvements with a threadbare budget. Though some </w:t>
      </w:r>
      <w:r w:rsidR="00F77CAE">
        <w:rPr>
          <w:rFonts w:ascii="Times New Roman" w:hAnsi="Times New Roman" w:cs="Times New Roman"/>
          <w:sz w:val="24"/>
          <w:szCs w:val="24"/>
        </w:rPr>
        <w:t>c</w:t>
      </w:r>
      <w:r w:rsidRPr="002D394D">
        <w:rPr>
          <w:rFonts w:ascii="Times New Roman" w:hAnsi="Times New Roman" w:cs="Times New Roman"/>
          <w:sz w:val="24"/>
          <w:szCs w:val="24"/>
        </w:rPr>
        <w:t xml:space="preserve">orps commanders made significant strides, as was the case with Montgomery Meigs, the father of both the Washington Aqueduct and Arlington National Cemetery, most found the </w:t>
      </w:r>
      <w:r w:rsidR="00A30102">
        <w:rPr>
          <w:rFonts w:ascii="Times New Roman" w:hAnsi="Times New Roman" w:cs="Times New Roman"/>
          <w:sz w:val="24"/>
          <w:szCs w:val="24"/>
        </w:rPr>
        <w:t xml:space="preserve">unsupported </w:t>
      </w:r>
      <w:r w:rsidRPr="002D394D">
        <w:rPr>
          <w:rFonts w:ascii="Times New Roman" w:hAnsi="Times New Roman" w:cs="Times New Roman"/>
          <w:sz w:val="24"/>
          <w:szCs w:val="24"/>
        </w:rPr>
        <w:t>battle in the capital futile.</w:t>
      </w:r>
      <w:r w:rsidRPr="002D394D">
        <w:rPr>
          <w:rFonts w:ascii="Times New Roman" w:hAnsi="Times New Roman" w:cs="Times New Roman"/>
          <w:sz w:val="24"/>
          <w:szCs w:val="24"/>
          <w:vertAlign w:val="superscript"/>
        </w:rPr>
        <w:footnoteReference w:id="755"/>
      </w:r>
    </w:p>
    <w:p w14:paraId="19735206" w14:textId="72C4E345"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The 1860s served as a major turning point for the physical landscape of the nation’s capital; unfortunately, not all change was for the benefit of the city. The onset of the Civil War made for an even worse situation for the city that was referred to as “a southern town, without the picturesqueness, but with the indolence, the disorder, and the want of sanitation.”</w:t>
      </w:r>
      <w:r w:rsidRPr="002D394D">
        <w:rPr>
          <w:rFonts w:ascii="Times New Roman" w:hAnsi="Times New Roman" w:cs="Times New Roman"/>
          <w:sz w:val="24"/>
          <w:szCs w:val="24"/>
          <w:vertAlign w:val="superscript"/>
        </w:rPr>
        <w:footnoteReference w:id="756"/>
      </w:r>
      <w:r w:rsidRPr="002D394D">
        <w:rPr>
          <w:rFonts w:ascii="Times New Roman" w:hAnsi="Times New Roman" w:cs="Times New Roman"/>
          <w:sz w:val="24"/>
          <w:szCs w:val="24"/>
        </w:rPr>
        <w:t xml:space="preserve">  The proximity of Washington to the border of the Confederacy placed the city at risk of potential </w:t>
      </w:r>
      <w:r w:rsidRPr="002D394D">
        <w:rPr>
          <w:rFonts w:ascii="Times New Roman" w:hAnsi="Times New Roman" w:cs="Times New Roman"/>
          <w:sz w:val="24"/>
          <w:szCs w:val="24"/>
        </w:rPr>
        <w:lastRenderedPageBreak/>
        <w:t>invasion, and the capture of the capital would place the Union in dire straits. As a result, Union forces quickly acted to fortify the city, again with the Army Corps of Engineers taking the leading role.</w:t>
      </w:r>
      <w:r w:rsidRPr="002D394D">
        <w:rPr>
          <w:rFonts w:ascii="Times New Roman" w:hAnsi="Times New Roman" w:cs="Times New Roman"/>
          <w:sz w:val="24"/>
          <w:szCs w:val="24"/>
          <w:vertAlign w:val="superscript"/>
        </w:rPr>
        <w:footnoteReference w:id="757"/>
      </w:r>
      <w:r w:rsidRPr="002D394D">
        <w:rPr>
          <w:rFonts w:ascii="Times New Roman" w:hAnsi="Times New Roman" w:cs="Times New Roman"/>
          <w:sz w:val="24"/>
          <w:szCs w:val="24"/>
        </w:rPr>
        <w:t xml:space="preserve">  Troop encampments were placed in poor locations and created health hazards according to the local Board of Health, as was the case with Camp Fry, one of the city’s largest military encampments that was not only lousy with mosquitoes, but also noxiously odiferous due to its proximity to livestock.</w:t>
      </w:r>
      <w:r w:rsidRPr="002D394D">
        <w:rPr>
          <w:rFonts w:ascii="Times New Roman" w:hAnsi="Times New Roman" w:cs="Times New Roman"/>
          <w:sz w:val="24"/>
          <w:szCs w:val="24"/>
          <w:vertAlign w:val="superscript"/>
        </w:rPr>
        <w:footnoteReference w:id="758"/>
      </w:r>
      <w:r w:rsidRPr="002D394D">
        <w:rPr>
          <w:rFonts w:ascii="Times New Roman" w:hAnsi="Times New Roman" w:cs="Times New Roman"/>
          <w:sz w:val="24"/>
          <w:szCs w:val="24"/>
        </w:rPr>
        <w:t xml:space="preserve"> The city became a destination for criminals who came from the surrounding areas to take advantage of the influx of </w:t>
      </w:r>
      <w:r w:rsidR="00DF51BA">
        <w:rPr>
          <w:rFonts w:ascii="Times New Roman" w:hAnsi="Times New Roman" w:cs="Times New Roman"/>
          <w:sz w:val="24"/>
          <w:szCs w:val="24"/>
        </w:rPr>
        <w:t>unsophisticated</w:t>
      </w:r>
      <w:r w:rsidRPr="002D394D">
        <w:rPr>
          <w:rFonts w:ascii="Times New Roman" w:hAnsi="Times New Roman" w:cs="Times New Roman"/>
          <w:sz w:val="24"/>
          <w:szCs w:val="24"/>
        </w:rPr>
        <w:t xml:space="preserve"> soldiers. The wartime efforts that were necessary to protect the capital also made it a dank and dangerous destination. </w:t>
      </w:r>
    </w:p>
    <w:p w14:paraId="781E8033" w14:textId="5603B615"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This is not to say that the city was well off before the war. Congress, charged with budget oversight for the city in which they were housed, neglected it in favor of other national issues, or in some cases issues that dealt with representatives’ home districts. As a result, the city festered. The Washington Canal, at one point intended to serve as the key to commerce and respectability for the city, was left unfinished with pungent odors rolling off the stagnant water. Prostitution filled areas </w:t>
      </w:r>
      <w:r w:rsidR="00151CD7">
        <w:rPr>
          <w:rFonts w:ascii="Times New Roman" w:hAnsi="Times New Roman" w:cs="Times New Roman"/>
          <w:sz w:val="24"/>
          <w:szCs w:val="24"/>
        </w:rPr>
        <w:t>like the diseased</w:t>
      </w:r>
      <w:r w:rsidRPr="002D394D">
        <w:rPr>
          <w:rFonts w:ascii="Times New Roman" w:hAnsi="Times New Roman" w:cs="Times New Roman"/>
          <w:sz w:val="24"/>
          <w:szCs w:val="24"/>
        </w:rPr>
        <w:t xml:space="preserve"> Louse Alley, and with Congress</w:t>
      </w:r>
      <w:r w:rsidR="00754D8E">
        <w:rPr>
          <w:rFonts w:ascii="Times New Roman" w:hAnsi="Times New Roman" w:cs="Times New Roman"/>
          <w:sz w:val="24"/>
          <w:szCs w:val="24"/>
        </w:rPr>
        <w:t xml:space="preserve"> paying a hoard of young soldiers housed therein while</w:t>
      </w:r>
      <w:r w:rsidRPr="002D394D">
        <w:rPr>
          <w:rFonts w:ascii="Times New Roman" w:hAnsi="Times New Roman" w:cs="Times New Roman"/>
          <w:sz w:val="24"/>
          <w:szCs w:val="24"/>
        </w:rPr>
        <w:t xml:space="preserve"> refusing to pay for an adequate police force</w:t>
      </w:r>
      <w:r w:rsidR="00754D8E">
        <w:rPr>
          <w:rFonts w:ascii="Times New Roman" w:hAnsi="Times New Roman" w:cs="Times New Roman"/>
          <w:sz w:val="24"/>
          <w:szCs w:val="24"/>
        </w:rPr>
        <w:t xml:space="preserve"> to protect and serve</w:t>
      </w:r>
      <w:r w:rsidRPr="002D394D">
        <w:rPr>
          <w:rFonts w:ascii="Times New Roman" w:hAnsi="Times New Roman" w:cs="Times New Roman"/>
          <w:sz w:val="24"/>
          <w:szCs w:val="24"/>
        </w:rPr>
        <w:t xml:space="preserve"> the city</w:t>
      </w:r>
      <w:r w:rsidR="00754D8E">
        <w:rPr>
          <w:rFonts w:ascii="Times New Roman" w:hAnsi="Times New Roman" w:cs="Times New Roman"/>
          <w:sz w:val="24"/>
          <w:szCs w:val="24"/>
        </w:rPr>
        <w:t>,</w:t>
      </w:r>
      <w:r w:rsidRPr="002D394D">
        <w:rPr>
          <w:rFonts w:ascii="Times New Roman" w:hAnsi="Times New Roman" w:cs="Times New Roman"/>
          <w:sz w:val="24"/>
          <w:szCs w:val="24"/>
        </w:rPr>
        <w:t xml:space="preserve"> the capital became a den of debauchery.</w:t>
      </w:r>
      <w:r w:rsidRPr="002D394D">
        <w:rPr>
          <w:rFonts w:ascii="Times New Roman" w:hAnsi="Times New Roman" w:cs="Times New Roman"/>
          <w:sz w:val="24"/>
          <w:szCs w:val="24"/>
          <w:vertAlign w:val="superscript"/>
        </w:rPr>
        <w:footnoteReference w:id="759"/>
      </w:r>
      <w:r w:rsidRPr="002D394D">
        <w:rPr>
          <w:rFonts w:ascii="Times New Roman" w:hAnsi="Times New Roman" w:cs="Times New Roman"/>
          <w:sz w:val="24"/>
          <w:szCs w:val="24"/>
        </w:rPr>
        <w:t xml:space="preserve"> Even more to consider were the shantytowns and “contraband camps” that emerged as </w:t>
      </w:r>
      <w:r w:rsidR="005A6408">
        <w:rPr>
          <w:rFonts w:ascii="Times New Roman" w:hAnsi="Times New Roman" w:cs="Times New Roman"/>
          <w:sz w:val="24"/>
          <w:szCs w:val="24"/>
        </w:rPr>
        <w:t>many</w:t>
      </w:r>
      <w:r w:rsidRPr="002D394D">
        <w:rPr>
          <w:rFonts w:ascii="Times New Roman" w:hAnsi="Times New Roman" w:cs="Times New Roman"/>
          <w:sz w:val="24"/>
          <w:szCs w:val="24"/>
        </w:rPr>
        <w:t xml:space="preserve"> formerly enslaved</w:t>
      </w:r>
      <w:r w:rsidR="005A6408">
        <w:rPr>
          <w:rFonts w:ascii="Times New Roman" w:hAnsi="Times New Roman" w:cs="Times New Roman"/>
          <w:sz w:val="24"/>
          <w:szCs w:val="24"/>
        </w:rPr>
        <w:t xml:space="preserve"> individuals</w:t>
      </w:r>
      <w:r w:rsidRPr="002D394D">
        <w:rPr>
          <w:rFonts w:ascii="Times New Roman" w:hAnsi="Times New Roman" w:cs="Times New Roman"/>
          <w:sz w:val="24"/>
          <w:szCs w:val="24"/>
        </w:rPr>
        <w:t xml:space="preserve"> fled to Union lines but were unable to establish themselves in society as they had few possessions in the first place.</w:t>
      </w:r>
      <w:r w:rsidRPr="002D394D">
        <w:rPr>
          <w:rFonts w:ascii="Times New Roman" w:hAnsi="Times New Roman" w:cs="Times New Roman"/>
          <w:sz w:val="24"/>
          <w:szCs w:val="24"/>
          <w:vertAlign w:val="superscript"/>
        </w:rPr>
        <w:footnoteReference w:id="760"/>
      </w:r>
      <w:r w:rsidRPr="002D394D">
        <w:rPr>
          <w:rFonts w:ascii="Times New Roman" w:hAnsi="Times New Roman" w:cs="Times New Roman"/>
          <w:sz w:val="24"/>
          <w:szCs w:val="24"/>
        </w:rPr>
        <w:t xml:space="preserve"> </w:t>
      </w:r>
      <w:r w:rsidRPr="002D394D">
        <w:rPr>
          <w:rFonts w:ascii="Times New Roman" w:hAnsi="Times New Roman" w:cs="Times New Roman"/>
          <w:sz w:val="24"/>
          <w:szCs w:val="24"/>
        </w:rPr>
        <w:lastRenderedPageBreak/>
        <w:t>These spaces and these people were seen as less worthy of attention by authorities, leading some to become truly lawless places. One infamous neighborhood had such a high crime rate that it became known as “Murder Bay,” reflecting the public opinions of the mess the city had become.</w:t>
      </w:r>
      <w:r w:rsidRPr="002D394D">
        <w:rPr>
          <w:rFonts w:ascii="Times New Roman" w:hAnsi="Times New Roman" w:cs="Times New Roman"/>
          <w:sz w:val="24"/>
          <w:szCs w:val="24"/>
          <w:vertAlign w:val="superscript"/>
        </w:rPr>
        <w:footnoteReference w:id="761"/>
      </w:r>
      <w:r w:rsidRPr="002D394D">
        <w:rPr>
          <w:rFonts w:ascii="Times New Roman" w:hAnsi="Times New Roman" w:cs="Times New Roman"/>
          <w:sz w:val="24"/>
          <w:szCs w:val="24"/>
        </w:rPr>
        <w:t xml:space="preserve">  By the end of the Civil War, Washington was left in a state of physical disarray, social strain, and in many ways, it reached </w:t>
      </w:r>
      <w:r w:rsidR="009F4D64">
        <w:rPr>
          <w:rFonts w:ascii="Times New Roman" w:hAnsi="Times New Roman" w:cs="Times New Roman"/>
          <w:sz w:val="24"/>
          <w:szCs w:val="24"/>
        </w:rPr>
        <w:t>rock bottom</w:t>
      </w:r>
      <w:r w:rsidRPr="002D394D">
        <w:rPr>
          <w:rFonts w:ascii="Times New Roman" w:hAnsi="Times New Roman" w:cs="Times New Roman"/>
          <w:sz w:val="24"/>
          <w:szCs w:val="24"/>
        </w:rPr>
        <w:t>.</w:t>
      </w:r>
    </w:p>
    <w:p w14:paraId="4529246E" w14:textId="194792F5" w:rsidR="002D394D" w:rsidRPr="002D394D" w:rsidRDefault="002D394D" w:rsidP="002D394D">
      <w:pPr>
        <w:spacing w:after="0"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During Andrew Johnson’s Administration, the majority of the work done on the capital’s landscapes remained the responsibility of the Army Corps of Engineers and its deficient budget. Lawmakers removed the care of public buildings from a civilian commissioner and transferred it to the Corps of Engineers alongside “the superintendence of the Washington Aqueduct and all the public works and improvements of the government of the United States in the District of Columbia.”</w:t>
      </w:r>
      <w:r w:rsidRPr="002D394D">
        <w:rPr>
          <w:rFonts w:ascii="Times New Roman" w:hAnsi="Times New Roman" w:cs="Times New Roman"/>
          <w:sz w:val="24"/>
          <w:szCs w:val="24"/>
          <w:vertAlign w:val="superscript"/>
        </w:rPr>
        <w:footnoteReference w:id="762"/>
      </w:r>
      <w:r w:rsidRPr="002D394D">
        <w:rPr>
          <w:rFonts w:ascii="Times New Roman" w:hAnsi="Times New Roman" w:cs="Times New Roman"/>
          <w:sz w:val="24"/>
          <w:szCs w:val="24"/>
        </w:rPr>
        <w:t xml:space="preserve"> Chief of Engineers General A.A. Humphreys appointed Major Nathaniel N. Michler to serve as the head of the newly formed Office of Public Buildings and Grounds in the nation’s capital.</w:t>
      </w:r>
      <w:r w:rsidRPr="002D394D">
        <w:rPr>
          <w:rFonts w:ascii="Times New Roman" w:hAnsi="Times New Roman" w:cs="Times New Roman"/>
          <w:sz w:val="24"/>
          <w:szCs w:val="24"/>
          <w:vertAlign w:val="superscript"/>
        </w:rPr>
        <w:footnoteReference w:id="763"/>
      </w:r>
      <w:r w:rsidRPr="002D394D">
        <w:rPr>
          <w:rFonts w:ascii="Times New Roman" w:hAnsi="Times New Roman" w:cs="Times New Roman"/>
          <w:sz w:val="24"/>
          <w:szCs w:val="24"/>
        </w:rPr>
        <w:t xml:space="preserve"> Michler “continued the precedent set by L’Enfant</w:t>
      </w:r>
      <w:r w:rsidR="00FD11B1">
        <w:rPr>
          <w:rFonts w:ascii="Times New Roman" w:hAnsi="Times New Roman" w:cs="Times New Roman"/>
          <w:sz w:val="24"/>
          <w:szCs w:val="24"/>
        </w:rPr>
        <w:t>…</w:t>
      </w:r>
      <w:r w:rsidRPr="002D394D">
        <w:rPr>
          <w:rFonts w:ascii="Times New Roman" w:hAnsi="Times New Roman" w:cs="Times New Roman"/>
          <w:sz w:val="24"/>
          <w:szCs w:val="24"/>
        </w:rPr>
        <w:t xml:space="preserve"> and others of the gentlemen-engineer tradition,” combining family histories of public service with education far surpassing mere matters of war.</w:t>
      </w:r>
      <w:r w:rsidRPr="002D394D">
        <w:rPr>
          <w:rFonts w:ascii="Times New Roman" w:hAnsi="Times New Roman" w:cs="Times New Roman"/>
          <w:sz w:val="24"/>
          <w:szCs w:val="24"/>
          <w:vertAlign w:val="superscript"/>
        </w:rPr>
        <w:footnoteReference w:id="764"/>
      </w:r>
      <w:r w:rsidRPr="002D394D">
        <w:rPr>
          <w:rFonts w:ascii="Times New Roman" w:hAnsi="Times New Roman" w:cs="Times New Roman"/>
          <w:sz w:val="24"/>
          <w:szCs w:val="24"/>
        </w:rPr>
        <w:t xml:space="preserve"> Michler excelled at map-making and surveying, and he used this expertise to outline new plans for the Washington Mall based on </w:t>
      </w:r>
      <w:r w:rsidR="007F1590">
        <w:rPr>
          <w:rFonts w:ascii="Times New Roman" w:hAnsi="Times New Roman" w:cs="Times New Roman"/>
          <w:sz w:val="24"/>
          <w:szCs w:val="24"/>
        </w:rPr>
        <w:t>schematics</w:t>
      </w:r>
      <w:r w:rsidRPr="002D394D">
        <w:rPr>
          <w:rFonts w:ascii="Times New Roman" w:hAnsi="Times New Roman" w:cs="Times New Roman"/>
          <w:sz w:val="24"/>
          <w:szCs w:val="24"/>
        </w:rPr>
        <w:t xml:space="preserve"> developed by Andrew Jackson Downing in 1851, beginning the park beautification process while lobbying for additional funding to provide for his office’s work.</w:t>
      </w:r>
      <w:r w:rsidRPr="002D394D">
        <w:rPr>
          <w:rFonts w:ascii="Times New Roman" w:hAnsi="Times New Roman" w:cs="Times New Roman"/>
          <w:sz w:val="24"/>
          <w:szCs w:val="24"/>
          <w:vertAlign w:val="superscript"/>
        </w:rPr>
        <w:footnoteReference w:id="765"/>
      </w:r>
      <w:r w:rsidRPr="002D394D">
        <w:rPr>
          <w:rFonts w:ascii="Times New Roman" w:hAnsi="Times New Roman" w:cs="Times New Roman"/>
          <w:sz w:val="24"/>
          <w:szCs w:val="24"/>
        </w:rPr>
        <w:t xml:space="preserve"> Michler’s mission also included finding suitable locations for new public parks and for a potential new Executive Mansion should the need arise while maintaining the numerous public parks and triangular land masses created by </w:t>
      </w:r>
      <w:r w:rsidRPr="002D394D">
        <w:rPr>
          <w:rFonts w:ascii="Times New Roman" w:hAnsi="Times New Roman" w:cs="Times New Roman"/>
          <w:sz w:val="24"/>
          <w:szCs w:val="24"/>
        </w:rPr>
        <w:lastRenderedPageBreak/>
        <w:t>L’Enfant’s grid-radial street system for the city.</w:t>
      </w:r>
      <w:r w:rsidRPr="002D394D">
        <w:rPr>
          <w:rFonts w:ascii="Times New Roman" w:hAnsi="Times New Roman" w:cs="Times New Roman"/>
          <w:sz w:val="24"/>
          <w:szCs w:val="24"/>
          <w:vertAlign w:val="superscript"/>
        </w:rPr>
        <w:footnoteReference w:id="766"/>
      </w:r>
      <w:r w:rsidRPr="002D394D">
        <w:rPr>
          <w:rFonts w:ascii="Times New Roman" w:hAnsi="Times New Roman" w:cs="Times New Roman"/>
          <w:sz w:val="24"/>
          <w:szCs w:val="24"/>
        </w:rPr>
        <w:t xml:space="preserve"> Michler’s role in the revitalization of the city is often dwarfed by discussions of others in the same era, but his contributions were the necessary first step in the process of revitalizing the nation’s capital.</w:t>
      </w:r>
      <w:r w:rsidRPr="002D394D">
        <w:rPr>
          <w:rFonts w:ascii="Times New Roman" w:hAnsi="Times New Roman" w:cs="Times New Roman"/>
          <w:sz w:val="24"/>
          <w:szCs w:val="24"/>
          <w:vertAlign w:val="superscript"/>
        </w:rPr>
        <w:footnoteReference w:id="767"/>
      </w:r>
    </w:p>
    <w:p w14:paraId="56676C32" w14:textId="15F8D63B"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In addition to his post as Personal Secretary to the President, Orville Babcock was appointed as Major Michler’s successor to the Office of Public Buildings and Grounds by President Grant in 1871.</w:t>
      </w:r>
      <w:r w:rsidRPr="002D394D">
        <w:rPr>
          <w:rFonts w:ascii="Times New Roman" w:hAnsi="Times New Roman" w:cs="Times New Roman"/>
          <w:sz w:val="24"/>
          <w:szCs w:val="24"/>
          <w:vertAlign w:val="superscript"/>
        </w:rPr>
        <w:footnoteReference w:id="768"/>
      </w:r>
      <w:r w:rsidRPr="002D394D">
        <w:rPr>
          <w:rFonts w:ascii="Times New Roman" w:hAnsi="Times New Roman" w:cs="Times New Roman"/>
          <w:sz w:val="24"/>
          <w:szCs w:val="24"/>
        </w:rPr>
        <w:t xml:space="preserve"> Babcock’s efforts were instrumental </w:t>
      </w:r>
      <w:r w:rsidR="00CF55E9">
        <w:rPr>
          <w:rFonts w:ascii="Times New Roman" w:hAnsi="Times New Roman" w:cs="Times New Roman"/>
          <w:sz w:val="24"/>
          <w:szCs w:val="24"/>
        </w:rPr>
        <w:t>to</w:t>
      </w:r>
      <w:r w:rsidRPr="002D394D">
        <w:rPr>
          <w:rFonts w:ascii="Times New Roman" w:hAnsi="Times New Roman" w:cs="Times New Roman"/>
          <w:sz w:val="24"/>
          <w:szCs w:val="24"/>
        </w:rPr>
        <w:t xml:space="preserve"> revitalizing the public landscape, but his presence also served as a shift in the tradition of “gentlemen-engineers” within the nation’s capital. Whether real or simply the product of assumption by political opponents, Babcock’s time as the Superintendent of the Office of Public Buildings and Grounds represented a major turning point in both the capital’s physical landscape and how the man in that post accomplished </w:t>
      </w:r>
      <w:r w:rsidR="00B229A0">
        <w:rPr>
          <w:rFonts w:ascii="Times New Roman" w:hAnsi="Times New Roman" w:cs="Times New Roman"/>
          <w:sz w:val="24"/>
          <w:szCs w:val="24"/>
        </w:rPr>
        <w:t>his</w:t>
      </w:r>
      <w:r w:rsidRPr="002D394D">
        <w:rPr>
          <w:rFonts w:ascii="Times New Roman" w:hAnsi="Times New Roman" w:cs="Times New Roman"/>
          <w:sz w:val="24"/>
          <w:szCs w:val="24"/>
        </w:rPr>
        <w:t xml:space="preserve"> tasks.</w:t>
      </w:r>
    </w:p>
    <w:p w14:paraId="4095299A" w14:textId="77777777" w:rsidR="006521E6"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During his tenure with the Office of Public Buildings and Grounds, Babcock began to work closely with Alexander Robey Shepherd, the Vice President of the Board of Public Works and the Governor of the Washington Territorial Government</w:t>
      </w:r>
      <w:r w:rsidR="00D963F9">
        <w:rPr>
          <w:rFonts w:ascii="Times New Roman" w:hAnsi="Times New Roman" w:cs="Times New Roman"/>
          <w:sz w:val="24"/>
          <w:szCs w:val="24"/>
        </w:rPr>
        <w:t xml:space="preserve"> (</w:t>
      </w:r>
      <w:r w:rsidR="00D963F9">
        <w:rPr>
          <w:rFonts w:ascii="Times New Roman" w:hAnsi="Times New Roman" w:cs="Times New Roman"/>
          <w:b/>
          <w:bCs/>
          <w:sz w:val="24"/>
          <w:szCs w:val="24"/>
        </w:rPr>
        <w:t>Figure 3.2</w:t>
      </w:r>
      <w:r w:rsidR="00D963F9">
        <w:rPr>
          <w:rFonts w:ascii="Times New Roman" w:hAnsi="Times New Roman" w:cs="Times New Roman"/>
          <w:sz w:val="24"/>
          <w:szCs w:val="24"/>
        </w:rPr>
        <w:t>)</w:t>
      </w:r>
      <w:r w:rsidRPr="002D394D">
        <w:rPr>
          <w:rFonts w:ascii="Times New Roman" w:hAnsi="Times New Roman" w:cs="Times New Roman"/>
          <w:sz w:val="24"/>
          <w:szCs w:val="24"/>
        </w:rPr>
        <w:t xml:space="preserve">.  Alexander Robey Shepherd was born in January 1835 in southwest Washington City, the second child and first son of Alexander Shepherd Sr. and Susan Davidson-Robey, both of whom hailed from prominent planter families in the Washington area.  His early life consisted of schooling, attending church </w:t>
      </w:r>
      <w:r w:rsidRPr="002D394D">
        <w:rPr>
          <w:rFonts w:ascii="Times New Roman" w:hAnsi="Times New Roman" w:cs="Times New Roman"/>
          <w:sz w:val="24"/>
          <w:szCs w:val="24"/>
        </w:rPr>
        <w:lastRenderedPageBreak/>
        <w:t>with his family, and supporting the local fire company, in some cases participating in its rivalr</w:t>
      </w:r>
      <w:r w:rsidR="000C25E2">
        <w:rPr>
          <w:rFonts w:ascii="Times New Roman" w:hAnsi="Times New Roman" w:cs="Times New Roman"/>
          <w:sz w:val="24"/>
          <w:szCs w:val="24"/>
        </w:rPr>
        <w:t>ies</w:t>
      </w:r>
      <w:r w:rsidRPr="002D394D">
        <w:rPr>
          <w:rFonts w:ascii="Times New Roman" w:hAnsi="Times New Roman" w:cs="Times New Roman"/>
          <w:sz w:val="24"/>
          <w:szCs w:val="24"/>
        </w:rPr>
        <w:t xml:space="preserve"> with other firehouses, perhaps beginning his lifelong passion for public service.</w:t>
      </w:r>
      <w:r w:rsidRPr="002D394D">
        <w:rPr>
          <w:rFonts w:ascii="Times New Roman" w:hAnsi="Times New Roman" w:cs="Times New Roman"/>
          <w:sz w:val="24"/>
          <w:szCs w:val="24"/>
          <w:vertAlign w:val="superscript"/>
        </w:rPr>
        <w:footnoteReference w:id="769"/>
      </w:r>
      <w:r w:rsidRPr="002D394D">
        <w:rPr>
          <w:rFonts w:ascii="Times New Roman" w:hAnsi="Times New Roman" w:cs="Times New Roman"/>
          <w:sz w:val="24"/>
          <w:szCs w:val="24"/>
        </w:rPr>
        <w:t xml:space="preserve">  Shepherd dropped out of school by the time he was thirteen in order to support his mother and his five siblings </w:t>
      </w:r>
      <w:r w:rsidR="008D60A6">
        <w:rPr>
          <w:rFonts w:ascii="Times New Roman" w:hAnsi="Times New Roman" w:cs="Times New Roman"/>
          <w:sz w:val="24"/>
          <w:szCs w:val="24"/>
        </w:rPr>
        <w:t>upon</w:t>
      </w:r>
      <w:r w:rsidRPr="002D394D">
        <w:rPr>
          <w:rFonts w:ascii="Times New Roman" w:hAnsi="Times New Roman" w:cs="Times New Roman"/>
          <w:sz w:val="24"/>
          <w:szCs w:val="24"/>
        </w:rPr>
        <w:t xml:space="preserve"> his father’s death, showing his willingness to act quickly when the moment required it, a talent and a curse that would later define his public career.</w:t>
      </w:r>
      <w:r w:rsidRPr="002D394D">
        <w:rPr>
          <w:rFonts w:ascii="Times New Roman" w:hAnsi="Times New Roman" w:cs="Times New Roman"/>
          <w:sz w:val="24"/>
          <w:szCs w:val="24"/>
          <w:vertAlign w:val="superscript"/>
        </w:rPr>
        <w:footnoteReference w:id="770"/>
      </w:r>
      <w:r w:rsidRPr="002D394D">
        <w:rPr>
          <w:rFonts w:ascii="Times New Roman" w:hAnsi="Times New Roman" w:cs="Times New Roman"/>
          <w:sz w:val="24"/>
          <w:szCs w:val="24"/>
        </w:rPr>
        <w:t xml:space="preserve"> He worked many </w:t>
      </w:r>
      <w:r w:rsidR="00A53BC4">
        <w:rPr>
          <w:rFonts w:ascii="Times New Roman" w:hAnsi="Times New Roman" w:cs="Times New Roman"/>
          <w:sz w:val="24"/>
          <w:szCs w:val="24"/>
        </w:rPr>
        <w:t>job</w:t>
      </w:r>
      <w:r w:rsidRPr="002D394D">
        <w:rPr>
          <w:rFonts w:ascii="Times New Roman" w:hAnsi="Times New Roman" w:cs="Times New Roman"/>
          <w:sz w:val="24"/>
          <w:szCs w:val="24"/>
        </w:rPr>
        <w:t>s as a young man, including a store clerk, a carpenter’s apprentice, and eventually a clerk and head bookkeeper at a plumbing and gas-fitting contractorship he later took over.</w:t>
      </w:r>
      <w:r w:rsidRPr="002D394D">
        <w:rPr>
          <w:rFonts w:ascii="Times New Roman" w:hAnsi="Times New Roman" w:cs="Times New Roman"/>
          <w:sz w:val="24"/>
          <w:szCs w:val="24"/>
          <w:vertAlign w:val="superscript"/>
        </w:rPr>
        <w:footnoteReference w:id="771"/>
      </w:r>
    </w:p>
    <w:p w14:paraId="113B9C41" w14:textId="04D75B2F" w:rsidR="006521E6" w:rsidRPr="002D394D" w:rsidRDefault="006521E6" w:rsidP="006521E6">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Shepherd, like Babcock, was a man who fit the mold of the emerging pragmaticos. As an adult, Shepherd was a strapping young man, “an Apollo in form, a giant in strength” with a voice that maintained “a richness and fullness of tone as an implement of conversation [and] a laugh that was …musical and unconstrained,” all of which made him a presence in every room he </w:t>
      </w:r>
    </w:p>
    <w:p w14:paraId="34EE4C82" w14:textId="54D1CA7A" w:rsidR="006521E6" w:rsidRPr="002D394D" w:rsidRDefault="006521E6" w:rsidP="006521E6">
      <w:pPr>
        <w:spacing w:after="0" w:line="480" w:lineRule="auto"/>
        <w:jc w:val="center"/>
        <w:rPr>
          <w:rFonts w:ascii="Times New Roman" w:hAnsi="Times New Roman" w:cs="Times New Roman"/>
          <w:sz w:val="24"/>
          <w:szCs w:val="24"/>
        </w:rPr>
      </w:pPr>
      <w:r w:rsidRPr="002D394D">
        <w:rPr>
          <w:noProof/>
        </w:rPr>
        <w:drawing>
          <wp:inline distT="0" distB="0" distL="0" distR="0" wp14:anchorId="22339DAF" wp14:editId="0F519133">
            <wp:extent cx="1751965" cy="2372865"/>
            <wp:effectExtent l="0" t="0" r="635" b="8890"/>
            <wp:docPr id="1385479859" name="Picture 3" descr="Governor Shepherd - The Association of the Oldest Inhabitants of 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overnor Shepherd - The Association of the Oldest Inhabitants of D.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3163" cy="2415120"/>
                    </a:xfrm>
                    <a:prstGeom prst="rect">
                      <a:avLst/>
                    </a:prstGeom>
                    <a:noFill/>
                    <a:ln>
                      <a:noFill/>
                    </a:ln>
                  </pic:spPr>
                </pic:pic>
              </a:graphicData>
            </a:graphic>
          </wp:inline>
        </w:drawing>
      </w:r>
    </w:p>
    <w:p w14:paraId="34F9E5FA" w14:textId="77777777" w:rsidR="006521E6" w:rsidRPr="002D394D" w:rsidRDefault="006521E6" w:rsidP="006521E6">
      <w:pPr>
        <w:spacing w:line="240" w:lineRule="auto"/>
        <w:rPr>
          <w:rFonts w:ascii="Times New Roman" w:hAnsi="Times New Roman" w:cs="Times New Roman"/>
        </w:rPr>
      </w:pPr>
      <w:r>
        <w:rPr>
          <w:rFonts w:ascii="Times New Roman" w:hAnsi="Times New Roman" w:cs="Times New Roman"/>
          <w:b/>
          <w:bCs/>
          <w:sz w:val="20"/>
          <w:szCs w:val="20"/>
        </w:rPr>
        <w:t>Figure 3.2: Alexander Robey Shepherd:</w:t>
      </w:r>
      <w:r>
        <w:rPr>
          <w:rFonts w:ascii="Times New Roman" w:hAnsi="Times New Roman" w:cs="Times New Roman"/>
          <w:sz w:val="20"/>
          <w:szCs w:val="20"/>
        </w:rPr>
        <w:t xml:space="preserve"> First a Washingtonian businessman and then the Governor of the District of Columbia, Shepherd worked on several different projects to advance the reputation of the capital.</w:t>
      </w:r>
      <w:r w:rsidRPr="002D394D">
        <w:rPr>
          <w:rFonts w:ascii="Times New Roman" w:hAnsi="Times New Roman" w:cs="Times New Roman"/>
          <w:vertAlign w:val="superscript"/>
        </w:rPr>
        <w:footnoteReference w:id="772"/>
      </w:r>
    </w:p>
    <w:p w14:paraId="3FE33455" w14:textId="4A10E2BD" w:rsidR="002D394D" w:rsidRPr="002D394D" w:rsidRDefault="006521E6" w:rsidP="006521E6">
      <w:pPr>
        <w:spacing w:line="480" w:lineRule="auto"/>
        <w:rPr>
          <w:rFonts w:ascii="Times New Roman" w:hAnsi="Times New Roman" w:cs="Times New Roman"/>
          <w:sz w:val="24"/>
          <w:szCs w:val="24"/>
        </w:rPr>
      </w:pPr>
      <w:r w:rsidRPr="002D394D">
        <w:rPr>
          <w:rFonts w:ascii="Times New Roman" w:hAnsi="Times New Roman" w:cs="Times New Roman"/>
          <w:sz w:val="24"/>
          <w:szCs w:val="24"/>
        </w:rPr>
        <w:lastRenderedPageBreak/>
        <w:t>entered.</w:t>
      </w:r>
      <w:r w:rsidRPr="002D394D">
        <w:rPr>
          <w:rFonts w:ascii="Times New Roman" w:hAnsi="Times New Roman" w:cs="Times New Roman"/>
          <w:sz w:val="24"/>
          <w:szCs w:val="24"/>
          <w:vertAlign w:val="superscript"/>
        </w:rPr>
        <w:footnoteReference w:id="773"/>
      </w:r>
      <w:r w:rsidRPr="002D394D">
        <w:rPr>
          <w:rFonts w:ascii="Times New Roman" w:hAnsi="Times New Roman" w:cs="Times New Roman"/>
          <w:sz w:val="24"/>
          <w:szCs w:val="24"/>
        </w:rPr>
        <w:t xml:space="preserve"> He took advantage of his larger-than-life presence in several areas of Washington society, combining an active church life with membership in several sporting clubs.</w:t>
      </w:r>
      <w:r w:rsidRPr="002D394D">
        <w:rPr>
          <w:rFonts w:ascii="Times New Roman" w:hAnsi="Times New Roman" w:cs="Times New Roman"/>
          <w:sz w:val="24"/>
          <w:szCs w:val="24"/>
          <w:vertAlign w:val="superscript"/>
        </w:rPr>
        <w:footnoteReference w:id="774"/>
      </w:r>
      <w:r w:rsidRPr="002D394D">
        <w:rPr>
          <w:rFonts w:ascii="Times New Roman" w:hAnsi="Times New Roman" w:cs="Times New Roman"/>
          <w:sz w:val="24"/>
          <w:szCs w:val="24"/>
        </w:rPr>
        <w:t xml:space="preserve"> In many</w:t>
      </w:r>
      <w:r>
        <w:rPr>
          <w:rFonts w:ascii="Times New Roman" w:hAnsi="Times New Roman" w:cs="Times New Roman"/>
          <w:sz w:val="24"/>
          <w:szCs w:val="24"/>
        </w:rPr>
        <w:t xml:space="preserve"> organization</w:t>
      </w:r>
      <w:r w:rsidRPr="002D394D">
        <w:rPr>
          <w:rFonts w:ascii="Times New Roman" w:hAnsi="Times New Roman" w:cs="Times New Roman"/>
          <w:sz w:val="24"/>
          <w:szCs w:val="24"/>
        </w:rPr>
        <w:t>s he served</w:t>
      </w:r>
      <w:r>
        <w:rPr>
          <w:rFonts w:ascii="Times New Roman" w:hAnsi="Times New Roman" w:cs="Times New Roman"/>
          <w:sz w:val="24"/>
          <w:szCs w:val="24"/>
        </w:rPr>
        <w:t xml:space="preserve"> </w:t>
      </w:r>
      <w:r w:rsidRPr="002D394D">
        <w:rPr>
          <w:rFonts w:ascii="Times New Roman" w:hAnsi="Times New Roman" w:cs="Times New Roman"/>
          <w:sz w:val="24"/>
          <w:szCs w:val="24"/>
        </w:rPr>
        <w:t>leadership roles, including his time as director of the Metropolitan</w:t>
      </w:r>
      <w:r>
        <w:rPr>
          <w:rFonts w:ascii="Times New Roman" w:hAnsi="Times New Roman" w:cs="Times New Roman"/>
          <w:sz w:val="24"/>
          <w:szCs w:val="24"/>
        </w:rPr>
        <w:t xml:space="preserve"> </w:t>
      </w:r>
      <w:r w:rsidR="002D394D" w:rsidRPr="002D394D">
        <w:rPr>
          <w:rFonts w:ascii="Times New Roman" w:hAnsi="Times New Roman" w:cs="Times New Roman"/>
          <w:sz w:val="24"/>
          <w:szCs w:val="24"/>
        </w:rPr>
        <w:t>Literary Association and the Washington Library Company; as a founding member of the Undine Boat Club; with the Fourth Presbyterian Church and then the newly formed New York Avenue Presbyterian Church, signaling a shift from new-school to old-school Presbyterianism.</w:t>
      </w:r>
      <w:r w:rsidR="002D394D" w:rsidRPr="002D394D">
        <w:rPr>
          <w:rFonts w:ascii="Times New Roman" w:hAnsi="Times New Roman" w:cs="Times New Roman"/>
          <w:sz w:val="24"/>
          <w:szCs w:val="24"/>
          <w:vertAlign w:val="superscript"/>
        </w:rPr>
        <w:footnoteReference w:id="775"/>
      </w:r>
      <w:r w:rsidR="002D394D" w:rsidRPr="002D394D">
        <w:rPr>
          <w:rFonts w:ascii="Times New Roman" w:hAnsi="Times New Roman" w:cs="Times New Roman"/>
          <w:sz w:val="24"/>
          <w:szCs w:val="24"/>
        </w:rPr>
        <w:t xml:space="preserve"> At the outbreak of the Civil War, a twenty-six year old Shepherd, alongside his brother, enlisted in the National Rifles, a volunteer Washington militia, where he served as a private for ninety days.</w:t>
      </w:r>
      <w:r w:rsidR="002D394D" w:rsidRPr="002D394D">
        <w:rPr>
          <w:rFonts w:ascii="Times New Roman" w:hAnsi="Times New Roman" w:cs="Times New Roman"/>
          <w:sz w:val="24"/>
          <w:szCs w:val="24"/>
          <w:vertAlign w:val="superscript"/>
        </w:rPr>
        <w:footnoteReference w:id="776"/>
      </w:r>
      <w:r w:rsidR="002D394D" w:rsidRPr="002D394D">
        <w:rPr>
          <w:rFonts w:ascii="Times New Roman" w:hAnsi="Times New Roman" w:cs="Times New Roman"/>
          <w:sz w:val="24"/>
          <w:szCs w:val="24"/>
        </w:rPr>
        <w:t xml:space="preserve"> He married Mary Grice Young in January 1862, the daughter of an elder of the Fourth Presbyterian Church.</w:t>
      </w:r>
      <w:r w:rsidR="002D394D" w:rsidRPr="002D394D">
        <w:rPr>
          <w:rFonts w:ascii="Times New Roman" w:hAnsi="Times New Roman" w:cs="Times New Roman"/>
          <w:sz w:val="24"/>
          <w:szCs w:val="24"/>
          <w:vertAlign w:val="superscript"/>
        </w:rPr>
        <w:footnoteReference w:id="777"/>
      </w:r>
      <w:r w:rsidR="002D394D" w:rsidRPr="002D394D">
        <w:rPr>
          <w:rFonts w:ascii="Times New Roman" w:hAnsi="Times New Roman" w:cs="Times New Roman"/>
          <w:sz w:val="24"/>
          <w:szCs w:val="24"/>
        </w:rPr>
        <w:t xml:space="preserve"> Shepherd’s presence, experiences, and connections led him to a life in politics in addition to his private enterprises. He won his first elected position on the Common Council of Washington in 1861 while still on active military duty, a post he held until 1863, winning three terms.</w:t>
      </w:r>
      <w:r w:rsidR="002D394D" w:rsidRPr="002D394D">
        <w:rPr>
          <w:rFonts w:ascii="Times New Roman" w:hAnsi="Times New Roman" w:cs="Times New Roman"/>
          <w:sz w:val="24"/>
          <w:szCs w:val="24"/>
          <w:vertAlign w:val="superscript"/>
        </w:rPr>
        <w:footnoteReference w:id="778"/>
      </w:r>
      <w:r w:rsidR="002D394D" w:rsidRPr="002D394D">
        <w:rPr>
          <w:rFonts w:ascii="Times New Roman" w:hAnsi="Times New Roman" w:cs="Times New Roman"/>
          <w:sz w:val="24"/>
          <w:szCs w:val="24"/>
        </w:rPr>
        <w:t xml:space="preserve"> After his time in the Common Council, Shepherd continued to serve as a voice for Washingtonians, pressing Congress to pay their fair share in the upkeep of Washington while </w:t>
      </w:r>
      <w:r w:rsidR="00DA0607">
        <w:rPr>
          <w:rFonts w:ascii="Times New Roman" w:hAnsi="Times New Roman" w:cs="Times New Roman"/>
          <w:sz w:val="24"/>
          <w:szCs w:val="24"/>
        </w:rPr>
        <w:t>championing the cause of</w:t>
      </w:r>
      <w:r w:rsidR="002D394D" w:rsidRPr="002D394D">
        <w:rPr>
          <w:rFonts w:ascii="Times New Roman" w:hAnsi="Times New Roman" w:cs="Times New Roman"/>
          <w:sz w:val="24"/>
          <w:szCs w:val="24"/>
        </w:rPr>
        <w:t xml:space="preserve"> the consolidation of local Washington jurisdictions in order to streamline efficiency.</w:t>
      </w:r>
      <w:r w:rsidR="002D394D" w:rsidRPr="002D394D">
        <w:rPr>
          <w:rFonts w:ascii="Times New Roman" w:hAnsi="Times New Roman" w:cs="Times New Roman"/>
          <w:sz w:val="24"/>
          <w:szCs w:val="24"/>
          <w:vertAlign w:val="superscript"/>
        </w:rPr>
        <w:footnoteReference w:id="779"/>
      </w:r>
      <w:r w:rsidR="002D394D" w:rsidRPr="002D394D">
        <w:rPr>
          <w:rFonts w:ascii="Times New Roman" w:hAnsi="Times New Roman" w:cs="Times New Roman"/>
          <w:sz w:val="24"/>
          <w:szCs w:val="24"/>
        </w:rPr>
        <w:t xml:space="preserve"> His favorite </w:t>
      </w:r>
      <w:r w:rsidR="00550D5B">
        <w:rPr>
          <w:rFonts w:ascii="Times New Roman" w:hAnsi="Times New Roman" w:cs="Times New Roman"/>
          <w:sz w:val="24"/>
          <w:szCs w:val="24"/>
        </w:rPr>
        <w:t>approach</w:t>
      </w:r>
      <w:r w:rsidR="002D394D" w:rsidRPr="002D394D">
        <w:rPr>
          <w:rFonts w:ascii="Times New Roman" w:hAnsi="Times New Roman" w:cs="Times New Roman"/>
          <w:sz w:val="24"/>
          <w:szCs w:val="24"/>
        </w:rPr>
        <w:t xml:space="preserve"> to accomplish his goal</w:t>
      </w:r>
      <w:r w:rsidR="00550D5B">
        <w:rPr>
          <w:rFonts w:ascii="Times New Roman" w:hAnsi="Times New Roman" w:cs="Times New Roman"/>
          <w:sz w:val="24"/>
          <w:szCs w:val="24"/>
        </w:rPr>
        <w:t>s</w:t>
      </w:r>
      <w:r w:rsidR="002D394D" w:rsidRPr="002D394D">
        <w:rPr>
          <w:rFonts w:ascii="Times New Roman" w:hAnsi="Times New Roman" w:cs="Times New Roman"/>
          <w:sz w:val="24"/>
          <w:szCs w:val="24"/>
        </w:rPr>
        <w:t xml:space="preserve"> was to schmooze Congressmen and local politicians at soirees that either he hosted or that were put on by </w:t>
      </w:r>
      <w:r w:rsidR="002D394D" w:rsidRPr="002D394D">
        <w:rPr>
          <w:rFonts w:ascii="Times New Roman" w:hAnsi="Times New Roman" w:cs="Times New Roman"/>
          <w:sz w:val="24"/>
          <w:szCs w:val="24"/>
        </w:rPr>
        <w:lastRenderedPageBreak/>
        <w:t>organizations with which he was associated.</w:t>
      </w:r>
      <w:r w:rsidR="002D394D" w:rsidRPr="002D394D">
        <w:rPr>
          <w:rFonts w:ascii="Times New Roman" w:hAnsi="Times New Roman" w:cs="Times New Roman"/>
          <w:sz w:val="24"/>
          <w:szCs w:val="24"/>
          <w:vertAlign w:val="superscript"/>
        </w:rPr>
        <w:footnoteReference w:id="780"/>
      </w:r>
      <w:r w:rsidR="002D394D" w:rsidRPr="002D394D">
        <w:rPr>
          <w:rFonts w:ascii="Times New Roman" w:hAnsi="Times New Roman" w:cs="Times New Roman"/>
          <w:sz w:val="24"/>
          <w:szCs w:val="24"/>
        </w:rPr>
        <w:t xml:space="preserve"> Shepherd was keenly aware of the ever</w:t>
      </w:r>
      <w:r w:rsidR="007E6D06">
        <w:rPr>
          <w:rFonts w:ascii="Times New Roman" w:hAnsi="Times New Roman" w:cs="Times New Roman"/>
          <w:sz w:val="24"/>
          <w:szCs w:val="24"/>
        </w:rPr>
        <w:t>-</w:t>
      </w:r>
      <w:r w:rsidR="002D394D" w:rsidRPr="002D394D">
        <w:rPr>
          <w:rFonts w:ascii="Times New Roman" w:hAnsi="Times New Roman" w:cs="Times New Roman"/>
          <w:sz w:val="24"/>
          <w:szCs w:val="24"/>
        </w:rPr>
        <w:t>changing perceptions surrounding the wartime and postwar political realm. During one debate early in his political career, Shepherd expressed his opinion on the outside perceptions of what he did, offering that he “did not care about the appearances, ridiculous or not. The only question with him was whether it was right, and he would do his duty let others think what they may,” effusing an attitude that he would accomplish the tasks he deemed necessary regardless of public perception.</w:t>
      </w:r>
      <w:r w:rsidR="002D394D" w:rsidRPr="002D394D">
        <w:rPr>
          <w:rFonts w:ascii="Times New Roman" w:hAnsi="Times New Roman" w:cs="Times New Roman"/>
          <w:sz w:val="24"/>
          <w:szCs w:val="24"/>
          <w:vertAlign w:val="superscript"/>
        </w:rPr>
        <w:footnoteReference w:id="781"/>
      </w:r>
    </w:p>
    <w:p w14:paraId="4FE9D0CC" w14:textId="77777777"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Shepherd was a long-time proponent of revitalizing Washington’s physical landscape, and he recognized the biggest issue standing in the way of progress was the way Washington’s governance was structured. The corporeal chaos of the capital left a figurative stain on those who visited and inhabited it. After the war, several key Washingtonians realized the problem as rumors began to circulate that the capital for the nation may fare better in a more centralized location, with St. Louis, MO serving as the favorite landing spot.</w:t>
      </w:r>
      <w:r w:rsidRPr="002D394D">
        <w:rPr>
          <w:rFonts w:ascii="Times New Roman" w:hAnsi="Times New Roman" w:cs="Times New Roman"/>
          <w:sz w:val="24"/>
          <w:szCs w:val="24"/>
          <w:vertAlign w:val="superscript"/>
        </w:rPr>
        <w:footnoteReference w:id="782"/>
      </w:r>
      <w:r w:rsidRPr="002D394D">
        <w:rPr>
          <w:rFonts w:ascii="Times New Roman" w:hAnsi="Times New Roman" w:cs="Times New Roman"/>
          <w:sz w:val="24"/>
          <w:szCs w:val="24"/>
        </w:rPr>
        <w:t xml:space="preserve"> On June 15, 1868, Illinois Representative John A. Logan, a Republican and former Union general, spoke these opinions into existence in the halls of Congress. Citing the alleged “disloyalty” of local residents, given the conservative Confederate sympathies among the residents in what still operated as a southern city, Logan accused Washingtonians of “render[ing] the city undesirable as a residence, and an unsafe and unfit place for Congress to assemble.”</w:t>
      </w:r>
      <w:r w:rsidRPr="002D394D">
        <w:rPr>
          <w:rFonts w:ascii="Times New Roman" w:hAnsi="Times New Roman" w:cs="Times New Roman"/>
          <w:sz w:val="24"/>
          <w:szCs w:val="24"/>
          <w:vertAlign w:val="superscript"/>
        </w:rPr>
        <w:footnoteReference w:id="783"/>
      </w:r>
      <w:r w:rsidRPr="002D394D">
        <w:rPr>
          <w:rFonts w:ascii="Times New Roman" w:hAnsi="Times New Roman" w:cs="Times New Roman"/>
          <w:sz w:val="24"/>
          <w:szCs w:val="24"/>
        </w:rPr>
        <w:t xml:space="preserve"> Washington businessmen began a campaign to keep the capital where it was, fearing that a relocated capital would mean a decline in the importance of the city and thus a dip in their profits. </w:t>
      </w:r>
    </w:p>
    <w:p w14:paraId="57FBF25B" w14:textId="0DD26CB6"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lastRenderedPageBreak/>
        <w:t xml:space="preserve">For a select group of these Washingtonian businessmen, beautifying the city to make it worthy of serving as the seat of American government was the first goal. Headlined by Shepherd, the first task </w:t>
      </w:r>
      <w:r w:rsidR="0095220E">
        <w:rPr>
          <w:rFonts w:ascii="Times New Roman" w:hAnsi="Times New Roman" w:cs="Times New Roman"/>
          <w:sz w:val="24"/>
          <w:szCs w:val="24"/>
        </w:rPr>
        <w:t>for</w:t>
      </w:r>
      <w:r w:rsidRPr="002D394D">
        <w:rPr>
          <w:rFonts w:ascii="Times New Roman" w:hAnsi="Times New Roman" w:cs="Times New Roman"/>
          <w:sz w:val="24"/>
          <w:szCs w:val="24"/>
        </w:rPr>
        <w:t xml:space="preserve"> this group</w:t>
      </w:r>
      <w:r w:rsidR="0095220E">
        <w:rPr>
          <w:rFonts w:ascii="Times New Roman" w:hAnsi="Times New Roman" w:cs="Times New Roman"/>
          <w:sz w:val="24"/>
          <w:szCs w:val="24"/>
        </w:rPr>
        <w:t xml:space="preserve"> to accomplish that goal</w:t>
      </w:r>
      <w:r w:rsidRPr="002D394D">
        <w:rPr>
          <w:rFonts w:ascii="Times New Roman" w:hAnsi="Times New Roman" w:cs="Times New Roman"/>
          <w:sz w:val="24"/>
          <w:szCs w:val="24"/>
        </w:rPr>
        <w:t xml:space="preserve"> was to streamline the efficiency of the local governments.  By the end of the Civil War, the area we associate with present-day Washington was divided into three separate entities, each with its own jurisdiction: Washington City, Washington County, and Georgetown. The separate jurisdictions and individual concerns of each combined with their close proximities made it so municipal projects like those desired by these businessmen required three separate approval processes, overcomplicating the entire ordeal. As a result, in early 1870, the local Republican Party, with Shepherd at the fore, established the Citizens Reform Association (CRA) with the intent of reorganizing the municipal government.</w:t>
      </w:r>
      <w:r w:rsidRPr="002D394D">
        <w:rPr>
          <w:rFonts w:ascii="Times New Roman" w:hAnsi="Times New Roman" w:cs="Times New Roman"/>
          <w:sz w:val="24"/>
          <w:szCs w:val="24"/>
          <w:vertAlign w:val="superscript"/>
        </w:rPr>
        <w:footnoteReference w:id="784"/>
      </w:r>
      <w:r w:rsidRPr="002D394D">
        <w:rPr>
          <w:rFonts w:ascii="Times New Roman" w:hAnsi="Times New Roman" w:cs="Times New Roman"/>
          <w:sz w:val="24"/>
          <w:szCs w:val="24"/>
        </w:rPr>
        <w:t xml:space="preserve"> After an extended campaign, on February 21</w:t>
      </w:r>
      <w:r w:rsidRPr="002D394D">
        <w:rPr>
          <w:rFonts w:ascii="Times New Roman" w:hAnsi="Times New Roman" w:cs="Times New Roman"/>
          <w:sz w:val="24"/>
          <w:szCs w:val="24"/>
          <w:vertAlign w:val="superscript"/>
        </w:rPr>
        <w:t>st</w:t>
      </w:r>
      <w:r w:rsidRPr="002D394D">
        <w:rPr>
          <w:rFonts w:ascii="Times New Roman" w:hAnsi="Times New Roman" w:cs="Times New Roman"/>
          <w:sz w:val="24"/>
          <w:szCs w:val="24"/>
        </w:rPr>
        <w:t>, 1871, Congress acceded to the CRA and passed the District of Columbia Organic Act, which revoked the individual charters of these cities and counties and instead created a unified territorial government for the District of Columbia.</w:t>
      </w:r>
      <w:r w:rsidRPr="002D394D">
        <w:rPr>
          <w:rFonts w:ascii="Times New Roman" w:hAnsi="Times New Roman" w:cs="Times New Roman"/>
          <w:sz w:val="24"/>
          <w:szCs w:val="24"/>
          <w:vertAlign w:val="superscript"/>
        </w:rPr>
        <w:footnoteReference w:id="785"/>
      </w:r>
      <w:r w:rsidRPr="002D394D">
        <w:rPr>
          <w:rFonts w:ascii="Times New Roman" w:hAnsi="Times New Roman" w:cs="Times New Roman"/>
          <w:sz w:val="24"/>
          <w:szCs w:val="24"/>
        </w:rPr>
        <w:t xml:space="preserve"> This new governmental structure made the District of Columbia a single political jurisdiction for the first time, with a governor and secretary appointed by the President.</w:t>
      </w:r>
      <w:r w:rsidRPr="002D394D">
        <w:rPr>
          <w:rFonts w:ascii="Times New Roman" w:hAnsi="Times New Roman" w:cs="Times New Roman"/>
          <w:sz w:val="24"/>
          <w:szCs w:val="24"/>
          <w:vertAlign w:val="superscript"/>
        </w:rPr>
        <w:footnoteReference w:id="786"/>
      </w:r>
      <w:r w:rsidRPr="002D394D">
        <w:rPr>
          <w:rFonts w:ascii="Times New Roman" w:hAnsi="Times New Roman" w:cs="Times New Roman"/>
          <w:sz w:val="24"/>
          <w:szCs w:val="24"/>
        </w:rPr>
        <w:t xml:space="preserve">  There would further be a counsel comprised of residents of the three previous jurisdictions, each appointed by the President; a house of delegates elected by the male residents over 21 years of age of their respective districts, regardless of color; and an elected, non-voting member of the House of Representatives on behalf of the District.</w:t>
      </w:r>
      <w:r w:rsidRPr="002D394D">
        <w:rPr>
          <w:rFonts w:ascii="Times New Roman" w:hAnsi="Times New Roman" w:cs="Times New Roman"/>
          <w:sz w:val="24"/>
          <w:szCs w:val="24"/>
          <w:vertAlign w:val="superscript"/>
        </w:rPr>
        <w:footnoteReference w:id="787"/>
      </w:r>
      <w:r w:rsidRPr="002D394D">
        <w:rPr>
          <w:rFonts w:ascii="Times New Roman" w:hAnsi="Times New Roman" w:cs="Times New Roman"/>
          <w:sz w:val="24"/>
          <w:szCs w:val="24"/>
        </w:rPr>
        <w:t xml:space="preserve"> The Washingtonian business class thereby </w:t>
      </w:r>
      <w:r w:rsidRPr="002D394D">
        <w:rPr>
          <w:rFonts w:ascii="Times New Roman" w:hAnsi="Times New Roman" w:cs="Times New Roman"/>
          <w:sz w:val="24"/>
          <w:szCs w:val="24"/>
        </w:rPr>
        <w:lastRenderedPageBreak/>
        <w:t xml:space="preserve">made it their mission to prevent relocation </w:t>
      </w:r>
      <w:r w:rsidR="0076039D">
        <w:rPr>
          <w:rFonts w:ascii="Times New Roman" w:hAnsi="Times New Roman" w:cs="Times New Roman"/>
          <w:sz w:val="24"/>
          <w:szCs w:val="24"/>
        </w:rPr>
        <w:t xml:space="preserve">of the capital </w:t>
      </w:r>
      <w:r w:rsidRPr="002D394D">
        <w:rPr>
          <w:rFonts w:ascii="Times New Roman" w:hAnsi="Times New Roman" w:cs="Times New Roman"/>
          <w:sz w:val="24"/>
          <w:szCs w:val="24"/>
        </w:rPr>
        <w:t>through revitalization, and their first s</w:t>
      </w:r>
      <w:r w:rsidR="0076039D">
        <w:rPr>
          <w:rFonts w:ascii="Times New Roman" w:hAnsi="Times New Roman" w:cs="Times New Roman"/>
          <w:sz w:val="24"/>
          <w:szCs w:val="24"/>
        </w:rPr>
        <w:t>uccess</w:t>
      </w:r>
      <w:r w:rsidRPr="002D394D">
        <w:rPr>
          <w:rFonts w:ascii="Times New Roman" w:hAnsi="Times New Roman" w:cs="Times New Roman"/>
          <w:sz w:val="24"/>
          <w:szCs w:val="24"/>
        </w:rPr>
        <w:t xml:space="preserve"> was gained through representation in the governing process.</w:t>
      </w:r>
    </w:p>
    <w:p w14:paraId="193A862A" w14:textId="3F78F3AE" w:rsidR="007F621B" w:rsidRPr="002D394D" w:rsidRDefault="00640264" w:rsidP="00B63BE2">
      <w:pPr>
        <w:spacing w:line="480" w:lineRule="auto"/>
        <w:ind w:firstLine="720"/>
        <w:rPr>
          <w:rFonts w:ascii="Times New Roman" w:hAnsi="Times New Roman" w:cs="Times New Roman"/>
          <w:sz w:val="24"/>
          <w:szCs w:val="24"/>
        </w:rPr>
      </w:pPr>
      <w:r>
        <w:rPr>
          <w:rFonts w:ascii="Times New Roman" w:hAnsi="Times New Roman" w:cs="Times New Roman"/>
          <w:sz w:val="24"/>
          <w:szCs w:val="24"/>
        </w:rPr>
        <w:t>Critically</w:t>
      </w:r>
      <w:r w:rsidR="002D394D" w:rsidRPr="002D394D">
        <w:rPr>
          <w:rFonts w:ascii="Times New Roman" w:hAnsi="Times New Roman" w:cs="Times New Roman"/>
          <w:sz w:val="24"/>
          <w:szCs w:val="24"/>
        </w:rPr>
        <w:t xml:space="preserve"> important in this consolidation was the creation of a Board of Public Works, consisting of </w:t>
      </w:r>
      <w:r w:rsidR="009C4CE9">
        <w:rPr>
          <w:rFonts w:ascii="Times New Roman" w:hAnsi="Times New Roman" w:cs="Times New Roman"/>
          <w:sz w:val="24"/>
          <w:szCs w:val="24"/>
        </w:rPr>
        <w:t>a</w:t>
      </w:r>
      <w:r w:rsidR="002D394D" w:rsidRPr="002D394D">
        <w:rPr>
          <w:rFonts w:ascii="Times New Roman" w:hAnsi="Times New Roman" w:cs="Times New Roman"/>
          <w:sz w:val="24"/>
          <w:szCs w:val="24"/>
        </w:rPr>
        <w:t xml:space="preserve"> </w:t>
      </w:r>
      <w:r w:rsidR="00065CC5">
        <w:rPr>
          <w:rFonts w:ascii="Times New Roman" w:hAnsi="Times New Roman" w:cs="Times New Roman"/>
          <w:sz w:val="24"/>
          <w:szCs w:val="24"/>
        </w:rPr>
        <w:t>G</w:t>
      </w:r>
      <w:r w:rsidR="002D394D" w:rsidRPr="002D394D">
        <w:rPr>
          <w:rFonts w:ascii="Times New Roman" w:hAnsi="Times New Roman" w:cs="Times New Roman"/>
          <w:sz w:val="24"/>
          <w:szCs w:val="24"/>
        </w:rPr>
        <w:t>overnor and four presidential appointees, one of whom was to be a civil engineer, and each of whom would represent different areas of the District for a four year term.</w:t>
      </w:r>
      <w:r w:rsidR="002D394D" w:rsidRPr="002D394D">
        <w:rPr>
          <w:rFonts w:ascii="Times New Roman" w:hAnsi="Times New Roman" w:cs="Times New Roman"/>
          <w:sz w:val="24"/>
          <w:szCs w:val="24"/>
          <w:vertAlign w:val="superscript"/>
        </w:rPr>
        <w:footnoteReference w:id="788"/>
      </w:r>
      <w:r w:rsidR="002D394D" w:rsidRPr="002D394D">
        <w:rPr>
          <w:rFonts w:ascii="Times New Roman" w:hAnsi="Times New Roman" w:cs="Times New Roman"/>
          <w:sz w:val="24"/>
          <w:szCs w:val="24"/>
        </w:rPr>
        <w:t xml:space="preserve"> The way this board was established in the Organic Act was unique, and it presented the board members with </w:t>
      </w:r>
      <w:r w:rsidR="0015099D">
        <w:rPr>
          <w:rFonts w:ascii="Times New Roman" w:hAnsi="Times New Roman" w:cs="Times New Roman"/>
          <w:sz w:val="24"/>
          <w:szCs w:val="24"/>
        </w:rPr>
        <w:t xml:space="preserve">unchecked </w:t>
      </w:r>
      <w:r w:rsidR="002D394D" w:rsidRPr="002D394D">
        <w:rPr>
          <w:rFonts w:ascii="Times New Roman" w:hAnsi="Times New Roman" w:cs="Times New Roman"/>
          <w:sz w:val="24"/>
          <w:szCs w:val="24"/>
        </w:rPr>
        <w:t>opportunity in the early days of the new territorial government. Based on the legislation, this board and its members “shall have entire control of and make all regulations which they shall deem necessary for keeping in repair the streets, avenues, alleys, and sewers of the city, and all other works which may be intrusted to their charge by the legislative assembly or Congress.”</w:t>
      </w:r>
      <w:r w:rsidR="002D394D" w:rsidRPr="002D394D">
        <w:rPr>
          <w:rFonts w:ascii="Times New Roman" w:hAnsi="Times New Roman" w:cs="Times New Roman"/>
          <w:sz w:val="24"/>
          <w:szCs w:val="24"/>
          <w:vertAlign w:val="superscript"/>
        </w:rPr>
        <w:footnoteReference w:id="789"/>
      </w:r>
      <w:r w:rsidR="002D394D" w:rsidRPr="002D394D">
        <w:rPr>
          <w:rFonts w:ascii="Times New Roman" w:hAnsi="Times New Roman" w:cs="Times New Roman"/>
          <w:sz w:val="24"/>
          <w:szCs w:val="24"/>
        </w:rPr>
        <w:t xml:space="preserve"> In addition to their almost autonomous control of decisions relating to municipal improvements, the Board of Public Works also maintained near complete control of the purse strings for such efforts</w:t>
      </w:r>
      <w:r w:rsidR="00B63BE2">
        <w:rPr>
          <w:rFonts w:ascii="Times New Roman" w:hAnsi="Times New Roman" w:cs="Times New Roman"/>
          <w:sz w:val="24"/>
          <w:szCs w:val="24"/>
        </w:rPr>
        <w:t>:</w:t>
      </w:r>
    </w:p>
    <w:p w14:paraId="09C7D3AA" w14:textId="77777777" w:rsidR="002D394D" w:rsidRPr="002D394D" w:rsidRDefault="002D394D" w:rsidP="002D394D">
      <w:pPr>
        <w:spacing w:line="276" w:lineRule="auto"/>
        <w:ind w:left="720" w:right="720"/>
        <w:rPr>
          <w:rFonts w:ascii="Times New Roman" w:hAnsi="Times New Roman" w:cs="Times New Roman"/>
          <w:sz w:val="24"/>
          <w:szCs w:val="24"/>
        </w:rPr>
      </w:pPr>
      <w:r w:rsidRPr="002D394D">
        <w:rPr>
          <w:rFonts w:ascii="Times New Roman" w:hAnsi="Times New Roman" w:cs="Times New Roman"/>
          <w:sz w:val="24"/>
          <w:szCs w:val="24"/>
        </w:rPr>
        <w:t>“They shall disburse upon their warrant all moneys appropriated by the United States, or the District of Columbia, or collected from property-holders, in pursuance of law, for the improvement of streets, avenues, alleys, and sewers and roads and bridges, and shall assess in such manner as shall be prescribed by law, upon the property adjoining and to be specially benefitted by the improvements authorized by law and made by them, a reasonable portion of the cost of the improvement, not exceeding one third of such cost, which sum shall be collected as all other taxes are collected.”</w:t>
      </w:r>
      <w:r w:rsidRPr="002D394D">
        <w:rPr>
          <w:rFonts w:ascii="Times New Roman" w:hAnsi="Times New Roman" w:cs="Times New Roman"/>
          <w:sz w:val="24"/>
          <w:szCs w:val="24"/>
          <w:vertAlign w:val="superscript"/>
        </w:rPr>
        <w:footnoteReference w:id="790"/>
      </w:r>
    </w:p>
    <w:p w14:paraId="520FE577" w14:textId="77777777" w:rsidR="002D394D" w:rsidRPr="002D394D" w:rsidRDefault="002D394D" w:rsidP="002D394D">
      <w:pPr>
        <w:spacing w:before="240" w:after="0" w:line="480" w:lineRule="auto"/>
        <w:rPr>
          <w:rFonts w:ascii="Times New Roman" w:hAnsi="Times New Roman" w:cs="Times New Roman"/>
          <w:sz w:val="24"/>
          <w:szCs w:val="24"/>
        </w:rPr>
      </w:pPr>
      <w:r w:rsidRPr="002D394D">
        <w:rPr>
          <w:rFonts w:ascii="Times New Roman" w:hAnsi="Times New Roman" w:cs="Times New Roman"/>
          <w:sz w:val="24"/>
          <w:szCs w:val="24"/>
        </w:rPr>
        <w:lastRenderedPageBreak/>
        <w:t>The Board’s power was even more significant in that they controlled regulations for private buildings – “They shall make all necessary regulations respecting the construction of private buildings in the District of Columbia, subject to the supervision of the legislative assembly.”</w:t>
      </w:r>
      <w:r w:rsidRPr="002D394D">
        <w:rPr>
          <w:rFonts w:ascii="Times New Roman" w:hAnsi="Times New Roman" w:cs="Times New Roman"/>
          <w:sz w:val="24"/>
          <w:szCs w:val="24"/>
          <w:vertAlign w:val="superscript"/>
        </w:rPr>
        <w:footnoteReference w:id="791"/>
      </w:r>
      <w:r w:rsidRPr="002D394D">
        <w:rPr>
          <w:rFonts w:ascii="Times New Roman" w:hAnsi="Times New Roman" w:cs="Times New Roman"/>
          <w:sz w:val="24"/>
          <w:szCs w:val="24"/>
        </w:rPr>
        <w:t xml:space="preserve"> Perhaps most shocking among this slew of legislative powers was the ability of the Board to have the final say in all contracts, with the exception of those that personally benefitted any member: </w:t>
      </w:r>
    </w:p>
    <w:p w14:paraId="46E2F5B9" w14:textId="77777777" w:rsidR="002D394D" w:rsidRPr="002D394D" w:rsidRDefault="002D394D" w:rsidP="002D394D">
      <w:pPr>
        <w:spacing w:line="276" w:lineRule="auto"/>
        <w:ind w:left="720" w:right="720"/>
        <w:rPr>
          <w:rFonts w:ascii="Times New Roman" w:hAnsi="Times New Roman" w:cs="Times New Roman"/>
          <w:sz w:val="24"/>
          <w:szCs w:val="24"/>
        </w:rPr>
      </w:pPr>
      <w:r w:rsidRPr="002D394D">
        <w:rPr>
          <w:rFonts w:ascii="Times New Roman" w:hAnsi="Times New Roman" w:cs="Times New Roman"/>
          <w:sz w:val="24"/>
          <w:szCs w:val="24"/>
        </w:rPr>
        <w:t>“All contracts made by the said board of public works shall be in writing, and shall be signed by the parties making the same, and a copy thereof shall be filed in the office of the secretary of the District; and said board of public works shall have the power to make contracts to bind said District to the payment of any sums of money except in pursuance of appropriations made by law, and not until such appropriations shall have been made. All contracts made by said board in which any member of said board shall be personally interested shall be void, and no payment shall be made thereon by said District or any officers thereof.”</w:t>
      </w:r>
      <w:r w:rsidRPr="002D394D">
        <w:rPr>
          <w:rFonts w:ascii="Times New Roman" w:hAnsi="Times New Roman" w:cs="Times New Roman"/>
          <w:sz w:val="24"/>
          <w:szCs w:val="24"/>
          <w:vertAlign w:val="superscript"/>
        </w:rPr>
        <w:footnoteReference w:id="792"/>
      </w:r>
    </w:p>
    <w:p w14:paraId="0BF99ED7" w14:textId="77777777" w:rsidR="002D394D" w:rsidRPr="002D394D" w:rsidRDefault="002D394D" w:rsidP="002D394D">
      <w:pPr>
        <w:spacing w:before="240" w:line="480" w:lineRule="auto"/>
        <w:rPr>
          <w:rFonts w:ascii="Times New Roman" w:hAnsi="Times New Roman" w:cs="Times New Roman"/>
          <w:sz w:val="24"/>
          <w:szCs w:val="24"/>
        </w:rPr>
      </w:pPr>
      <w:r w:rsidRPr="002D394D">
        <w:rPr>
          <w:rFonts w:ascii="Times New Roman" w:hAnsi="Times New Roman" w:cs="Times New Roman"/>
          <w:sz w:val="24"/>
          <w:szCs w:val="24"/>
        </w:rPr>
        <w:t>Each of these Board members would be paid a salary of $2500 per year, and in November of each year, the Board was to present “a report of their transactions” to the governor and the President, who would then present this information to Congress (President Grant typically made such a presentation as a part of his Annual Message to Congress).</w:t>
      </w:r>
      <w:r w:rsidRPr="002D394D">
        <w:rPr>
          <w:rFonts w:ascii="Times New Roman" w:hAnsi="Times New Roman" w:cs="Times New Roman"/>
          <w:sz w:val="24"/>
          <w:szCs w:val="24"/>
          <w:vertAlign w:val="superscript"/>
        </w:rPr>
        <w:footnoteReference w:id="793"/>
      </w:r>
      <w:r w:rsidRPr="002D394D">
        <w:rPr>
          <w:rFonts w:ascii="Times New Roman" w:hAnsi="Times New Roman" w:cs="Times New Roman"/>
          <w:sz w:val="24"/>
          <w:szCs w:val="24"/>
        </w:rPr>
        <w:t xml:space="preserve"> </w:t>
      </w:r>
    </w:p>
    <w:p w14:paraId="747241F4" w14:textId="4747A0F6" w:rsidR="007F621B" w:rsidRPr="002D394D" w:rsidRDefault="002D394D" w:rsidP="001546FE">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It quickly became clear that Shepherd and the Board of Public Works held the true power in this new system. In no time at all, a common joke circulated the capital: “Why is the new governor like a lamb? Because he is led by A. Shepherd.”</w:t>
      </w:r>
      <w:r w:rsidRPr="002D394D">
        <w:rPr>
          <w:rFonts w:ascii="Times New Roman" w:hAnsi="Times New Roman" w:cs="Times New Roman"/>
          <w:sz w:val="24"/>
          <w:szCs w:val="24"/>
          <w:vertAlign w:val="superscript"/>
        </w:rPr>
        <w:footnoteReference w:id="794"/>
      </w:r>
      <w:r w:rsidRPr="002D394D">
        <w:rPr>
          <w:rFonts w:ascii="Times New Roman" w:hAnsi="Times New Roman" w:cs="Times New Roman"/>
          <w:sz w:val="24"/>
          <w:szCs w:val="24"/>
        </w:rPr>
        <w:t xml:space="preserve"> Yet some key political figures approved of the bulldog-like tenacity that Shepherd employed, ensuring his position was safe for a time. Chief among these supporters was President Ulysses S. Grant, who supported not only </w:t>
      </w:r>
      <w:r w:rsidRPr="002D394D">
        <w:rPr>
          <w:rFonts w:ascii="Times New Roman" w:hAnsi="Times New Roman" w:cs="Times New Roman"/>
          <w:sz w:val="24"/>
          <w:szCs w:val="24"/>
        </w:rPr>
        <w:lastRenderedPageBreak/>
        <w:t>Shepherd’s plan for the District but also the immediacy with which he attacked this plan</w:t>
      </w:r>
      <w:r w:rsidR="00D963F9">
        <w:rPr>
          <w:rFonts w:ascii="Times New Roman" w:hAnsi="Times New Roman" w:cs="Times New Roman"/>
          <w:sz w:val="24"/>
          <w:szCs w:val="24"/>
        </w:rPr>
        <w:t xml:space="preserve"> (</w:t>
      </w:r>
      <w:r w:rsidR="00D963F9">
        <w:rPr>
          <w:rFonts w:ascii="Times New Roman" w:hAnsi="Times New Roman" w:cs="Times New Roman"/>
          <w:b/>
          <w:bCs/>
          <w:sz w:val="24"/>
          <w:szCs w:val="24"/>
        </w:rPr>
        <w:t>Figure 3.3</w:t>
      </w:r>
      <w:r w:rsidR="00D963F9">
        <w:rPr>
          <w:rFonts w:ascii="Times New Roman" w:hAnsi="Times New Roman" w:cs="Times New Roman"/>
          <w:sz w:val="24"/>
          <w:szCs w:val="24"/>
        </w:rPr>
        <w:t>)</w:t>
      </w:r>
      <w:r w:rsidRPr="002D394D">
        <w:rPr>
          <w:rFonts w:ascii="Times New Roman" w:hAnsi="Times New Roman" w:cs="Times New Roman"/>
          <w:sz w:val="24"/>
          <w:szCs w:val="24"/>
        </w:rPr>
        <w:t>.</w:t>
      </w:r>
      <w:r w:rsidRPr="002D394D">
        <w:rPr>
          <w:rFonts w:ascii="Times New Roman" w:hAnsi="Times New Roman" w:cs="Times New Roman"/>
          <w:sz w:val="24"/>
          <w:szCs w:val="24"/>
          <w:vertAlign w:val="superscript"/>
        </w:rPr>
        <w:footnoteReference w:id="795"/>
      </w:r>
      <w:r w:rsidRPr="002D394D">
        <w:rPr>
          <w:rFonts w:ascii="Times New Roman" w:hAnsi="Times New Roman" w:cs="Times New Roman"/>
          <w:sz w:val="24"/>
          <w:szCs w:val="24"/>
        </w:rPr>
        <w:t xml:space="preserve">  Shepherd, deeply concerned with his standing in high society, tried to maintain his close ties to both the Grant Administration and the Republican Party, even becoming a member of the platform committee for the Republican National Convention before the 1872 election.</w:t>
      </w:r>
      <w:r w:rsidRPr="002D394D">
        <w:rPr>
          <w:rFonts w:ascii="Times New Roman" w:hAnsi="Times New Roman" w:cs="Times New Roman"/>
          <w:sz w:val="24"/>
          <w:szCs w:val="24"/>
          <w:vertAlign w:val="superscript"/>
        </w:rPr>
        <w:footnoteReference w:id="796"/>
      </w:r>
      <w:r w:rsidRPr="002D394D">
        <w:rPr>
          <w:rFonts w:ascii="Times New Roman" w:hAnsi="Times New Roman" w:cs="Times New Roman"/>
          <w:sz w:val="24"/>
          <w:szCs w:val="24"/>
        </w:rPr>
        <w:t xml:space="preserve"> Grant’s support was made widely known via the press, referring to Shepherd as someone in whom he took a keen interest, with those who opposed him finding that “in the President he has a powerful and earnest supporter.”</w:t>
      </w:r>
      <w:r w:rsidRPr="002D394D">
        <w:rPr>
          <w:rFonts w:ascii="Times New Roman" w:hAnsi="Times New Roman" w:cs="Times New Roman"/>
          <w:sz w:val="24"/>
          <w:szCs w:val="24"/>
          <w:vertAlign w:val="superscript"/>
        </w:rPr>
        <w:footnoteReference w:id="797"/>
      </w:r>
      <w:r w:rsidRPr="002D394D">
        <w:rPr>
          <w:rFonts w:ascii="Times New Roman" w:hAnsi="Times New Roman" w:cs="Times New Roman"/>
          <w:sz w:val="24"/>
          <w:szCs w:val="24"/>
        </w:rPr>
        <w:t xml:space="preserve"> Shepherd returned Grant’s kindness in turn, offering that he considered the President “as steadfast a friend as I had” while offering that “he sustained me because he believed I was right. He would have thrown me overboard in an instant if he had had proof to the contrary.”</w:t>
      </w:r>
      <w:r w:rsidRPr="002D394D">
        <w:rPr>
          <w:rFonts w:ascii="Times New Roman" w:hAnsi="Times New Roman" w:cs="Times New Roman"/>
          <w:sz w:val="24"/>
          <w:szCs w:val="24"/>
          <w:vertAlign w:val="superscript"/>
        </w:rPr>
        <w:footnoteReference w:id="798"/>
      </w:r>
      <w:r w:rsidRPr="002D394D">
        <w:rPr>
          <w:rFonts w:ascii="Times New Roman" w:hAnsi="Times New Roman" w:cs="Times New Roman"/>
          <w:sz w:val="24"/>
          <w:szCs w:val="24"/>
        </w:rPr>
        <w:t xml:space="preserve"> As a result of this “friendship,” Grant’s opponents began to assail the President through Shepherd, especially considering he was an appointee directly tied to Grant.  In one such instance during Grant’s second campaign, Shepherd was under attack from political opponents and his wife asserted that he was being persecuted. Shepherd responded that “It’s all politics, darling…they are hitting at the dear General through me. They must have a Republican Boss Tweed for campaign purposes.”</w:t>
      </w:r>
      <w:r w:rsidRPr="002D394D">
        <w:rPr>
          <w:rFonts w:ascii="Times New Roman" w:hAnsi="Times New Roman" w:cs="Times New Roman"/>
          <w:sz w:val="24"/>
          <w:szCs w:val="24"/>
          <w:vertAlign w:val="superscript"/>
        </w:rPr>
        <w:footnoteReference w:id="799"/>
      </w:r>
      <w:r w:rsidRPr="002D394D">
        <w:rPr>
          <w:rFonts w:ascii="Times New Roman" w:hAnsi="Times New Roman" w:cs="Times New Roman"/>
          <w:sz w:val="24"/>
          <w:szCs w:val="24"/>
        </w:rPr>
        <w:t xml:space="preserve"> Still, Grant stood by Shepherd in large part because of Shepherd’s oversight of the Board of Public Works, and as the President had to deal with several large-scale issues plaguing the nation, he left the responsibility of local affairs to individuals like Shepherd whom he deemed capable.  </w:t>
      </w:r>
      <w:r w:rsidR="00CD3CF7">
        <w:rPr>
          <w:rFonts w:ascii="Times New Roman" w:hAnsi="Times New Roman" w:cs="Times New Roman"/>
          <w:sz w:val="24"/>
          <w:szCs w:val="24"/>
        </w:rPr>
        <w:t>Perhaps it is no secret why Shepherd became so close to Grant’s dear friend General Babcock.</w:t>
      </w:r>
    </w:p>
    <w:p w14:paraId="37A6368D" w14:textId="77777777" w:rsidR="002D394D" w:rsidRPr="002D394D" w:rsidRDefault="002D394D" w:rsidP="002D394D">
      <w:pPr>
        <w:spacing w:line="480" w:lineRule="auto"/>
        <w:jc w:val="center"/>
        <w:rPr>
          <w:rFonts w:ascii="Times New Roman" w:hAnsi="Times New Roman" w:cs="Times New Roman"/>
          <w:sz w:val="24"/>
          <w:szCs w:val="24"/>
        </w:rPr>
      </w:pPr>
      <w:r w:rsidRPr="002D394D">
        <w:rPr>
          <w:rFonts w:ascii="Times New Roman" w:hAnsi="Times New Roman" w:cs="Times New Roman"/>
          <w:noProof/>
          <w:sz w:val="24"/>
          <w:szCs w:val="24"/>
        </w:rPr>
        <w:lastRenderedPageBreak/>
        <w:drawing>
          <wp:inline distT="0" distB="0" distL="0" distR="0" wp14:anchorId="6708154F" wp14:editId="51539AE0">
            <wp:extent cx="1905000" cy="2731406"/>
            <wp:effectExtent l="0" t="0" r="0" b="0"/>
            <wp:docPr id="2057158854" name="Picture 1" descr="A person sitting in a chair and a person in a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58854" name="Picture 1" descr="A person sitting in a chair and a person in a dres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7248" cy="2748968"/>
                    </a:xfrm>
                    <a:prstGeom prst="rect">
                      <a:avLst/>
                    </a:prstGeom>
                  </pic:spPr>
                </pic:pic>
              </a:graphicData>
            </a:graphic>
          </wp:inline>
        </w:drawing>
      </w:r>
    </w:p>
    <w:p w14:paraId="7E879D08" w14:textId="0ED0529B" w:rsidR="002D394D" w:rsidRPr="002D394D" w:rsidRDefault="005E02D1" w:rsidP="00705AA3">
      <w:pPr>
        <w:spacing w:line="276" w:lineRule="auto"/>
        <w:rPr>
          <w:rFonts w:ascii="Times New Roman" w:hAnsi="Times New Roman" w:cs="Times New Roman"/>
          <w:sz w:val="20"/>
          <w:szCs w:val="20"/>
        </w:rPr>
      </w:pPr>
      <w:r>
        <w:rPr>
          <w:rFonts w:ascii="Times New Roman" w:hAnsi="Times New Roman" w:cs="Times New Roman"/>
          <w:b/>
          <w:bCs/>
          <w:sz w:val="20"/>
          <w:szCs w:val="20"/>
        </w:rPr>
        <w:t xml:space="preserve">Figure 3.3: </w:t>
      </w:r>
      <w:bookmarkStart w:id="45" w:name="_Hlk200794216"/>
      <w:r w:rsidR="002D394D" w:rsidRPr="007F621B">
        <w:rPr>
          <w:rFonts w:ascii="Times New Roman" w:hAnsi="Times New Roman" w:cs="Times New Roman"/>
          <w:b/>
          <w:bCs/>
          <w:sz w:val="20"/>
          <w:szCs w:val="20"/>
        </w:rPr>
        <w:t xml:space="preserve">“Don’t Let Us Have Any More of This Nonsense. It is a Good Trait </w:t>
      </w:r>
      <w:r w:rsidR="00005452" w:rsidRPr="007F621B">
        <w:rPr>
          <w:rFonts w:ascii="Times New Roman" w:hAnsi="Times New Roman" w:cs="Times New Roman"/>
          <w:b/>
          <w:bCs/>
          <w:sz w:val="20"/>
          <w:szCs w:val="20"/>
        </w:rPr>
        <w:t xml:space="preserve">to </w:t>
      </w:r>
      <w:r w:rsidR="002D394D" w:rsidRPr="007F621B">
        <w:rPr>
          <w:rFonts w:ascii="Times New Roman" w:hAnsi="Times New Roman" w:cs="Times New Roman"/>
          <w:b/>
          <w:bCs/>
          <w:sz w:val="20"/>
          <w:szCs w:val="20"/>
        </w:rPr>
        <w:t>Stand By One’s Friends, But – ”</w:t>
      </w:r>
      <w:r w:rsidR="007F621B">
        <w:rPr>
          <w:rFonts w:ascii="Times New Roman" w:hAnsi="Times New Roman" w:cs="Times New Roman"/>
          <w:sz w:val="20"/>
          <w:szCs w:val="20"/>
        </w:rPr>
        <w:t xml:space="preserve">: </w:t>
      </w:r>
      <w:bookmarkEnd w:id="45"/>
      <w:r w:rsidR="007F621B">
        <w:rPr>
          <w:rFonts w:ascii="Times New Roman" w:hAnsi="Times New Roman" w:cs="Times New Roman"/>
          <w:sz w:val="20"/>
          <w:szCs w:val="20"/>
        </w:rPr>
        <w:t xml:space="preserve">This </w:t>
      </w:r>
      <w:r w:rsidR="007F621B">
        <w:rPr>
          <w:rFonts w:ascii="Times New Roman" w:hAnsi="Times New Roman" w:cs="Times New Roman"/>
          <w:i/>
          <w:iCs/>
          <w:sz w:val="20"/>
          <w:szCs w:val="20"/>
        </w:rPr>
        <w:t>Harper’s Weekly</w:t>
      </w:r>
      <w:r w:rsidR="007F621B">
        <w:rPr>
          <w:rFonts w:ascii="Times New Roman" w:hAnsi="Times New Roman" w:cs="Times New Roman"/>
          <w:sz w:val="20"/>
          <w:szCs w:val="20"/>
        </w:rPr>
        <w:t xml:space="preserve"> cartoon depicts Ulysses S.</w:t>
      </w:r>
      <w:r w:rsidR="002D394D" w:rsidRPr="002D394D">
        <w:rPr>
          <w:rFonts w:ascii="Times New Roman" w:hAnsi="Times New Roman" w:cs="Times New Roman"/>
          <w:sz w:val="20"/>
          <w:szCs w:val="20"/>
        </w:rPr>
        <w:t xml:space="preserve"> Grant reaching for a paper with Shepherd’s name on it</w:t>
      </w:r>
      <w:r w:rsidR="007F621B">
        <w:rPr>
          <w:rFonts w:ascii="Times New Roman" w:hAnsi="Times New Roman" w:cs="Times New Roman"/>
          <w:sz w:val="20"/>
          <w:szCs w:val="20"/>
        </w:rPr>
        <w:t xml:space="preserve"> after Shepherd’s</w:t>
      </w:r>
      <w:r w:rsidR="002D394D" w:rsidRPr="002D394D">
        <w:rPr>
          <w:rFonts w:ascii="Times New Roman" w:hAnsi="Times New Roman" w:cs="Times New Roman"/>
          <w:sz w:val="20"/>
          <w:szCs w:val="20"/>
        </w:rPr>
        <w:t xml:space="preserve"> rebuff</w:t>
      </w:r>
      <w:r w:rsidR="007F621B">
        <w:rPr>
          <w:rFonts w:ascii="Times New Roman" w:hAnsi="Times New Roman" w:cs="Times New Roman"/>
          <w:sz w:val="20"/>
          <w:szCs w:val="20"/>
        </w:rPr>
        <w:t>ing</w:t>
      </w:r>
      <w:r w:rsidR="002D394D" w:rsidRPr="002D394D">
        <w:rPr>
          <w:rFonts w:ascii="Times New Roman" w:hAnsi="Times New Roman" w:cs="Times New Roman"/>
          <w:sz w:val="20"/>
          <w:szCs w:val="20"/>
        </w:rPr>
        <w:t xml:space="preserve"> by the Senate for a post in the Capital</w:t>
      </w:r>
      <w:r w:rsidR="007F621B">
        <w:rPr>
          <w:rFonts w:ascii="Times New Roman" w:hAnsi="Times New Roman" w:cs="Times New Roman"/>
          <w:sz w:val="20"/>
          <w:szCs w:val="20"/>
        </w:rPr>
        <w:t xml:space="preserve"> after his governorship.</w:t>
      </w:r>
      <w:r w:rsidR="002D394D" w:rsidRPr="002D394D">
        <w:rPr>
          <w:rFonts w:ascii="Times New Roman" w:hAnsi="Times New Roman" w:cs="Times New Roman"/>
          <w:vertAlign w:val="superscript"/>
        </w:rPr>
        <w:footnoteReference w:id="800"/>
      </w:r>
    </w:p>
    <w:p w14:paraId="33A03CA2" w14:textId="6339B3B3"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Members of the Board worked alongside the newly appointed governor in the new territorial government under an oversight committee that consisted of trained engineers such as Montgomery Meigs and Orville Babcock.</w:t>
      </w:r>
      <w:r w:rsidRPr="002D394D">
        <w:rPr>
          <w:rFonts w:ascii="Times New Roman" w:hAnsi="Times New Roman" w:cs="Times New Roman"/>
          <w:sz w:val="24"/>
          <w:szCs w:val="24"/>
          <w:vertAlign w:val="superscript"/>
        </w:rPr>
        <w:footnoteReference w:id="801"/>
      </w:r>
      <w:r w:rsidRPr="002D394D">
        <w:rPr>
          <w:rFonts w:ascii="Times New Roman" w:hAnsi="Times New Roman" w:cs="Times New Roman"/>
          <w:sz w:val="24"/>
          <w:szCs w:val="24"/>
        </w:rPr>
        <w:t xml:space="preserve">  This committee provided suggestions for the city based on their engineering expertise, but the Board of Public Works tended to “hear” their advice and then do what they initially planned so they could say they consulted experts in the process.</w:t>
      </w:r>
      <w:r w:rsidRPr="002D394D">
        <w:rPr>
          <w:rFonts w:ascii="Times New Roman" w:hAnsi="Times New Roman" w:cs="Times New Roman"/>
          <w:sz w:val="24"/>
          <w:szCs w:val="24"/>
          <w:vertAlign w:val="superscript"/>
        </w:rPr>
        <w:footnoteReference w:id="802"/>
      </w:r>
      <w:r w:rsidRPr="002D394D">
        <w:rPr>
          <w:rFonts w:ascii="Times New Roman" w:hAnsi="Times New Roman" w:cs="Times New Roman"/>
          <w:sz w:val="24"/>
          <w:szCs w:val="24"/>
        </w:rPr>
        <w:t xml:space="preserve"> The Board further worked with Babcock in his capacity as Superintendent of the Office of Public Buildings and Grounds, showering him with praise for his “cordial co-operation with local authorities, his wise counsel, energy, and ability” in an effort to appease him should they ignore his advice as part of the committee.</w:t>
      </w:r>
      <w:r w:rsidRPr="002D394D">
        <w:rPr>
          <w:rFonts w:ascii="Times New Roman" w:hAnsi="Times New Roman" w:cs="Times New Roman"/>
          <w:sz w:val="24"/>
          <w:szCs w:val="24"/>
          <w:vertAlign w:val="superscript"/>
        </w:rPr>
        <w:footnoteReference w:id="803"/>
      </w:r>
      <w:r w:rsidRPr="002D394D">
        <w:rPr>
          <w:rFonts w:ascii="Times New Roman" w:hAnsi="Times New Roman" w:cs="Times New Roman"/>
          <w:sz w:val="24"/>
          <w:szCs w:val="24"/>
        </w:rPr>
        <w:t xml:space="preserve"> Under the territorial government, Babcock’s role with the Board of Public Works was limited, but his work with the Office of Public Buildings and </w:t>
      </w:r>
      <w:r w:rsidRPr="002D394D">
        <w:rPr>
          <w:rFonts w:ascii="Times New Roman" w:hAnsi="Times New Roman" w:cs="Times New Roman"/>
          <w:sz w:val="24"/>
          <w:szCs w:val="24"/>
        </w:rPr>
        <w:lastRenderedPageBreak/>
        <w:t>Grounds meant that he was not only in touch with those in the capital who had power, but also that he was personally associated with them.</w:t>
      </w:r>
    </w:p>
    <w:p w14:paraId="2542EF17" w14:textId="77777777"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With Washington restructured into a territorial form of governance, Shepherd and the Board of Public Works quickly began their campaign of public improvement projects. Shepherd later recounted the plans for the Board at their outset: “The Board of Public Works…was to devise and carry out as rapidly as possible some system of improvements, in order that in this respect the capital of the nation might not remain a quarter of a century behind the times.”</w:t>
      </w:r>
      <w:r w:rsidRPr="002D394D">
        <w:rPr>
          <w:rFonts w:ascii="Times New Roman" w:hAnsi="Times New Roman" w:cs="Times New Roman"/>
          <w:sz w:val="24"/>
          <w:szCs w:val="24"/>
          <w:vertAlign w:val="superscript"/>
        </w:rPr>
        <w:footnoteReference w:id="804"/>
      </w:r>
      <w:r w:rsidRPr="002D394D">
        <w:rPr>
          <w:rFonts w:ascii="Times New Roman" w:hAnsi="Times New Roman" w:cs="Times New Roman"/>
          <w:sz w:val="24"/>
          <w:szCs w:val="24"/>
        </w:rPr>
        <w:t xml:space="preserve"> To carry out these tasks, the main foci of the Board of Public Works could be boiled down to two key dynamics: standardization and improvement. Standardization dealt with creating a systemized method of progress for the city moving forward so there were benchmarks for whomever received government contracts. Shepherd called for a system of standardized street grades around the city, along with a comprehensive sewage system.</w:t>
      </w:r>
      <w:r w:rsidRPr="002D394D">
        <w:rPr>
          <w:rFonts w:ascii="Times New Roman" w:hAnsi="Times New Roman" w:cs="Times New Roman"/>
          <w:sz w:val="24"/>
          <w:szCs w:val="24"/>
          <w:vertAlign w:val="superscript"/>
        </w:rPr>
        <w:footnoteReference w:id="805"/>
      </w:r>
      <w:r w:rsidRPr="002D394D">
        <w:rPr>
          <w:rFonts w:ascii="Times New Roman" w:hAnsi="Times New Roman" w:cs="Times New Roman"/>
          <w:sz w:val="24"/>
          <w:szCs w:val="24"/>
        </w:rPr>
        <w:t xml:space="preserve"> He established the first building codes in the District, which made assembling statistics, maps, and plans more accessible to builders and politicians alike.</w:t>
      </w:r>
      <w:r w:rsidRPr="002D394D">
        <w:rPr>
          <w:rFonts w:ascii="Times New Roman" w:hAnsi="Times New Roman" w:cs="Times New Roman"/>
          <w:sz w:val="24"/>
          <w:szCs w:val="24"/>
          <w:vertAlign w:val="superscript"/>
        </w:rPr>
        <w:footnoteReference w:id="806"/>
      </w:r>
      <w:r w:rsidRPr="002D394D">
        <w:rPr>
          <w:rFonts w:ascii="Times New Roman" w:hAnsi="Times New Roman" w:cs="Times New Roman"/>
          <w:sz w:val="24"/>
          <w:szCs w:val="24"/>
        </w:rPr>
        <w:t xml:space="preserve"> They further made this information available by presenting it in annual reports to the legislative and executive branches, respectively.</w:t>
      </w:r>
      <w:r w:rsidRPr="002D394D">
        <w:rPr>
          <w:rFonts w:ascii="Times New Roman" w:hAnsi="Times New Roman" w:cs="Times New Roman"/>
          <w:sz w:val="24"/>
          <w:szCs w:val="24"/>
          <w:vertAlign w:val="superscript"/>
        </w:rPr>
        <w:footnoteReference w:id="807"/>
      </w:r>
      <w:r w:rsidRPr="002D394D">
        <w:rPr>
          <w:rFonts w:ascii="Times New Roman" w:hAnsi="Times New Roman" w:cs="Times New Roman"/>
          <w:sz w:val="24"/>
          <w:szCs w:val="24"/>
        </w:rPr>
        <w:t xml:space="preserve"> The Board began their work in earnest, setting out to grade and reduce the width of L’Enfant’s planned streets as soon as possible.</w:t>
      </w:r>
      <w:r w:rsidRPr="002D394D">
        <w:rPr>
          <w:rFonts w:ascii="Times New Roman" w:hAnsi="Times New Roman" w:cs="Times New Roman"/>
          <w:sz w:val="24"/>
          <w:szCs w:val="24"/>
          <w:vertAlign w:val="superscript"/>
        </w:rPr>
        <w:footnoteReference w:id="808"/>
      </w:r>
    </w:p>
    <w:p w14:paraId="042A9345" w14:textId="77777777" w:rsidR="0093091A"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 xml:space="preserve">Like standardization, improvements were revitalization efforts, representing attempts to create and recreate spaces for the betterment of the city. Shepherd and the Board of Public </w:t>
      </w:r>
      <w:r w:rsidRPr="002D394D">
        <w:rPr>
          <w:rFonts w:ascii="Times New Roman" w:hAnsi="Times New Roman" w:cs="Times New Roman"/>
          <w:sz w:val="24"/>
          <w:szCs w:val="24"/>
        </w:rPr>
        <w:lastRenderedPageBreak/>
        <w:t>Works worked to revitalize major portions of the city for the betterment of the masses. In order to accomplish such tasks in a manner that would not bankrupt the public, Shepherd established a Parking Commission to oversee the planting and beautification of these lands into public park spaces while also maintaining them so that local livestock would not overrun these new spaces.</w:t>
      </w:r>
      <w:r w:rsidRPr="002D394D">
        <w:rPr>
          <w:rFonts w:ascii="Times New Roman" w:hAnsi="Times New Roman" w:cs="Times New Roman"/>
          <w:sz w:val="24"/>
          <w:szCs w:val="24"/>
          <w:vertAlign w:val="superscript"/>
        </w:rPr>
        <w:footnoteReference w:id="809"/>
      </w:r>
      <w:r w:rsidRPr="002D394D">
        <w:rPr>
          <w:rFonts w:ascii="Times New Roman" w:hAnsi="Times New Roman" w:cs="Times New Roman"/>
          <w:sz w:val="24"/>
          <w:szCs w:val="24"/>
        </w:rPr>
        <w:t xml:space="preserve"> The Board also filled in the Washington Canal, removing the standing water filled with sewage and cleaning up a public health hazard, even though it meant that L’Enfant’s original plan of making Washington a commercial hub accessible to shipping was halted in the process.</w:t>
      </w:r>
      <w:r w:rsidRPr="002D394D">
        <w:rPr>
          <w:rFonts w:ascii="Times New Roman" w:hAnsi="Times New Roman" w:cs="Times New Roman"/>
          <w:sz w:val="24"/>
          <w:szCs w:val="24"/>
          <w:vertAlign w:val="superscript"/>
        </w:rPr>
        <w:footnoteReference w:id="810"/>
      </w:r>
      <w:r w:rsidRPr="002D394D">
        <w:rPr>
          <w:rFonts w:ascii="Times New Roman" w:hAnsi="Times New Roman" w:cs="Times New Roman"/>
          <w:sz w:val="24"/>
          <w:szCs w:val="24"/>
        </w:rPr>
        <w:t xml:space="preserve"> This matter created some conflict with Babcock’s Advisory Committee to the Board of Public Works, who were not consulted during this process, setting a dangerous precedent for Shepherd and the Board of Public Works.</w:t>
      </w:r>
      <w:r w:rsidRPr="002D394D">
        <w:rPr>
          <w:rFonts w:ascii="Times New Roman" w:hAnsi="Times New Roman" w:cs="Times New Roman"/>
          <w:sz w:val="24"/>
          <w:szCs w:val="24"/>
          <w:vertAlign w:val="superscript"/>
        </w:rPr>
        <w:footnoteReference w:id="811"/>
      </w:r>
      <w:r w:rsidRPr="002D394D">
        <w:rPr>
          <w:rFonts w:ascii="Times New Roman" w:hAnsi="Times New Roman" w:cs="Times New Roman"/>
          <w:sz w:val="24"/>
          <w:szCs w:val="24"/>
        </w:rPr>
        <w:t xml:space="preserve"> </w:t>
      </w:r>
    </w:p>
    <w:p w14:paraId="13DB0FD6" w14:textId="0859AE6B" w:rsidR="002D394D" w:rsidRPr="002D394D" w:rsidRDefault="002D394D" w:rsidP="0093091A">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In Fall 1872, Shepherd made two moves against major obstacles to his plans for progress in the city. </w:t>
      </w:r>
      <w:r w:rsidR="0093091A">
        <w:rPr>
          <w:rFonts w:ascii="Times New Roman" w:hAnsi="Times New Roman" w:cs="Times New Roman"/>
          <w:sz w:val="24"/>
          <w:szCs w:val="24"/>
        </w:rPr>
        <w:t xml:space="preserve">First, </w:t>
      </w:r>
      <w:r w:rsidRPr="002D394D">
        <w:rPr>
          <w:rFonts w:ascii="Times New Roman" w:hAnsi="Times New Roman" w:cs="Times New Roman"/>
          <w:sz w:val="24"/>
          <w:szCs w:val="24"/>
        </w:rPr>
        <w:t>Shepherd ordered the hasty destruction of the Northern Liberties Market in order to relocate and improve the market despite knowledge of forthcoming petitions and cases against removal.</w:t>
      </w:r>
      <w:r w:rsidRPr="002D394D">
        <w:rPr>
          <w:rFonts w:ascii="Times New Roman" w:hAnsi="Times New Roman" w:cs="Times New Roman"/>
          <w:sz w:val="24"/>
          <w:szCs w:val="24"/>
          <w:vertAlign w:val="superscript"/>
        </w:rPr>
        <w:footnoteReference w:id="812"/>
      </w:r>
      <w:r w:rsidRPr="002D394D">
        <w:rPr>
          <w:rFonts w:ascii="Times New Roman" w:hAnsi="Times New Roman" w:cs="Times New Roman"/>
          <w:sz w:val="24"/>
          <w:szCs w:val="24"/>
        </w:rPr>
        <w:t xml:space="preserve"> Two people were killed in the rushed, overnight destruction of this collection of sheds called a market, and while the Board was chastised for not providing enough notice before destroying the space, the new marketplace that they established far surpassed the previous iteration.</w:t>
      </w:r>
      <w:r w:rsidRPr="002D394D">
        <w:rPr>
          <w:rFonts w:ascii="Times New Roman" w:hAnsi="Times New Roman" w:cs="Times New Roman"/>
          <w:sz w:val="24"/>
          <w:szCs w:val="24"/>
          <w:vertAlign w:val="superscript"/>
        </w:rPr>
        <w:footnoteReference w:id="813"/>
      </w:r>
      <w:r w:rsidRPr="002D394D">
        <w:rPr>
          <w:rFonts w:ascii="Times New Roman" w:hAnsi="Times New Roman" w:cs="Times New Roman"/>
          <w:sz w:val="24"/>
          <w:szCs w:val="24"/>
        </w:rPr>
        <w:t xml:space="preserve"> The lack of reprisal for this deadly action amounted to tacit approval for Shepherd, encouraging future abuses by this Board and the pragmaticos associated with city improvement. Shepherd</w:t>
      </w:r>
      <w:r w:rsidR="0093091A">
        <w:rPr>
          <w:rFonts w:ascii="Times New Roman" w:hAnsi="Times New Roman" w:cs="Times New Roman"/>
          <w:sz w:val="24"/>
          <w:szCs w:val="24"/>
        </w:rPr>
        <w:t>’s second move</w:t>
      </w:r>
      <w:r w:rsidRPr="002D394D">
        <w:rPr>
          <w:rFonts w:ascii="Times New Roman" w:hAnsi="Times New Roman" w:cs="Times New Roman"/>
          <w:sz w:val="24"/>
          <w:szCs w:val="24"/>
        </w:rPr>
        <w:t xml:space="preserve"> against private corporations </w:t>
      </w:r>
      <w:r w:rsidR="00E57F90">
        <w:rPr>
          <w:rFonts w:ascii="Times New Roman" w:hAnsi="Times New Roman" w:cs="Times New Roman"/>
          <w:sz w:val="24"/>
          <w:szCs w:val="24"/>
        </w:rPr>
        <w:t xml:space="preserve">occurred </w:t>
      </w:r>
      <w:r w:rsidRPr="002D394D">
        <w:rPr>
          <w:rFonts w:ascii="Times New Roman" w:hAnsi="Times New Roman" w:cs="Times New Roman"/>
          <w:sz w:val="24"/>
          <w:szCs w:val="24"/>
        </w:rPr>
        <w:t xml:space="preserve">after the culmination of a conflict with the Baltimore and Ohio Railroad, in which Shepherd ordered laborers to remove B&amp;O </w:t>
      </w:r>
      <w:r w:rsidRPr="002D394D">
        <w:rPr>
          <w:rFonts w:ascii="Times New Roman" w:hAnsi="Times New Roman" w:cs="Times New Roman"/>
          <w:sz w:val="24"/>
          <w:szCs w:val="24"/>
        </w:rPr>
        <w:lastRenderedPageBreak/>
        <w:t>railroad tracks from the National Mall overnight.</w:t>
      </w:r>
      <w:r w:rsidRPr="002D394D">
        <w:rPr>
          <w:rFonts w:ascii="Times New Roman" w:hAnsi="Times New Roman" w:cs="Times New Roman"/>
          <w:sz w:val="24"/>
          <w:szCs w:val="24"/>
          <w:vertAlign w:val="superscript"/>
        </w:rPr>
        <w:footnoteReference w:id="814"/>
      </w:r>
      <w:r w:rsidRPr="002D394D">
        <w:rPr>
          <w:rFonts w:ascii="Times New Roman" w:hAnsi="Times New Roman" w:cs="Times New Roman"/>
          <w:sz w:val="24"/>
          <w:szCs w:val="24"/>
        </w:rPr>
        <w:t xml:space="preserve"> This uprooting led to a meeting with the B&amp;O Railroad President which began in a heated fashion yet resulted in a half-hearted offer to Shepherd to serve as a vice president for the company, as no one in his company could complete a project of that size that quickly.</w:t>
      </w:r>
      <w:r w:rsidRPr="002D394D">
        <w:rPr>
          <w:rFonts w:ascii="Times New Roman" w:hAnsi="Times New Roman" w:cs="Times New Roman"/>
          <w:sz w:val="24"/>
          <w:szCs w:val="24"/>
          <w:vertAlign w:val="superscript"/>
        </w:rPr>
        <w:footnoteReference w:id="815"/>
      </w:r>
      <w:r w:rsidRPr="002D394D">
        <w:rPr>
          <w:rFonts w:ascii="Times New Roman" w:hAnsi="Times New Roman" w:cs="Times New Roman"/>
          <w:sz w:val="24"/>
          <w:szCs w:val="24"/>
        </w:rPr>
        <w:t xml:space="preserve"> Shepherd’s tendencies to work in haste got him in trouble at times, but he showed that he was willing to overlook the perceptions of what he was doing in order to accomplish his tasks as quickly and successfully as possible.</w:t>
      </w:r>
    </w:p>
    <w:p w14:paraId="55FB4D59" w14:textId="3D29CF3E"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In some cases, the perception of the public was so strong in response to Shepherd’s work with the Board of Public Works that corruption became a common claim around the capital.</w:t>
      </w:r>
      <w:r w:rsidR="00AC0443">
        <w:rPr>
          <w:rFonts w:ascii="Times New Roman" w:hAnsi="Times New Roman" w:cs="Times New Roman"/>
          <w:sz w:val="24"/>
          <w:szCs w:val="24"/>
        </w:rPr>
        <w:t xml:space="preserve"> S</w:t>
      </w:r>
      <w:r w:rsidRPr="002D394D">
        <w:rPr>
          <w:rFonts w:ascii="Times New Roman" w:hAnsi="Times New Roman" w:cs="Times New Roman"/>
          <w:sz w:val="24"/>
          <w:szCs w:val="24"/>
        </w:rPr>
        <w:t>ome of these claims seem to bear truth in retrospect. One of the first streets in Washington affected by the planned grading efforts was F Street, on which Shepherd owned many properties.</w:t>
      </w:r>
      <w:r w:rsidRPr="002D394D">
        <w:rPr>
          <w:rFonts w:ascii="Times New Roman" w:hAnsi="Times New Roman" w:cs="Times New Roman"/>
          <w:sz w:val="24"/>
          <w:szCs w:val="24"/>
          <w:vertAlign w:val="superscript"/>
        </w:rPr>
        <w:footnoteReference w:id="816"/>
      </w:r>
      <w:r w:rsidRPr="002D394D">
        <w:rPr>
          <w:rFonts w:ascii="Times New Roman" w:hAnsi="Times New Roman" w:cs="Times New Roman"/>
          <w:sz w:val="24"/>
          <w:szCs w:val="24"/>
        </w:rPr>
        <w:t xml:space="preserve"> The grading project would make these houses more lucrative, and questions began to circulate as to whether or not Shepherd anticipated as much before purchasing the houses or enacting the grading projects, hinting that Shepherd was doing public work for private gain.</w:t>
      </w:r>
      <w:r w:rsidRPr="002D394D">
        <w:rPr>
          <w:rFonts w:ascii="Times New Roman" w:hAnsi="Times New Roman" w:cs="Times New Roman"/>
          <w:sz w:val="24"/>
          <w:szCs w:val="24"/>
          <w:vertAlign w:val="superscript"/>
        </w:rPr>
        <w:footnoteReference w:id="817"/>
      </w:r>
      <w:r w:rsidRPr="002D394D">
        <w:rPr>
          <w:rFonts w:ascii="Times New Roman" w:hAnsi="Times New Roman" w:cs="Times New Roman"/>
          <w:sz w:val="24"/>
          <w:szCs w:val="24"/>
        </w:rPr>
        <w:t xml:space="preserve"> Further, Shepherd’s plan for the Board to build “largely” became a massive boon for his contractor friends, many of whom got lucrative contracts since there wasn’t an existing basis for city planning and contracting approval of this scale.</w:t>
      </w:r>
      <w:r w:rsidRPr="002D394D">
        <w:rPr>
          <w:rFonts w:ascii="Times New Roman" w:hAnsi="Times New Roman" w:cs="Times New Roman"/>
          <w:sz w:val="24"/>
          <w:szCs w:val="24"/>
          <w:vertAlign w:val="superscript"/>
        </w:rPr>
        <w:footnoteReference w:id="818"/>
      </w:r>
      <w:r w:rsidRPr="002D394D">
        <w:rPr>
          <w:rFonts w:ascii="Times New Roman" w:hAnsi="Times New Roman" w:cs="Times New Roman"/>
          <w:sz w:val="24"/>
          <w:szCs w:val="24"/>
        </w:rPr>
        <w:t xml:space="preserve"> Because of his insider knowledge of the bid system as a contractor himself, Shepherd had the Board set lower flat prices instead of accepting bids, which led not only to claims of favoritism when contracts went to Shepherd’s friends, but also to contractors reauctioning contracts for profit after the contract was awarded by the government.</w:t>
      </w:r>
      <w:r w:rsidRPr="002D394D">
        <w:rPr>
          <w:rFonts w:ascii="Times New Roman" w:hAnsi="Times New Roman" w:cs="Times New Roman"/>
          <w:sz w:val="24"/>
          <w:szCs w:val="24"/>
          <w:vertAlign w:val="superscript"/>
        </w:rPr>
        <w:footnoteReference w:id="819"/>
      </w:r>
      <w:r w:rsidRPr="002D394D">
        <w:rPr>
          <w:rFonts w:ascii="Times New Roman" w:hAnsi="Times New Roman" w:cs="Times New Roman"/>
          <w:sz w:val="24"/>
          <w:szCs w:val="24"/>
        </w:rPr>
        <w:t xml:space="preserve"> This resale scheme led to the development of small rings of contractors </w:t>
      </w:r>
      <w:r w:rsidRPr="002D394D">
        <w:rPr>
          <w:rFonts w:ascii="Times New Roman" w:hAnsi="Times New Roman" w:cs="Times New Roman"/>
          <w:sz w:val="24"/>
          <w:szCs w:val="24"/>
        </w:rPr>
        <w:lastRenderedPageBreak/>
        <w:t>gobbling up contracts and profiting from them, corrupting the system.</w:t>
      </w:r>
      <w:r w:rsidRPr="002D394D">
        <w:rPr>
          <w:rFonts w:ascii="Times New Roman" w:hAnsi="Times New Roman" w:cs="Times New Roman"/>
          <w:sz w:val="24"/>
          <w:szCs w:val="24"/>
          <w:vertAlign w:val="superscript"/>
        </w:rPr>
        <w:footnoteReference w:id="820"/>
      </w:r>
      <w:r w:rsidRPr="002D394D">
        <w:rPr>
          <w:rFonts w:ascii="Times New Roman" w:hAnsi="Times New Roman" w:cs="Times New Roman"/>
          <w:sz w:val="24"/>
          <w:szCs w:val="24"/>
        </w:rPr>
        <w:t xml:space="preserve"> Shepherd’s opponents in the District, particularly his political and business rivals like W.W. Corcoran, began to lambast him and the Board with campaigns against corruption, tying him to Tammany Hall’s Boss Tweed and claims that he was operating as the de facto head of a Washington Ring, also referred to as the District Ring.</w:t>
      </w:r>
      <w:r w:rsidRPr="002D394D">
        <w:rPr>
          <w:rFonts w:ascii="Times New Roman" w:hAnsi="Times New Roman" w:cs="Times New Roman"/>
          <w:sz w:val="24"/>
          <w:szCs w:val="24"/>
          <w:vertAlign w:val="superscript"/>
        </w:rPr>
        <w:footnoteReference w:id="821"/>
      </w:r>
      <w:r w:rsidRPr="002D394D">
        <w:rPr>
          <w:rFonts w:ascii="Times New Roman" w:hAnsi="Times New Roman" w:cs="Times New Roman"/>
          <w:sz w:val="24"/>
          <w:szCs w:val="24"/>
        </w:rPr>
        <w:t xml:space="preserve"> In this heightened political atmosphere, these claims became fodder for President Grant’s opponents to smear the Commander-in-Chief with corruption allegations, as Shepherd was a Grant appointee and the two were believed to be close.</w:t>
      </w:r>
      <w:r w:rsidRPr="002D394D">
        <w:rPr>
          <w:rFonts w:ascii="Times New Roman" w:hAnsi="Times New Roman" w:cs="Times New Roman"/>
          <w:sz w:val="24"/>
          <w:szCs w:val="24"/>
          <w:vertAlign w:val="superscript"/>
        </w:rPr>
        <w:footnoteReference w:id="822"/>
      </w:r>
      <w:r w:rsidRPr="002D394D">
        <w:rPr>
          <w:rFonts w:ascii="Times New Roman" w:hAnsi="Times New Roman" w:cs="Times New Roman"/>
          <w:sz w:val="24"/>
          <w:szCs w:val="24"/>
        </w:rPr>
        <w:t xml:space="preserve"> By this point it was entirely clear that there was a rising tension between needing to accomplish tasks to better the city and the individuals who were doing so being on the take, and these tensions </w:t>
      </w:r>
      <w:r w:rsidR="009308B3">
        <w:rPr>
          <w:rFonts w:ascii="Times New Roman" w:hAnsi="Times New Roman" w:cs="Times New Roman"/>
          <w:sz w:val="24"/>
          <w:szCs w:val="24"/>
        </w:rPr>
        <w:t>were rising</w:t>
      </w:r>
      <w:r w:rsidR="00765C14">
        <w:rPr>
          <w:rFonts w:ascii="Times New Roman" w:hAnsi="Times New Roman" w:cs="Times New Roman"/>
          <w:sz w:val="24"/>
          <w:szCs w:val="24"/>
        </w:rPr>
        <w:t xml:space="preserve"> rapidly</w:t>
      </w:r>
      <w:r w:rsidRPr="002D394D">
        <w:rPr>
          <w:rFonts w:ascii="Times New Roman" w:hAnsi="Times New Roman" w:cs="Times New Roman"/>
          <w:sz w:val="24"/>
          <w:szCs w:val="24"/>
        </w:rPr>
        <w:t>.</w:t>
      </w:r>
    </w:p>
    <w:p w14:paraId="24D3298C" w14:textId="7B5B3253"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The Board of Public Works came under even greater fire as a result of a funding fiasco it refused to effectively face under Shepherd.  At the Board’s founding in 1871, it was not entirely clear from where its funds would come or how they would be dispersed, given the turbulent history with Congress paying for matters in the District.</w:t>
      </w:r>
      <w:r w:rsidRPr="002D394D">
        <w:rPr>
          <w:rFonts w:ascii="Times New Roman" w:hAnsi="Times New Roman" w:cs="Times New Roman"/>
          <w:sz w:val="24"/>
          <w:szCs w:val="24"/>
          <w:vertAlign w:val="superscript"/>
        </w:rPr>
        <w:footnoteReference w:id="823"/>
      </w:r>
      <w:r w:rsidRPr="002D394D">
        <w:rPr>
          <w:rFonts w:ascii="Times New Roman" w:hAnsi="Times New Roman" w:cs="Times New Roman"/>
          <w:sz w:val="24"/>
          <w:szCs w:val="24"/>
        </w:rPr>
        <w:t xml:space="preserve"> As a result, the money spent by the Board quickly began to eclipse the money available, and the eventual total of $20 million for public improvements greatly surpassed the $6 million estimate given to Congress at the outset of the project.</w:t>
      </w:r>
      <w:r w:rsidRPr="002D394D">
        <w:rPr>
          <w:rFonts w:ascii="Times New Roman" w:hAnsi="Times New Roman" w:cs="Times New Roman"/>
          <w:sz w:val="24"/>
          <w:szCs w:val="24"/>
          <w:vertAlign w:val="superscript"/>
        </w:rPr>
        <w:footnoteReference w:id="824"/>
      </w:r>
      <w:r w:rsidRPr="002D394D">
        <w:rPr>
          <w:rFonts w:ascii="Times New Roman" w:hAnsi="Times New Roman" w:cs="Times New Roman"/>
          <w:sz w:val="24"/>
          <w:szCs w:val="24"/>
        </w:rPr>
        <w:t xml:space="preserve"> Shepherd planned to do what he had done as a private businessman by going into debt in order to make money in the long run, believing that if they built Washington’s infrastructure, people, and therefore money, would come.</w:t>
      </w:r>
      <w:r w:rsidRPr="002D394D">
        <w:rPr>
          <w:rFonts w:ascii="Times New Roman" w:hAnsi="Times New Roman" w:cs="Times New Roman"/>
          <w:sz w:val="24"/>
          <w:szCs w:val="24"/>
          <w:vertAlign w:val="superscript"/>
        </w:rPr>
        <w:footnoteReference w:id="825"/>
      </w:r>
      <w:r w:rsidRPr="002D394D">
        <w:rPr>
          <w:rFonts w:ascii="Times New Roman" w:hAnsi="Times New Roman" w:cs="Times New Roman"/>
          <w:sz w:val="24"/>
          <w:szCs w:val="24"/>
        </w:rPr>
        <w:t xml:space="preserve"> This plan worked for a bit, but by 1873 the territorial government was out of money, and Shepherd was forced to fund his efforts </w:t>
      </w:r>
      <w:r w:rsidRPr="002D394D">
        <w:rPr>
          <w:rFonts w:ascii="Times New Roman" w:hAnsi="Times New Roman" w:cs="Times New Roman"/>
          <w:sz w:val="24"/>
          <w:szCs w:val="24"/>
        </w:rPr>
        <w:lastRenderedPageBreak/>
        <w:t>by paying contractors with certificates instead of cash.</w:t>
      </w:r>
      <w:r w:rsidRPr="002D394D">
        <w:rPr>
          <w:rFonts w:ascii="Times New Roman" w:hAnsi="Times New Roman" w:cs="Times New Roman"/>
          <w:sz w:val="24"/>
          <w:szCs w:val="24"/>
          <w:vertAlign w:val="superscript"/>
        </w:rPr>
        <w:footnoteReference w:id="826"/>
      </w:r>
      <w:r w:rsidRPr="002D394D">
        <w:rPr>
          <w:rFonts w:ascii="Times New Roman" w:hAnsi="Times New Roman" w:cs="Times New Roman"/>
          <w:sz w:val="24"/>
          <w:szCs w:val="24"/>
        </w:rPr>
        <w:t xml:space="preserve"> In January 1873, Congress finally began to pull its weight by authorizing the largest payment to the District to date – $1.25 million, with another $2 million anticipated that March – but the budgetary issues were made even more dire when a financial panic struck the nation just months later.</w:t>
      </w:r>
      <w:r w:rsidRPr="002D394D">
        <w:rPr>
          <w:rFonts w:ascii="Times New Roman" w:hAnsi="Times New Roman" w:cs="Times New Roman"/>
          <w:sz w:val="24"/>
          <w:szCs w:val="24"/>
          <w:vertAlign w:val="superscript"/>
        </w:rPr>
        <w:footnoteReference w:id="827"/>
      </w:r>
      <w:r w:rsidRPr="002D394D">
        <w:rPr>
          <w:rFonts w:ascii="Times New Roman" w:hAnsi="Times New Roman" w:cs="Times New Roman"/>
          <w:sz w:val="24"/>
          <w:szCs w:val="24"/>
        </w:rPr>
        <w:t xml:space="preserve"> In September 1873, railroad financier Jay Cooke made several errors that led to the failure of his company and of several related banks in what has since been referred to as the Panic of 1873.</w:t>
      </w:r>
      <w:r w:rsidRPr="002D394D">
        <w:rPr>
          <w:rFonts w:ascii="Times New Roman" w:hAnsi="Times New Roman" w:cs="Times New Roman"/>
          <w:sz w:val="24"/>
          <w:szCs w:val="24"/>
          <w:vertAlign w:val="superscript"/>
        </w:rPr>
        <w:footnoteReference w:id="828"/>
      </w:r>
      <w:r w:rsidRPr="002D394D">
        <w:rPr>
          <w:rFonts w:ascii="Times New Roman" w:hAnsi="Times New Roman" w:cs="Times New Roman"/>
          <w:sz w:val="24"/>
          <w:szCs w:val="24"/>
        </w:rPr>
        <w:t xml:space="preserve">  Cooke’s brother Henry, then the reigning </w:t>
      </w:r>
      <w:r w:rsidR="009344C9">
        <w:rPr>
          <w:rFonts w:ascii="Times New Roman" w:hAnsi="Times New Roman" w:cs="Times New Roman"/>
          <w:sz w:val="24"/>
          <w:szCs w:val="24"/>
        </w:rPr>
        <w:t>T</w:t>
      </w:r>
      <w:r w:rsidRPr="002D394D">
        <w:rPr>
          <w:rFonts w:ascii="Times New Roman" w:hAnsi="Times New Roman" w:cs="Times New Roman"/>
          <w:sz w:val="24"/>
          <w:szCs w:val="24"/>
        </w:rPr>
        <w:t xml:space="preserve">erritorial </w:t>
      </w:r>
      <w:r w:rsidR="009344C9">
        <w:rPr>
          <w:rFonts w:ascii="Times New Roman" w:hAnsi="Times New Roman" w:cs="Times New Roman"/>
          <w:sz w:val="24"/>
          <w:szCs w:val="24"/>
        </w:rPr>
        <w:t>G</w:t>
      </w:r>
      <w:r w:rsidRPr="002D394D">
        <w:rPr>
          <w:rFonts w:ascii="Times New Roman" w:hAnsi="Times New Roman" w:cs="Times New Roman"/>
          <w:sz w:val="24"/>
          <w:szCs w:val="24"/>
        </w:rPr>
        <w:t>overnor of Washington, resigned in the face of the financial problems that were now amplified by the nationwide panic and was quickly replaced as territorial governor by Alexander Robey Shepherd.</w:t>
      </w:r>
      <w:r w:rsidRPr="002D394D">
        <w:rPr>
          <w:rFonts w:ascii="Times New Roman" w:hAnsi="Times New Roman" w:cs="Times New Roman"/>
          <w:sz w:val="24"/>
          <w:szCs w:val="24"/>
          <w:vertAlign w:val="superscript"/>
        </w:rPr>
        <w:footnoteReference w:id="829"/>
      </w:r>
      <w:r w:rsidRPr="002D394D">
        <w:rPr>
          <w:rFonts w:ascii="Times New Roman" w:hAnsi="Times New Roman" w:cs="Times New Roman"/>
          <w:sz w:val="24"/>
          <w:szCs w:val="24"/>
        </w:rPr>
        <w:t xml:space="preserve"> </w:t>
      </w:r>
    </w:p>
    <w:p w14:paraId="53EDAE02" w14:textId="2410CDB2"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Shepherd’s opponents were numerous, and in some instances they were organized well enough to raise considerable opposition to his plans.  In January 1872, Shepherd was charged with “extravagance and mismanagement” by more than a thousand Washingtonians via a memorial (or petition) to the House of Representatives.</w:t>
      </w:r>
      <w:r w:rsidRPr="002D394D">
        <w:rPr>
          <w:rFonts w:ascii="Times New Roman" w:hAnsi="Times New Roman" w:cs="Times New Roman"/>
          <w:sz w:val="24"/>
          <w:szCs w:val="24"/>
          <w:vertAlign w:val="superscript"/>
        </w:rPr>
        <w:footnoteReference w:id="830"/>
      </w:r>
      <w:r w:rsidRPr="002D394D">
        <w:rPr>
          <w:rFonts w:ascii="Times New Roman" w:hAnsi="Times New Roman" w:cs="Times New Roman"/>
          <w:sz w:val="24"/>
          <w:szCs w:val="24"/>
        </w:rPr>
        <w:t xml:space="preserve"> The petition efforts led to a congressional investigation into the Board of Public Works later that year, during which one former council member suggested that “any resolution or bill which [the Board of Public Works] took an interest in having passed did pass, and frequently passed immediately…my observation and information satisfied me that the council and house of delegates… were wholly and completely subservient to the Board of Public Works.”</w:t>
      </w:r>
      <w:r w:rsidRPr="002D394D">
        <w:rPr>
          <w:rFonts w:ascii="Times New Roman" w:hAnsi="Times New Roman" w:cs="Times New Roman"/>
          <w:sz w:val="24"/>
          <w:szCs w:val="24"/>
          <w:vertAlign w:val="superscript"/>
        </w:rPr>
        <w:footnoteReference w:id="831"/>
      </w:r>
      <w:r w:rsidRPr="002D394D">
        <w:rPr>
          <w:rFonts w:ascii="Times New Roman" w:hAnsi="Times New Roman" w:cs="Times New Roman"/>
          <w:sz w:val="24"/>
          <w:szCs w:val="24"/>
        </w:rPr>
        <w:t xml:space="preserve"> Yet after the investigation, the House </w:t>
      </w:r>
      <w:r w:rsidRPr="002D394D">
        <w:rPr>
          <w:rFonts w:ascii="Times New Roman" w:hAnsi="Times New Roman" w:cs="Times New Roman"/>
          <w:sz w:val="24"/>
          <w:szCs w:val="24"/>
        </w:rPr>
        <w:lastRenderedPageBreak/>
        <w:t>of Representatives voted in confidence of Shepherd and the Board while chastising him for inexperience, overzealousness, and “reckless extravagance,” as “the new authorities became somewhat intoxicated with the spirit of improvement.”</w:t>
      </w:r>
      <w:r w:rsidRPr="002D394D">
        <w:rPr>
          <w:rFonts w:ascii="Times New Roman" w:hAnsi="Times New Roman" w:cs="Times New Roman"/>
          <w:sz w:val="24"/>
          <w:szCs w:val="24"/>
          <w:vertAlign w:val="superscript"/>
        </w:rPr>
        <w:footnoteReference w:id="832"/>
      </w:r>
      <w:r w:rsidRPr="002D394D">
        <w:rPr>
          <w:rFonts w:ascii="Times New Roman" w:hAnsi="Times New Roman" w:cs="Times New Roman"/>
          <w:sz w:val="24"/>
          <w:szCs w:val="24"/>
        </w:rPr>
        <w:t xml:space="preserve"> Still Shepherd’s opponents, a group which became known as the “Memorialists” after the petition</w:t>
      </w:r>
      <w:r w:rsidR="00EE13D1">
        <w:rPr>
          <w:rFonts w:ascii="Times New Roman" w:hAnsi="Times New Roman" w:cs="Times New Roman"/>
          <w:sz w:val="24"/>
          <w:szCs w:val="24"/>
        </w:rPr>
        <w:t xml:space="preserve"> (or memorial)</w:t>
      </w:r>
      <w:r w:rsidRPr="002D394D">
        <w:rPr>
          <w:rFonts w:ascii="Times New Roman" w:hAnsi="Times New Roman" w:cs="Times New Roman"/>
          <w:sz w:val="24"/>
          <w:szCs w:val="24"/>
        </w:rPr>
        <w:t xml:space="preserve"> they submitted to the House, continued to lambast the Board. As financial problems plagued the Board well into 1873, opponents amplified critiques of the Board and Shepherd, leading to a second congressional investigation into their actions.</w:t>
      </w:r>
      <w:r w:rsidRPr="002D394D">
        <w:rPr>
          <w:rFonts w:ascii="Times New Roman" w:hAnsi="Times New Roman" w:cs="Times New Roman"/>
          <w:sz w:val="24"/>
          <w:szCs w:val="24"/>
          <w:vertAlign w:val="superscript"/>
        </w:rPr>
        <w:footnoteReference w:id="833"/>
      </w:r>
      <w:r w:rsidRPr="002D394D">
        <w:rPr>
          <w:rFonts w:ascii="Times New Roman" w:hAnsi="Times New Roman" w:cs="Times New Roman"/>
          <w:sz w:val="24"/>
          <w:szCs w:val="24"/>
        </w:rPr>
        <w:t xml:space="preserve"> The Memorialists remained a persistent thorn in the side of both Shepherd and others seeking to update the landscape of the nation’s capital.</w:t>
      </w:r>
    </w:p>
    <w:p w14:paraId="60396DDF" w14:textId="03EC1178"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By 1873, the territorial government in Washington, consistently accused of corruption and maintaining budgets that were unsustainable in both the short- and long-term, proved to be ineffective.  Though no charges were levied per se, the committee report from the second congressional investigation into the Board of Public Works proved to be a terse condemnation of the manner in which Shepherd and his crew carried out their improvements.</w:t>
      </w:r>
      <w:r w:rsidRPr="002D394D">
        <w:rPr>
          <w:rFonts w:ascii="Times New Roman" w:hAnsi="Times New Roman" w:cs="Times New Roman"/>
          <w:sz w:val="24"/>
          <w:szCs w:val="24"/>
          <w:vertAlign w:val="superscript"/>
        </w:rPr>
        <w:footnoteReference w:id="834"/>
      </w:r>
      <w:r w:rsidRPr="002D394D">
        <w:rPr>
          <w:rFonts w:ascii="Times New Roman" w:hAnsi="Times New Roman" w:cs="Times New Roman"/>
          <w:sz w:val="24"/>
          <w:szCs w:val="24"/>
        </w:rPr>
        <w:t xml:space="preserve">  When combined with the appearance of bossism that </w:t>
      </w:r>
      <w:r w:rsidR="007A3407">
        <w:rPr>
          <w:rFonts w:ascii="Times New Roman" w:hAnsi="Times New Roman" w:cs="Times New Roman"/>
          <w:sz w:val="24"/>
          <w:szCs w:val="24"/>
        </w:rPr>
        <w:t>he</w:t>
      </w:r>
      <w:r w:rsidRPr="002D394D">
        <w:rPr>
          <w:rFonts w:ascii="Times New Roman" w:hAnsi="Times New Roman" w:cs="Times New Roman"/>
          <w:sz w:val="24"/>
          <w:szCs w:val="24"/>
        </w:rPr>
        <w:t xml:space="preserve"> accrued during his political career, Shep</w:t>
      </w:r>
      <w:r w:rsidR="007A3407">
        <w:rPr>
          <w:rFonts w:ascii="Times New Roman" w:hAnsi="Times New Roman" w:cs="Times New Roman"/>
          <w:sz w:val="24"/>
          <w:szCs w:val="24"/>
        </w:rPr>
        <w:t>herd</w:t>
      </w:r>
      <w:r w:rsidRPr="002D394D">
        <w:rPr>
          <w:rFonts w:ascii="Times New Roman" w:hAnsi="Times New Roman" w:cs="Times New Roman"/>
          <w:sz w:val="24"/>
          <w:szCs w:val="24"/>
        </w:rPr>
        <w:t xml:space="preserve"> became an appropriate scapegoat for the Board of Public Works and was removed from his governorship in 1874</w:t>
      </w:r>
      <w:r w:rsidR="007A3407">
        <w:rPr>
          <w:rFonts w:ascii="Times New Roman" w:hAnsi="Times New Roman" w:cs="Times New Roman"/>
          <w:sz w:val="24"/>
          <w:szCs w:val="24"/>
        </w:rPr>
        <w:t>, even though</w:t>
      </w:r>
      <w:r w:rsidR="007A3407" w:rsidRPr="002D394D">
        <w:rPr>
          <w:rFonts w:ascii="Times New Roman" w:hAnsi="Times New Roman" w:cs="Times New Roman"/>
          <w:sz w:val="24"/>
          <w:szCs w:val="24"/>
        </w:rPr>
        <w:t xml:space="preserve"> two investigations found no criminal malfeasance</w:t>
      </w:r>
      <w:r w:rsidR="007A3407">
        <w:rPr>
          <w:rFonts w:ascii="Times New Roman" w:hAnsi="Times New Roman" w:cs="Times New Roman"/>
          <w:sz w:val="24"/>
          <w:szCs w:val="24"/>
        </w:rPr>
        <w:t xml:space="preserve"> on his part</w:t>
      </w:r>
      <w:r w:rsidRPr="002D394D">
        <w:rPr>
          <w:rFonts w:ascii="Times New Roman" w:hAnsi="Times New Roman" w:cs="Times New Roman"/>
          <w:sz w:val="24"/>
          <w:szCs w:val="24"/>
        </w:rPr>
        <w:t>. The Chairman of the second investigation wrote to a friend in its wake “I am sorry that Shepherd was temporarily sacrificed, as he had done so much for the city. He can afford to wait, however, as no stain is cast upon his honor or integrity by the investigation or report.”</w:t>
      </w:r>
      <w:r w:rsidRPr="002D394D">
        <w:rPr>
          <w:rFonts w:ascii="Times New Roman" w:hAnsi="Times New Roman" w:cs="Times New Roman"/>
          <w:sz w:val="24"/>
          <w:szCs w:val="24"/>
          <w:vertAlign w:val="superscript"/>
        </w:rPr>
        <w:footnoteReference w:id="835"/>
      </w:r>
      <w:r w:rsidRPr="002D394D">
        <w:rPr>
          <w:rFonts w:ascii="Times New Roman" w:hAnsi="Times New Roman" w:cs="Times New Roman"/>
          <w:sz w:val="24"/>
          <w:szCs w:val="24"/>
        </w:rPr>
        <w:t xml:space="preserve"> At </w:t>
      </w:r>
      <w:r w:rsidR="00BF0E6F">
        <w:rPr>
          <w:rFonts w:ascii="Times New Roman" w:hAnsi="Times New Roman" w:cs="Times New Roman"/>
          <w:sz w:val="24"/>
          <w:szCs w:val="24"/>
        </w:rPr>
        <w:t xml:space="preserve">only </w:t>
      </w:r>
      <w:r w:rsidRPr="002D394D">
        <w:rPr>
          <w:rFonts w:ascii="Times New Roman" w:hAnsi="Times New Roman" w:cs="Times New Roman"/>
          <w:sz w:val="24"/>
          <w:szCs w:val="24"/>
        </w:rPr>
        <w:t>thirty-nine years old, Shepherd would not see much success in Washington again</w:t>
      </w:r>
      <w:r w:rsidR="00DE0EB9">
        <w:rPr>
          <w:rFonts w:ascii="Times New Roman" w:hAnsi="Times New Roman" w:cs="Times New Roman"/>
          <w:sz w:val="24"/>
          <w:szCs w:val="24"/>
        </w:rPr>
        <w:t>.</w:t>
      </w:r>
      <w:r w:rsidRPr="002D394D">
        <w:rPr>
          <w:rFonts w:ascii="Times New Roman" w:hAnsi="Times New Roman" w:cs="Times New Roman"/>
          <w:sz w:val="24"/>
          <w:szCs w:val="24"/>
        </w:rPr>
        <w:t xml:space="preserve"> </w:t>
      </w:r>
      <w:r w:rsidR="00DE0EB9">
        <w:rPr>
          <w:rFonts w:ascii="Times New Roman" w:hAnsi="Times New Roman" w:cs="Times New Roman"/>
          <w:sz w:val="24"/>
          <w:szCs w:val="24"/>
        </w:rPr>
        <w:t>H</w:t>
      </w:r>
      <w:r w:rsidRPr="002D394D">
        <w:rPr>
          <w:rFonts w:ascii="Times New Roman" w:hAnsi="Times New Roman" w:cs="Times New Roman"/>
          <w:sz w:val="24"/>
          <w:szCs w:val="24"/>
        </w:rPr>
        <w:t xml:space="preserve">e was nominated by President Grant to serve as an official in the newly-reshaped District government but this </w:t>
      </w:r>
      <w:r w:rsidRPr="002D394D">
        <w:rPr>
          <w:rFonts w:ascii="Times New Roman" w:hAnsi="Times New Roman" w:cs="Times New Roman"/>
          <w:sz w:val="24"/>
          <w:szCs w:val="24"/>
        </w:rPr>
        <w:lastRenderedPageBreak/>
        <w:t>nomination was vetoed by Congress by a substantial 36-6 vote.</w:t>
      </w:r>
      <w:r w:rsidRPr="002D394D">
        <w:rPr>
          <w:rFonts w:ascii="Times New Roman" w:hAnsi="Times New Roman" w:cs="Times New Roman"/>
          <w:sz w:val="24"/>
          <w:szCs w:val="24"/>
          <w:vertAlign w:val="superscript"/>
        </w:rPr>
        <w:footnoteReference w:id="836"/>
      </w:r>
      <w:r w:rsidRPr="002D394D">
        <w:rPr>
          <w:rFonts w:ascii="Times New Roman" w:hAnsi="Times New Roman" w:cs="Times New Roman"/>
          <w:sz w:val="24"/>
          <w:szCs w:val="24"/>
        </w:rPr>
        <w:t xml:space="preserve"> </w:t>
      </w:r>
      <w:r w:rsidR="00DE0EB9">
        <w:rPr>
          <w:rFonts w:ascii="Times New Roman" w:hAnsi="Times New Roman" w:cs="Times New Roman"/>
          <w:sz w:val="24"/>
          <w:szCs w:val="24"/>
        </w:rPr>
        <w:t xml:space="preserve">He maintained some semblance of political relevance </w:t>
      </w:r>
      <w:r w:rsidR="00660C19">
        <w:rPr>
          <w:rFonts w:ascii="Times New Roman" w:hAnsi="Times New Roman" w:cs="Times New Roman"/>
          <w:sz w:val="24"/>
          <w:szCs w:val="24"/>
        </w:rPr>
        <w:t>through</w:t>
      </w:r>
      <w:r w:rsidR="00DE0EB9">
        <w:rPr>
          <w:rFonts w:ascii="Times New Roman" w:hAnsi="Times New Roman" w:cs="Times New Roman"/>
          <w:sz w:val="24"/>
          <w:szCs w:val="24"/>
        </w:rPr>
        <w:t xml:space="preserve"> his </w:t>
      </w:r>
      <w:r w:rsidR="00660C19">
        <w:rPr>
          <w:rFonts w:ascii="Times New Roman" w:hAnsi="Times New Roman" w:cs="Times New Roman"/>
          <w:sz w:val="24"/>
          <w:szCs w:val="24"/>
        </w:rPr>
        <w:t xml:space="preserve">aid and </w:t>
      </w:r>
      <w:r w:rsidR="00DE0EB9">
        <w:rPr>
          <w:rFonts w:ascii="Times New Roman" w:hAnsi="Times New Roman" w:cs="Times New Roman"/>
          <w:sz w:val="24"/>
          <w:szCs w:val="24"/>
        </w:rPr>
        <w:t xml:space="preserve">association with his successor in Washington Public Works, Orville Babcock, but he never returned to official office. </w:t>
      </w:r>
      <w:r w:rsidRPr="002D394D">
        <w:rPr>
          <w:rFonts w:ascii="Times New Roman" w:hAnsi="Times New Roman" w:cs="Times New Roman"/>
          <w:sz w:val="24"/>
          <w:szCs w:val="24"/>
        </w:rPr>
        <w:t>Instead, Shepherd declared bankruptcy within a decade and moved his family to Mexico in search of a new fortune in silver mining.</w:t>
      </w:r>
      <w:r w:rsidRPr="002D394D">
        <w:rPr>
          <w:rFonts w:ascii="Times New Roman" w:hAnsi="Times New Roman" w:cs="Times New Roman"/>
          <w:sz w:val="24"/>
          <w:szCs w:val="24"/>
          <w:vertAlign w:val="superscript"/>
        </w:rPr>
        <w:footnoteReference w:id="837"/>
      </w:r>
      <w:r w:rsidRPr="002D394D">
        <w:rPr>
          <w:rFonts w:ascii="Times New Roman" w:hAnsi="Times New Roman" w:cs="Times New Roman"/>
          <w:sz w:val="24"/>
          <w:szCs w:val="24"/>
        </w:rPr>
        <w:t xml:space="preserve"> Shepherd succeede</w:t>
      </w:r>
      <w:r w:rsidR="00DE0EB9">
        <w:rPr>
          <w:rFonts w:ascii="Times New Roman" w:hAnsi="Times New Roman" w:cs="Times New Roman"/>
          <w:sz w:val="24"/>
          <w:szCs w:val="24"/>
        </w:rPr>
        <w:t xml:space="preserve">d </w:t>
      </w:r>
      <w:r w:rsidRPr="002D394D">
        <w:rPr>
          <w:rFonts w:ascii="Times New Roman" w:hAnsi="Times New Roman" w:cs="Times New Roman"/>
          <w:sz w:val="24"/>
          <w:szCs w:val="24"/>
        </w:rPr>
        <w:t>by streamlining matters in the capital, consolidating the previously-divided political entities into one, but the territorial experiment proved to be too much.</w:t>
      </w:r>
      <w:r w:rsidRPr="002D394D">
        <w:rPr>
          <w:rFonts w:ascii="Times New Roman" w:hAnsi="Times New Roman" w:cs="Times New Roman"/>
          <w:sz w:val="24"/>
          <w:szCs w:val="24"/>
          <w:vertAlign w:val="superscript"/>
        </w:rPr>
        <w:footnoteReference w:id="838"/>
      </w:r>
      <w:r w:rsidRPr="002D394D">
        <w:rPr>
          <w:rFonts w:ascii="Times New Roman" w:hAnsi="Times New Roman" w:cs="Times New Roman"/>
          <w:sz w:val="24"/>
          <w:szCs w:val="24"/>
        </w:rPr>
        <w:t xml:space="preserve">  Instead, the federal government established another governmental system for the capital, one that featured a temporary board of three commissioners appointed by the President.</w:t>
      </w:r>
      <w:r w:rsidRPr="002D394D">
        <w:rPr>
          <w:rFonts w:ascii="Times New Roman" w:hAnsi="Times New Roman" w:cs="Times New Roman"/>
          <w:sz w:val="24"/>
          <w:szCs w:val="24"/>
          <w:vertAlign w:val="superscript"/>
        </w:rPr>
        <w:footnoteReference w:id="839"/>
      </w:r>
    </w:p>
    <w:p w14:paraId="48D43D8E" w14:textId="0E230C2C" w:rsidR="00C20BC2"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As a part of this new system of governance in the capital, the debt-laden Board of Public Works was dissolved and its responsibilities were consolidated within the Office of Public Buildings and Grounds.</w:t>
      </w:r>
      <w:r w:rsidRPr="002D394D">
        <w:rPr>
          <w:rFonts w:ascii="Times New Roman" w:hAnsi="Times New Roman" w:cs="Times New Roman"/>
          <w:sz w:val="24"/>
          <w:szCs w:val="24"/>
          <w:vertAlign w:val="superscript"/>
        </w:rPr>
        <w:footnoteReference w:id="840"/>
      </w:r>
      <w:r w:rsidRPr="002D394D">
        <w:rPr>
          <w:rFonts w:ascii="Times New Roman" w:hAnsi="Times New Roman" w:cs="Times New Roman"/>
          <w:sz w:val="24"/>
          <w:szCs w:val="24"/>
        </w:rPr>
        <w:t xml:space="preserve"> This merger meant that Babcock, who in 1871 was appointed as the Superintendent of the Office of Public Buildings and Grounds, suddenly inherited the mess left behind by </w:t>
      </w:r>
      <w:r w:rsidR="002E2541">
        <w:rPr>
          <w:rFonts w:ascii="Times New Roman" w:hAnsi="Times New Roman" w:cs="Times New Roman"/>
          <w:sz w:val="24"/>
          <w:szCs w:val="24"/>
        </w:rPr>
        <w:t>Shepherd’s</w:t>
      </w:r>
      <w:r w:rsidRPr="002D394D">
        <w:rPr>
          <w:rFonts w:ascii="Times New Roman" w:hAnsi="Times New Roman" w:cs="Times New Roman"/>
          <w:sz w:val="24"/>
          <w:szCs w:val="24"/>
        </w:rPr>
        <w:t xml:space="preserve"> territorial government. Not only was Babcock forced to deal with the fallout of a </w:t>
      </w:r>
      <w:r w:rsidR="000624E1" w:rsidRPr="002D394D">
        <w:rPr>
          <w:rFonts w:ascii="Times New Roman" w:hAnsi="Times New Roman" w:cs="Times New Roman"/>
          <w:sz w:val="24"/>
          <w:szCs w:val="24"/>
        </w:rPr>
        <w:t>chaotically organized</w:t>
      </w:r>
      <w:r w:rsidRPr="002D394D">
        <w:rPr>
          <w:rFonts w:ascii="Times New Roman" w:hAnsi="Times New Roman" w:cs="Times New Roman"/>
          <w:sz w:val="24"/>
          <w:szCs w:val="24"/>
        </w:rPr>
        <w:t xml:space="preserve"> Public Works program, but he was also stained with the reputation of his predecessors</w:t>
      </w:r>
      <w:r w:rsidR="009D2CC5">
        <w:rPr>
          <w:rFonts w:ascii="Times New Roman" w:hAnsi="Times New Roman" w:cs="Times New Roman"/>
          <w:sz w:val="24"/>
          <w:szCs w:val="24"/>
        </w:rPr>
        <w:t xml:space="preserve"> as well as their existing systems for graft and corruption</w:t>
      </w:r>
      <w:r w:rsidRPr="002D394D">
        <w:rPr>
          <w:rFonts w:ascii="Times New Roman" w:hAnsi="Times New Roman" w:cs="Times New Roman"/>
          <w:sz w:val="24"/>
          <w:szCs w:val="24"/>
        </w:rPr>
        <w:t xml:space="preserve">.  Babcock </w:t>
      </w:r>
      <w:r w:rsidRPr="002D394D">
        <w:rPr>
          <w:rFonts w:ascii="Times New Roman" w:hAnsi="Times New Roman" w:cs="Times New Roman"/>
          <w:sz w:val="24"/>
          <w:szCs w:val="24"/>
        </w:rPr>
        <w:lastRenderedPageBreak/>
        <w:t>and Shepherd developed not only a working relationship, but a friendship during Babcock’s time as a member of the Board of Public Works</w:t>
      </w:r>
      <w:r w:rsidR="000624E1">
        <w:rPr>
          <w:rFonts w:ascii="Times New Roman" w:hAnsi="Times New Roman" w:cs="Times New Roman"/>
          <w:sz w:val="24"/>
          <w:szCs w:val="24"/>
        </w:rPr>
        <w:t>’</w:t>
      </w:r>
      <w:r w:rsidRPr="002D394D">
        <w:rPr>
          <w:rFonts w:ascii="Times New Roman" w:hAnsi="Times New Roman" w:cs="Times New Roman"/>
          <w:sz w:val="24"/>
          <w:szCs w:val="24"/>
        </w:rPr>
        <w:t xml:space="preserve"> </w:t>
      </w:r>
      <w:r w:rsidR="00007A90">
        <w:rPr>
          <w:rFonts w:ascii="Times New Roman" w:hAnsi="Times New Roman" w:cs="Times New Roman"/>
          <w:sz w:val="24"/>
          <w:szCs w:val="24"/>
        </w:rPr>
        <w:t>E</w:t>
      </w:r>
      <w:r w:rsidRPr="002D394D">
        <w:rPr>
          <w:rFonts w:ascii="Times New Roman" w:hAnsi="Times New Roman" w:cs="Times New Roman"/>
          <w:sz w:val="24"/>
          <w:szCs w:val="24"/>
        </w:rPr>
        <w:t xml:space="preserve">ngineering </w:t>
      </w:r>
      <w:r w:rsidR="00007A90">
        <w:rPr>
          <w:rFonts w:ascii="Times New Roman" w:hAnsi="Times New Roman" w:cs="Times New Roman"/>
          <w:sz w:val="24"/>
          <w:szCs w:val="24"/>
        </w:rPr>
        <w:t>A</w:t>
      </w:r>
      <w:r w:rsidRPr="002D394D">
        <w:rPr>
          <w:rFonts w:ascii="Times New Roman" w:hAnsi="Times New Roman" w:cs="Times New Roman"/>
          <w:sz w:val="24"/>
          <w:szCs w:val="24"/>
        </w:rPr>
        <w:t xml:space="preserve">dvisory </w:t>
      </w:r>
      <w:r w:rsidR="00007A90">
        <w:rPr>
          <w:rFonts w:ascii="Times New Roman" w:hAnsi="Times New Roman" w:cs="Times New Roman"/>
          <w:sz w:val="24"/>
          <w:szCs w:val="24"/>
        </w:rPr>
        <w:t>P</w:t>
      </w:r>
      <w:r w:rsidRPr="002D394D">
        <w:rPr>
          <w:rFonts w:ascii="Times New Roman" w:hAnsi="Times New Roman" w:cs="Times New Roman"/>
          <w:sz w:val="24"/>
          <w:szCs w:val="24"/>
        </w:rPr>
        <w:t>anel.</w:t>
      </w:r>
      <w:r w:rsidRPr="002D394D">
        <w:rPr>
          <w:rFonts w:ascii="Times New Roman" w:hAnsi="Times New Roman" w:cs="Times New Roman"/>
          <w:sz w:val="24"/>
          <w:szCs w:val="24"/>
          <w:vertAlign w:val="superscript"/>
        </w:rPr>
        <w:footnoteReference w:id="841"/>
      </w:r>
      <w:r w:rsidRPr="002D394D">
        <w:rPr>
          <w:rFonts w:ascii="Times New Roman" w:hAnsi="Times New Roman" w:cs="Times New Roman"/>
          <w:sz w:val="24"/>
          <w:szCs w:val="24"/>
        </w:rPr>
        <w:t xml:space="preserve">  The Memorialists and other political opponents continued their campaign against landscape changes by targeting Babcock as the new figurehead of the movement.</w:t>
      </w:r>
      <w:r w:rsidRPr="002D394D">
        <w:rPr>
          <w:rFonts w:ascii="Times New Roman" w:hAnsi="Times New Roman" w:cs="Times New Roman"/>
          <w:sz w:val="24"/>
          <w:szCs w:val="24"/>
          <w:vertAlign w:val="superscript"/>
        </w:rPr>
        <w:footnoteReference w:id="842"/>
      </w:r>
      <w:r w:rsidRPr="002D394D">
        <w:rPr>
          <w:rFonts w:ascii="Times New Roman" w:hAnsi="Times New Roman" w:cs="Times New Roman"/>
          <w:sz w:val="24"/>
          <w:szCs w:val="24"/>
        </w:rPr>
        <w:t xml:space="preserve"> Babcock was consistently assailed by claims of corruption, both factual and fabricated, during his time in the Office of Public Buildings and Grounds. The question that emerged was difficult to fully answer: was Babcock merely guilty by association, or was he guilty as a part of the “association” that others identified as the District Ring?</w:t>
      </w:r>
    </w:p>
    <w:p w14:paraId="18FCB146" w14:textId="537016AF" w:rsidR="002D394D" w:rsidRPr="002D394D" w:rsidRDefault="002D394D" w:rsidP="00574874">
      <w:pPr>
        <w:spacing w:line="480" w:lineRule="auto"/>
        <w:jc w:val="center"/>
        <w:rPr>
          <w:rFonts w:ascii="Times New Roman" w:hAnsi="Times New Roman" w:cs="Times New Roman"/>
          <w:sz w:val="24"/>
          <w:szCs w:val="24"/>
        </w:rPr>
      </w:pPr>
      <w:r w:rsidRPr="002D394D">
        <w:rPr>
          <w:rFonts w:ascii="Times New Roman" w:hAnsi="Times New Roman" w:cs="Times New Roman"/>
          <w:sz w:val="24"/>
          <w:szCs w:val="24"/>
        </w:rPr>
        <w:t>Babcock’s Impact on the Capital</w:t>
      </w:r>
    </w:p>
    <w:p w14:paraId="31298E51" w14:textId="4C4F7C1E"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During Orville Babcock’s tenure as Superintendent of Public Buildings and Grounds, he took on much of the negative reputation </w:t>
      </w:r>
      <w:r w:rsidR="00030462">
        <w:rPr>
          <w:rFonts w:ascii="Times New Roman" w:hAnsi="Times New Roman" w:cs="Times New Roman"/>
          <w:sz w:val="24"/>
          <w:szCs w:val="24"/>
        </w:rPr>
        <w:t>of</w:t>
      </w:r>
      <w:r w:rsidRPr="002D394D">
        <w:rPr>
          <w:rFonts w:ascii="Times New Roman" w:hAnsi="Times New Roman" w:cs="Times New Roman"/>
          <w:sz w:val="24"/>
          <w:szCs w:val="24"/>
        </w:rPr>
        <w:t xml:space="preserve"> his predecessors, but he also inherited the local power the Board garnered. Babcock wielded this power to take over for Shepherd and the Board of Public Works, continuing to revitalize the city and bringing it into the Victorian Era. He used his training from the Army Corps of Engineers to implement massive changes to the landscape of the nation’s c</w:t>
      </w:r>
      <w:r w:rsidR="00982511">
        <w:rPr>
          <w:rFonts w:ascii="Times New Roman" w:hAnsi="Times New Roman" w:cs="Times New Roman"/>
          <w:sz w:val="24"/>
          <w:szCs w:val="24"/>
        </w:rPr>
        <w:t>apital</w:t>
      </w:r>
      <w:r w:rsidRPr="002D394D">
        <w:rPr>
          <w:rFonts w:ascii="Times New Roman" w:hAnsi="Times New Roman" w:cs="Times New Roman"/>
          <w:sz w:val="24"/>
          <w:szCs w:val="24"/>
        </w:rPr>
        <w:t xml:space="preserve">, creating new sites and facilities while repairing those damaged by time and war. Babcock updated shared spaces throughout the capital to make them not only passable as parts of society, but beautiful sprawling settings </w:t>
      </w:r>
      <w:r w:rsidR="004E3AF8">
        <w:rPr>
          <w:rFonts w:ascii="Times New Roman" w:hAnsi="Times New Roman" w:cs="Times New Roman"/>
          <w:sz w:val="24"/>
          <w:szCs w:val="24"/>
        </w:rPr>
        <w:t>of which</w:t>
      </w:r>
      <w:r w:rsidRPr="002D394D">
        <w:rPr>
          <w:rFonts w:ascii="Times New Roman" w:hAnsi="Times New Roman" w:cs="Times New Roman"/>
          <w:sz w:val="24"/>
          <w:szCs w:val="24"/>
        </w:rPr>
        <w:t xml:space="preserve"> residents could be prou</w:t>
      </w:r>
      <w:r w:rsidR="004E3AF8">
        <w:rPr>
          <w:rFonts w:ascii="Times New Roman" w:hAnsi="Times New Roman" w:cs="Times New Roman"/>
          <w:sz w:val="24"/>
          <w:szCs w:val="24"/>
        </w:rPr>
        <w:t>d</w:t>
      </w:r>
      <w:r w:rsidRPr="002D394D">
        <w:rPr>
          <w:rFonts w:ascii="Times New Roman" w:hAnsi="Times New Roman" w:cs="Times New Roman"/>
          <w:sz w:val="24"/>
          <w:szCs w:val="24"/>
        </w:rPr>
        <w:t xml:space="preserve"> and enjoy. He </w:t>
      </w:r>
      <w:r w:rsidRPr="002D394D">
        <w:rPr>
          <w:rFonts w:ascii="Times New Roman" w:hAnsi="Times New Roman" w:cs="Times New Roman"/>
          <w:sz w:val="24"/>
          <w:szCs w:val="24"/>
        </w:rPr>
        <w:lastRenderedPageBreak/>
        <w:t xml:space="preserve">worked to honor national heroes </w:t>
      </w:r>
      <w:r w:rsidR="00213EA6">
        <w:rPr>
          <w:rFonts w:ascii="Times New Roman" w:hAnsi="Times New Roman" w:cs="Times New Roman"/>
          <w:sz w:val="24"/>
          <w:szCs w:val="24"/>
        </w:rPr>
        <w:t>with</w:t>
      </w:r>
      <w:r w:rsidRPr="002D394D">
        <w:rPr>
          <w:rFonts w:ascii="Times New Roman" w:hAnsi="Times New Roman" w:cs="Times New Roman"/>
          <w:sz w:val="24"/>
          <w:szCs w:val="24"/>
        </w:rPr>
        <w:t xml:space="preserve"> statues and monuments. He made repairs to the Executive Mansion and other government buildings at the center of the discussions to relocate the capital. In many ways, General Babcock elevated Washington to new heights as a worthy capital city with legacies that exist to this day.</w:t>
      </w:r>
    </w:p>
    <w:p w14:paraId="224582A2" w14:textId="06AD2644"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A</w:t>
      </w:r>
      <w:r w:rsidR="0085770A">
        <w:rPr>
          <w:rFonts w:ascii="Times New Roman" w:hAnsi="Times New Roman" w:cs="Times New Roman"/>
          <w:sz w:val="24"/>
          <w:szCs w:val="24"/>
        </w:rPr>
        <w:t xml:space="preserve">s one of his priorities in his role at the </w:t>
      </w:r>
      <w:r w:rsidRPr="002D394D">
        <w:rPr>
          <w:rFonts w:ascii="Times New Roman" w:hAnsi="Times New Roman" w:cs="Times New Roman"/>
          <w:sz w:val="24"/>
          <w:szCs w:val="24"/>
        </w:rPr>
        <w:t xml:space="preserve">Office of Public Buildings and Grounds, Babcock </w:t>
      </w:r>
      <w:r w:rsidR="0085770A">
        <w:rPr>
          <w:rFonts w:ascii="Times New Roman" w:hAnsi="Times New Roman" w:cs="Times New Roman"/>
          <w:sz w:val="24"/>
          <w:szCs w:val="24"/>
        </w:rPr>
        <w:t>efforted</w:t>
      </w:r>
      <w:r w:rsidRPr="002D394D">
        <w:rPr>
          <w:rFonts w:ascii="Times New Roman" w:hAnsi="Times New Roman" w:cs="Times New Roman"/>
          <w:sz w:val="24"/>
          <w:szCs w:val="24"/>
        </w:rPr>
        <w:t xml:space="preserve"> to revitalize the federal reservations in the region. The larger parks were updated via grading, planting new foliage, and irrigation.</w:t>
      </w:r>
      <w:r w:rsidRPr="002D394D">
        <w:rPr>
          <w:rFonts w:ascii="Times New Roman" w:hAnsi="Times New Roman" w:cs="Times New Roman"/>
          <w:sz w:val="24"/>
          <w:szCs w:val="24"/>
          <w:vertAlign w:val="superscript"/>
        </w:rPr>
        <w:footnoteReference w:id="843"/>
      </w:r>
      <w:r w:rsidRPr="002D394D">
        <w:rPr>
          <w:rFonts w:ascii="Times New Roman" w:hAnsi="Times New Roman" w:cs="Times New Roman"/>
          <w:sz w:val="24"/>
          <w:szCs w:val="24"/>
        </w:rPr>
        <w:t xml:space="preserve"> During Babcock’s first year in this new post, his team laid four miles of drains, ten thousand yards of pavement and walkways, one thousand feet of curbing, and forty six thousand feet of sod.</w:t>
      </w:r>
      <w:r w:rsidRPr="002D394D">
        <w:rPr>
          <w:rFonts w:ascii="Times New Roman" w:hAnsi="Times New Roman" w:cs="Times New Roman"/>
          <w:sz w:val="24"/>
          <w:szCs w:val="24"/>
          <w:vertAlign w:val="superscript"/>
        </w:rPr>
        <w:footnoteReference w:id="844"/>
      </w:r>
      <w:r w:rsidRPr="002D394D">
        <w:rPr>
          <w:rFonts w:ascii="Times New Roman" w:hAnsi="Times New Roman" w:cs="Times New Roman"/>
          <w:sz w:val="24"/>
          <w:szCs w:val="24"/>
        </w:rPr>
        <w:t xml:space="preserve"> Babcock and his </w:t>
      </w:r>
      <w:r w:rsidR="001B6A10">
        <w:rPr>
          <w:rFonts w:ascii="Times New Roman" w:hAnsi="Times New Roman" w:cs="Times New Roman"/>
          <w:sz w:val="24"/>
          <w:szCs w:val="24"/>
        </w:rPr>
        <w:t>staff</w:t>
      </w:r>
      <w:r w:rsidRPr="002D394D">
        <w:rPr>
          <w:rFonts w:ascii="Times New Roman" w:hAnsi="Times New Roman" w:cs="Times New Roman"/>
          <w:sz w:val="24"/>
          <w:szCs w:val="24"/>
        </w:rPr>
        <w:t xml:space="preserve"> installed lamp posts and benches while constructing walking paths through the parks in an effort to draw the public to these now-beautiful public spaces.</w:t>
      </w:r>
      <w:r w:rsidRPr="002D394D">
        <w:rPr>
          <w:rFonts w:ascii="Times New Roman" w:hAnsi="Times New Roman" w:cs="Times New Roman"/>
          <w:sz w:val="24"/>
          <w:szCs w:val="24"/>
          <w:vertAlign w:val="superscript"/>
        </w:rPr>
        <w:footnoteReference w:id="845"/>
      </w:r>
      <w:r w:rsidRPr="002D394D">
        <w:rPr>
          <w:rFonts w:ascii="Times New Roman" w:hAnsi="Times New Roman" w:cs="Times New Roman"/>
          <w:sz w:val="24"/>
          <w:szCs w:val="24"/>
        </w:rPr>
        <w:t xml:space="preserve"> In 1874, noted journalist Mary Clemmer Ames commented on these changes: “Seats – thanks to General Babcock – everywhere invite to sit down and rest beneath trees which every summer cast a deeper and more protecting shadow.”</w:t>
      </w:r>
      <w:r w:rsidRPr="002D394D">
        <w:rPr>
          <w:rFonts w:ascii="Times New Roman" w:hAnsi="Times New Roman" w:cs="Times New Roman"/>
          <w:sz w:val="24"/>
          <w:szCs w:val="24"/>
          <w:vertAlign w:val="superscript"/>
        </w:rPr>
        <w:footnoteReference w:id="846"/>
      </w:r>
      <w:r w:rsidRPr="002D394D">
        <w:rPr>
          <w:rFonts w:ascii="Times New Roman" w:hAnsi="Times New Roman" w:cs="Times New Roman"/>
          <w:sz w:val="24"/>
          <w:szCs w:val="24"/>
        </w:rPr>
        <w:t xml:space="preserve">  In order to prevent these areas from being overrun with pests, Babcock introduced European sparrows to the park to eat worms and insects that may bother visitors.</w:t>
      </w:r>
      <w:r w:rsidRPr="002D394D">
        <w:rPr>
          <w:rFonts w:ascii="Times New Roman" w:hAnsi="Times New Roman" w:cs="Times New Roman"/>
          <w:sz w:val="24"/>
          <w:szCs w:val="24"/>
          <w:vertAlign w:val="superscript"/>
        </w:rPr>
        <w:footnoteReference w:id="847"/>
      </w:r>
      <w:r w:rsidRPr="002D394D">
        <w:rPr>
          <w:rFonts w:ascii="Times New Roman" w:hAnsi="Times New Roman" w:cs="Times New Roman"/>
          <w:sz w:val="24"/>
          <w:szCs w:val="24"/>
        </w:rPr>
        <w:t xml:space="preserve"> He accepted donations of other animals for the parks, including eagles, deer, owls and prairie dogs, creating a </w:t>
      </w:r>
      <w:r w:rsidR="008D350D">
        <w:rPr>
          <w:rFonts w:ascii="Times New Roman" w:hAnsi="Times New Roman" w:cs="Times New Roman"/>
          <w:sz w:val="24"/>
          <w:szCs w:val="24"/>
        </w:rPr>
        <w:t>free-range</w:t>
      </w:r>
      <w:r w:rsidRPr="002D394D">
        <w:rPr>
          <w:rFonts w:ascii="Times New Roman" w:hAnsi="Times New Roman" w:cs="Times New Roman"/>
          <w:sz w:val="24"/>
          <w:szCs w:val="24"/>
        </w:rPr>
        <w:t xml:space="preserve"> zoo, and when public funding for feeding these animals ran out, Babcock paid for their food out of his own pocketbook.</w:t>
      </w:r>
      <w:r w:rsidRPr="002D394D">
        <w:rPr>
          <w:rFonts w:ascii="Times New Roman" w:hAnsi="Times New Roman" w:cs="Times New Roman"/>
          <w:sz w:val="24"/>
          <w:szCs w:val="24"/>
          <w:vertAlign w:val="superscript"/>
        </w:rPr>
        <w:footnoteReference w:id="848"/>
      </w:r>
      <w:r w:rsidRPr="002D394D">
        <w:rPr>
          <w:rFonts w:ascii="Times New Roman" w:hAnsi="Times New Roman" w:cs="Times New Roman"/>
          <w:sz w:val="24"/>
          <w:szCs w:val="24"/>
        </w:rPr>
        <w:t xml:space="preserve"> The Office of Public Buildings and Grounds faced </w:t>
      </w:r>
      <w:r w:rsidRPr="002D394D">
        <w:rPr>
          <w:rFonts w:ascii="Times New Roman" w:hAnsi="Times New Roman" w:cs="Times New Roman"/>
          <w:sz w:val="24"/>
          <w:szCs w:val="24"/>
        </w:rPr>
        <w:lastRenderedPageBreak/>
        <w:t>occasional challenges in keeping these parks free from illegal private occupation, whether by individuals (impoverished individuals seeking somewhere to call home or grow food) or corporations (dumps, buildings, and railroad tracks appeared on public lands intermittently).</w:t>
      </w:r>
      <w:r w:rsidRPr="002D394D">
        <w:rPr>
          <w:rFonts w:ascii="Times New Roman" w:hAnsi="Times New Roman" w:cs="Times New Roman"/>
          <w:sz w:val="24"/>
          <w:szCs w:val="24"/>
          <w:vertAlign w:val="superscript"/>
        </w:rPr>
        <w:footnoteReference w:id="849"/>
      </w:r>
      <w:r w:rsidRPr="002D394D">
        <w:rPr>
          <w:rFonts w:ascii="Times New Roman" w:hAnsi="Times New Roman" w:cs="Times New Roman"/>
          <w:sz w:val="24"/>
          <w:szCs w:val="24"/>
        </w:rPr>
        <w:t xml:space="preserve">  In response, unimproved public lands were marked with granite markers, while improved lots were surrounded with post-and-chain fences and, eventually, concrete copings, in order to prevent others from infringing on or destroying these lands.</w:t>
      </w:r>
      <w:r w:rsidRPr="002D394D">
        <w:rPr>
          <w:rFonts w:ascii="Times New Roman" w:hAnsi="Times New Roman" w:cs="Times New Roman"/>
          <w:sz w:val="24"/>
          <w:szCs w:val="24"/>
          <w:vertAlign w:val="superscript"/>
        </w:rPr>
        <w:footnoteReference w:id="850"/>
      </w:r>
    </w:p>
    <w:p w14:paraId="5FB14615" w14:textId="441EB46E"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It is important to note that the federal reservation system in Washington was not limited to the public parks that occupied federal lands. As a result of L’Enfant’s spoke-and-wheel concept for the city’s roads, numerous triangular and trapezoidal landmasses existed, serving as medians between roads and buildings.</w:t>
      </w:r>
      <w:r w:rsidRPr="002D394D">
        <w:rPr>
          <w:rFonts w:ascii="Times New Roman" w:hAnsi="Times New Roman" w:cs="Times New Roman"/>
          <w:sz w:val="24"/>
          <w:szCs w:val="24"/>
          <w:vertAlign w:val="superscript"/>
        </w:rPr>
        <w:footnoteReference w:id="851"/>
      </w:r>
      <w:r w:rsidRPr="002D394D">
        <w:rPr>
          <w:rFonts w:ascii="Times New Roman" w:hAnsi="Times New Roman" w:cs="Times New Roman"/>
          <w:sz w:val="24"/>
          <w:szCs w:val="24"/>
        </w:rPr>
        <w:t xml:space="preserve"> These smaller plots of land were also included in the reservation system and considered land under federal control. Babcock’s work on parking included resodding and revitalizing these parcels of land, many of which never before saw improvement.</w:t>
      </w:r>
      <w:r w:rsidRPr="002D394D">
        <w:rPr>
          <w:rFonts w:ascii="Times New Roman" w:hAnsi="Times New Roman" w:cs="Times New Roman"/>
          <w:sz w:val="24"/>
          <w:szCs w:val="24"/>
          <w:vertAlign w:val="superscript"/>
        </w:rPr>
        <w:footnoteReference w:id="852"/>
      </w:r>
      <w:r w:rsidRPr="002D394D">
        <w:rPr>
          <w:rFonts w:ascii="Times New Roman" w:hAnsi="Times New Roman" w:cs="Times New Roman"/>
          <w:sz w:val="24"/>
          <w:szCs w:val="24"/>
        </w:rPr>
        <w:t xml:space="preserve"> These small medians may seem insignificant, but as there were so many across the city, their combined transformations made significant change, as one observer noted that these “places of sand and mud” became “green and beautiful” locales.</w:t>
      </w:r>
      <w:r w:rsidRPr="002D394D">
        <w:rPr>
          <w:rFonts w:ascii="Times New Roman" w:hAnsi="Times New Roman" w:cs="Times New Roman"/>
          <w:sz w:val="24"/>
          <w:szCs w:val="24"/>
          <w:vertAlign w:val="superscript"/>
        </w:rPr>
        <w:footnoteReference w:id="853"/>
      </w:r>
      <w:r w:rsidRPr="002D394D">
        <w:rPr>
          <w:rFonts w:ascii="Times New Roman" w:hAnsi="Times New Roman" w:cs="Times New Roman"/>
          <w:sz w:val="24"/>
          <w:szCs w:val="24"/>
        </w:rPr>
        <w:t xml:space="preserve"> The Office of Public Buildings and Grounds became responsible for the upkeep of these medians as well as those of the larger parks. The employees of the Office of Public Buildings and Grounds were “mostly laboring men,” according to Babcock, as “the work necessary to improve the public grounds is of such a character that it cannot be done by contract.”</w:t>
      </w:r>
      <w:r w:rsidRPr="002D394D">
        <w:rPr>
          <w:rFonts w:ascii="Times New Roman" w:hAnsi="Times New Roman" w:cs="Times New Roman"/>
          <w:sz w:val="24"/>
          <w:szCs w:val="24"/>
          <w:vertAlign w:val="superscript"/>
        </w:rPr>
        <w:footnoteReference w:id="854"/>
      </w:r>
      <w:r w:rsidRPr="002D394D">
        <w:rPr>
          <w:rFonts w:ascii="Times New Roman" w:hAnsi="Times New Roman" w:cs="Times New Roman"/>
          <w:sz w:val="24"/>
          <w:szCs w:val="24"/>
        </w:rPr>
        <w:t xml:space="preserve"> Their responsibilities included painting, </w:t>
      </w:r>
      <w:r w:rsidRPr="002D394D">
        <w:rPr>
          <w:rFonts w:ascii="Times New Roman" w:hAnsi="Times New Roman" w:cs="Times New Roman"/>
          <w:sz w:val="24"/>
          <w:szCs w:val="24"/>
        </w:rPr>
        <w:lastRenderedPageBreak/>
        <w:t>raking, removing snow, planting, cutting, repairing roads, cleaning gutters, and overseeing park watchmen.</w:t>
      </w:r>
      <w:r w:rsidRPr="002D394D">
        <w:rPr>
          <w:rFonts w:ascii="Times New Roman" w:hAnsi="Times New Roman" w:cs="Times New Roman"/>
          <w:sz w:val="24"/>
          <w:szCs w:val="24"/>
          <w:vertAlign w:val="superscript"/>
        </w:rPr>
        <w:footnoteReference w:id="855"/>
      </w:r>
      <w:r w:rsidRPr="002D394D">
        <w:rPr>
          <w:rFonts w:ascii="Times New Roman" w:hAnsi="Times New Roman" w:cs="Times New Roman"/>
          <w:sz w:val="24"/>
          <w:szCs w:val="24"/>
        </w:rPr>
        <w:t xml:space="preserve">  In addition to these processes, Babcock’s office also published a location and condition survey of the entire parks system, outlining the numerous parks and medians over which the Office of Public Buildings and Grounds maintained control.</w:t>
      </w:r>
      <w:r w:rsidRPr="002D394D">
        <w:rPr>
          <w:rFonts w:ascii="Times New Roman" w:hAnsi="Times New Roman" w:cs="Times New Roman"/>
          <w:sz w:val="24"/>
          <w:szCs w:val="24"/>
          <w:vertAlign w:val="superscript"/>
        </w:rPr>
        <w:footnoteReference w:id="856"/>
      </w:r>
      <w:r w:rsidRPr="002D394D">
        <w:rPr>
          <w:rFonts w:ascii="Times New Roman" w:hAnsi="Times New Roman" w:cs="Times New Roman"/>
          <w:sz w:val="24"/>
          <w:szCs w:val="24"/>
        </w:rPr>
        <w:t xml:space="preserve"> By maintaining control of who worked on each aspect of Public Works, Babcock avoided some of the contracting issues </w:t>
      </w:r>
      <w:r w:rsidR="0065051D">
        <w:rPr>
          <w:rFonts w:ascii="Times New Roman" w:hAnsi="Times New Roman" w:cs="Times New Roman"/>
          <w:sz w:val="24"/>
          <w:szCs w:val="24"/>
        </w:rPr>
        <w:t>fac</w:t>
      </w:r>
      <w:r w:rsidRPr="002D394D">
        <w:rPr>
          <w:rFonts w:ascii="Times New Roman" w:hAnsi="Times New Roman" w:cs="Times New Roman"/>
          <w:sz w:val="24"/>
          <w:szCs w:val="24"/>
        </w:rPr>
        <w:t>ed by the territorial government prior to his assumption of the office.</w:t>
      </w:r>
    </w:p>
    <w:p w14:paraId="2EDA8D8A" w14:textId="77777777" w:rsidR="002D394D" w:rsidRDefault="002D394D" w:rsidP="002D394D">
      <w:pPr>
        <w:spacing w:after="0"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Arguably the most significant of the reservation lands for which Babcock was responsible was the grounds of the Washington Monument. During the Civil War, the area surrounding the incomplete Washington Monument was damaged by its use as military training grounds and livestock grazing areas.</w:t>
      </w:r>
      <w:r w:rsidRPr="002D394D">
        <w:rPr>
          <w:rFonts w:ascii="Times New Roman" w:hAnsi="Times New Roman" w:cs="Times New Roman"/>
          <w:sz w:val="24"/>
          <w:szCs w:val="24"/>
          <w:vertAlign w:val="superscript"/>
        </w:rPr>
        <w:footnoteReference w:id="857"/>
      </w:r>
      <w:r w:rsidRPr="002D394D">
        <w:rPr>
          <w:rFonts w:ascii="Times New Roman" w:hAnsi="Times New Roman" w:cs="Times New Roman"/>
          <w:sz w:val="24"/>
          <w:szCs w:val="24"/>
        </w:rPr>
        <w:t xml:space="preserve"> In 1872, Babcock worked to fix this injustice by having his team clean up the grounds surrounding the unfinished obelisk.</w:t>
      </w:r>
      <w:r w:rsidRPr="002D394D">
        <w:rPr>
          <w:rFonts w:ascii="Times New Roman" w:hAnsi="Times New Roman" w:cs="Times New Roman"/>
          <w:sz w:val="24"/>
          <w:szCs w:val="24"/>
          <w:vertAlign w:val="superscript"/>
        </w:rPr>
        <w:footnoteReference w:id="858"/>
      </w:r>
      <w:r w:rsidRPr="002D394D">
        <w:rPr>
          <w:rFonts w:ascii="Times New Roman" w:hAnsi="Times New Roman" w:cs="Times New Roman"/>
          <w:sz w:val="24"/>
          <w:szCs w:val="24"/>
        </w:rPr>
        <w:t xml:space="preserve"> Within a year, the Office of Public Buildings and Grounds completely overhauled the area. Where cow pens once stood and besmirched the area, a beautiful park worthy of the monument at its center now blessed the capital.</w:t>
      </w:r>
      <w:r w:rsidRPr="002D394D">
        <w:rPr>
          <w:rFonts w:ascii="Times New Roman" w:hAnsi="Times New Roman" w:cs="Times New Roman"/>
          <w:sz w:val="24"/>
          <w:szCs w:val="24"/>
          <w:vertAlign w:val="superscript"/>
        </w:rPr>
        <w:footnoteReference w:id="859"/>
      </w:r>
      <w:r w:rsidRPr="002D394D">
        <w:rPr>
          <w:rFonts w:ascii="Times New Roman" w:hAnsi="Times New Roman" w:cs="Times New Roman"/>
          <w:sz w:val="24"/>
          <w:szCs w:val="24"/>
        </w:rPr>
        <w:t xml:space="preserve"> The team drained and graded the area, filling its depressions, as well as part of the adjoining Washington Canal.</w:t>
      </w:r>
      <w:r w:rsidRPr="002D394D">
        <w:rPr>
          <w:rFonts w:ascii="Times New Roman" w:hAnsi="Times New Roman" w:cs="Times New Roman"/>
          <w:sz w:val="24"/>
          <w:szCs w:val="24"/>
          <w:vertAlign w:val="superscript"/>
        </w:rPr>
        <w:footnoteReference w:id="860"/>
      </w:r>
      <w:r w:rsidRPr="002D394D">
        <w:rPr>
          <w:rFonts w:ascii="Times New Roman" w:hAnsi="Times New Roman" w:cs="Times New Roman"/>
          <w:sz w:val="24"/>
          <w:szCs w:val="24"/>
        </w:rPr>
        <w:t xml:space="preserve"> They planted greenery and built carriage drives that surrounded the park. Washington columnist George Alfred Townsend wrote on behalf of the amazed populace shortly after the park’s refurbishment, offering:</w:t>
      </w:r>
    </w:p>
    <w:p w14:paraId="56217F67" w14:textId="77777777" w:rsidR="00C44F7C" w:rsidRPr="002D394D" w:rsidRDefault="00C44F7C" w:rsidP="002D394D">
      <w:pPr>
        <w:spacing w:after="0" w:line="480" w:lineRule="auto"/>
        <w:ind w:firstLine="720"/>
        <w:rPr>
          <w:rFonts w:ascii="Times New Roman" w:hAnsi="Times New Roman" w:cs="Times New Roman"/>
          <w:sz w:val="24"/>
          <w:szCs w:val="24"/>
        </w:rPr>
      </w:pPr>
    </w:p>
    <w:p w14:paraId="1174AEEB" w14:textId="77777777" w:rsidR="002D394D" w:rsidRPr="002D394D" w:rsidRDefault="002D394D" w:rsidP="002D394D">
      <w:pPr>
        <w:spacing w:line="240" w:lineRule="auto"/>
        <w:ind w:left="720" w:right="720"/>
        <w:rPr>
          <w:rFonts w:ascii="Times New Roman" w:hAnsi="Times New Roman" w:cs="Times New Roman"/>
          <w:sz w:val="24"/>
          <w:szCs w:val="24"/>
        </w:rPr>
      </w:pPr>
      <w:r w:rsidRPr="002D394D">
        <w:rPr>
          <w:rFonts w:ascii="Times New Roman" w:hAnsi="Times New Roman" w:cs="Times New Roman"/>
          <w:sz w:val="24"/>
          <w:szCs w:val="24"/>
        </w:rPr>
        <w:lastRenderedPageBreak/>
        <w:t>“The old grounds around the Washington Monument, which the very goats disdained to frequent and truant school-boys passed through with awe; where the stench of the canal and the river’s miasma blended their odors, and half-dismantled houses, sheds, and hulks of boats dozed on the unsightly margin, were now brought into civilization…so that every day last fall equestrians and carriages enlivened this old haunted corner by the river side, and a sense of gratitude toward the Engineer [Babcock] was felt by every thoughtful visitor.”</w:t>
      </w:r>
      <w:r w:rsidRPr="002D394D">
        <w:rPr>
          <w:rFonts w:ascii="Times New Roman" w:hAnsi="Times New Roman" w:cs="Times New Roman"/>
          <w:sz w:val="24"/>
          <w:szCs w:val="24"/>
          <w:vertAlign w:val="superscript"/>
        </w:rPr>
        <w:footnoteReference w:id="861"/>
      </w:r>
    </w:p>
    <w:p w14:paraId="4467214C" w14:textId="77777777" w:rsidR="002D394D" w:rsidRPr="002D394D" w:rsidRDefault="002D394D" w:rsidP="002D394D">
      <w:pPr>
        <w:spacing w:before="240" w:line="480" w:lineRule="auto"/>
        <w:rPr>
          <w:rFonts w:ascii="Times New Roman" w:hAnsi="Times New Roman" w:cs="Times New Roman"/>
          <w:sz w:val="24"/>
          <w:szCs w:val="24"/>
        </w:rPr>
      </w:pPr>
      <w:r w:rsidRPr="002D394D">
        <w:rPr>
          <w:rFonts w:ascii="Times New Roman" w:hAnsi="Times New Roman" w:cs="Times New Roman"/>
          <w:sz w:val="24"/>
          <w:szCs w:val="24"/>
        </w:rPr>
        <w:t>Babcock and his crew transformed the area from unsafe, fetid farmland into a space befitting the Washington Monument, one which encouraged the completion of the grand spire.</w:t>
      </w:r>
      <w:r w:rsidRPr="002D394D">
        <w:rPr>
          <w:rFonts w:ascii="Times New Roman" w:hAnsi="Times New Roman" w:cs="Times New Roman"/>
          <w:sz w:val="24"/>
          <w:szCs w:val="24"/>
          <w:vertAlign w:val="superscript"/>
        </w:rPr>
        <w:footnoteReference w:id="862"/>
      </w:r>
    </w:p>
    <w:p w14:paraId="437535BA" w14:textId="77777777"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While not a federal reservation, the White House and its upkeep also fell under the purview of the Superintendent of Public Buildings and Grounds. Babcock was therefore responsible for updating the quickly-dilapidating building at the epicenter of relocation debates.</w:t>
      </w:r>
      <w:r w:rsidRPr="002D394D">
        <w:rPr>
          <w:rFonts w:ascii="Times New Roman" w:hAnsi="Times New Roman" w:cs="Times New Roman"/>
          <w:sz w:val="24"/>
          <w:szCs w:val="24"/>
          <w:vertAlign w:val="superscript"/>
        </w:rPr>
        <w:footnoteReference w:id="863"/>
      </w:r>
      <w:r w:rsidRPr="002D394D">
        <w:rPr>
          <w:rFonts w:ascii="Times New Roman" w:hAnsi="Times New Roman" w:cs="Times New Roman"/>
          <w:sz w:val="24"/>
          <w:szCs w:val="24"/>
        </w:rPr>
        <w:t xml:space="preserve"> It also meant that the military was in charge of redecorating the presidential offices and cabinet room, as well as the First Family’s living quarters.</w:t>
      </w:r>
      <w:r w:rsidRPr="002D394D">
        <w:rPr>
          <w:rFonts w:ascii="Times New Roman" w:hAnsi="Times New Roman" w:cs="Times New Roman"/>
          <w:sz w:val="24"/>
          <w:szCs w:val="24"/>
          <w:vertAlign w:val="superscript"/>
        </w:rPr>
        <w:footnoteReference w:id="864"/>
      </w:r>
      <w:r w:rsidRPr="002D394D">
        <w:rPr>
          <w:rFonts w:ascii="Times New Roman" w:hAnsi="Times New Roman" w:cs="Times New Roman"/>
          <w:sz w:val="24"/>
          <w:szCs w:val="24"/>
        </w:rPr>
        <w:t xml:space="preserve"> Less than a decade after Congress held investigations into Mary Todd Lincoln’s seemingly-extravagant spending in order to renovate the White House, General Babcock was given both permission and a budget to update sections of the Executive Mansion.</w:t>
      </w:r>
      <w:r w:rsidRPr="002D394D">
        <w:rPr>
          <w:rFonts w:ascii="Times New Roman" w:hAnsi="Times New Roman" w:cs="Times New Roman"/>
          <w:sz w:val="24"/>
          <w:szCs w:val="24"/>
          <w:vertAlign w:val="superscript"/>
        </w:rPr>
        <w:footnoteReference w:id="865"/>
      </w:r>
      <w:r w:rsidRPr="002D394D">
        <w:rPr>
          <w:rFonts w:ascii="Times New Roman" w:hAnsi="Times New Roman" w:cs="Times New Roman"/>
          <w:sz w:val="24"/>
          <w:szCs w:val="24"/>
        </w:rPr>
        <w:t xml:space="preserve">  Babcock made several updates to the Executive Mansion during his tenure as its caretaker. In 1872, he ordered the installation of a new copper roof on the White House.</w:t>
      </w:r>
      <w:r w:rsidRPr="002D394D">
        <w:rPr>
          <w:rFonts w:ascii="Times New Roman" w:hAnsi="Times New Roman" w:cs="Times New Roman"/>
          <w:sz w:val="24"/>
          <w:szCs w:val="24"/>
          <w:vertAlign w:val="superscript"/>
        </w:rPr>
        <w:footnoteReference w:id="866"/>
      </w:r>
      <w:r w:rsidRPr="002D394D">
        <w:rPr>
          <w:rFonts w:ascii="Times New Roman" w:hAnsi="Times New Roman" w:cs="Times New Roman"/>
          <w:sz w:val="24"/>
          <w:szCs w:val="24"/>
        </w:rPr>
        <w:t xml:space="preserve"> However, in a break from his earlier assertions that public works projects could not be done by contract, he hired the firm of Alexander Robey Shepherd to install </w:t>
      </w:r>
      <w:r w:rsidRPr="002D394D">
        <w:rPr>
          <w:rFonts w:ascii="Times New Roman" w:hAnsi="Times New Roman" w:cs="Times New Roman"/>
          <w:sz w:val="24"/>
          <w:szCs w:val="24"/>
        </w:rPr>
        <w:lastRenderedPageBreak/>
        <w:t>this roof at the price of nearly $35,000, offering a major government contract to his close friend who was fired for similar actions.</w:t>
      </w:r>
      <w:r w:rsidRPr="002D394D">
        <w:rPr>
          <w:rFonts w:ascii="Times New Roman" w:hAnsi="Times New Roman" w:cs="Times New Roman"/>
          <w:sz w:val="24"/>
          <w:szCs w:val="24"/>
          <w:vertAlign w:val="superscript"/>
        </w:rPr>
        <w:footnoteReference w:id="867"/>
      </w:r>
      <w:r w:rsidRPr="002D394D">
        <w:rPr>
          <w:rFonts w:ascii="Times New Roman" w:hAnsi="Times New Roman" w:cs="Times New Roman"/>
          <w:sz w:val="24"/>
          <w:szCs w:val="24"/>
        </w:rPr>
        <w:t xml:space="preserve">  Babcock initiated other updates to the White House, particularly in the East Room, one of the large state rooms in the residence.</w:t>
      </w:r>
      <w:r w:rsidRPr="002D394D">
        <w:rPr>
          <w:rFonts w:ascii="Times New Roman" w:hAnsi="Times New Roman" w:cs="Times New Roman"/>
          <w:sz w:val="24"/>
          <w:szCs w:val="24"/>
          <w:vertAlign w:val="superscript"/>
        </w:rPr>
        <w:footnoteReference w:id="868"/>
      </w:r>
      <w:r w:rsidRPr="002D394D">
        <w:rPr>
          <w:rFonts w:ascii="Times New Roman" w:hAnsi="Times New Roman" w:cs="Times New Roman"/>
          <w:sz w:val="24"/>
          <w:szCs w:val="24"/>
        </w:rPr>
        <w:t xml:space="preserve"> President Grant asked Babcock to make alterations before the wedding of his daughter Nellie so the ceremony could be held in the White House in May 1874, and Babcock did not disappoint.</w:t>
      </w:r>
      <w:r w:rsidRPr="002D394D">
        <w:rPr>
          <w:rFonts w:ascii="Times New Roman" w:hAnsi="Times New Roman" w:cs="Times New Roman"/>
          <w:sz w:val="24"/>
          <w:szCs w:val="24"/>
          <w:vertAlign w:val="superscript"/>
        </w:rPr>
        <w:footnoteReference w:id="869"/>
      </w:r>
      <w:r w:rsidRPr="002D394D">
        <w:rPr>
          <w:rFonts w:ascii="Times New Roman" w:hAnsi="Times New Roman" w:cs="Times New Roman"/>
          <w:sz w:val="24"/>
          <w:szCs w:val="24"/>
        </w:rPr>
        <w:t xml:space="preserve"> Babcock installed new wooden mantles with enormous mirrors above them, making the room look larger than it was.</w:t>
      </w:r>
      <w:r w:rsidRPr="002D394D">
        <w:rPr>
          <w:rFonts w:ascii="Times New Roman" w:hAnsi="Times New Roman" w:cs="Times New Roman"/>
          <w:sz w:val="24"/>
          <w:szCs w:val="24"/>
          <w:vertAlign w:val="superscript"/>
        </w:rPr>
        <w:footnoteReference w:id="870"/>
      </w:r>
      <w:r w:rsidRPr="002D394D">
        <w:rPr>
          <w:rFonts w:ascii="Times New Roman" w:hAnsi="Times New Roman" w:cs="Times New Roman"/>
          <w:sz w:val="24"/>
          <w:szCs w:val="24"/>
        </w:rPr>
        <w:t xml:space="preserve"> He also added two new ceiling beams which matched the existing style of the room, replacing chandeliers installed during the Jackson administration with new gas chandeliers ornately burnished with clusters of globe lights.</w:t>
      </w:r>
      <w:r w:rsidRPr="002D394D">
        <w:rPr>
          <w:rFonts w:ascii="Times New Roman" w:hAnsi="Times New Roman" w:cs="Times New Roman"/>
          <w:sz w:val="24"/>
          <w:szCs w:val="24"/>
          <w:vertAlign w:val="superscript"/>
        </w:rPr>
        <w:footnoteReference w:id="871"/>
      </w:r>
    </w:p>
    <w:p w14:paraId="029B079A" w14:textId="77777777"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In 1869, Congress commissioned the construction of a new building for the State, War, and Navy Departments so they could move from the shuttered orphanage from which they were working at the time.</w:t>
      </w:r>
      <w:r w:rsidRPr="002D394D">
        <w:rPr>
          <w:rFonts w:ascii="Times New Roman" w:hAnsi="Times New Roman" w:cs="Times New Roman"/>
          <w:sz w:val="24"/>
          <w:szCs w:val="24"/>
          <w:vertAlign w:val="superscript"/>
        </w:rPr>
        <w:footnoteReference w:id="872"/>
      </w:r>
      <w:r w:rsidRPr="002D394D">
        <w:rPr>
          <w:rFonts w:ascii="Times New Roman" w:hAnsi="Times New Roman" w:cs="Times New Roman"/>
          <w:sz w:val="24"/>
          <w:szCs w:val="24"/>
        </w:rPr>
        <w:t xml:space="preserve"> Construction on the building, which is now known as the Eisenhower Executive Office Building (EEOB) or the Old Executive Office Building (OEOB) next door to the White House, began in 1871.</w:t>
      </w:r>
      <w:r w:rsidRPr="002D394D">
        <w:rPr>
          <w:rFonts w:ascii="Times New Roman" w:hAnsi="Times New Roman" w:cs="Times New Roman"/>
          <w:sz w:val="24"/>
          <w:szCs w:val="24"/>
          <w:vertAlign w:val="superscript"/>
        </w:rPr>
        <w:footnoteReference w:id="873"/>
      </w:r>
      <w:r w:rsidRPr="002D394D">
        <w:rPr>
          <w:rFonts w:ascii="Times New Roman" w:hAnsi="Times New Roman" w:cs="Times New Roman"/>
          <w:sz w:val="24"/>
          <w:szCs w:val="24"/>
        </w:rPr>
        <w:t xml:space="preserve"> Thanks to his position in the Office of Public Buildings and Grounds, Babcock played a pivotal role in developing the East Wing of this building, which, beginning in 1879, housed the Department of the Navy.</w:t>
      </w:r>
      <w:r w:rsidRPr="002D394D">
        <w:rPr>
          <w:rFonts w:ascii="Times New Roman" w:hAnsi="Times New Roman" w:cs="Times New Roman"/>
          <w:sz w:val="24"/>
          <w:szCs w:val="24"/>
          <w:vertAlign w:val="superscript"/>
        </w:rPr>
        <w:footnoteReference w:id="874"/>
      </w:r>
      <w:r w:rsidRPr="002D394D">
        <w:rPr>
          <w:rFonts w:ascii="Times New Roman" w:hAnsi="Times New Roman" w:cs="Times New Roman"/>
          <w:sz w:val="24"/>
          <w:szCs w:val="24"/>
        </w:rPr>
        <w:t xml:space="preserve"> In addition to elaborate stenciling covering the walls and ceilings is an inlay marquetry flooring in the Secretary of the Navy’s </w:t>
      </w:r>
      <w:r w:rsidRPr="002D394D">
        <w:rPr>
          <w:rFonts w:ascii="Times New Roman" w:hAnsi="Times New Roman" w:cs="Times New Roman"/>
          <w:sz w:val="24"/>
          <w:szCs w:val="24"/>
        </w:rPr>
        <w:lastRenderedPageBreak/>
        <w:t>office.</w:t>
      </w:r>
      <w:r w:rsidRPr="002D394D">
        <w:rPr>
          <w:rFonts w:ascii="Times New Roman" w:hAnsi="Times New Roman" w:cs="Times New Roman"/>
          <w:sz w:val="24"/>
          <w:szCs w:val="24"/>
          <w:vertAlign w:val="superscript"/>
        </w:rPr>
        <w:footnoteReference w:id="875"/>
      </w:r>
      <w:r w:rsidRPr="002D394D">
        <w:rPr>
          <w:rFonts w:ascii="Times New Roman" w:hAnsi="Times New Roman" w:cs="Times New Roman"/>
          <w:sz w:val="24"/>
          <w:szCs w:val="24"/>
        </w:rPr>
        <w:t xml:space="preserve"> This wing houses the Indian Treaty Room, which has served as the site of many presidential news conferences and receptions.</w:t>
      </w:r>
      <w:r w:rsidRPr="002D394D">
        <w:rPr>
          <w:rFonts w:ascii="Times New Roman" w:hAnsi="Times New Roman" w:cs="Times New Roman"/>
          <w:sz w:val="24"/>
          <w:szCs w:val="24"/>
          <w:vertAlign w:val="superscript"/>
        </w:rPr>
        <w:footnoteReference w:id="876"/>
      </w:r>
      <w:r w:rsidRPr="002D394D">
        <w:rPr>
          <w:rFonts w:ascii="Times New Roman" w:hAnsi="Times New Roman" w:cs="Times New Roman"/>
          <w:sz w:val="24"/>
          <w:szCs w:val="24"/>
        </w:rPr>
        <w:t xml:space="preserve">  The Indian Treaty Room room was originally the Navy’s library and reception room, and the decorations ordered by Babcock, beautifully ordained with marble wall panels, gold-leaf ornamentation, tiled floors, and 800-pound bronze sconces, cost more per square foot than any other room in the entire building.</w:t>
      </w:r>
      <w:r w:rsidRPr="002D394D">
        <w:rPr>
          <w:rFonts w:ascii="Times New Roman" w:hAnsi="Times New Roman" w:cs="Times New Roman"/>
          <w:sz w:val="24"/>
          <w:szCs w:val="24"/>
          <w:vertAlign w:val="superscript"/>
        </w:rPr>
        <w:footnoteReference w:id="877"/>
      </w:r>
      <w:r w:rsidRPr="002D394D">
        <w:rPr>
          <w:rFonts w:ascii="Times New Roman" w:hAnsi="Times New Roman" w:cs="Times New Roman"/>
          <w:sz w:val="24"/>
          <w:szCs w:val="24"/>
        </w:rPr>
        <w:t xml:space="preserve"> Babcock continued to craft beautiful public spaces, though it seems he did not fully grasp the economic repercussions of his extravagances.</w:t>
      </w:r>
    </w:p>
    <w:p w14:paraId="107F490F" w14:textId="0E6BC50C" w:rsidR="002D394D" w:rsidRPr="002D394D" w:rsidRDefault="002D394D" w:rsidP="002D394D">
      <w:pPr>
        <w:spacing w:line="480" w:lineRule="auto"/>
      </w:pPr>
      <w:r w:rsidRPr="002D394D">
        <w:rPr>
          <w:rFonts w:ascii="Times New Roman" w:hAnsi="Times New Roman" w:cs="Times New Roman"/>
          <w:sz w:val="24"/>
          <w:szCs w:val="24"/>
        </w:rPr>
        <w:tab/>
        <w:t xml:space="preserve">Babcock did not exclusively work on the maintenance and upkeep of public-facing entities like parks and the Executive Mansion – in fact, some of his most significant work came from large scale building projects in Washington. He utilized the skills he learned at West Point and during his time in the Army Corps of Engineers to make repairs to structures that were completely destroyed, such as the Potomac Chain Bridge.  The Chain Bridge, named </w:t>
      </w:r>
      <w:r w:rsidR="00A80182">
        <w:rPr>
          <w:rFonts w:ascii="Times New Roman" w:hAnsi="Times New Roman" w:cs="Times New Roman"/>
          <w:sz w:val="24"/>
          <w:szCs w:val="24"/>
        </w:rPr>
        <w:t xml:space="preserve">for </w:t>
      </w:r>
      <w:r w:rsidRPr="002D394D">
        <w:rPr>
          <w:rFonts w:ascii="Times New Roman" w:hAnsi="Times New Roman" w:cs="Times New Roman"/>
          <w:sz w:val="24"/>
          <w:szCs w:val="24"/>
        </w:rPr>
        <w:t>an early chain bridge in the same location, was a crossbeam truss structure that was a well-used bridge for Union forces to enter the countryside in Fairfax County during the Civil War.</w:t>
      </w:r>
      <w:r w:rsidRPr="002D394D">
        <w:rPr>
          <w:rFonts w:ascii="Times New Roman" w:hAnsi="Times New Roman" w:cs="Times New Roman"/>
          <w:sz w:val="24"/>
          <w:szCs w:val="24"/>
          <w:vertAlign w:val="superscript"/>
        </w:rPr>
        <w:footnoteReference w:id="878"/>
      </w:r>
      <w:r w:rsidRPr="002D394D">
        <w:rPr>
          <w:rFonts w:ascii="Times New Roman" w:hAnsi="Times New Roman" w:cs="Times New Roman"/>
          <w:sz w:val="24"/>
          <w:szCs w:val="24"/>
        </w:rPr>
        <w:t xml:space="preserve"> The bridge was swept away by a flood in 1870, and Babcock and his office replaced it with a lightweight iron truss bridge between 1872 and 1874.</w:t>
      </w:r>
      <w:r w:rsidRPr="002D394D">
        <w:rPr>
          <w:rFonts w:ascii="Times New Roman" w:hAnsi="Times New Roman" w:cs="Times New Roman"/>
          <w:sz w:val="24"/>
          <w:szCs w:val="24"/>
          <w:vertAlign w:val="superscript"/>
        </w:rPr>
        <w:footnoteReference w:id="879"/>
      </w:r>
      <w:r w:rsidRPr="002D394D">
        <w:rPr>
          <w:rFonts w:ascii="Times New Roman" w:hAnsi="Times New Roman" w:cs="Times New Roman"/>
          <w:sz w:val="24"/>
          <w:szCs w:val="24"/>
        </w:rPr>
        <w:t xml:space="preserve">  Babcock also worked on the construction of a bridge near the Navy Yard over the Anacostia River at 11</w:t>
      </w:r>
      <w:r w:rsidRPr="002D394D">
        <w:rPr>
          <w:rFonts w:ascii="Times New Roman" w:hAnsi="Times New Roman" w:cs="Times New Roman"/>
          <w:sz w:val="24"/>
          <w:szCs w:val="24"/>
          <w:vertAlign w:val="superscript"/>
        </w:rPr>
        <w:t>th</w:t>
      </w:r>
      <w:r w:rsidRPr="002D394D">
        <w:rPr>
          <w:rFonts w:ascii="Times New Roman" w:hAnsi="Times New Roman" w:cs="Times New Roman"/>
          <w:sz w:val="24"/>
          <w:szCs w:val="24"/>
        </w:rPr>
        <w:t xml:space="preserve"> Street SE.</w:t>
      </w:r>
      <w:r w:rsidRPr="002D394D">
        <w:rPr>
          <w:rFonts w:ascii="Times New Roman" w:hAnsi="Times New Roman" w:cs="Times New Roman"/>
          <w:sz w:val="24"/>
          <w:szCs w:val="24"/>
          <w:vertAlign w:val="superscript"/>
        </w:rPr>
        <w:footnoteReference w:id="880"/>
      </w:r>
      <w:r w:rsidRPr="002D394D">
        <w:rPr>
          <w:rFonts w:ascii="Times New Roman" w:hAnsi="Times New Roman" w:cs="Times New Roman"/>
          <w:sz w:val="24"/>
          <w:szCs w:val="24"/>
        </w:rPr>
        <w:t xml:space="preserve">  In the same location, there were two separate bridges, but when one was destroyed in 1846, the community suffered from </w:t>
      </w:r>
      <w:r w:rsidRPr="002D394D">
        <w:rPr>
          <w:rFonts w:ascii="Times New Roman" w:hAnsi="Times New Roman" w:cs="Times New Roman"/>
          <w:sz w:val="24"/>
          <w:szCs w:val="24"/>
        </w:rPr>
        <w:lastRenderedPageBreak/>
        <w:t>reduced transportation routes until Babcock oversaw the construction of a second bridge between 1872-1873.</w:t>
      </w:r>
      <w:r w:rsidRPr="002D394D">
        <w:rPr>
          <w:rFonts w:ascii="Times New Roman" w:hAnsi="Times New Roman" w:cs="Times New Roman"/>
          <w:sz w:val="24"/>
          <w:szCs w:val="24"/>
          <w:vertAlign w:val="superscript"/>
        </w:rPr>
        <w:footnoteReference w:id="881"/>
      </w:r>
      <w:r w:rsidRPr="002D394D">
        <w:rPr>
          <w:rFonts w:ascii="Times New Roman" w:hAnsi="Times New Roman" w:cs="Times New Roman"/>
          <w:sz w:val="24"/>
          <w:szCs w:val="24"/>
        </w:rPr>
        <w:t xml:space="preserve"> </w:t>
      </w:r>
    </w:p>
    <w:p w14:paraId="7E227B12" w14:textId="0C8A0C78"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After the Civil War, Congress authorize</w:t>
      </w:r>
      <w:r w:rsidR="00ED7778">
        <w:rPr>
          <w:rFonts w:ascii="Times New Roman" w:hAnsi="Times New Roman" w:cs="Times New Roman"/>
          <w:sz w:val="24"/>
          <w:szCs w:val="24"/>
        </w:rPr>
        <w:t>d</w:t>
      </w:r>
      <w:r w:rsidRPr="002D394D">
        <w:rPr>
          <w:rFonts w:ascii="Times New Roman" w:hAnsi="Times New Roman" w:cs="Times New Roman"/>
          <w:sz w:val="24"/>
          <w:szCs w:val="24"/>
        </w:rPr>
        <w:t xml:space="preserve"> the construction of statues around the District of Columbia honoring Union Generals, creating another important duty for Babcock and his Office of Public Buildings and Grounds.</w:t>
      </w:r>
      <w:r w:rsidRPr="002D394D">
        <w:rPr>
          <w:rFonts w:ascii="Times New Roman" w:hAnsi="Times New Roman" w:cs="Times New Roman"/>
          <w:sz w:val="24"/>
          <w:szCs w:val="24"/>
          <w:vertAlign w:val="superscript"/>
        </w:rPr>
        <w:footnoteReference w:id="882"/>
      </w:r>
      <w:r w:rsidRPr="002D394D">
        <w:rPr>
          <w:rFonts w:ascii="Times New Roman" w:hAnsi="Times New Roman" w:cs="Times New Roman"/>
          <w:sz w:val="24"/>
          <w:szCs w:val="24"/>
        </w:rPr>
        <w:t xml:space="preserve"> Beginning with the statue of Lieutenant General Winfield Scott, authorized in 1867, Congress and the Secretary of War worked on the design and construction of </w:t>
      </w:r>
      <w:r w:rsidR="00ED7778">
        <w:rPr>
          <w:rFonts w:ascii="Times New Roman" w:hAnsi="Times New Roman" w:cs="Times New Roman"/>
          <w:sz w:val="24"/>
          <w:szCs w:val="24"/>
        </w:rPr>
        <w:t>many</w:t>
      </w:r>
      <w:r w:rsidRPr="002D394D">
        <w:rPr>
          <w:rFonts w:ascii="Times New Roman" w:hAnsi="Times New Roman" w:cs="Times New Roman"/>
          <w:sz w:val="24"/>
          <w:szCs w:val="24"/>
        </w:rPr>
        <w:t xml:space="preserve"> statues with the Corps Officer in Charge of Public Buildings and Grounds – yet another title for Babcock once he was appointed to this office, affording him still more power and influence.</w:t>
      </w:r>
      <w:r w:rsidRPr="002D394D">
        <w:rPr>
          <w:rFonts w:ascii="Times New Roman" w:hAnsi="Times New Roman" w:cs="Times New Roman"/>
          <w:sz w:val="24"/>
          <w:szCs w:val="24"/>
          <w:vertAlign w:val="superscript"/>
        </w:rPr>
        <w:footnoteReference w:id="883"/>
      </w:r>
      <w:r w:rsidRPr="002D394D">
        <w:rPr>
          <w:rFonts w:ascii="Times New Roman" w:hAnsi="Times New Roman" w:cs="Times New Roman"/>
          <w:sz w:val="24"/>
          <w:szCs w:val="24"/>
        </w:rPr>
        <w:t xml:space="preserve">  Though the Secretary of War was technically in control of appropriating funds, choosing locations, and making contracts with the artists involved in the creation of the sculptures, these duties were typically carried out by the officer in Babcock’s position, especially when considering the locations for these statues tended to be in Washington parks.</w:t>
      </w:r>
      <w:r w:rsidRPr="002D394D">
        <w:rPr>
          <w:rFonts w:ascii="Times New Roman" w:hAnsi="Times New Roman" w:cs="Times New Roman"/>
          <w:sz w:val="24"/>
          <w:szCs w:val="24"/>
          <w:vertAlign w:val="superscript"/>
        </w:rPr>
        <w:footnoteReference w:id="884"/>
      </w:r>
      <w:r w:rsidRPr="002D394D">
        <w:rPr>
          <w:rFonts w:ascii="Times New Roman" w:hAnsi="Times New Roman" w:cs="Times New Roman"/>
          <w:sz w:val="24"/>
          <w:szCs w:val="24"/>
        </w:rPr>
        <w:t xml:space="preserve">  Babcock was likely involved in the planning of the statues honoring Admiral David Farragut, Major General George Henry Thomas, and the Emancipation Memorial honoring Abraham Lincoln and the Emancipation Proclamation.</w:t>
      </w:r>
      <w:r w:rsidRPr="002D394D">
        <w:rPr>
          <w:rFonts w:ascii="Times New Roman" w:hAnsi="Times New Roman" w:cs="Times New Roman"/>
          <w:sz w:val="24"/>
          <w:szCs w:val="24"/>
          <w:vertAlign w:val="superscript"/>
        </w:rPr>
        <w:footnoteReference w:id="885"/>
      </w:r>
      <w:r w:rsidRPr="002D394D">
        <w:rPr>
          <w:rFonts w:ascii="Times New Roman" w:hAnsi="Times New Roman" w:cs="Times New Roman"/>
          <w:sz w:val="24"/>
          <w:szCs w:val="24"/>
        </w:rPr>
        <w:t xml:space="preserve">  He was more directly involved in the planning and construction of the Navy Peace Monument, as well as monuments honoring General John Rawlins and Major General James B. McPherson.</w:t>
      </w:r>
      <w:r w:rsidRPr="002D394D">
        <w:rPr>
          <w:rFonts w:ascii="Times New Roman" w:hAnsi="Times New Roman" w:cs="Times New Roman"/>
          <w:sz w:val="24"/>
          <w:szCs w:val="24"/>
          <w:vertAlign w:val="superscript"/>
        </w:rPr>
        <w:footnoteReference w:id="886"/>
      </w:r>
      <w:r w:rsidRPr="002D394D">
        <w:rPr>
          <w:rFonts w:ascii="Times New Roman" w:hAnsi="Times New Roman" w:cs="Times New Roman"/>
          <w:sz w:val="24"/>
          <w:szCs w:val="24"/>
        </w:rPr>
        <w:t xml:space="preserve"> In fact, it is believed that Babcock himself may have designed the base of the statue honoring McPherson, lending both his engineering and </w:t>
      </w:r>
      <w:r w:rsidRPr="002D394D">
        <w:rPr>
          <w:rFonts w:ascii="Times New Roman" w:hAnsi="Times New Roman" w:cs="Times New Roman"/>
          <w:sz w:val="24"/>
          <w:szCs w:val="24"/>
        </w:rPr>
        <w:lastRenderedPageBreak/>
        <w:t>artistic talents to the project for which Congress appropriated $25,000 in 1875.</w:t>
      </w:r>
      <w:r w:rsidRPr="002D394D">
        <w:rPr>
          <w:rFonts w:ascii="Times New Roman" w:hAnsi="Times New Roman" w:cs="Times New Roman"/>
          <w:sz w:val="24"/>
          <w:szCs w:val="24"/>
          <w:vertAlign w:val="superscript"/>
        </w:rPr>
        <w:footnoteReference w:id="887"/>
      </w:r>
      <w:r w:rsidRPr="002D394D">
        <w:rPr>
          <w:rFonts w:ascii="Times New Roman" w:hAnsi="Times New Roman" w:cs="Times New Roman"/>
          <w:sz w:val="24"/>
          <w:szCs w:val="24"/>
        </w:rPr>
        <w:t xml:space="preserve">  Babcock devoted a great deal of time to honoring his fellow Union soldiers for their bravery and successes during the Civil War.</w:t>
      </w:r>
    </w:p>
    <w:p w14:paraId="2452FCD8" w14:textId="5E2188E1" w:rsidR="005636A9"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As a reward for his dedicated work on the capital’s many municipal projects, Babcock was rewarded with a legacy project of his own named in his honor: Babcock Lakes</w:t>
      </w:r>
      <w:r w:rsidR="00BB3D94">
        <w:rPr>
          <w:rFonts w:ascii="Times New Roman" w:hAnsi="Times New Roman" w:cs="Times New Roman"/>
          <w:sz w:val="24"/>
          <w:szCs w:val="24"/>
        </w:rPr>
        <w:t xml:space="preserve"> (</w:t>
      </w:r>
      <w:r w:rsidR="00BB3D94">
        <w:rPr>
          <w:rFonts w:ascii="Times New Roman" w:hAnsi="Times New Roman" w:cs="Times New Roman"/>
          <w:b/>
          <w:bCs/>
          <w:sz w:val="24"/>
          <w:szCs w:val="24"/>
        </w:rPr>
        <w:t>Figure 3.4</w:t>
      </w:r>
      <w:r w:rsidR="00BB3D94">
        <w:rPr>
          <w:rFonts w:ascii="Times New Roman" w:hAnsi="Times New Roman" w:cs="Times New Roman"/>
          <w:sz w:val="24"/>
          <w:szCs w:val="24"/>
        </w:rPr>
        <w:t>)</w:t>
      </w:r>
      <w:r w:rsidRPr="002D394D">
        <w:rPr>
          <w:rFonts w:ascii="Times New Roman" w:hAnsi="Times New Roman" w:cs="Times New Roman"/>
          <w:sz w:val="24"/>
          <w:szCs w:val="24"/>
        </w:rPr>
        <w:t>. After the Office of Public Buildings and Grounds worked to fill in the Washington Canal, there remained natural depressions near the Washington Monument. Babcock decided to turn these spaces into ornamental ponds which could house a fish hatchery.</w:t>
      </w:r>
      <w:r w:rsidRPr="002D394D">
        <w:rPr>
          <w:rFonts w:ascii="Times New Roman" w:hAnsi="Times New Roman" w:cs="Times New Roman"/>
          <w:sz w:val="24"/>
          <w:szCs w:val="24"/>
          <w:vertAlign w:val="superscript"/>
        </w:rPr>
        <w:footnoteReference w:id="888"/>
      </w:r>
      <w:r w:rsidRPr="002D394D">
        <w:rPr>
          <w:rFonts w:ascii="Times New Roman" w:hAnsi="Times New Roman" w:cs="Times New Roman"/>
          <w:sz w:val="24"/>
          <w:szCs w:val="24"/>
        </w:rPr>
        <w:t xml:space="preserve"> In one of the lakes, he installed a fountain jet in line with the monument.</w:t>
      </w:r>
      <w:r w:rsidRPr="002D394D">
        <w:rPr>
          <w:rFonts w:ascii="Times New Roman" w:hAnsi="Times New Roman" w:cs="Times New Roman"/>
          <w:sz w:val="24"/>
          <w:szCs w:val="24"/>
          <w:vertAlign w:val="superscript"/>
        </w:rPr>
        <w:footnoteReference w:id="889"/>
      </w:r>
      <w:r w:rsidRPr="002D394D">
        <w:rPr>
          <w:rFonts w:ascii="Times New Roman" w:hAnsi="Times New Roman" w:cs="Times New Roman"/>
          <w:sz w:val="24"/>
          <w:szCs w:val="24"/>
        </w:rPr>
        <w:t xml:space="preserve"> During the winter months, when the lakes froze, Babcock noted that these lakes “formed safe and good skating for children, and was much enjoyed by them.”</w:t>
      </w:r>
      <w:r w:rsidRPr="002D394D">
        <w:rPr>
          <w:rFonts w:ascii="Times New Roman" w:hAnsi="Times New Roman" w:cs="Times New Roman"/>
          <w:sz w:val="24"/>
          <w:szCs w:val="24"/>
          <w:vertAlign w:val="superscript"/>
        </w:rPr>
        <w:footnoteReference w:id="890"/>
      </w:r>
      <w:r w:rsidRPr="002D394D">
        <w:rPr>
          <w:rFonts w:ascii="Times New Roman" w:hAnsi="Times New Roman" w:cs="Times New Roman"/>
          <w:sz w:val="24"/>
          <w:szCs w:val="24"/>
        </w:rPr>
        <w:t xml:space="preserve"> The lakes were used to breed three different species of German carp, as well as various other fish and turtles, which would then be grown to adulthood and released into American waterways to replenish the supply of carp in the United States.</w:t>
      </w:r>
      <w:r w:rsidRPr="002D394D">
        <w:rPr>
          <w:rFonts w:ascii="Times New Roman" w:hAnsi="Times New Roman" w:cs="Times New Roman"/>
          <w:sz w:val="24"/>
          <w:szCs w:val="24"/>
          <w:vertAlign w:val="superscript"/>
        </w:rPr>
        <w:t xml:space="preserve"> </w:t>
      </w:r>
      <w:r w:rsidRPr="002D394D">
        <w:rPr>
          <w:rFonts w:ascii="Times New Roman" w:hAnsi="Times New Roman" w:cs="Times New Roman"/>
          <w:sz w:val="24"/>
          <w:szCs w:val="24"/>
          <w:vertAlign w:val="superscript"/>
        </w:rPr>
        <w:footnoteReference w:id="891"/>
      </w:r>
      <w:r w:rsidRPr="002D394D">
        <w:rPr>
          <w:rFonts w:ascii="Times New Roman" w:hAnsi="Times New Roman" w:cs="Times New Roman"/>
          <w:sz w:val="24"/>
          <w:szCs w:val="24"/>
        </w:rPr>
        <w:t xml:space="preserve"> The German carp, including three species (leather, mirror, and common carp, respectively) were selected by Smithsonian curator and head of the United States Fish Commission, Spencer F. Baird, as they held a reputation for being easily farmed, low cost to maintain, and could be “fattened like pigs to a great weight in a short amount of time.”</w:t>
      </w:r>
      <w:r w:rsidRPr="002D394D">
        <w:rPr>
          <w:rFonts w:ascii="Times New Roman" w:hAnsi="Times New Roman" w:cs="Times New Roman"/>
          <w:sz w:val="24"/>
          <w:szCs w:val="24"/>
          <w:vertAlign w:val="superscript"/>
        </w:rPr>
        <w:footnoteReference w:id="892"/>
      </w:r>
      <w:r w:rsidRPr="002D394D">
        <w:rPr>
          <w:rFonts w:ascii="Times New Roman" w:hAnsi="Times New Roman" w:cs="Times New Roman"/>
          <w:sz w:val="24"/>
          <w:szCs w:val="24"/>
        </w:rPr>
        <w:t xml:space="preserve"> After just one spawning season, in 1880, an estimated 100,000 carp resided in Babcock Lakes, not to mention the estimated 350,000 fish that </w:t>
      </w:r>
      <w:r w:rsidRPr="002D394D">
        <w:rPr>
          <w:rFonts w:ascii="Times New Roman" w:hAnsi="Times New Roman" w:cs="Times New Roman"/>
          <w:sz w:val="24"/>
          <w:szCs w:val="24"/>
        </w:rPr>
        <w:lastRenderedPageBreak/>
        <w:t>were already extracted and shipped across the country, proving the hatcheries to be a success.</w:t>
      </w:r>
      <w:r w:rsidRPr="002D394D">
        <w:rPr>
          <w:rFonts w:ascii="Times New Roman" w:hAnsi="Times New Roman" w:cs="Times New Roman"/>
          <w:sz w:val="24"/>
          <w:szCs w:val="24"/>
          <w:vertAlign w:val="superscript"/>
        </w:rPr>
        <w:footnoteReference w:id="893"/>
      </w:r>
      <w:r w:rsidRPr="002D394D">
        <w:rPr>
          <w:rFonts w:ascii="Times New Roman" w:hAnsi="Times New Roman" w:cs="Times New Roman"/>
          <w:sz w:val="24"/>
          <w:szCs w:val="24"/>
        </w:rPr>
        <w:t xml:space="preserve"> </w:t>
      </w:r>
      <w:r w:rsidRPr="002D394D">
        <w:rPr>
          <w:rFonts w:ascii="Times New Roman" w:hAnsi="Times New Roman" w:cs="Times New Roman"/>
          <w:i/>
          <w:iCs/>
          <w:sz w:val="24"/>
          <w:szCs w:val="24"/>
        </w:rPr>
        <w:t xml:space="preserve">The Washington Post </w:t>
      </w:r>
      <w:r w:rsidRPr="002D394D">
        <w:rPr>
          <w:rFonts w:ascii="Times New Roman" w:hAnsi="Times New Roman" w:cs="Times New Roman"/>
          <w:sz w:val="24"/>
          <w:szCs w:val="24"/>
        </w:rPr>
        <w:t>described these fisheries in detail in 1880, offering effusive praise for the area that quickly became a tourist attraction:</w:t>
      </w:r>
    </w:p>
    <w:p w14:paraId="074186BD" w14:textId="2D30914C" w:rsidR="002D394D" w:rsidRPr="002D394D" w:rsidRDefault="0092480C" w:rsidP="002D394D">
      <w:pPr>
        <w:spacing w:line="240" w:lineRule="auto"/>
        <w:ind w:left="720" w:right="720"/>
        <w:rPr>
          <w:rFonts w:ascii="Times New Roman" w:hAnsi="Times New Roman" w:cs="Times New Roman"/>
          <w:sz w:val="24"/>
          <w:szCs w:val="24"/>
        </w:rPr>
      </w:pPr>
      <w:r w:rsidRPr="002D394D">
        <w:rPr>
          <w:noProof/>
        </w:rPr>
        <w:drawing>
          <wp:anchor distT="0" distB="0" distL="114300" distR="114300" simplePos="0" relativeHeight="251660288" behindDoc="1" locked="0" layoutInCell="1" allowOverlap="1" wp14:anchorId="2806EACB" wp14:editId="19B4C090">
            <wp:simplePos x="0" y="0"/>
            <wp:positionH relativeFrom="column">
              <wp:posOffset>3017520</wp:posOffset>
            </wp:positionH>
            <wp:positionV relativeFrom="paragraph">
              <wp:posOffset>2900680</wp:posOffset>
            </wp:positionV>
            <wp:extent cx="2903220" cy="2133600"/>
            <wp:effectExtent l="0" t="0" r="0" b="0"/>
            <wp:wrapTight wrapText="bothSides">
              <wp:wrapPolygon edited="0">
                <wp:start x="0" y="0"/>
                <wp:lineTo x="0" y="21407"/>
                <wp:lineTo x="21402" y="21407"/>
                <wp:lineTo x="21402" y="0"/>
                <wp:lineTo x="0" y="0"/>
              </wp:wrapPolygon>
            </wp:wrapTight>
            <wp:docPr id="497413751" name="Picture 3" descr="Babcock Lakes next to Washington Monument, 1879. (Photo Source: Library of Con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bcock Lakes next to Washington Monument, 1879. (Photo Source: Library of Congres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3220"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394D">
        <w:rPr>
          <w:noProof/>
        </w:rPr>
        <w:drawing>
          <wp:anchor distT="0" distB="0" distL="114300" distR="114300" simplePos="0" relativeHeight="251659264" behindDoc="1" locked="0" layoutInCell="1" allowOverlap="1" wp14:anchorId="02C508A1" wp14:editId="36C791D4">
            <wp:simplePos x="0" y="0"/>
            <wp:positionH relativeFrom="column">
              <wp:posOffset>0</wp:posOffset>
            </wp:positionH>
            <wp:positionV relativeFrom="paragraph">
              <wp:posOffset>2900680</wp:posOffset>
            </wp:positionV>
            <wp:extent cx="3017520" cy="2133600"/>
            <wp:effectExtent l="0" t="0" r="0" b="0"/>
            <wp:wrapTight wrapText="bothSides">
              <wp:wrapPolygon edited="0">
                <wp:start x="0" y="0"/>
                <wp:lineTo x="0" y="21407"/>
                <wp:lineTo x="21409" y="21407"/>
                <wp:lineTo x="21409" y="0"/>
                <wp:lineTo x="0" y="0"/>
              </wp:wrapPolygon>
            </wp:wrapTight>
            <wp:docPr id="1031230566" name="Picture 2" descr="A black and white photo of Babcock Lakes, the original carp ponds, taken in 1878. (Photo source: National Arch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white photo of Babcock Lakes, the original carp ponds, taken in 1878. (Photo source: National Archiv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17520"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394D" w:rsidRPr="002D394D">
        <w:rPr>
          <w:rFonts w:ascii="Times New Roman" w:hAnsi="Times New Roman" w:cs="Times New Roman"/>
          <w:sz w:val="24"/>
          <w:szCs w:val="24"/>
        </w:rPr>
        <w:t xml:space="preserve">The fish adjusted well to life in the District according to the Washington Post: “The carp ponds are bounded on the north by the White lot and the White House grounds and on the south by the [Potomac] river, and when some immense carp, in sheer ecstasy of wellbeing, leaps of for one shining minute into the sunshine, he sees the new State Department and the Treasury, the somber towers of the Smithsonian, and the more sensational rotunda of the new National Museum. And in the water or out of the water, he is always aware of the Washington Monument… It is one of the most attractive and interesting features of the city, these carp ponds. The grounds are so pleasant and well kept. The solid sod slopes so greenly down to the water and in these early spring days one would rather sit on the grass in the sunshine than to breathe the breath of the galleries and listen to Congressional debate. The sun shines; the warm cloudy water is full of lights and shadows; there is a dandelion within reach; the flags in the water are taking on new shades of green; now and then there is a flash of a fin and a shy carp swims away from you—a phantom fish of whose exact species you are painfully uncertain.” </w:t>
      </w:r>
      <w:r w:rsidR="002D394D" w:rsidRPr="002D394D">
        <w:rPr>
          <w:rFonts w:ascii="Times New Roman" w:hAnsi="Times New Roman" w:cs="Times New Roman"/>
          <w:sz w:val="24"/>
          <w:szCs w:val="24"/>
          <w:vertAlign w:val="superscript"/>
        </w:rPr>
        <w:footnoteReference w:id="894"/>
      </w:r>
    </w:p>
    <w:p w14:paraId="07F4578D" w14:textId="716E618E" w:rsidR="00D963F9" w:rsidRPr="00A91D0B" w:rsidRDefault="005E02D1" w:rsidP="00BB3D94">
      <w:pPr>
        <w:spacing w:line="240" w:lineRule="auto"/>
        <w:rPr>
          <w:rFonts w:ascii="Times New Roman" w:hAnsi="Times New Roman" w:cs="Times New Roman"/>
          <w:sz w:val="24"/>
          <w:szCs w:val="24"/>
        </w:rPr>
      </w:pPr>
      <w:r>
        <w:rPr>
          <w:rFonts w:ascii="Times New Roman" w:hAnsi="Times New Roman" w:cs="Times New Roman"/>
          <w:b/>
          <w:bCs/>
          <w:sz w:val="20"/>
          <w:szCs w:val="20"/>
        </w:rPr>
        <w:t xml:space="preserve">Figure 3.4: </w:t>
      </w:r>
      <w:r w:rsidR="00FC6960">
        <w:rPr>
          <w:rFonts w:ascii="Times New Roman" w:hAnsi="Times New Roman" w:cs="Times New Roman"/>
          <w:b/>
          <w:bCs/>
          <w:sz w:val="20"/>
          <w:szCs w:val="20"/>
        </w:rPr>
        <w:t xml:space="preserve">Babcock Lakes: </w:t>
      </w:r>
      <w:r w:rsidR="00FC6960">
        <w:rPr>
          <w:rFonts w:ascii="Times New Roman" w:hAnsi="Times New Roman" w:cs="Times New Roman"/>
          <w:sz w:val="20"/>
          <w:szCs w:val="20"/>
        </w:rPr>
        <w:t>These photos, taken in 1878 (left) and 1879 (right) were filled with carp to reintroduce the population into American waterways. They became a point of contention in the 1890s during the completion of the Washington Monument, seen near the middle of the lakes in the picture on the right.</w:t>
      </w:r>
      <w:r w:rsidR="00FC6960" w:rsidRPr="002D394D">
        <w:rPr>
          <w:rFonts w:ascii="Times New Roman" w:hAnsi="Times New Roman" w:cs="Times New Roman"/>
          <w:vertAlign w:val="superscript"/>
        </w:rPr>
        <w:footnoteReference w:id="895"/>
      </w:r>
      <w:r w:rsidR="00FC6960" w:rsidRPr="002D394D">
        <w:rPr>
          <w:rFonts w:ascii="Times New Roman" w:hAnsi="Times New Roman" w:cs="Times New Roman"/>
          <w:sz w:val="20"/>
          <w:szCs w:val="20"/>
        </w:rPr>
        <w:t xml:space="preserve">  </w:t>
      </w:r>
    </w:p>
    <w:p w14:paraId="3CB84BBC" w14:textId="493F2847" w:rsidR="002D394D" w:rsidRPr="002D394D" w:rsidRDefault="002D394D" w:rsidP="00A46402">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lastRenderedPageBreak/>
        <w:t xml:space="preserve">While serving as President Grant’s Private Secretary gave him a notable presence in the administration, his military posting as Superintendent of the Office of Public Buildings and Grounds made him a </w:t>
      </w:r>
      <w:r w:rsidRPr="000C478B">
        <w:rPr>
          <w:rFonts w:ascii="Times New Roman" w:hAnsi="Times New Roman" w:cs="Times New Roman"/>
          <w:i/>
          <w:iCs/>
          <w:sz w:val="24"/>
          <w:szCs w:val="24"/>
        </w:rPr>
        <w:t>de facto</w:t>
      </w:r>
      <w:r w:rsidRPr="002D394D">
        <w:rPr>
          <w:rFonts w:ascii="Times New Roman" w:hAnsi="Times New Roman" w:cs="Times New Roman"/>
          <w:sz w:val="24"/>
          <w:szCs w:val="24"/>
        </w:rPr>
        <w:t xml:space="preserve"> military attaché to the president.</w:t>
      </w:r>
      <w:r w:rsidRPr="002D394D">
        <w:rPr>
          <w:rFonts w:ascii="Times New Roman" w:hAnsi="Times New Roman" w:cs="Times New Roman"/>
          <w:sz w:val="24"/>
          <w:szCs w:val="24"/>
          <w:vertAlign w:val="superscript"/>
        </w:rPr>
        <w:footnoteReference w:id="896"/>
      </w:r>
      <w:r w:rsidRPr="002D394D">
        <w:rPr>
          <w:rFonts w:ascii="Times New Roman" w:hAnsi="Times New Roman" w:cs="Times New Roman"/>
          <w:sz w:val="24"/>
          <w:szCs w:val="24"/>
        </w:rPr>
        <w:t xml:space="preserve"> Babcock’s successes in refurbishing the Executive Mansion and other public spaces propelled him even further into the spotlight of Washington society as he joined its elite circles. This notoriety guaranteed Babcock’s place at a variety of diplomatic and social events in the nation’s capital.</w:t>
      </w:r>
      <w:r w:rsidRPr="002D394D">
        <w:rPr>
          <w:rFonts w:ascii="Times New Roman" w:hAnsi="Times New Roman" w:cs="Times New Roman"/>
          <w:sz w:val="24"/>
          <w:szCs w:val="24"/>
          <w:vertAlign w:val="superscript"/>
        </w:rPr>
        <w:footnoteReference w:id="897"/>
      </w:r>
      <w:r w:rsidRPr="002D394D">
        <w:rPr>
          <w:rFonts w:ascii="Times New Roman" w:hAnsi="Times New Roman" w:cs="Times New Roman"/>
          <w:sz w:val="24"/>
          <w:szCs w:val="24"/>
        </w:rPr>
        <w:t xml:space="preserve"> What’s more, his oversight and coordination skills were valuable in planning many fetes organized by the administration, including statue unveilings, parades, and welcoming ceremonies for guests of the administration.</w:t>
      </w:r>
      <w:r w:rsidRPr="002D394D">
        <w:rPr>
          <w:rFonts w:ascii="Times New Roman" w:hAnsi="Times New Roman" w:cs="Times New Roman"/>
          <w:sz w:val="24"/>
          <w:szCs w:val="24"/>
          <w:vertAlign w:val="superscript"/>
        </w:rPr>
        <w:footnoteReference w:id="898"/>
      </w:r>
      <w:r w:rsidRPr="002D394D">
        <w:rPr>
          <w:rFonts w:ascii="Times New Roman" w:hAnsi="Times New Roman" w:cs="Times New Roman"/>
          <w:sz w:val="24"/>
          <w:szCs w:val="24"/>
        </w:rPr>
        <w:t xml:space="preserve">  He arranged presidential soirees, having the authority to contribute to the guest list, which he took advantage of to</w:t>
      </w:r>
      <w:r w:rsidR="000C478B">
        <w:rPr>
          <w:rFonts w:ascii="Times New Roman" w:hAnsi="Times New Roman" w:cs="Times New Roman"/>
          <w:sz w:val="24"/>
          <w:szCs w:val="24"/>
        </w:rPr>
        <w:t xml:space="preserve"> further</w:t>
      </w:r>
      <w:r w:rsidRPr="002D394D">
        <w:rPr>
          <w:rFonts w:ascii="Times New Roman" w:hAnsi="Times New Roman" w:cs="Times New Roman"/>
          <w:sz w:val="24"/>
          <w:szCs w:val="24"/>
        </w:rPr>
        <w:t xml:space="preserve"> develop personal connections with the capitol’s elite as he was frequently a guest at these events himself.</w:t>
      </w:r>
      <w:r w:rsidRPr="002D394D">
        <w:rPr>
          <w:rFonts w:ascii="Times New Roman" w:hAnsi="Times New Roman" w:cs="Times New Roman"/>
          <w:sz w:val="24"/>
          <w:szCs w:val="24"/>
          <w:vertAlign w:val="superscript"/>
        </w:rPr>
        <w:footnoteReference w:id="899"/>
      </w:r>
      <w:r w:rsidRPr="002D394D">
        <w:rPr>
          <w:rFonts w:ascii="Times New Roman" w:hAnsi="Times New Roman" w:cs="Times New Roman"/>
          <w:sz w:val="24"/>
          <w:szCs w:val="24"/>
        </w:rPr>
        <w:t xml:space="preserve"> When you consider the importance of Babcock’s role in the Office of Public Buildings and Grounds combined with the impact of his work as President Grant’s Private Secretary, it becomes abundantly clear that Babcock’s influence in the nation’s capital was exceptional.</w:t>
      </w:r>
    </w:p>
    <w:p w14:paraId="6114B3A2" w14:textId="723C35A0" w:rsidR="00A46402" w:rsidRPr="002D394D" w:rsidRDefault="002D394D" w:rsidP="00A46402">
      <w:pPr>
        <w:spacing w:line="240" w:lineRule="auto"/>
        <w:jc w:val="center"/>
        <w:rPr>
          <w:rFonts w:ascii="Times New Roman" w:hAnsi="Times New Roman" w:cs="Times New Roman"/>
          <w:sz w:val="24"/>
          <w:szCs w:val="24"/>
        </w:rPr>
      </w:pPr>
      <w:r w:rsidRPr="002D394D">
        <w:rPr>
          <w:rFonts w:ascii="Times New Roman" w:hAnsi="Times New Roman" w:cs="Times New Roman"/>
          <w:sz w:val="24"/>
          <w:szCs w:val="24"/>
        </w:rPr>
        <w:t>Washington Criminality: Real or Suspect?</w:t>
      </w:r>
    </w:p>
    <w:p w14:paraId="50861072" w14:textId="5CC2765D" w:rsidR="002D394D" w:rsidRPr="002D394D" w:rsidRDefault="002D394D" w:rsidP="00A46402">
      <w:pPr>
        <w:spacing w:before="240"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The seemingly heightened amount of corrupt political activity during Reconstruction led some to adopt the moniker “The Era of Good Stealings” for its infamy, but there were many instances where the corruption was little more than allegations by political opponents intended to tarnish the reputation of their opposition.</w:t>
      </w:r>
      <w:r w:rsidRPr="002D394D">
        <w:rPr>
          <w:rFonts w:ascii="Times New Roman" w:hAnsi="Times New Roman" w:cs="Times New Roman"/>
          <w:sz w:val="24"/>
          <w:szCs w:val="24"/>
          <w:vertAlign w:val="superscript"/>
        </w:rPr>
        <w:footnoteReference w:id="900"/>
      </w:r>
      <w:r w:rsidRPr="002D394D">
        <w:rPr>
          <w:rFonts w:ascii="Times New Roman" w:hAnsi="Times New Roman" w:cs="Times New Roman"/>
          <w:sz w:val="24"/>
          <w:szCs w:val="24"/>
        </w:rPr>
        <w:t xml:space="preserve"> This is not to say that political corruption did not exist during this time – far from it, as several cases indicate that corruption was present, if not </w:t>
      </w:r>
      <w:r w:rsidR="00B52FE9">
        <w:rPr>
          <w:rFonts w:ascii="Times New Roman" w:hAnsi="Times New Roman" w:cs="Times New Roman"/>
          <w:sz w:val="24"/>
          <w:szCs w:val="24"/>
        </w:rPr>
        <w:lastRenderedPageBreak/>
        <w:t>rampa</w:t>
      </w:r>
      <w:r w:rsidRPr="002D394D">
        <w:rPr>
          <w:rFonts w:ascii="Times New Roman" w:hAnsi="Times New Roman" w:cs="Times New Roman"/>
          <w:sz w:val="24"/>
          <w:szCs w:val="24"/>
        </w:rPr>
        <w:t>nt, in this era.</w:t>
      </w:r>
      <w:r w:rsidRPr="002D394D">
        <w:rPr>
          <w:rFonts w:ascii="Times New Roman" w:hAnsi="Times New Roman" w:cs="Times New Roman"/>
          <w:sz w:val="24"/>
          <w:szCs w:val="24"/>
          <w:vertAlign w:val="superscript"/>
        </w:rPr>
        <w:footnoteReference w:id="901"/>
      </w:r>
      <w:r w:rsidRPr="002D394D">
        <w:rPr>
          <w:rFonts w:ascii="Times New Roman" w:hAnsi="Times New Roman" w:cs="Times New Roman"/>
          <w:sz w:val="24"/>
          <w:szCs w:val="24"/>
        </w:rPr>
        <w:t xml:space="preserve"> However, the glut of claims far outweighed the actual</w:t>
      </w:r>
      <w:r w:rsidR="00714F9C">
        <w:rPr>
          <w:rFonts w:ascii="Times New Roman" w:hAnsi="Times New Roman" w:cs="Times New Roman"/>
          <w:sz w:val="24"/>
          <w:szCs w:val="24"/>
        </w:rPr>
        <w:t xml:space="preserve"> cases</w:t>
      </w:r>
      <w:r w:rsidRPr="002D394D">
        <w:rPr>
          <w:rFonts w:ascii="Times New Roman" w:hAnsi="Times New Roman" w:cs="Times New Roman"/>
          <w:sz w:val="24"/>
          <w:szCs w:val="24"/>
        </w:rPr>
        <w:t xml:space="preserve"> of corruption that w</w:t>
      </w:r>
      <w:r w:rsidR="00102253">
        <w:rPr>
          <w:rFonts w:ascii="Times New Roman" w:hAnsi="Times New Roman" w:cs="Times New Roman"/>
          <w:sz w:val="24"/>
          <w:szCs w:val="24"/>
        </w:rPr>
        <w:t>ere</w:t>
      </w:r>
      <w:r w:rsidRPr="002D394D">
        <w:rPr>
          <w:rFonts w:ascii="Times New Roman" w:hAnsi="Times New Roman" w:cs="Times New Roman"/>
          <w:sz w:val="24"/>
          <w:szCs w:val="24"/>
        </w:rPr>
        <w:t xml:space="preserve"> present, as the very </w:t>
      </w:r>
      <w:r w:rsidR="00102253">
        <w:rPr>
          <w:rFonts w:ascii="Times New Roman" w:hAnsi="Times New Roman" w:cs="Times New Roman"/>
          <w:sz w:val="24"/>
          <w:szCs w:val="24"/>
        </w:rPr>
        <w:t>attestation</w:t>
      </w:r>
      <w:r w:rsidRPr="002D394D">
        <w:rPr>
          <w:rFonts w:ascii="Times New Roman" w:hAnsi="Times New Roman" w:cs="Times New Roman"/>
          <w:sz w:val="24"/>
          <w:szCs w:val="24"/>
        </w:rPr>
        <w:t xml:space="preserve"> of “corruption” became many politicos’ favorite buzzword when assailing an opponent, be </w:t>
      </w:r>
      <w:r w:rsidR="00CA52EE">
        <w:rPr>
          <w:rFonts w:ascii="Times New Roman" w:hAnsi="Times New Roman" w:cs="Times New Roman"/>
          <w:sz w:val="24"/>
          <w:szCs w:val="24"/>
        </w:rPr>
        <w:t>they</w:t>
      </w:r>
      <w:r w:rsidRPr="002D394D">
        <w:rPr>
          <w:rFonts w:ascii="Times New Roman" w:hAnsi="Times New Roman" w:cs="Times New Roman"/>
          <w:sz w:val="24"/>
          <w:szCs w:val="24"/>
        </w:rPr>
        <w:t xml:space="preserve"> across the aisle or within one’s own party.</w:t>
      </w:r>
      <w:r w:rsidRPr="002D394D">
        <w:rPr>
          <w:rFonts w:ascii="Times New Roman" w:hAnsi="Times New Roman" w:cs="Times New Roman"/>
          <w:sz w:val="24"/>
          <w:szCs w:val="24"/>
          <w:vertAlign w:val="superscript"/>
        </w:rPr>
        <w:footnoteReference w:id="902"/>
      </w:r>
      <w:r w:rsidRPr="002D394D">
        <w:rPr>
          <w:rFonts w:ascii="Times New Roman" w:hAnsi="Times New Roman" w:cs="Times New Roman"/>
          <w:sz w:val="24"/>
          <w:szCs w:val="24"/>
        </w:rPr>
        <w:t xml:space="preserve">  This effusion of corruption claims created a world in which these claims were taken with a grain of salt while others were accepted as gospel, and the partisan press vigorously continued to publish them to stir the masses into a frenzy.</w:t>
      </w:r>
      <w:r w:rsidRPr="002D394D">
        <w:rPr>
          <w:rFonts w:ascii="Times New Roman" w:hAnsi="Times New Roman" w:cs="Times New Roman"/>
          <w:sz w:val="24"/>
          <w:szCs w:val="24"/>
          <w:vertAlign w:val="superscript"/>
        </w:rPr>
        <w:footnoteReference w:id="903"/>
      </w:r>
      <w:r w:rsidRPr="002D394D">
        <w:rPr>
          <w:rFonts w:ascii="Times New Roman" w:hAnsi="Times New Roman" w:cs="Times New Roman"/>
          <w:sz w:val="24"/>
          <w:szCs w:val="24"/>
        </w:rPr>
        <w:t xml:space="preserve"> Many of these claims were examined as was appropriate, but these investigations took valuable resources from government officials, and every case could not be considered without proper justification, meaning that several cases were not pursued.</w:t>
      </w:r>
    </w:p>
    <w:p w14:paraId="4231BE47" w14:textId="7165C748"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The very fact that some cases were not investigated, or that some individuals were acquitted due to a dearth of evidence, means that some individuals who were engaging in corrupt activities got away with their delinquencies.  We can assume then that some individuals used these more public claims of corruption as smokescreens for other instances of corruption so that they could get away with other </w:t>
      </w:r>
      <w:r w:rsidR="005E4065">
        <w:rPr>
          <w:rFonts w:ascii="Times New Roman" w:hAnsi="Times New Roman" w:cs="Times New Roman"/>
          <w:sz w:val="24"/>
          <w:szCs w:val="24"/>
        </w:rPr>
        <w:t>indubitable villainy</w:t>
      </w:r>
      <w:r w:rsidRPr="002D394D">
        <w:rPr>
          <w:rFonts w:ascii="Times New Roman" w:hAnsi="Times New Roman" w:cs="Times New Roman"/>
          <w:sz w:val="24"/>
          <w:szCs w:val="24"/>
        </w:rPr>
        <w:t>.</w:t>
      </w:r>
      <w:r w:rsidRPr="002D394D">
        <w:rPr>
          <w:rFonts w:ascii="Times New Roman" w:hAnsi="Times New Roman" w:cs="Times New Roman"/>
          <w:sz w:val="24"/>
          <w:szCs w:val="24"/>
          <w:vertAlign w:val="superscript"/>
        </w:rPr>
        <w:footnoteReference w:id="904"/>
      </w:r>
      <w:r w:rsidRPr="002D394D">
        <w:rPr>
          <w:rFonts w:ascii="Times New Roman" w:hAnsi="Times New Roman" w:cs="Times New Roman"/>
          <w:sz w:val="24"/>
          <w:szCs w:val="24"/>
        </w:rPr>
        <w:t xml:space="preserve"> The stigma of corruption still stained all who were charged with allegations, and the increase in claims led to an assumption of dirty politics in the nation’s capital.</w:t>
      </w:r>
      <w:r w:rsidRPr="002D394D">
        <w:rPr>
          <w:rFonts w:ascii="Times New Roman" w:hAnsi="Times New Roman" w:cs="Times New Roman"/>
          <w:sz w:val="24"/>
          <w:szCs w:val="24"/>
          <w:vertAlign w:val="superscript"/>
        </w:rPr>
        <w:footnoteReference w:id="905"/>
      </w:r>
      <w:r w:rsidRPr="002D394D">
        <w:rPr>
          <w:rFonts w:ascii="Times New Roman" w:hAnsi="Times New Roman" w:cs="Times New Roman"/>
          <w:sz w:val="24"/>
          <w:szCs w:val="24"/>
        </w:rPr>
        <w:t xml:space="preserve"> However, particularly effective pragmaticos were able to get away with actual corruption, or at the very least escape prosecution, simply by taking advantage of a society so bogged down with claims of corruption that some actual corruption slipped </w:t>
      </w:r>
      <w:r w:rsidRPr="002D394D">
        <w:rPr>
          <w:rFonts w:ascii="Times New Roman" w:hAnsi="Times New Roman" w:cs="Times New Roman"/>
          <w:sz w:val="24"/>
          <w:szCs w:val="24"/>
        </w:rPr>
        <w:lastRenderedPageBreak/>
        <w:t xml:space="preserve">through the investigative cracks. The political culture of corruption became entrenched for a time, and though some scholars have argued against </w:t>
      </w:r>
      <w:r w:rsidR="00DE4DF6">
        <w:rPr>
          <w:rFonts w:ascii="Times New Roman" w:hAnsi="Times New Roman" w:cs="Times New Roman"/>
          <w:sz w:val="24"/>
          <w:szCs w:val="24"/>
        </w:rPr>
        <w:t>the degree of such</w:t>
      </w:r>
      <w:r w:rsidRPr="002D394D">
        <w:rPr>
          <w:rFonts w:ascii="Times New Roman" w:hAnsi="Times New Roman" w:cs="Times New Roman"/>
          <w:sz w:val="24"/>
          <w:szCs w:val="24"/>
        </w:rPr>
        <w:t xml:space="preserve"> </w:t>
      </w:r>
      <w:r w:rsidR="00DE4DF6">
        <w:rPr>
          <w:rFonts w:ascii="Times New Roman" w:hAnsi="Times New Roman" w:cs="Times New Roman"/>
          <w:sz w:val="24"/>
          <w:szCs w:val="24"/>
        </w:rPr>
        <w:t>c</w:t>
      </w:r>
      <w:r w:rsidRPr="002D394D">
        <w:rPr>
          <w:rFonts w:ascii="Times New Roman" w:hAnsi="Times New Roman" w:cs="Times New Roman"/>
          <w:sz w:val="24"/>
          <w:szCs w:val="24"/>
        </w:rPr>
        <w:t>orrupt</w:t>
      </w:r>
      <w:r w:rsidR="00DE4DF6">
        <w:rPr>
          <w:rFonts w:ascii="Times New Roman" w:hAnsi="Times New Roman" w:cs="Times New Roman"/>
          <w:sz w:val="24"/>
          <w:szCs w:val="24"/>
        </w:rPr>
        <w:t>ion</w:t>
      </w:r>
      <w:r w:rsidRPr="002D394D">
        <w:rPr>
          <w:rFonts w:ascii="Times New Roman" w:hAnsi="Times New Roman" w:cs="Times New Roman"/>
          <w:sz w:val="24"/>
          <w:szCs w:val="24"/>
        </w:rPr>
        <w:t xml:space="preserve"> system in recent years, the fact that people assumed the system was broken is what matters most.</w:t>
      </w:r>
      <w:r w:rsidRPr="002D394D">
        <w:rPr>
          <w:rFonts w:ascii="Times New Roman" w:hAnsi="Times New Roman" w:cs="Times New Roman"/>
          <w:sz w:val="24"/>
          <w:szCs w:val="24"/>
          <w:vertAlign w:val="superscript"/>
        </w:rPr>
        <w:footnoteReference w:id="906"/>
      </w:r>
    </w:p>
    <w:p w14:paraId="095D93F8" w14:textId="420CF2FA"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The social spheres of Washington played a significant role in the shaping of rumors </w:t>
      </w:r>
      <w:r w:rsidR="000614B1">
        <w:rPr>
          <w:rFonts w:ascii="Times New Roman" w:hAnsi="Times New Roman" w:cs="Times New Roman"/>
          <w:sz w:val="24"/>
          <w:szCs w:val="24"/>
        </w:rPr>
        <w:t xml:space="preserve">and claims </w:t>
      </w:r>
      <w:r w:rsidRPr="002D394D">
        <w:rPr>
          <w:rFonts w:ascii="Times New Roman" w:hAnsi="Times New Roman" w:cs="Times New Roman"/>
          <w:sz w:val="24"/>
          <w:szCs w:val="24"/>
        </w:rPr>
        <w:t>surrounding Babcock’s corruption. It is clear that both Babcock and Shepherd were entrenched in Washington high society, and the friendship that developed during times of both work and play is und</w:t>
      </w:r>
      <w:r w:rsidR="000614B1">
        <w:rPr>
          <w:rFonts w:ascii="Times New Roman" w:hAnsi="Times New Roman" w:cs="Times New Roman"/>
          <w:sz w:val="24"/>
          <w:szCs w:val="24"/>
        </w:rPr>
        <w:t>eniable</w:t>
      </w:r>
      <w:r w:rsidRPr="002D394D">
        <w:rPr>
          <w:rFonts w:ascii="Times New Roman" w:hAnsi="Times New Roman" w:cs="Times New Roman"/>
          <w:sz w:val="24"/>
          <w:szCs w:val="24"/>
        </w:rPr>
        <w:t xml:space="preserve">. Because both were so connected to important members of society in the capital, and because rumors of their nefarious concatenations abound, it is easy to see how not only enemies but casual observers would assume they were engaging in these acts as part of a shadow network. While we may never truly know </w:t>
      </w:r>
      <w:r w:rsidR="00455757">
        <w:rPr>
          <w:rFonts w:ascii="Times New Roman" w:hAnsi="Times New Roman" w:cs="Times New Roman"/>
          <w:sz w:val="24"/>
          <w:szCs w:val="24"/>
        </w:rPr>
        <w:t>the degree to which</w:t>
      </w:r>
      <w:r w:rsidRPr="002D394D">
        <w:rPr>
          <w:rFonts w:ascii="Times New Roman" w:hAnsi="Times New Roman" w:cs="Times New Roman"/>
          <w:sz w:val="24"/>
          <w:szCs w:val="24"/>
        </w:rPr>
        <w:t xml:space="preserve"> such complicity existed due to the lack of an official paper trail or government ruling, the historical record provides sufficient evidence that the assumption of criminal behavior is fair. Some level of collusion likely occurred on a business level due to the types and amounts of public works contracts that were doled out during Reconstruction, and certain members of society benefitted from these deals more than others, leading to the spread of additional rumors. Whether the result of jealousy, professional disdain, or fact, these rumors </w:t>
      </w:r>
      <w:r w:rsidR="00E232B2">
        <w:rPr>
          <w:rFonts w:ascii="Times New Roman" w:hAnsi="Times New Roman" w:cs="Times New Roman"/>
          <w:sz w:val="24"/>
          <w:szCs w:val="24"/>
        </w:rPr>
        <w:t xml:space="preserve">and claims </w:t>
      </w:r>
      <w:r w:rsidRPr="002D394D">
        <w:rPr>
          <w:rFonts w:ascii="Times New Roman" w:hAnsi="Times New Roman" w:cs="Times New Roman"/>
          <w:sz w:val="24"/>
          <w:szCs w:val="24"/>
        </w:rPr>
        <w:t>shaped political thought in the capital.</w:t>
      </w:r>
    </w:p>
    <w:p w14:paraId="66025354" w14:textId="7B6D62D9"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Both Babcock and the Washington </w:t>
      </w:r>
      <w:r w:rsidR="00C46F47">
        <w:rPr>
          <w:rFonts w:ascii="Times New Roman" w:hAnsi="Times New Roman" w:cs="Times New Roman"/>
          <w:sz w:val="24"/>
          <w:szCs w:val="24"/>
        </w:rPr>
        <w:t>p</w:t>
      </w:r>
      <w:r w:rsidRPr="002D394D">
        <w:rPr>
          <w:rFonts w:ascii="Times New Roman" w:hAnsi="Times New Roman" w:cs="Times New Roman"/>
          <w:sz w:val="24"/>
          <w:szCs w:val="24"/>
        </w:rPr>
        <w:t xml:space="preserve">ublic </w:t>
      </w:r>
      <w:r w:rsidR="00C46F47">
        <w:rPr>
          <w:rFonts w:ascii="Times New Roman" w:hAnsi="Times New Roman" w:cs="Times New Roman"/>
          <w:sz w:val="24"/>
          <w:szCs w:val="24"/>
        </w:rPr>
        <w:t>w</w:t>
      </w:r>
      <w:r w:rsidRPr="002D394D">
        <w:rPr>
          <w:rFonts w:ascii="Times New Roman" w:hAnsi="Times New Roman" w:cs="Times New Roman"/>
          <w:sz w:val="24"/>
          <w:szCs w:val="24"/>
        </w:rPr>
        <w:t>orks programs took major strides forward during the early 1870s</w:t>
      </w:r>
      <w:r w:rsidR="00470E93">
        <w:rPr>
          <w:rFonts w:ascii="Times New Roman" w:hAnsi="Times New Roman" w:cs="Times New Roman"/>
          <w:sz w:val="24"/>
          <w:szCs w:val="24"/>
        </w:rPr>
        <w:t xml:space="preserve"> by accomplishing beneficial</w:t>
      </w:r>
      <w:r w:rsidR="00FA4F39">
        <w:rPr>
          <w:rFonts w:ascii="Times New Roman" w:hAnsi="Times New Roman" w:cs="Times New Roman"/>
          <w:sz w:val="24"/>
          <w:szCs w:val="24"/>
        </w:rPr>
        <w:t xml:space="preserve"> tasks </w:t>
      </w:r>
      <w:r w:rsidR="00470E93">
        <w:rPr>
          <w:rFonts w:ascii="Times New Roman" w:hAnsi="Times New Roman" w:cs="Times New Roman"/>
          <w:sz w:val="24"/>
          <w:szCs w:val="24"/>
        </w:rPr>
        <w:t>via detrimental tactics.</w:t>
      </w:r>
      <w:r w:rsidR="00FA4F39">
        <w:rPr>
          <w:rFonts w:ascii="Times New Roman" w:hAnsi="Times New Roman" w:cs="Times New Roman"/>
          <w:sz w:val="24"/>
          <w:szCs w:val="24"/>
        </w:rPr>
        <w:t xml:space="preserve"> Accomplishing tasks</w:t>
      </w:r>
      <w:r w:rsidRPr="002D394D">
        <w:rPr>
          <w:rFonts w:ascii="Times New Roman" w:hAnsi="Times New Roman" w:cs="Times New Roman"/>
          <w:sz w:val="24"/>
          <w:szCs w:val="24"/>
        </w:rPr>
        <w:t xml:space="preserve"> took time, and the bureaucratic processes that people went through to accomplish</w:t>
      </w:r>
      <w:r w:rsidR="00BB3B0C">
        <w:rPr>
          <w:rFonts w:ascii="Times New Roman" w:hAnsi="Times New Roman" w:cs="Times New Roman"/>
          <w:sz w:val="24"/>
          <w:szCs w:val="24"/>
        </w:rPr>
        <w:t xml:space="preserve"> even</w:t>
      </w:r>
      <w:r w:rsidRPr="002D394D">
        <w:rPr>
          <w:rFonts w:ascii="Times New Roman" w:hAnsi="Times New Roman" w:cs="Times New Roman"/>
          <w:sz w:val="24"/>
          <w:szCs w:val="24"/>
        </w:rPr>
        <w:t xml:space="preserve"> the most menial tasks were confoundingly delaying. When Al</w:t>
      </w:r>
      <w:r w:rsidR="00FA4F39">
        <w:rPr>
          <w:rFonts w:ascii="Times New Roman" w:hAnsi="Times New Roman" w:cs="Times New Roman"/>
          <w:sz w:val="24"/>
          <w:szCs w:val="24"/>
        </w:rPr>
        <w:t xml:space="preserve">exander </w:t>
      </w:r>
      <w:r w:rsidRPr="002D394D">
        <w:rPr>
          <w:rFonts w:ascii="Times New Roman" w:hAnsi="Times New Roman" w:cs="Times New Roman"/>
          <w:sz w:val="24"/>
          <w:szCs w:val="24"/>
        </w:rPr>
        <w:t xml:space="preserve">Shepherd attempted to </w:t>
      </w:r>
      <w:r w:rsidRPr="002D394D">
        <w:rPr>
          <w:rFonts w:ascii="Times New Roman" w:hAnsi="Times New Roman" w:cs="Times New Roman"/>
          <w:sz w:val="24"/>
          <w:szCs w:val="24"/>
        </w:rPr>
        <w:lastRenderedPageBreak/>
        <w:t>circumvent this process, he was accused of misappropriations, even when the things he did benefited the city. Though he was only successful in these efforts for a short time, his legacy on the Washington landscape is still present to this day.</w:t>
      </w:r>
      <w:r w:rsidRPr="002D394D">
        <w:rPr>
          <w:rFonts w:ascii="Times New Roman" w:hAnsi="Times New Roman" w:cs="Times New Roman"/>
          <w:sz w:val="24"/>
          <w:szCs w:val="24"/>
          <w:vertAlign w:val="superscript"/>
        </w:rPr>
        <w:footnoteReference w:id="907"/>
      </w:r>
      <w:r w:rsidRPr="002D394D">
        <w:rPr>
          <w:rFonts w:ascii="Times New Roman" w:hAnsi="Times New Roman" w:cs="Times New Roman"/>
          <w:sz w:val="24"/>
          <w:szCs w:val="24"/>
        </w:rPr>
        <w:t xml:space="preserve"> General Babcock took over this system in the wake of Shepherd’s ouster, leaving him in charge of a system that was overbudget, incomplete, and corrupted by improper actions. For better and worse, Babcock would spend his remaining time in the Grant Administration under some assumption that he was up to no good.</w:t>
      </w:r>
    </w:p>
    <w:p w14:paraId="3D88AF22" w14:textId="77777777" w:rsidR="009D5078" w:rsidRDefault="009D5078" w:rsidP="002D394D">
      <w:pPr>
        <w:spacing w:line="240" w:lineRule="auto"/>
        <w:rPr>
          <w:rFonts w:ascii="Times New Roman" w:hAnsi="Times New Roman" w:cs="Times New Roman"/>
          <w:sz w:val="24"/>
          <w:szCs w:val="24"/>
        </w:rPr>
      </w:pPr>
    </w:p>
    <w:p w14:paraId="497A8ED5" w14:textId="77777777" w:rsidR="00A46402" w:rsidRDefault="00A46402" w:rsidP="002D394D">
      <w:pPr>
        <w:spacing w:line="240" w:lineRule="auto"/>
        <w:rPr>
          <w:rFonts w:ascii="Times New Roman" w:hAnsi="Times New Roman" w:cs="Times New Roman"/>
          <w:sz w:val="24"/>
          <w:szCs w:val="24"/>
        </w:rPr>
      </w:pPr>
    </w:p>
    <w:p w14:paraId="3D9AC589" w14:textId="77777777" w:rsidR="00A46402" w:rsidRDefault="00A46402" w:rsidP="002D394D">
      <w:pPr>
        <w:spacing w:line="240" w:lineRule="auto"/>
        <w:rPr>
          <w:rFonts w:ascii="Times New Roman" w:hAnsi="Times New Roman" w:cs="Times New Roman"/>
          <w:sz w:val="24"/>
          <w:szCs w:val="24"/>
        </w:rPr>
      </w:pPr>
    </w:p>
    <w:p w14:paraId="044D42A1" w14:textId="77777777" w:rsidR="00A46402" w:rsidRDefault="00A46402" w:rsidP="002D394D">
      <w:pPr>
        <w:spacing w:line="240" w:lineRule="auto"/>
        <w:rPr>
          <w:rFonts w:ascii="Times New Roman" w:hAnsi="Times New Roman" w:cs="Times New Roman"/>
          <w:sz w:val="24"/>
          <w:szCs w:val="24"/>
        </w:rPr>
      </w:pPr>
    </w:p>
    <w:p w14:paraId="1610DC5F" w14:textId="77777777" w:rsidR="00A46402" w:rsidRDefault="00A46402" w:rsidP="002D394D">
      <w:pPr>
        <w:spacing w:line="240" w:lineRule="auto"/>
        <w:rPr>
          <w:rFonts w:ascii="Times New Roman" w:hAnsi="Times New Roman" w:cs="Times New Roman"/>
          <w:sz w:val="24"/>
          <w:szCs w:val="24"/>
        </w:rPr>
      </w:pPr>
    </w:p>
    <w:p w14:paraId="5EE8DDC6" w14:textId="77777777" w:rsidR="00706724" w:rsidRDefault="00706724" w:rsidP="002D394D">
      <w:pPr>
        <w:spacing w:line="240" w:lineRule="auto"/>
        <w:rPr>
          <w:rFonts w:ascii="Times New Roman" w:hAnsi="Times New Roman" w:cs="Times New Roman"/>
          <w:sz w:val="24"/>
          <w:szCs w:val="24"/>
        </w:rPr>
      </w:pPr>
    </w:p>
    <w:p w14:paraId="2038E0A0" w14:textId="77777777" w:rsidR="00706724" w:rsidRDefault="00706724" w:rsidP="002D394D">
      <w:pPr>
        <w:spacing w:line="240" w:lineRule="auto"/>
        <w:rPr>
          <w:rFonts w:ascii="Times New Roman" w:hAnsi="Times New Roman" w:cs="Times New Roman"/>
          <w:sz w:val="24"/>
          <w:szCs w:val="24"/>
        </w:rPr>
      </w:pPr>
    </w:p>
    <w:p w14:paraId="52C24367" w14:textId="77777777" w:rsidR="00706724" w:rsidRDefault="00706724" w:rsidP="002D394D">
      <w:pPr>
        <w:spacing w:line="240" w:lineRule="auto"/>
        <w:rPr>
          <w:rFonts w:ascii="Times New Roman" w:hAnsi="Times New Roman" w:cs="Times New Roman"/>
          <w:sz w:val="24"/>
          <w:szCs w:val="24"/>
        </w:rPr>
      </w:pPr>
    </w:p>
    <w:p w14:paraId="09FA381C" w14:textId="77777777" w:rsidR="00706724" w:rsidRDefault="00706724" w:rsidP="002D394D">
      <w:pPr>
        <w:spacing w:line="240" w:lineRule="auto"/>
        <w:rPr>
          <w:rFonts w:ascii="Times New Roman" w:hAnsi="Times New Roman" w:cs="Times New Roman"/>
          <w:sz w:val="24"/>
          <w:szCs w:val="24"/>
        </w:rPr>
      </w:pPr>
    </w:p>
    <w:p w14:paraId="4B40048A" w14:textId="77777777" w:rsidR="00706724" w:rsidRDefault="00706724" w:rsidP="002D394D">
      <w:pPr>
        <w:spacing w:line="240" w:lineRule="auto"/>
        <w:rPr>
          <w:rFonts w:ascii="Times New Roman" w:hAnsi="Times New Roman" w:cs="Times New Roman"/>
          <w:sz w:val="24"/>
          <w:szCs w:val="24"/>
        </w:rPr>
      </w:pPr>
    </w:p>
    <w:p w14:paraId="433FC109" w14:textId="77777777" w:rsidR="00706724" w:rsidRDefault="00706724" w:rsidP="002D394D">
      <w:pPr>
        <w:spacing w:line="240" w:lineRule="auto"/>
        <w:rPr>
          <w:rFonts w:ascii="Times New Roman" w:hAnsi="Times New Roman" w:cs="Times New Roman"/>
          <w:sz w:val="24"/>
          <w:szCs w:val="24"/>
        </w:rPr>
      </w:pPr>
    </w:p>
    <w:p w14:paraId="69820664" w14:textId="77777777" w:rsidR="00706724" w:rsidRDefault="00706724" w:rsidP="002D394D">
      <w:pPr>
        <w:spacing w:line="240" w:lineRule="auto"/>
        <w:rPr>
          <w:rFonts w:ascii="Times New Roman" w:hAnsi="Times New Roman" w:cs="Times New Roman"/>
          <w:sz w:val="24"/>
          <w:szCs w:val="24"/>
        </w:rPr>
      </w:pPr>
    </w:p>
    <w:p w14:paraId="6A3000F9" w14:textId="77777777" w:rsidR="00706724" w:rsidRDefault="00706724" w:rsidP="002D394D">
      <w:pPr>
        <w:spacing w:line="240" w:lineRule="auto"/>
        <w:rPr>
          <w:rFonts w:ascii="Times New Roman" w:hAnsi="Times New Roman" w:cs="Times New Roman"/>
          <w:sz w:val="24"/>
          <w:szCs w:val="24"/>
        </w:rPr>
      </w:pPr>
    </w:p>
    <w:p w14:paraId="433F7D9A" w14:textId="77777777" w:rsidR="00706724" w:rsidRDefault="00706724" w:rsidP="002D394D">
      <w:pPr>
        <w:spacing w:line="240" w:lineRule="auto"/>
        <w:rPr>
          <w:rFonts w:ascii="Times New Roman" w:hAnsi="Times New Roman" w:cs="Times New Roman"/>
          <w:sz w:val="24"/>
          <w:szCs w:val="24"/>
        </w:rPr>
      </w:pPr>
    </w:p>
    <w:p w14:paraId="3BFB2985" w14:textId="77777777" w:rsidR="00706724" w:rsidRDefault="00706724" w:rsidP="002D394D">
      <w:pPr>
        <w:spacing w:line="240" w:lineRule="auto"/>
        <w:rPr>
          <w:rFonts w:ascii="Times New Roman" w:hAnsi="Times New Roman" w:cs="Times New Roman"/>
          <w:sz w:val="24"/>
          <w:szCs w:val="24"/>
        </w:rPr>
      </w:pPr>
    </w:p>
    <w:p w14:paraId="6E633D60" w14:textId="77777777" w:rsidR="00706724" w:rsidRDefault="00706724" w:rsidP="002D394D">
      <w:pPr>
        <w:spacing w:line="240" w:lineRule="auto"/>
        <w:rPr>
          <w:rFonts w:ascii="Times New Roman" w:hAnsi="Times New Roman" w:cs="Times New Roman"/>
          <w:sz w:val="24"/>
          <w:szCs w:val="24"/>
        </w:rPr>
      </w:pPr>
    </w:p>
    <w:p w14:paraId="7632FDD2" w14:textId="77777777" w:rsidR="00706724" w:rsidRDefault="00706724" w:rsidP="002D394D">
      <w:pPr>
        <w:spacing w:line="240" w:lineRule="auto"/>
        <w:rPr>
          <w:rFonts w:ascii="Times New Roman" w:hAnsi="Times New Roman" w:cs="Times New Roman"/>
          <w:sz w:val="24"/>
          <w:szCs w:val="24"/>
        </w:rPr>
      </w:pPr>
    </w:p>
    <w:p w14:paraId="4AB22778" w14:textId="77777777" w:rsidR="00706724" w:rsidRDefault="00706724" w:rsidP="002D394D">
      <w:pPr>
        <w:spacing w:line="240" w:lineRule="auto"/>
        <w:rPr>
          <w:rFonts w:ascii="Times New Roman" w:hAnsi="Times New Roman" w:cs="Times New Roman"/>
          <w:sz w:val="24"/>
          <w:szCs w:val="24"/>
        </w:rPr>
      </w:pPr>
    </w:p>
    <w:p w14:paraId="4C97EB25" w14:textId="77777777" w:rsidR="00706724" w:rsidRDefault="00706724" w:rsidP="002D394D">
      <w:pPr>
        <w:spacing w:line="240" w:lineRule="auto"/>
        <w:rPr>
          <w:rFonts w:ascii="Times New Roman" w:hAnsi="Times New Roman" w:cs="Times New Roman"/>
          <w:sz w:val="24"/>
          <w:szCs w:val="24"/>
        </w:rPr>
      </w:pPr>
    </w:p>
    <w:p w14:paraId="60826386" w14:textId="77777777" w:rsidR="00A46402" w:rsidRPr="002D394D" w:rsidRDefault="00A46402" w:rsidP="002D394D">
      <w:pPr>
        <w:spacing w:line="240" w:lineRule="auto"/>
        <w:rPr>
          <w:rFonts w:ascii="Times New Roman" w:hAnsi="Times New Roman" w:cs="Times New Roman"/>
          <w:sz w:val="24"/>
          <w:szCs w:val="24"/>
        </w:rPr>
      </w:pPr>
    </w:p>
    <w:p w14:paraId="7D1449C1" w14:textId="5D8E0D6F" w:rsidR="002D394D" w:rsidRDefault="002D394D" w:rsidP="004A1F72">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Chapter Four: </w:t>
      </w:r>
      <w:bookmarkStart w:id="47" w:name="_Hlk200794421"/>
      <w:r>
        <w:rPr>
          <w:rFonts w:ascii="Times New Roman" w:hAnsi="Times New Roman" w:cs="Times New Roman"/>
          <w:sz w:val="24"/>
          <w:szCs w:val="24"/>
        </w:rPr>
        <w:t xml:space="preserve">Beginning </w:t>
      </w:r>
      <w:r w:rsidRPr="002D394D">
        <w:rPr>
          <w:rFonts w:ascii="Times New Roman" w:hAnsi="Times New Roman" w:cs="Times New Roman"/>
          <w:sz w:val="24"/>
          <w:szCs w:val="24"/>
        </w:rPr>
        <w:t xml:space="preserve">Babcock’s Downfall: </w:t>
      </w:r>
      <w:r>
        <w:rPr>
          <w:rFonts w:ascii="Times New Roman" w:hAnsi="Times New Roman" w:cs="Times New Roman"/>
          <w:sz w:val="24"/>
          <w:szCs w:val="24"/>
        </w:rPr>
        <w:t>The</w:t>
      </w:r>
      <w:r w:rsidR="00166924">
        <w:rPr>
          <w:rFonts w:ascii="Times New Roman" w:hAnsi="Times New Roman" w:cs="Times New Roman"/>
          <w:sz w:val="24"/>
          <w:szCs w:val="24"/>
        </w:rPr>
        <w:t xml:space="preserve"> District Ring and The Sa</w:t>
      </w:r>
      <w:r w:rsidRPr="002D394D">
        <w:rPr>
          <w:rFonts w:ascii="Times New Roman" w:hAnsi="Times New Roman" w:cs="Times New Roman"/>
          <w:sz w:val="24"/>
          <w:szCs w:val="24"/>
        </w:rPr>
        <w:t>fe Burglary</w:t>
      </w:r>
    </w:p>
    <w:bookmarkEnd w:id="47"/>
    <w:p w14:paraId="40A551E0" w14:textId="77777777" w:rsidR="00166924" w:rsidRPr="00166924" w:rsidRDefault="00166924" w:rsidP="00166924">
      <w:pPr>
        <w:spacing w:after="0" w:line="276" w:lineRule="auto"/>
        <w:jc w:val="center"/>
        <w:rPr>
          <w:rFonts w:ascii="Times New Roman" w:hAnsi="Times New Roman" w:cs="Times New Roman"/>
          <w:sz w:val="20"/>
          <w:szCs w:val="20"/>
        </w:rPr>
      </w:pPr>
    </w:p>
    <w:p w14:paraId="5AA0B098" w14:textId="77777777" w:rsidR="005D6D15" w:rsidRDefault="002D394D" w:rsidP="005D6D15">
      <w:pPr>
        <w:spacing w:after="0" w:line="480" w:lineRule="auto"/>
        <w:ind w:firstLine="720"/>
        <w:rPr>
          <w:noProof/>
        </w:rPr>
      </w:pPr>
      <w:r w:rsidRPr="002D394D">
        <w:rPr>
          <w:rFonts w:ascii="Times New Roman" w:hAnsi="Times New Roman" w:cs="Times New Roman"/>
          <w:sz w:val="24"/>
          <w:szCs w:val="24"/>
        </w:rPr>
        <w:t xml:space="preserve">On February 19, 1876, </w:t>
      </w:r>
      <w:r w:rsidRPr="002D394D">
        <w:rPr>
          <w:rFonts w:ascii="Times New Roman" w:hAnsi="Times New Roman" w:cs="Times New Roman"/>
          <w:i/>
          <w:iCs/>
          <w:sz w:val="24"/>
          <w:szCs w:val="24"/>
        </w:rPr>
        <w:t>Frank Leslie’s Illustrated</w:t>
      </w:r>
      <w:r w:rsidRPr="002D394D">
        <w:rPr>
          <w:rFonts w:ascii="Times New Roman" w:hAnsi="Times New Roman" w:cs="Times New Roman"/>
          <w:sz w:val="24"/>
          <w:szCs w:val="24"/>
        </w:rPr>
        <w:t xml:space="preserve"> published its weekly newspaper, and its popular political cartoons capitalized on the most recent scandal of the Grant Administration.  Amongst their coverage of the happenings of the nation, this edition’s cartoons highlighted the corruption of </w:t>
      </w:r>
      <w:r w:rsidR="004A1F72">
        <w:rPr>
          <w:rFonts w:ascii="Times New Roman" w:hAnsi="Times New Roman" w:cs="Times New Roman"/>
          <w:sz w:val="24"/>
          <w:szCs w:val="24"/>
        </w:rPr>
        <w:t>a</w:t>
      </w:r>
      <w:r w:rsidRPr="002D394D">
        <w:rPr>
          <w:rFonts w:ascii="Times New Roman" w:hAnsi="Times New Roman" w:cs="Times New Roman"/>
          <w:sz w:val="24"/>
          <w:szCs w:val="24"/>
        </w:rPr>
        <w:t xml:space="preserve"> recently uncovered</w:t>
      </w:r>
      <w:r w:rsidR="004A1F72">
        <w:rPr>
          <w:rFonts w:ascii="Times New Roman" w:hAnsi="Times New Roman" w:cs="Times New Roman"/>
          <w:sz w:val="24"/>
          <w:szCs w:val="24"/>
        </w:rPr>
        <w:t xml:space="preserve"> crime syndicate, the</w:t>
      </w:r>
      <w:r w:rsidRPr="002D394D">
        <w:rPr>
          <w:rFonts w:ascii="Times New Roman" w:hAnsi="Times New Roman" w:cs="Times New Roman"/>
          <w:sz w:val="24"/>
          <w:szCs w:val="24"/>
        </w:rPr>
        <w:t xml:space="preserve"> Whiskey Ring</w:t>
      </w:r>
      <w:r w:rsidR="003610DB">
        <w:rPr>
          <w:rFonts w:ascii="Times New Roman" w:hAnsi="Times New Roman" w:cs="Times New Roman"/>
          <w:sz w:val="24"/>
          <w:szCs w:val="24"/>
        </w:rPr>
        <w:t>,</w:t>
      </w:r>
      <w:r w:rsidRPr="002D394D">
        <w:rPr>
          <w:rFonts w:ascii="Times New Roman" w:hAnsi="Times New Roman" w:cs="Times New Roman"/>
          <w:sz w:val="24"/>
          <w:szCs w:val="24"/>
        </w:rPr>
        <w:t xml:space="preserve"> and the attention </w:t>
      </w:r>
      <w:r w:rsidR="00152164">
        <w:rPr>
          <w:rFonts w:ascii="Times New Roman" w:hAnsi="Times New Roman" w:cs="Times New Roman"/>
          <w:sz w:val="24"/>
          <w:szCs w:val="24"/>
        </w:rPr>
        <w:t>the Ring</w:t>
      </w:r>
      <w:r w:rsidR="003610DB">
        <w:rPr>
          <w:rFonts w:ascii="Times New Roman" w:hAnsi="Times New Roman" w:cs="Times New Roman"/>
          <w:sz w:val="24"/>
          <w:szCs w:val="24"/>
        </w:rPr>
        <w:t xml:space="preserve"> </w:t>
      </w:r>
      <w:r w:rsidRPr="002D394D">
        <w:rPr>
          <w:rFonts w:ascii="Times New Roman" w:hAnsi="Times New Roman" w:cs="Times New Roman"/>
          <w:sz w:val="24"/>
          <w:szCs w:val="24"/>
        </w:rPr>
        <w:t>brought to the White House</w:t>
      </w:r>
      <w:r w:rsidR="005D6D15">
        <w:rPr>
          <w:rFonts w:ascii="Times New Roman" w:hAnsi="Times New Roman" w:cs="Times New Roman"/>
          <w:sz w:val="24"/>
          <w:szCs w:val="24"/>
        </w:rPr>
        <w:t xml:space="preserve"> (</w:t>
      </w:r>
      <w:r w:rsidR="005D6D15">
        <w:rPr>
          <w:rFonts w:ascii="Times New Roman" w:hAnsi="Times New Roman" w:cs="Times New Roman"/>
          <w:b/>
          <w:bCs/>
          <w:sz w:val="24"/>
          <w:szCs w:val="24"/>
        </w:rPr>
        <w:t>Figure 4.1</w:t>
      </w:r>
      <w:r w:rsidR="005D6D15">
        <w:rPr>
          <w:rFonts w:ascii="Times New Roman" w:hAnsi="Times New Roman" w:cs="Times New Roman"/>
          <w:sz w:val="24"/>
          <w:szCs w:val="24"/>
        </w:rPr>
        <w:t>)</w:t>
      </w:r>
      <w:r w:rsidRPr="002D394D">
        <w:rPr>
          <w:rFonts w:ascii="Times New Roman" w:hAnsi="Times New Roman" w:cs="Times New Roman"/>
          <w:sz w:val="24"/>
          <w:szCs w:val="24"/>
        </w:rPr>
        <w:t>.  Both the front and back covers emphasized Orville Babcock’s role in th</w:t>
      </w:r>
      <w:r w:rsidR="003610DB">
        <w:rPr>
          <w:rFonts w:ascii="Times New Roman" w:hAnsi="Times New Roman" w:cs="Times New Roman"/>
          <w:sz w:val="24"/>
          <w:szCs w:val="24"/>
        </w:rPr>
        <w:t>e</w:t>
      </w:r>
      <w:r w:rsidRPr="002D394D">
        <w:rPr>
          <w:rFonts w:ascii="Times New Roman" w:hAnsi="Times New Roman" w:cs="Times New Roman"/>
          <w:sz w:val="24"/>
          <w:szCs w:val="24"/>
        </w:rPr>
        <w:t xml:space="preserve"> conspiracy, with the front showing his ability to wriggle out of the grasp of Uncle Sam’s justice.</w:t>
      </w:r>
      <w:r w:rsidRPr="002D394D">
        <w:rPr>
          <w:rFonts w:ascii="Times New Roman" w:hAnsi="Times New Roman" w:cs="Times New Roman"/>
          <w:sz w:val="24"/>
          <w:szCs w:val="24"/>
          <w:vertAlign w:val="superscript"/>
        </w:rPr>
        <w:footnoteReference w:id="908"/>
      </w:r>
      <w:r w:rsidRPr="002D394D">
        <w:rPr>
          <w:rFonts w:ascii="Times New Roman" w:hAnsi="Times New Roman" w:cs="Times New Roman"/>
          <w:sz w:val="24"/>
          <w:szCs w:val="24"/>
        </w:rPr>
        <w:t xml:space="preserve"> While the front cover attracted the attention of the masses, it was the back cover that dug deeper into the reality of Babcock’s entrenchment in the White House.  Entitled “Impotent Rage,” the cartoon depicts Secretary of the Treasury Benjamin Bristow, the man responsible for uncovering the Whiskey Ring, removing a puppy representing Babcock from the protection of Grant, the larger of the two dogs, and whisking him away to the St. Louis Court House, the site of the Whiskey Ring Trials.  The caption reads as though from Bristow’s perspective, stating that “if [Grant] could break his chain, I should hardly escape with my life, for capturing his favorite Pup.”</w:t>
      </w:r>
      <w:r w:rsidRPr="002D394D">
        <w:rPr>
          <w:rFonts w:ascii="Times New Roman" w:hAnsi="Times New Roman" w:cs="Times New Roman"/>
          <w:sz w:val="24"/>
          <w:szCs w:val="24"/>
          <w:vertAlign w:val="superscript"/>
        </w:rPr>
        <w:footnoteReference w:id="909"/>
      </w:r>
      <w:r w:rsidRPr="002D394D">
        <w:rPr>
          <w:rFonts w:ascii="Times New Roman" w:hAnsi="Times New Roman" w:cs="Times New Roman"/>
          <w:sz w:val="24"/>
          <w:szCs w:val="24"/>
        </w:rPr>
        <w:t xml:space="preserve">  This cartoon shows </w:t>
      </w:r>
      <w:r w:rsidR="006E1C9A">
        <w:rPr>
          <w:rFonts w:ascii="Times New Roman" w:hAnsi="Times New Roman" w:cs="Times New Roman"/>
          <w:sz w:val="24"/>
          <w:szCs w:val="24"/>
        </w:rPr>
        <w:t>it</w:t>
      </w:r>
      <w:r w:rsidRPr="002D394D">
        <w:rPr>
          <w:rFonts w:ascii="Times New Roman" w:hAnsi="Times New Roman" w:cs="Times New Roman"/>
          <w:sz w:val="24"/>
          <w:szCs w:val="24"/>
        </w:rPr>
        <w:t xml:space="preserve"> was apparent</w:t>
      </w:r>
      <w:r w:rsidR="006E1C9A">
        <w:rPr>
          <w:rFonts w:ascii="Times New Roman" w:hAnsi="Times New Roman" w:cs="Times New Roman"/>
          <w:sz w:val="24"/>
          <w:szCs w:val="24"/>
        </w:rPr>
        <w:t xml:space="preserve"> that President Grant favored Babcock amongst his other advisors, </w:t>
      </w:r>
      <w:r w:rsidR="001501CB">
        <w:rPr>
          <w:rFonts w:ascii="Times New Roman" w:hAnsi="Times New Roman" w:cs="Times New Roman"/>
          <w:sz w:val="24"/>
          <w:szCs w:val="24"/>
        </w:rPr>
        <w:t xml:space="preserve">something </w:t>
      </w:r>
      <w:r w:rsidR="006E1C9A">
        <w:rPr>
          <w:rFonts w:ascii="Times New Roman" w:hAnsi="Times New Roman" w:cs="Times New Roman"/>
          <w:sz w:val="24"/>
          <w:szCs w:val="24"/>
        </w:rPr>
        <w:t>that was clear</w:t>
      </w:r>
      <w:r w:rsidRPr="002D394D">
        <w:rPr>
          <w:rFonts w:ascii="Times New Roman" w:hAnsi="Times New Roman" w:cs="Times New Roman"/>
          <w:sz w:val="24"/>
          <w:szCs w:val="24"/>
        </w:rPr>
        <w:t xml:space="preserve"> not only to members of the Grant Administration who saw this in daily interactions, but to the general public as well.  When Grant testified on behalf of his friend as a character witness, marking the first time a sitting president had ever given testimony in a criminal trial, the masses could firmly hold that</w:t>
      </w:r>
      <w:r w:rsidR="005D6D15">
        <w:rPr>
          <w:rFonts w:ascii="Times New Roman" w:hAnsi="Times New Roman" w:cs="Times New Roman"/>
          <w:sz w:val="24"/>
          <w:szCs w:val="24"/>
        </w:rPr>
        <w:t xml:space="preserve"> </w:t>
      </w:r>
      <w:r w:rsidRPr="002D394D">
        <w:rPr>
          <w:rFonts w:ascii="Times New Roman" w:hAnsi="Times New Roman" w:cs="Times New Roman"/>
          <w:sz w:val="24"/>
          <w:szCs w:val="24"/>
        </w:rPr>
        <w:t>Babcock was indeed the president’s “favorite pup.”</w:t>
      </w:r>
      <w:r w:rsidR="005D6D15" w:rsidRPr="005D6D15">
        <w:rPr>
          <w:noProof/>
        </w:rPr>
        <w:t xml:space="preserve"> </w:t>
      </w:r>
    </w:p>
    <w:p w14:paraId="2E31F392" w14:textId="06AD93C8" w:rsidR="005D6D15" w:rsidRDefault="005D6D15" w:rsidP="005D6D15">
      <w:pPr>
        <w:spacing w:after="0" w:line="480" w:lineRule="auto"/>
        <w:jc w:val="center"/>
        <w:rPr>
          <w:rFonts w:ascii="Times New Roman" w:hAnsi="Times New Roman" w:cs="Times New Roman"/>
          <w:b/>
          <w:bCs/>
          <w:sz w:val="20"/>
          <w:szCs w:val="20"/>
        </w:rPr>
      </w:pPr>
      <w:r w:rsidRPr="002D394D">
        <w:rPr>
          <w:noProof/>
        </w:rPr>
        <w:lastRenderedPageBreak/>
        <w:drawing>
          <wp:inline distT="0" distB="0" distL="0" distR="0" wp14:anchorId="66545EB0" wp14:editId="0AF4520E">
            <wp:extent cx="2171700" cy="2680627"/>
            <wp:effectExtent l="0" t="0" r="0" b="5715"/>
            <wp:docPr id="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AI-generated content may be incorrect."/>
                    <pic:cNvPicPr/>
                  </pic:nvPicPr>
                  <pic:blipFill rotWithShape="1">
                    <a:blip r:embed="rId24">
                      <a:extLst>
                        <a:ext uri="{28A0092B-C50C-407E-A947-70E740481C1C}">
                          <a14:useLocalDpi xmlns:a14="http://schemas.microsoft.com/office/drawing/2010/main" val="0"/>
                        </a:ext>
                      </a:extLst>
                    </a:blip>
                    <a:srcRect l="37180" t="21652" r="38205" b="24330"/>
                    <a:stretch/>
                  </pic:blipFill>
                  <pic:spPr bwMode="auto">
                    <a:xfrm>
                      <a:off x="0" y="0"/>
                      <a:ext cx="2186911" cy="2699403"/>
                    </a:xfrm>
                    <a:prstGeom prst="rect">
                      <a:avLst/>
                    </a:prstGeom>
                    <a:ln>
                      <a:noFill/>
                    </a:ln>
                    <a:extLst>
                      <a:ext uri="{53640926-AAD7-44D8-BBD7-CCE9431645EC}">
                        <a14:shadowObscured xmlns:a14="http://schemas.microsoft.com/office/drawing/2010/main"/>
                      </a:ext>
                    </a:extLst>
                  </pic:spPr>
                </pic:pic>
              </a:graphicData>
            </a:graphic>
          </wp:inline>
        </w:drawing>
      </w:r>
    </w:p>
    <w:p w14:paraId="573F5019" w14:textId="4C0B0618" w:rsidR="002D394D" w:rsidRDefault="005D6D15" w:rsidP="0011248B">
      <w:pPr>
        <w:spacing w:after="0" w:line="276" w:lineRule="auto"/>
        <w:rPr>
          <w:rFonts w:ascii="Times New Roman" w:hAnsi="Times New Roman" w:cs="Times New Roman"/>
          <w:sz w:val="20"/>
          <w:szCs w:val="20"/>
        </w:rPr>
      </w:pPr>
      <w:r>
        <w:rPr>
          <w:rFonts w:ascii="Times New Roman" w:hAnsi="Times New Roman" w:cs="Times New Roman"/>
          <w:b/>
          <w:bCs/>
          <w:sz w:val="20"/>
          <w:szCs w:val="20"/>
        </w:rPr>
        <w:t xml:space="preserve">Figure 4.1: </w:t>
      </w:r>
      <w:r w:rsidRPr="002D394D">
        <w:rPr>
          <w:rFonts w:ascii="Times New Roman" w:hAnsi="Times New Roman" w:cs="Times New Roman"/>
          <w:b/>
          <w:bCs/>
          <w:sz w:val="20"/>
          <w:szCs w:val="20"/>
        </w:rPr>
        <w:t>Impotent Rage</w:t>
      </w:r>
      <w:r>
        <w:rPr>
          <w:rFonts w:ascii="Times New Roman" w:hAnsi="Times New Roman" w:cs="Times New Roman"/>
          <w:b/>
          <w:bCs/>
          <w:sz w:val="20"/>
          <w:szCs w:val="20"/>
        </w:rPr>
        <w:t xml:space="preserve">: </w:t>
      </w:r>
      <w:r w:rsidRPr="002D394D">
        <w:rPr>
          <w:rFonts w:ascii="Times New Roman" w:hAnsi="Times New Roman" w:cs="Times New Roman"/>
          <w:sz w:val="20"/>
          <w:szCs w:val="20"/>
        </w:rPr>
        <w:t xml:space="preserve">“Bristow – </w:t>
      </w:r>
      <w:bookmarkStart w:id="49" w:name="_Hlk130723167"/>
      <w:r w:rsidRPr="002D394D">
        <w:rPr>
          <w:rFonts w:ascii="Times New Roman" w:hAnsi="Times New Roman" w:cs="Times New Roman"/>
          <w:sz w:val="20"/>
          <w:szCs w:val="20"/>
        </w:rPr>
        <w:t>If he could break his chain, I should hardly escape with my life, for capturing his favorite Pup</w:t>
      </w:r>
      <w:r>
        <w:rPr>
          <w:rFonts w:ascii="Times New Roman" w:hAnsi="Times New Roman" w:cs="Times New Roman"/>
          <w:sz w:val="20"/>
          <w:szCs w:val="20"/>
        </w:rPr>
        <w:t>.</w:t>
      </w:r>
      <w:r w:rsidRPr="002D394D">
        <w:rPr>
          <w:rFonts w:ascii="Times New Roman" w:hAnsi="Times New Roman" w:cs="Times New Roman"/>
          <w:sz w:val="20"/>
          <w:szCs w:val="20"/>
        </w:rPr>
        <w:t>”</w:t>
      </w:r>
      <w:bookmarkEnd w:id="49"/>
      <w:r>
        <w:rPr>
          <w:rFonts w:ascii="Times New Roman" w:hAnsi="Times New Roman" w:cs="Times New Roman"/>
          <w:sz w:val="20"/>
          <w:szCs w:val="20"/>
        </w:rPr>
        <w:t xml:space="preserve"> </w:t>
      </w:r>
      <w:r w:rsidRPr="002D394D">
        <w:rPr>
          <w:rFonts w:ascii="Times New Roman" w:hAnsi="Times New Roman" w:cs="Times New Roman"/>
          <w:sz w:val="20"/>
          <w:szCs w:val="20"/>
        </w:rPr>
        <w:t>Grant’s preference of Babcock, his “favorite Pup,” was well-known, and his support in the Whiskey Ring led to additional claims of Caesarism when his friend was threatened (note the “Caesar” on Grant’s collar).</w:t>
      </w:r>
      <w:r w:rsidRPr="00706724">
        <w:rPr>
          <w:rFonts w:ascii="Times New Roman" w:hAnsi="Times New Roman" w:cs="Times New Roman"/>
          <w:b/>
          <w:bCs/>
          <w:sz w:val="20"/>
          <w:szCs w:val="20"/>
          <w:vertAlign w:val="superscript"/>
        </w:rPr>
        <w:t xml:space="preserve"> </w:t>
      </w:r>
      <w:r w:rsidRPr="00706724">
        <w:rPr>
          <w:rFonts w:ascii="Times New Roman" w:hAnsi="Times New Roman" w:cs="Times New Roman"/>
          <w:sz w:val="20"/>
          <w:szCs w:val="20"/>
          <w:vertAlign w:val="superscript"/>
        </w:rPr>
        <w:footnoteReference w:id="910"/>
      </w:r>
    </w:p>
    <w:p w14:paraId="3428B398" w14:textId="77777777" w:rsidR="005D6D15" w:rsidRPr="005D6D15" w:rsidRDefault="005D6D15" w:rsidP="005D6D15">
      <w:pPr>
        <w:spacing w:after="0" w:line="276" w:lineRule="auto"/>
        <w:jc w:val="center"/>
        <w:rPr>
          <w:rFonts w:ascii="Times New Roman" w:hAnsi="Times New Roman" w:cs="Times New Roman"/>
          <w:sz w:val="20"/>
          <w:szCs w:val="20"/>
        </w:rPr>
      </w:pPr>
    </w:p>
    <w:p w14:paraId="32F0C3D2" w14:textId="4E1E4712"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This cartoon was one of many attacks on the Grant Administration, attacks that picked up steam as the years progressed and as those jaded by the existing state of affairs sought to speak their minds.  Over the course of his administration, President Grant made </w:t>
      </w:r>
      <w:r w:rsidR="002F7E5B">
        <w:rPr>
          <w:rFonts w:ascii="Times New Roman" w:hAnsi="Times New Roman" w:cs="Times New Roman"/>
          <w:sz w:val="24"/>
          <w:szCs w:val="24"/>
        </w:rPr>
        <w:t xml:space="preserve">political </w:t>
      </w:r>
      <w:r w:rsidRPr="002D394D">
        <w:rPr>
          <w:rFonts w:ascii="Times New Roman" w:hAnsi="Times New Roman" w:cs="Times New Roman"/>
          <w:sz w:val="24"/>
          <w:szCs w:val="24"/>
        </w:rPr>
        <w:t xml:space="preserve">enemies </w:t>
      </w:r>
      <w:r w:rsidR="002F7E5B">
        <w:rPr>
          <w:rFonts w:ascii="Times New Roman" w:hAnsi="Times New Roman" w:cs="Times New Roman"/>
          <w:sz w:val="24"/>
          <w:szCs w:val="24"/>
        </w:rPr>
        <w:t>due to</w:t>
      </w:r>
      <w:r w:rsidRPr="002D394D">
        <w:rPr>
          <w:rFonts w:ascii="Times New Roman" w:hAnsi="Times New Roman" w:cs="Times New Roman"/>
          <w:sz w:val="24"/>
          <w:szCs w:val="24"/>
        </w:rPr>
        <w:t xml:space="preserve"> the </w:t>
      </w:r>
      <w:r w:rsidR="002F7E5B">
        <w:rPr>
          <w:rFonts w:ascii="Times New Roman" w:hAnsi="Times New Roman" w:cs="Times New Roman"/>
          <w:sz w:val="24"/>
          <w:szCs w:val="24"/>
        </w:rPr>
        <w:t xml:space="preserve">Reconstruction </w:t>
      </w:r>
      <w:r w:rsidRPr="002D394D">
        <w:rPr>
          <w:rFonts w:ascii="Times New Roman" w:hAnsi="Times New Roman" w:cs="Times New Roman"/>
          <w:sz w:val="24"/>
          <w:szCs w:val="24"/>
        </w:rPr>
        <w:t xml:space="preserve">agenda he </w:t>
      </w:r>
      <w:r w:rsidR="002F7E5B">
        <w:rPr>
          <w:rFonts w:ascii="Times New Roman" w:hAnsi="Times New Roman" w:cs="Times New Roman"/>
          <w:sz w:val="24"/>
          <w:szCs w:val="24"/>
        </w:rPr>
        <w:t>sought</w:t>
      </w:r>
      <w:r w:rsidRPr="002D394D">
        <w:rPr>
          <w:rFonts w:ascii="Times New Roman" w:hAnsi="Times New Roman" w:cs="Times New Roman"/>
          <w:sz w:val="24"/>
          <w:szCs w:val="24"/>
        </w:rPr>
        <w:t xml:space="preserve"> to employ.  White southerners were frustrated over the </w:t>
      </w:r>
      <w:r w:rsidR="00A76351">
        <w:rPr>
          <w:rFonts w:ascii="Times New Roman" w:hAnsi="Times New Roman" w:cs="Times New Roman"/>
          <w:sz w:val="24"/>
          <w:szCs w:val="24"/>
        </w:rPr>
        <w:t xml:space="preserve">seemingly </w:t>
      </w:r>
      <w:r w:rsidRPr="002D394D">
        <w:rPr>
          <w:rFonts w:ascii="Times New Roman" w:hAnsi="Times New Roman" w:cs="Times New Roman"/>
          <w:sz w:val="24"/>
          <w:szCs w:val="24"/>
        </w:rPr>
        <w:t xml:space="preserve">strict conditions of Reconstruction and what was perceived by some as favoritism for African Americans in their region.  These same white southerners comprised the base of the Democratic Party which added a layer to the party’s overall disagreement with Grant’s political agenda.  Liberal members of Grant’s own party were frustrated with the direction the president </w:t>
      </w:r>
      <w:r w:rsidR="00176C05">
        <w:rPr>
          <w:rFonts w:ascii="Times New Roman" w:hAnsi="Times New Roman" w:cs="Times New Roman"/>
          <w:sz w:val="24"/>
          <w:szCs w:val="24"/>
        </w:rPr>
        <w:t xml:space="preserve">was </w:t>
      </w:r>
      <w:r w:rsidRPr="002D394D">
        <w:rPr>
          <w:rFonts w:ascii="Times New Roman" w:hAnsi="Times New Roman" w:cs="Times New Roman"/>
          <w:sz w:val="24"/>
          <w:szCs w:val="24"/>
        </w:rPr>
        <w:t>le</w:t>
      </w:r>
      <w:r w:rsidR="00176C05">
        <w:rPr>
          <w:rFonts w:ascii="Times New Roman" w:hAnsi="Times New Roman" w:cs="Times New Roman"/>
          <w:sz w:val="24"/>
          <w:szCs w:val="24"/>
        </w:rPr>
        <w:t>a</w:t>
      </w:r>
      <w:r w:rsidRPr="002D394D">
        <w:rPr>
          <w:rFonts w:ascii="Times New Roman" w:hAnsi="Times New Roman" w:cs="Times New Roman"/>
          <w:sz w:val="24"/>
          <w:szCs w:val="24"/>
        </w:rPr>
        <w:t>d</w:t>
      </w:r>
      <w:r w:rsidR="00176C05">
        <w:rPr>
          <w:rFonts w:ascii="Times New Roman" w:hAnsi="Times New Roman" w:cs="Times New Roman"/>
          <w:sz w:val="24"/>
          <w:szCs w:val="24"/>
        </w:rPr>
        <w:t>ing</w:t>
      </w:r>
      <w:r w:rsidRPr="002D394D">
        <w:rPr>
          <w:rFonts w:ascii="Times New Roman" w:hAnsi="Times New Roman" w:cs="Times New Roman"/>
          <w:sz w:val="24"/>
          <w:szCs w:val="24"/>
        </w:rPr>
        <w:t xml:space="preserve"> their beloved elephant.  And the president, through actions he did or didn’t take during his tenure, alienated several of his former allies in an effort to do what he believed to be right</w:t>
      </w:r>
      <w:r w:rsidR="004C7B81">
        <w:rPr>
          <w:rFonts w:ascii="Times New Roman" w:hAnsi="Times New Roman" w:cs="Times New Roman"/>
          <w:sz w:val="24"/>
          <w:szCs w:val="24"/>
        </w:rPr>
        <w:t xml:space="preserve"> by lightening the punishment on the former Confederacy</w:t>
      </w:r>
      <w:r w:rsidRPr="002D394D">
        <w:rPr>
          <w:rFonts w:ascii="Times New Roman" w:hAnsi="Times New Roman" w:cs="Times New Roman"/>
          <w:sz w:val="24"/>
          <w:szCs w:val="24"/>
        </w:rPr>
        <w:t>.  This led to</w:t>
      </w:r>
      <w:r w:rsidR="00F16001">
        <w:rPr>
          <w:rFonts w:ascii="Times New Roman" w:hAnsi="Times New Roman" w:cs="Times New Roman"/>
          <w:sz w:val="24"/>
          <w:szCs w:val="24"/>
        </w:rPr>
        <w:t xml:space="preserve"> yet another</w:t>
      </w:r>
      <w:r w:rsidRPr="002D394D">
        <w:rPr>
          <w:rFonts w:ascii="Times New Roman" w:hAnsi="Times New Roman" w:cs="Times New Roman"/>
          <w:sz w:val="24"/>
          <w:szCs w:val="24"/>
        </w:rPr>
        <w:t xml:space="preserve"> segment </w:t>
      </w:r>
      <w:r w:rsidRPr="002D394D">
        <w:rPr>
          <w:rFonts w:ascii="Times New Roman" w:hAnsi="Times New Roman" w:cs="Times New Roman"/>
          <w:sz w:val="24"/>
          <w:szCs w:val="24"/>
        </w:rPr>
        <w:lastRenderedPageBreak/>
        <w:t>of the American population harboring a grievance against President Grant</w:t>
      </w:r>
      <w:r w:rsidR="00120512">
        <w:rPr>
          <w:rFonts w:ascii="Times New Roman" w:hAnsi="Times New Roman" w:cs="Times New Roman"/>
          <w:sz w:val="24"/>
          <w:szCs w:val="24"/>
        </w:rPr>
        <w:t>. M</w:t>
      </w:r>
      <w:r w:rsidRPr="002D394D">
        <w:rPr>
          <w:rFonts w:ascii="Times New Roman" w:hAnsi="Times New Roman" w:cs="Times New Roman"/>
          <w:sz w:val="24"/>
          <w:szCs w:val="24"/>
        </w:rPr>
        <w:t>any of these individuals aired the</w:t>
      </w:r>
      <w:r w:rsidR="00F43F7A">
        <w:rPr>
          <w:rFonts w:ascii="Times New Roman" w:hAnsi="Times New Roman" w:cs="Times New Roman"/>
          <w:sz w:val="24"/>
          <w:szCs w:val="24"/>
        </w:rPr>
        <w:t>ir</w:t>
      </w:r>
      <w:r w:rsidRPr="002D394D">
        <w:rPr>
          <w:rFonts w:ascii="Times New Roman" w:hAnsi="Times New Roman" w:cs="Times New Roman"/>
          <w:sz w:val="24"/>
          <w:szCs w:val="24"/>
        </w:rPr>
        <w:t xml:space="preserve"> grievances publicly</w:t>
      </w:r>
      <w:r w:rsidR="000437D2">
        <w:rPr>
          <w:rFonts w:ascii="Times New Roman" w:hAnsi="Times New Roman" w:cs="Times New Roman"/>
          <w:sz w:val="24"/>
          <w:szCs w:val="24"/>
        </w:rPr>
        <w:t xml:space="preserve"> (</w:t>
      </w:r>
      <w:r w:rsidR="000437D2">
        <w:rPr>
          <w:rFonts w:ascii="Times New Roman" w:hAnsi="Times New Roman" w:cs="Times New Roman"/>
          <w:b/>
          <w:bCs/>
          <w:sz w:val="24"/>
          <w:szCs w:val="24"/>
        </w:rPr>
        <w:t>Figure 4.2</w:t>
      </w:r>
      <w:r w:rsidR="000437D2">
        <w:rPr>
          <w:rFonts w:ascii="Times New Roman" w:hAnsi="Times New Roman" w:cs="Times New Roman"/>
          <w:sz w:val="24"/>
          <w:szCs w:val="24"/>
        </w:rPr>
        <w:t>)</w:t>
      </w:r>
      <w:r w:rsidRPr="002D394D">
        <w:rPr>
          <w:rFonts w:ascii="Times New Roman" w:hAnsi="Times New Roman" w:cs="Times New Roman"/>
          <w:sz w:val="24"/>
          <w:szCs w:val="24"/>
        </w:rPr>
        <w:t>.</w:t>
      </w:r>
    </w:p>
    <w:p w14:paraId="599528FA" w14:textId="6C4170C6"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As highlighted by the “Impotent Rage” cartoon, assailants had a favorite cry in their attacks on the Grant Administration: Caesarism.</w:t>
      </w:r>
      <w:r w:rsidRPr="002D394D">
        <w:rPr>
          <w:rFonts w:ascii="Times New Roman" w:hAnsi="Times New Roman" w:cs="Times New Roman"/>
          <w:sz w:val="24"/>
          <w:szCs w:val="24"/>
          <w:vertAlign w:val="superscript"/>
        </w:rPr>
        <w:footnoteReference w:id="911"/>
      </w:r>
      <w:r w:rsidRPr="002D394D">
        <w:rPr>
          <w:rFonts w:ascii="Times New Roman" w:hAnsi="Times New Roman" w:cs="Times New Roman"/>
          <w:sz w:val="24"/>
          <w:szCs w:val="24"/>
        </w:rPr>
        <w:t xml:space="preserve">  Comparing the president to the infamous dictator Julius Caesar was a common method of denigrating the actions of the Commander in Chief.  This was done out of fear, largely amongst Grant’s </w:t>
      </w:r>
      <w:r w:rsidR="0022064E">
        <w:rPr>
          <w:rFonts w:ascii="Times New Roman" w:hAnsi="Times New Roman" w:cs="Times New Roman"/>
          <w:sz w:val="24"/>
          <w:szCs w:val="24"/>
        </w:rPr>
        <w:t>D</w:t>
      </w:r>
      <w:r w:rsidRPr="002D394D">
        <w:rPr>
          <w:rFonts w:ascii="Times New Roman" w:hAnsi="Times New Roman" w:cs="Times New Roman"/>
          <w:sz w:val="24"/>
          <w:szCs w:val="24"/>
        </w:rPr>
        <w:t>emocratic opponents, that the Republic itself was in danger of falling, as Ancient Rome had fallen, because of the actions of a military hero who “abbreviated representative government, and with the plaudits of a glory-mad public ringing in his ears.”</w:t>
      </w:r>
      <w:r w:rsidRPr="002D394D">
        <w:rPr>
          <w:rFonts w:ascii="Times New Roman" w:hAnsi="Times New Roman" w:cs="Times New Roman"/>
          <w:sz w:val="24"/>
          <w:szCs w:val="24"/>
          <w:vertAlign w:val="superscript"/>
        </w:rPr>
        <w:footnoteReference w:id="912"/>
      </w:r>
      <w:r w:rsidRPr="002D394D">
        <w:rPr>
          <w:rFonts w:ascii="Times New Roman" w:hAnsi="Times New Roman" w:cs="Times New Roman"/>
          <w:sz w:val="24"/>
          <w:szCs w:val="24"/>
        </w:rPr>
        <w:t xml:space="preserve">  At some point these assaults went a step further, taking on a more personal flair as the term “Grantism” circulated the political and media lexicon.  The reasons for these comparisons consisted largely of perceived stealings by local Republican administrators across the nation, which in turn led to a system of ill-gotten power which improperly favored the party in power and its leader.</w:t>
      </w:r>
      <w:r w:rsidRPr="002D394D">
        <w:rPr>
          <w:rFonts w:ascii="Times New Roman" w:hAnsi="Times New Roman" w:cs="Times New Roman"/>
          <w:sz w:val="24"/>
          <w:szCs w:val="24"/>
          <w:vertAlign w:val="superscript"/>
        </w:rPr>
        <w:footnoteReference w:id="913"/>
      </w:r>
      <w:r w:rsidRPr="002D394D">
        <w:rPr>
          <w:rFonts w:ascii="Times New Roman" w:hAnsi="Times New Roman" w:cs="Times New Roman"/>
          <w:sz w:val="24"/>
          <w:szCs w:val="24"/>
        </w:rPr>
        <w:t xml:space="preserve">  </w:t>
      </w:r>
    </w:p>
    <w:p w14:paraId="3FC345E3" w14:textId="77777777" w:rsidR="00DB11CE"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Perhaps the thing most worr</w:t>
      </w:r>
      <w:r w:rsidR="008A5695">
        <w:rPr>
          <w:rFonts w:ascii="Times New Roman" w:hAnsi="Times New Roman" w:cs="Times New Roman"/>
          <w:sz w:val="24"/>
          <w:szCs w:val="24"/>
        </w:rPr>
        <w:t>ying</w:t>
      </w:r>
      <w:r w:rsidRPr="002D394D">
        <w:rPr>
          <w:rFonts w:ascii="Times New Roman" w:hAnsi="Times New Roman" w:cs="Times New Roman"/>
          <w:sz w:val="24"/>
          <w:szCs w:val="24"/>
        </w:rPr>
        <w:t xml:space="preserve"> Grant’s opponents was the prospect of his maintaining an improper amount of power for an extended period of time, highlighted by the rhetoric warning of the terrors that would come with a potential third term in the White House.</w:t>
      </w:r>
      <w:r w:rsidRPr="002D394D">
        <w:rPr>
          <w:rFonts w:ascii="Times New Roman" w:hAnsi="Times New Roman" w:cs="Times New Roman"/>
          <w:sz w:val="24"/>
          <w:szCs w:val="24"/>
          <w:vertAlign w:val="superscript"/>
        </w:rPr>
        <w:footnoteReference w:id="914"/>
      </w:r>
      <w:r w:rsidRPr="002D394D">
        <w:rPr>
          <w:rFonts w:ascii="Times New Roman" w:hAnsi="Times New Roman" w:cs="Times New Roman"/>
          <w:sz w:val="24"/>
          <w:szCs w:val="24"/>
        </w:rPr>
        <w:t xml:space="preserve">  This outcry led into the 1874 midterm election, which historian Mark Wahlgren Summers referred to as both a “referenda on [a] single issue” and “an explicit judgement on the man in the White House” regarding the administration’s perceived failure to root out corruption from within.</w:t>
      </w:r>
      <w:r w:rsidRPr="002D394D">
        <w:rPr>
          <w:rFonts w:ascii="Times New Roman" w:hAnsi="Times New Roman" w:cs="Times New Roman"/>
          <w:sz w:val="24"/>
          <w:szCs w:val="24"/>
          <w:vertAlign w:val="superscript"/>
        </w:rPr>
        <w:footnoteReference w:id="915"/>
      </w:r>
      <w:r w:rsidRPr="002D394D">
        <w:rPr>
          <w:rFonts w:ascii="Times New Roman" w:hAnsi="Times New Roman" w:cs="Times New Roman"/>
          <w:sz w:val="24"/>
          <w:szCs w:val="24"/>
        </w:rPr>
        <w:t xml:space="preserve">  As Grant </w:t>
      </w:r>
    </w:p>
    <w:p w14:paraId="5DA7A35B" w14:textId="77777777" w:rsidR="00DB11CE" w:rsidRDefault="00DB11CE" w:rsidP="00DB11CE">
      <w:pPr>
        <w:spacing w:line="480" w:lineRule="auto"/>
        <w:jc w:val="center"/>
        <w:rPr>
          <w:rFonts w:ascii="Times New Roman" w:hAnsi="Times New Roman" w:cs="Times New Roman"/>
          <w:b/>
          <w:bCs/>
          <w:sz w:val="20"/>
          <w:szCs w:val="20"/>
        </w:rPr>
      </w:pPr>
      <w:r w:rsidRPr="002D394D">
        <w:rPr>
          <w:noProof/>
        </w:rPr>
        <w:lastRenderedPageBreak/>
        <w:drawing>
          <wp:inline distT="0" distB="0" distL="0" distR="0" wp14:anchorId="3180B40D" wp14:editId="53105C06">
            <wp:extent cx="1744980" cy="2452542"/>
            <wp:effectExtent l="0" t="0" r="7620" b="5080"/>
            <wp:docPr id="3" name="Picture 2" descr="Book 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ok page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71007" cy="2489123"/>
                    </a:xfrm>
                    <a:prstGeom prst="rect">
                      <a:avLst/>
                    </a:prstGeom>
                    <a:noFill/>
                    <a:ln>
                      <a:noFill/>
                    </a:ln>
                  </pic:spPr>
                </pic:pic>
              </a:graphicData>
            </a:graphic>
          </wp:inline>
        </w:drawing>
      </w:r>
    </w:p>
    <w:p w14:paraId="44D09A8F" w14:textId="73F4F11D" w:rsidR="00DB11CE" w:rsidRPr="00DB11CE" w:rsidRDefault="00DB11CE" w:rsidP="00DB11CE">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Figure 4.2: </w:t>
      </w:r>
      <w:r w:rsidRPr="002D394D">
        <w:rPr>
          <w:rFonts w:ascii="Times New Roman" w:hAnsi="Times New Roman" w:cs="Times New Roman"/>
          <w:b/>
          <w:bCs/>
          <w:sz w:val="20"/>
          <w:szCs w:val="20"/>
        </w:rPr>
        <w:t>And the Whiskey Conspirators</w:t>
      </w:r>
      <w:r>
        <w:rPr>
          <w:rFonts w:ascii="Times New Roman" w:hAnsi="Times New Roman" w:cs="Times New Roman"/>
          <w:b/>
          <w:bCs/>
          <w:sz w:val="20"/>
          <w:szCs w:val="20"/>
        </w:rPr>
        <w:t xml:space="preserve">: </w:t>
      </w:r>
      <w:r w:rsidRPr="002D394D">
        <w:rPr>
          <w:rFonts w:ascii="Times New Roman" w:hAnsi="Times New Roman" w:cs="Times New Roman"/>
          <w:sz w:val="20"/>
          <w:szCs w:val="20"/>
        </w:rPr>
        <w:t>“Tighten your grip, Uncle Sam, or more of them will slip through your fingers after all”– Public Opinion</w:t>
      </w:r>
      <w:r>
        <w:rPr>
          <w:rFonts w:ascii="Times New Roman" w:hAnsi="Times New Roman" w:cs="Times New Roman"/>
          <w:sz w:val="20"/>
          <w:szCs w:val="20"/>
        </w:rPr>
        <w:t xml:space="preserve">. </w:t>
      </w:r>
      <w:r w:rsidRPr="002D394D">
        <w:rPr>
          <w:rFonts w:ascii="Times New Roman" w:hAnsi="Times New Roman" w:cs="Times New Roman"/>
          <w:sz w:val="20"/>
          <w:szCs w:val="20"/>
        </w:rPr>
        <w:t>In the wake of the Whiskey Ring trials, public opinion demanded that the Grant Administration eliminate the corrupt element within, lest more slip through without proper justice done, as evidenced by Babcock, bottom left, who ultimately escaped without criminal charges.</w:t>
      </w:r>
      <w:r w:rsidRPr="00311697">
        <w:rPr>
          <w:rFonts w:ascii="Times New Roman" w:hAnsi="Times New Roman" w:cs="Times New Roman"/>
          <w:sz w:val="20"/>
          <w:szCs w:val="20"/>
          <w:vertAlign w:val="superscript"/>
        </w:rPr>
        <w:t xml:space="preserve"> </w:t>
      </w:r>
      <w:r w:rsidRPr="002D394D">
        <w:rPr>
          <w:rFonts w:ascii="Times New Roman" w:hAnsi="Times New Roman" w:cs="Times New Roman"/>
          <w:sz w:val="20"/>
          <w:szCs w:val="20"/>
          <w:vertAlign w:val="superscript"/>
        </w:rPr>
        <w:footnoteReference w:id="916"/>
      </w:r>
    </w:p>
    <w:p w14:paraId="4A51E8EB" w14:textId="00F7FDCF" w:rsidR="002D394D" w:rsidRPr="002D394D" w:rsidRDefault="002D394D" w:rsidP="00DB11CE">
      <w:pPr>
        <w:spacing w:line="480" w:lineRule="auto"/>
        <w:rPr>
          <w:rFonts w:ascii="Times New Roman" w:hAnsi="Times New Roman" w:cs="Times New Roman"/>
          <w:sz w:val="24"/>
          <w:szCs w:val="24"/>
        </w:rPr>
      </w:pPr>
      <w:r w:rsidRPr="002D394D">
        <w:rPr>
          <w:rFonts w:ascii="Times New Roman" w:hAnsi="Times New Roman" w:cs="Times New Roman"/>
          <w:sz w:val="24"/>
          <w:szCs w:val="24"/>
        </w:rPr>
        <w:t xml:space="preserve">contemplated the upcoming 1876 election, the salaciousness of numerous scandals during his administration melded with the anger of enemies made before and during his tenure in the Oval Office.  </w:t>
      </w:r>
    </w:p>
    <w:p w14:paraId="555C9645" w14:textId="16D2EC56" w:rsidR="00DB11CE" w:rsidRDefault="002D394D" w:rsidP="00DB11CE">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The Democrats emerged with major victories in these midterm elections, and in response, President Grant was forced to look toward the future, considering not only his own political future, but also the people he might bring along for the ride</w:t>
      </w:r>
      <w:r w:rsidR="00F20278">
        <w:rPr>
          <w:rFonts w:ascii="Times New Roman" w:hAnsi="Times New Roman" w:cs="Times New Roman"/>
          <w:sz w:val="24"/>
          <w:szCs w:val="24"/>
        </w:rPr>
        <w:t>.</w:t>
      </w:r>
      <w:r w:rsidRPr="002D394D">
        <w:rPr>
          <w:rFonts w:ascii="Times New Roman" w:hAnsi="Times New Roman" w:cs="Times New Roman"/>
          <w:sz w:val="24"/>
          <w:szCs w:val="24"/>
        </w:rPr>
        <w:t xml:space="preserve">  At the height of this partisan stress, a perfect political storm swelled as questions surrounding his capacity to honestly lead the nation </w:t>
      </w:r>
      <w:r w:rsidR="00E33302">
        <w:rPr>
          <w:rFonts w:ascii="Times New Roman" w:hAnsi="Times New Roman" w:cs="Times New Roman"/>
          <w:sz w:val="24"/>
          <w:szCs w:val="24"/>
        </w:rPr>
        <w:t>rained</w:t>
      </w:r>
      <w:r w:rsidRPr="002D394D">
        <w:rPr>
          <w:rFonts w:ascii="Times New Roman" w:hAnsi="Times New Roman" w:cs="Times New Roman"/>
          <w:sz w:val="24"/>
          <w:szCs w:val="24"/>
        </w:rPr>
        <w:t>.  The majority of these claims came from the Democratic Party, who had retaken control of a Congressional chamber for the first time since the opening salvo of the Civil War.</w:t>
      </w:r>
      <w:r w:rsidRPr="002D394D">
        <w:rPr>
          <w:rFonts w:ascii="Times New Roman" w:hAnsi="Times New Roman" w:cs="Times New Roman"/>
          <w:sz w:val="24"/>
          <w:szCs w:val="24"/>
          <w:vertAlign w:val="superscript"/>
        </w:rPr>
        <w:footnoteReference w:id="917"/>
      </w:r>
      <w:r w:rsidRPr="002D394D">
        <w:rPr>
          <w:rFonts w:ascii="Times New Roman" w:hAnsi="Times New Roman" w:cs="Times New Roman"/>
          <w:sz w:val="24"/>
          <w:szCs w:val="24"/>
        </w:rPr>
        <w:t xml:space="preserve">  Democrats in the House of Representatives used their positions to investigate the Grant Administration for anything even remotely resembling corruption.</w:t>
      </w:r>
      <w:r w:rsidRPr="002D394D">
        <w:rPr>
          <w:rFonts w:ascii="Times New Roman" w:hAnsi="Times New Roman" w:cs="Times New Roman"/>
          <w:sz w:val="24"/>
          <w:szCs w:val="24"/>
          <w:vertAlign w:val="superscript"/>
        </w:rPr>
        <w:footnoteReference w:id="918"/>
      </w:r>
      <w:r w:rsidRPr="002D394D">
        <w:rPr>
          <w:rFonts w:ascii="Times New Roman" w:hAnsi="Times New Roman" w:cs="Times New Roman"/>
          <w:sz w:val="24"/>
          <w:szCs w:val="24"/>
        </w:rPr>
        <w:t xml:space="preserve">  The House reopened </w:t>
      </w:r>
      <w:r w:rsidRPr="002D394D">
        <w:rPr>
          <w:rFonts w:ascii="Times New Roman" w:hAnsi="Times New Roman" w:cs="Times New Roman"/>
          <w:sz w:val="24"/>
          <w:szCs w:val="24"/>
        </w:rPr>
        <w:lastRenderedPageBreak/>
        <w:t xml:space="preserve">investigations into the Whiskey Ring while also opening new investigations into </w:t>
      </w:r>
      <w:r w:rsidR="000775D0">
        <w:rPr>
          <w:rFonts w:ascii="Times New Roman" w:hAnsi="Times New Roman" w:cs="Times New Roman"/>
          <w:sz w:val="24"/>
          <w:szCs w:val="24"/>
        </w:rPr>
        <w:t>malfeasance by multiple members of Grant’s Cabinet</w:t>
      </w:r>
      <w:r w:rsidRPr="002D394D">
        <w:rPr>
          <w:rFonts w:ascii="Times New Roman" w:hAnsi="Times New Roman" w:cs="Times New Roman"/>
          <w:sz w:val="24"/>
          <w:szCs w:val="24"/>
        </w:rPr>
        <w:t xml:space="preserve">, all in an effort to make political capital at the expense of </w:t>
      </w:r>
      <w:r w:rsidR="00DB11CE" w:rsidRPr="002D394D">
        <w:rPr>
          <w:rFonts w:ascii="Times New Roman" w:hAnsi="Times New Roman" w:cs="Times New Roman"/>
          <w:sz w:val="24"/>
          <w:szCs w:val="24"/>
        </w:rPr>
        <w:t>their oppone</w:t>
      </w:r>
      <w:r w:rsidR="00DB11CE">
        <w:rPr>
          <w:rFonts w:ascii="Times New Roman" w:hAnsi="Times New Roman" w:cs="Times New Roman"/>
          <w:sz w:val="24"/>
          <w:szCs w:val="24"/>
        </w:rPr>
        <w:t>nts</w:t>
      </w:r>
      <w:r w:rsidR="00DB11CE" w:rsidRPr="002D394D">
        <w:rPr>
          <w:rFonts w:ascii="Times New Roman" w:hAnsi="Times New Roman" w:cs="Times New Roman"/>
          <w:sz w:val="24"/>
          <w:szCs w:val="24"/>
        </w:rPr>
        <w:t>.</w:t>
      </w:r>
      <w:r w:rsidR="00DB11CE" w:rsidRPr="002D394D">
        <w:rPr>
          <w:rFonts w:ascii="Times New Roman" w:hAnsi="Times New Roman" w:cs="Times New Roman"/>
          <w:sz w:val="24"/>
          <w:szCs w:val="24"/>
          <w:vertAlign w:val="superscript"/>
        </w:rPr>
        <w:footnoteReference w:id="919"/>
      </w:r>
      <w:r w:rsidR="00DB11CE" w:rsidRPr="002D394D">
        <w:rPr>
          <w:rFonts w:ascii="Times New Roman" w:hAnsi="Times New Roman" w:cs="Times New Roman"/>
          <w:sz w:val="24"/>
          <w:szCs w:val="24"/>
        </w:rPr>
        <w:t xml:space="preserve">  These </w:t>
      </w:r>
      <w:r w:rsidR="00DB11CE">
        <w:rPr>
          <w:rFonts w:ascii="Times New Roman" w:hAnsi="Times New Roman" w:cs="Times New Roman"/>
          <w:sz w:val="24"/>
          <w:szCs w:val="24"/>
        </w:rPr>
        <w:t>inquests</w:t>
      </w:r>
      <w:r w:rsidR="00DB11CE" w:rsidRPr="002D394D">
        <w:rPr>
          <w:rFonts w:ascii="Times New Roman" w:hAnsi="Times New Roman" w:cs="Times New Roman"/>
          <w:sz w:val="24"/>
          <w:szCs w:val="24"/>
        </w:rPr>
        <w:t xml:space="preserve"> typically elicited the support of Liberal Republicans, though they did not desire to see Grant impeached like his predecessor.</w:t>
      </w:r>
      <w:r w:rsidR="00DB11CE" w:rsidRPr="002D394D">
        <w:rPr>
          <w:rFonts w:ascii="Times New Roman" w:hAnsi="Times New Roman" w:cs="Times New Roman"/>
          <w:sz w:val="24"/>
          <w:szCs w:val="24"/>
          <w:vertAlign w:val="superscript"/>
        </w:rPr>
        <w:footnoteReference w:id="920"/>
      </w:r>
      <w:r w:rsidR="00DB11CE" w:rsidRPr="002D394D">
        <w:rPr>
          <w:rFonts w:ascii="Times New Roman" w:hAnsi="Times New Roman" w:cs="Times New Roman"/>
          <w:sz w:val="24"/>
          <w:szCs w:val="24"/>
        </w:rPr>
        <w:t xml:space="preserve">  Instead</w:t>
      </w:r>
      <w:r w:rsidR="00DB11CE">
        <w:rPr>
          <w:rFonts w:ascii="Times New Roman" w:hAnsi="Times New Roman" w:cs="Times New Roman"/>
          <w:sz w:val="24"/>
          <w:szCs w:val="24"/>
        </w:rPr>
        <w:t>, as Senator Carl Schurz of Missouri suggested,</w:t>
      </w:r>
      <w:r w:rsidR="00DB11CE" w:rsidRPr="002D394D">
        <w:rPr>
          <w:rFonts w:ascii="Times New Roman" w:hAnsi="Times New Roman" w:cs="Times New Roman"/>
          <w:sz w:val="24"/>
          <w:szCs w:val="24"/>
        </w:rPr>
        <w:t xml:space="preserve"> they sought to stir up “fuel to keep the fire going” in an attempt to</w:t>
      </w:r>
      <w:r w:rsidR="00DB11CE" w:rsidRPr="00DB11CE">
        <w:rPr>
          <w:rFonts w:ascii="Times New Roman" w:hAnsi="Times New Roman" w:cs="Times New Roman"/>
          <w:sz w:val="24"/>
          <w:szCs w:val="24"/>
        </w:rPr>
        <w:t xml:space="preserve"> </w:t>
      </w:r>
      <w:r w:rsidR="00DB11CE" w:rsidRPr="002D394D">
        <w:rPr>
          <w:rFonts w:ascii="Times New Roman" w:hAnsi="Times New Roman" w:cs="Times New Roman"/>
          <w:sz w:val="24"/>
          <w:szCs w:val="24"/>
        </w:rPr>
        <w:t>repair the “burning shame” felt by the nation.</w:t>
      </w:r>
      <w:r w:rsidR="00DB11CE" w:rsidRPr="002D394D">
        <w:rPr>
          <w:rFonts w:ascii="Times New Roman" w:hAnsi="Times New Roman" w:cs="Times New Roman"/>
          <w:sz w:val="24"/>
          <w:szCs w:val="24"/>
          <w:vertAlign w:val="superscript"/>
        </w:rPr>
        <w:footnoteReference w:id="921"/>
      </w:r>
      <w:r w:rsidR="00DB11CE" w:rsidRPr="002D394D">
        <w:rPr>
          <w:rFonts w:ascii="Times New Roman" w:hAnsi="Times New Roman" w:cs="Times New Roman"/>
          <w:sz w:val="24"/>
          <w:szCs w:val="24"/>
        </w:rPr>
        <w:t xml:space="preserve">  The </w:t>
      </w:r>
      <w:r w:rsidR="00DB11CE">
        <w:rPr>
          <w:rFonts w:ascii="Times New Roman" w:hAnsi="Times New Roman" w:cs="Times New Roman"/>
          <w:sz w:val="24"/>
          <w:szCs w:val="24"/>
        </w:rPr>
        <w:t>smoke surrounding</w:t>
      </w:r>
      <w:r w:rsidR="00DB11CE" w:rsidRPr="002D394D">
        <w:rPr>
          <w:rFonts w:ascii="Times New Roman" w:hAnsi="Times New Roman" w:cs="Times New Roman"/>
          <w:sz w:val="24"/>
          <w:szCs w:val="24"/>
        </w:rPr>
        <w:t xml:space="preserve"> th</w:t>
      </w:r>
      <w:r w:rsidR="00DB11CE">
        <w:rPr>
          <w:rFonts w:ascii="Times New Roman" w:hAnsi="Times New Roman" w:cs="Times New Roman"/>
          <w:sz w:val="24"/>
          <w:szCs w:val="24"/>
        </w:rPr>
        <w:t>is suspected and real criminality</w:t>
      </w:r>
      <w:r w:rsidR="00DB11CE" w:rsidRPr="002D394D">
        <w:rPr>
          <w:rFonts w:ascii="Times New Roman" w:hAnsi="Times New Roman" w:cs="Times New Roman"/>
          <w:sz w:val="24"/>
          <w:szCs w:val="24"/>
        </w:rPr>
        <w:t xml:space="preserve"> heightened these cries and encouraged those frustrated with Grant’s leadership to look elsewhere in the coming 1876 election.</w:t>
      </w:r>
    </w:p>
    <w:p w14:paraId="3A4CAE95" w14:textId="7641BD84" w:rsidR="002D394D" w:rsidRPr="002D394D" w:rsidRDefault="000437D2" w:rsidP="00DB11CE">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1874, two years b</w:t>
      </w:r>
      <w:r w:rsidRPr="002D394D">
        <w:rPr>
          <w:rFonts w:ascii="Times New Roman" w:hAnsi="Times New Roman" w:cs="Times New Roman"/>
          <w:sz w:val="24"/>
          <w:szCs w:val="24"/>
        </w:rPr>
        <w:t>efore the Whiskey Ring shaped the rhetoric of Caesarism in the Grant Administration</w:t>
      </w:r>
      <w:r>
        <w:rPr>
          <w:rFonts w:ascii="Times New Roman" w:hAnsi="Times New Roman" w:cs="Times New Roman"/>
          <w:sz w:val="24"/>
          <w:szCs w:val="24"/>
        </w:rPr>
        <w:t>, and around the time of the aforementioned midterm elections,</w:t>
      </w:r>
      <w:r w:rsidRPr="002D394D">
        <w:rPr>
          <w:rFonts w:ascii="Times New Roman" w:hAnsi="Times New Roman" w:cs="Times New Roman"/>
          <w:sz w:val="24"/>
          <w:szCs w:val="24"/>
        </w:rPr>
        <w:t xml:space="preserve"> a local issue in the nation’s capital </w:t>
      </w:r>
      <w:r>
        <w:rPr>
          <w:rFonts w:ascii="Times New Roman" w:hAnsi="Times New Roman" w:cs="Times New Roman"/>
          <w:sz w:val="24"/>
          <w:szCs w:val="24"/>
        </w:rPr>
        <w:t>served as a spark to re</w:t>
      </w:r>
      <w:r w:rsidRPr="002D394D">
        <w:rPr>
          <w:rFonts w:ascii="Times New Roman" w:hAnsi="Times New Roman" w:cs="Times New Roman"/>
          <w:sz w:val="24"/>
          <w:szCs w:val="24"/>
        </w:rPr>
        <w:t>stoke the flames lit under Grant’s opponents</w:t>
      </w:r>
      <w:r>
        <w:rPr>
          <w:rFonts w:ascii="Times New Roman" w:hAnsi="Times New Roman" w:cs="Times New Roman"/>
          <w:sz w:val="24"/>
          <w:szCs w:val="24"/>
        </w:rPr>
        <w:t xml:space="preserve"> and</w:t>
      </w:r>
      <w:r w:rsidR="00DB11CE">
        <w:rPr>
          <w:rFonts w:ascii="Times New Roman" w:hAnsi="Times New Roman" w:cs="Times New Roman"/>
          <w:sz w:val="24"/>
          <w:szCs w:val="24"/>
        </w:rPr>
        <w:t xml:space="preserve"> </w:t>
      </w:r>
      <w:r w:rsidR="002D394D" w:rsidRPr="002D394D">
        <w:rPr>
          <w:rFonts w:ascii="Times New Roman" w:hAnsi="Times New Roman" w:cs="Times New Roman"/>
          <w:sz w:val="24"/>
          <w:szCs w:val="24"/>
        </w:rPr>
        <w:t xml:space="preserve">their insistence that the president and his associates were up to no good. </w:t>
      </w:r>
      <w:r w:rsidR="00D55DDC">
        <w:rPr>
          <w:rFonts w:ascii="Times New Roman" w:hAnsi="Times New Roman" w:cs="Times New Roman"/>
          <w:sz w:val="24"/>
          <w:szCs w:val="24"/>
        </w:rPr>
        <w:t>T</w:t>
      </w:r>
      <w:r w:rsidR="002D394D" w:rsidRPr="002D394D">
        <w:rPr>
          <w:rFonts w:ascii="Times New Roman" w:hAnsi="Times New Roman" w:cs="Times New Roman"/>
          <w:sz w:val="24"/>
          <w:szCs w:val="24"/>
        </w:rPr>
        <w:t>he claims in Washington</w:t>
      </w:r>
      <w:r w:rsidR="00D55DDC">
        <w:rPr>
          <w:rFonts w:ascii="Times New Roman" w:hAnsi="Times New Roman" w:cs="Times New Roman"/>
          <w:sz w:val="24"/>
          <w:szCs w:val="24"/>
        </w:rPr>
        <w:t xml:space="preserve"> were </w:t>
      </w:r>
      <w:r w:rsidR="002D394D" w:rsidRPr="002D394D">
        <w:rPr>
          <w:rFonts w:ascii="Times New Roman" w:hAnsi="Times New Roman" w:cs="Times New Roman"/>
          <w:sz w:val="24"/>
          <w:szCs w:val="24"/>
        </w:rPr>
        <w:t>focused on Orville Babcock</w:t>
      </w:r>
      <w:r w:rsidR="00D55DDC">
        <w:rPr>
          <w:rFonts w:ascii="Times New Roman" w:hAnsi="Times New Roman" w:cs="Times New Roman"/>
          <w:sz w:val="24"/>
          <w:szCs w:val="24"/>
        </w:rPr>
        <w:t>, yet</w:t>
      </w:r>
      <w:r w:rsidR="002D394D" w:rsidRPr="002D394D">
        <w:rPr>
          <w:rFonts w:ascii="Times New Roman" w:hAnsi="Times New Roman" w:cs="Times New Roman"/>
          <w:sz w:val="24"/>
          <w:szCs w:val="24"/>
        </w:rPr>
        <w:t xml:space="preserve"> in this instance, the claims were not for his duties in service to the White House, but those in service to the people of the District.  Babcock’s work </w:t>
      </w:r>
      <w:r w:rsidR="006D7B71">
        <w:rPr>
          <w:rFonts w:ascii="Times New Roman" w:hAnsi="Times New Roman" w:cs="Times New Roman"/>
          <w:sz w:val="24"/>
          <w:szCs w:val="24"/>
        </w:rPr>
        <w:t>as Superintendent of Public Buildings and Grounds</w:t>
      </w:r>
      <w:r w:rsidR="002D394D" w:rsidRPr="002D394D">
        <w:rPr>
          <w:rFonts w:ascii="Times New Roman" w:hAnsi="Times New Roman" w:cs="Times New Roman"/>
          <w:sz w:val="24"/>
          <w:szCs w:val="24"/>
        </w:rPr>
        <w:t xml:space="preserve"> in Washington and his friendship with Governor Alexander Robey Shepherd led to assumptions that Babcock was a member of the infamous “District Ring.”</w:t>
      </w:r>
      <w:r w:rsidR="002D394D" w:rsidRPr="002D394D">
        <w:rPr>
          <w:rFonts w:ascii="Times New Roman" w:hAnsi="Times New Roman" w:cs="Times New Roman"/>
          <w:sz w:val="24"/>
          <w:szCs w:val="24"/>
          <w:vertAlign w:val="superscript"/>
        </w:rPr>
        <w:footnoteReference w:id="922"/>
      </w:r>
      <w:r w:rsidR="002D394D" w:rsidRPr="002D394D">
        <w:rPr>
          <w:rFonts w:ascii="Times New Roman" w:hAnsi="Times New Roman" w:cs="Times New Roman"/>
          <w:sz w:val="24"/>
          <w:szCs w:val="24"/>
        </w:rPr>
        <w:t xml:space="preserve">  </w:t>
      </w:r>
      <w:r w:rsidR="006D7B71">
        <w:rPr>
          <w:rFonts w:ascii="Times New Roman" w:hAnsi="Times New Roman" w:cs="Times New Roman"/>
          <w:sz w:val="24"/>
          <w:szCs w:val="24"/>
        </w:rPr>
        <w:t>This</w:t>
      </w:r>
      <w:r w:rsidR="002D394D" w:rsidRPr="002D394D">
        <w:rPr>
          <w:rFonts w:ascii="Times New Roman" w:hAnsi="Times New Roman" w:cs="Times New Roman"/>
          <w:sz w:val="24"/>
          <w:szCs w:val="24"/>
        </w:rPr>
        <w:t xml:space="preserve"> led to a showdown with those interested in reforming t</w:t>
      </w:r>
      <w:r w:rsidR="006D7B71">
        <w:rPr>
          <w:rFonts w:ascii="Times New Roman" w:hAnsi="Times New Roman" w:cs="Times New Roman"/>
          <w:sz w:val="24"/>
          <w:szCs w:val="24"/>
        </w:rPr>
        <w:t xml:space="preserve">he local </w:t>
      </w:r>
      <w:r w:rsidR="002D394D" w:rsidRPr="002D394D">
        <w:rPr>
          <w:rFonts w:ascii="Times New Roman" w:hAnsi="Times New Roman" w:cs="Times New Roman"/>
          <w:sz w:val="24"/>
          <w:szCs w:val="24"/>
        </w:rPr>
        <w:lastRenderedPageBreak/>
        <w:t xml:space="preserve">political arena.  </w:t>
      </w:r>
      <w:r w:rsidR="00EB7EDB">
        <w:rPr>
          <w:rFonts w:ascii="Times New Roman" w:hAnsi="Times New Roman" w:cs="Times New Roman"/>
          <w:sz w:val="24"/>
          <w:szCs w:val="24"/>
        </w:rPr>
        <w:t>T</w:t>
      </w:r>
      <w:r w:rsidR="002D394D" w:rsidRPr="002D394D">
        <w:rPr>
          <w:rFonts w:ascii="Times New Roman" w:hAnsi="Times New Roman" w:cs="Times New Roman"/>
          <w:sz w:val="24"/>
          <w:szCs w:val="24"/>
        </w:rPr>
        <w:t>he Grant Administration</w:t>
      </w:r>
      <w:r w:rsidR="00EB7EDB">
        <w:rPr>
          <w:rFonts w:ascii="Times New Roman" w:hAnsi="Times New Roman" w:cs="Times New Roman"/>
          <w:sz w:val="24"/>
          <w:szCs w:val="24"/>
        </w:rPr>
        <w:t>’s efforts</w:t>
      </w:r>
      <w:r w:rsidR="00354731">
        <w:rPr>
          <w:rFonts w:ascii="Times New Roman" w:hAnsi="Times New Roman" w:cs="Times New Roman"/>
          <w:sz w:val="24"/>
          <w:szCs w:val="24"/>
        </w:rPr>
        <w:t xml:space="preserve"> to</w:t>
      </w:r>
      <w:r w:rsidR="002D394D" w:rsidRPr="002D394D">
        <w:rPr>
          <w:rFonts w:ascii="Times New Roman" w:hAnsi="Times New Roman" w:cs="Times New Roman"/>
          <w:sz w:val="24"/>
          <w:szCs w:val="24"/>
        </w:rPr>
        <w:t xml:space="preserve"> reform the civil service</w:t>
      </w:r>
      <w:r w:rsidR="00EB7EDB">
        <w:rPr>
          <w:rFonts w:ascii="Times New Roman" w:hAnsi="Times New Roman" w:cs="Times New Roman"/>
          <w:sz w:val="24"/>
          <w:szCs w:val="24"/>
        </w:rPr>
        <w:t xml:space="preserve"> </w:t>
      </w:r>
      <w:r w:rsidR="00354731">
        <w:rPr>
          <w:rFonts w:ascii="Times New Roman" w:hAnsi="Times New Roman" w:cs="Times New Roman"/>
          <w:sz w:val="24"/>
          <w:szCs w:val="24"/>
        </w:rPr>
        <w:t>brough</w:t>
      </w:r>
      <w:r w:rsidR="00EB7EDB">
        <w:rPr>
          <w:rFonts w:ascii="Times New Roman" w:hAnsi="Times New Roman" w:cs="Times New Roman"/>
          <w:sz w:val="24"/>
          <w:szCs w:val="24"/>
        </w:rPr>
        <w:t>t</w:t>
      </w:r>
      <w:r w:rsidR="00354731">
        <w:rPr>
          <w:rFonts w:ascii="Times New Roman" w:hAnsi="Times New Roman" w:cs="Times New Roman"/>
          <w:sz w:val="24"/>
          <w:szCs w:val="24"/>
        </w:rPr>
        <w:t xml:space="preserve"> them into conflict with</w:t>
      </w:r>
      <w:r w:rsidR="002D394D" w:rsidRPr="002D394D">
        <w:rPr>
          <w:rFonts w:ascii="Times New Roman" w:hAnsi="Times New Roman" w:cs="Times New Roman"/>
          <w:sz w:val="24"/>
          <w:szCs w:val="24"/>
        </w:rPr>
        <w:t xml:space="preserve"> such nefarious groups as the District Ring </w:t>
      </w:r>
      <w:r w:rsidR="00354731">
        <w:rPr>
          <w:rFonts w:ascii="Times New Roman" w:hAnsi="Times New Roman" w:cs="Times New Roman"/>
          <w:sz w:val="24"/>
          <w:szCs w:val="24"/>
        </w:rPr>
        <w:t>whose</w:t>
      </w:r>
      <w:r w:rsidR="002D394D" w:rsidRPr="002D394D">
        <w:rPr>
          <w:rFonts w:ascii="Times New Roman" w:hAnsi="Times New Roman" w:cs="Times New Roman"/>
          <w:sz w:val="24"/>
          <w:szCs w:val="24"/>
        </w:rPr>
        <w:t xml:space="preserve"> actions</w:t>
      </w:r>
      <w:r w:rsidR="00354731">
        <w:rPr>
          <w:rFonts w:ascii="Times New Roman" w:hAnsi="Times New Roman" w:cs="Times New Roman"/>
          <w:sz w:val="24"/>
          <w:szCs w:val="24"/>
        </w:rPr>
        <w:t xml:space="preserve"> were restricted to mostl</w:t>
      </w:r>
      <w:r w:rsidR="002D394D" w:rsidRPr="002D394D">
        <w:rPr>
          <w:rFonts w:ascii="Times New Roman" w:hAnsi="Times New Roman" w:cs="Times New Roman"/>
          <w:sz w:val="24"/>
          <w:szCs w:val="24"/>
        </w:rPr>
        <w:t>y local concerns.  Unlike the Tweed Ring in New York, which developed a penchant for shaping the political realm</w:t>
      </w:r>
      <w:r w:rsidR="00984CC6">
        <w:rPr>
          <w:rFonts w:ascii="Times New Roman" w:hAnsi="Times New Roman" w:cs="Times New Roman"/>
          <w:sz w:val="24"/>
          <w:szCs w:val="24"/>
        </w:rPr>
        <w:t xml:space="preserve"> past</w:t>
      </w:r>
      <w:r w:rsidR="002D394D" w:rsidRPr="002D394D">
        <w:rPr>
          <w:rFonts w:ascii="Times New Roman" w:hAnsi="Times New Roman" w:cs="Times New Roman"/>
          <w:sz w:val="24"/>
          <w:szCs w:val="24"/>
        </w:rPr>
        <w:t xml:space="preserve"> the city</w:t>
      </w:r>
      <w:r w:rsidR="00984CC6">
        <w:rPr>
          <w:rFonts w:ascii="Times New Roman" w:hAnsi="Times New Roman" w:cs="Times New Roman"/>
          <w:sz w:val="24"/>
          <w:szCs w:val="24"/>
        </w:rPr>
        <w:t xml:space="preserve"> to</w:t>
      </w:r>
      <w:r w:rsidR="002D394D" w:rsidRPr="002D394D">
        <w:rPr>
          <w:rFonts w:ascii="Times New Roman" w:hAnsi="Times New Roman" w:cs="Times New Roman"/>
          <w:sz w:val="24"/>
          <w:szCs w:val="24"/>
        </w:rPr>
        <w:t xml:space="preserve"> the state of New York</w:t>
      </w:r>
      <w:r w:rsidR="00984CC6">
        <w:rPr>
          <w:rFonts w:ascii="Times New Roman" w:hAnsi="Times New Roman" w:cs="Times New Roman"/>
          <w:sz w:val="24"/>
          <w:szCs w:val="24"/>
        </w:rPr>
        <w:t xml:space="preserve"> and beyond</w:t>
      </w:r>
      <w:r w:rsidR="002D394D" w:rsidRPr="002D394D">
        <w:rPr>
          <w:rFonts w:ascii="Times New Roman" w:hAnsi="Times New Roman" w:cs="Times New Roman"/>
          <w:sz w:val="24"/>
          <w:szCs w:val="24"/>
        </w:rPr>
        <w:t>, the District Ring’s influence seems to have been shaped to affect regional affairs amongst the well-to-do of the nation’s capital.</w:t>
      </w:r>
      <w:r w:rsidR="002D394D" w:rsidRPr="002D394D">
        <w:rPr>
          <w:rFonts w:ascii="Times New Roman" w:hAnsi="Times New Roman" w:cs="Times New Roman"/>
          <w:sz w:val="24"/>
          <w:szCs w:val="24"/>
          <w:vertAlign w:val="superscript"/>
        </w:rPr>
        <w:footnoteReference w:id="923"/>
      </w:r>
      <w:r w:rsidR="002D394D" w:rsidRPr="002D394D">
        <w:rPr>
          <w:rFonts w:ascii="Times New Roman" w:hAnsi="Times New Roman" w:cs="Times New Roman"/>
          <w:sz w:val="24"/>
          <w:szCs w:val="24"/>
        </w:rPr>
        <w:t xml:space="preserve">  Ironically, it was </w:t>
      </w:r>
      <w:r w:rsidR="00CB330C">
        <w:rPr>
          <w:rFonts w:ascii="Times New Roman" w:hAnsi="Times New Roman" w:cs="Times New Roman"/>
          <w:sz w:val="24"/>
          <w:szCs w:val="24"/>
        </w:rPr>
        <w:t>one such</w:t>
      </w:r>
      <w:r w:rsidR="002D394D" w:rsidRPr="002D394D">
        <w:rPr>
          <w:rFonts w:ascii="Times New Roman" w:hAnsi="Times New Roman" w:cs="Times New Roman"/>
          <w:sz w:val="24"/>
          <w:szCs w:val="24"/>
        </w:rPr>
        <w:t xml:space="preserve"> local issue</w:t>
      </w:r>
      <w:r w:rsidR="001F2E25">
        <w:rPr>
          <w:rFonts w:ascii="Times New Roman" w:hAnsi="Times New Roman" w:cs="Times New Roman"/>
          <w:sz w:val="24"/>
          <w:szCs w:val="24"/>
        </w:rPr>
        <w:t xml:space="preserve"> involv</w:t>
      </w:r>
      <w:r w:rsidR="003162A6">
        <w:rPr>
          <w:rFonts w:ascii="Times New Roman" w:hAnsi="Times New Roman" w:cs="Times New Roman"/>
          <w:sz w:val="24"/>
          <w:szCs w:val="24"/>
        </w:rPr>
        <w:t>ing</w:t>
      </w:r>
      <w:r w:rsidR="001F2E25">
        <w:rPr>
          <w:rFonts w:ascii="Times New Roman" w:hAnsi="Times New Roman" w:cs="Times New Roman"/>
          <w:sz w:val="24"/>
          <w:szCs w:val="24"/>
        </w:rPr>
        <w:t xml:space="preserve"> this Ring </w:t>
      </w:r>
      <w:r w:rsidR="002D394D" w:rsidRPr="002D394D">
        <w:rPr>
          <w:rFonts w:ascii="Times New Roman" w:hAnsi="Times New Roman" w:cs="Times New Roman"/>
          <w:sz w:val="24"/>
          <w:szCs w:val="24"/>
        </w:rPr>
        <w:t xml:space="preserve">that </w:t>
      </w:r>
      <w:r w:rsidR="00D55DDC">
        <w:rPr>
          <w:rFonts w:ascii="Times New Roman" w:hAnsi="Times New Roman" w:cs="Times New Roman"/>
          <w:sz w:val="24"/>
          <w:szCs w:val="24"/>
        </w:rPr>
        <w:t xml:space="preserve">contributed greatly to the ruination of </w:t>
      </w:r>
      <w:r w:rsidR="002D394D" w:rsidRPr="002D394D">
        <w:rPr>
          <w:rFonts w:ascii="Times New Roman" w:hAnsi="Times New Roman" w:cs="Times New Roman"/>
          <w:sz w:val="24"/>
          <w:szCs w:val="24"/>
        </w:rPr>
        <w:t xml:space="preserve">Babcock’s </w:t>
      </w:r>
      <w:r w:rsidR="00D55DDC">
        <w:rPr>
          <w:rFonts w:ascii="Times New Roman" w:hAnsi="Times New Roman" w:cs="Times New Roman"/>
          <w:sz w:val="24"/>
          <w:szCs w:val="24"/>
        </w:rPr>
        <w:t>reputation in</w:t>
      </w:r>
      <w:r w:rsidR="002D394D" w:rsidRPr="002D394D">
        <w:rPr>
          <w:rFonts w:ascii="Times New Roman" w:hAnsi="Times New Roman" w:cs="Times New Roman"/>
          <w:sz w:val="24"/>
          <w:szCs w:val="24"/>
        </w:rPr>
        <w:t xml:space="preserve"> national politics – the Washington Safe Burglary Conspiracy.</w:t>
      </w:r>
    </w:p>
    <w:p w14:paraId="25026F61" w14:textId="059DCE75" w:rsidR="002D394D" w:rsidRDefault="002D394D" w:rsidP="00A46402">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The Safe Burglary Conspiracy provides a heretofore overlooked glimpse into the ways that corruption shaped the nation’s capital, how this corruption was combatted politically and legally, how people responded to it both privately and publicly, and in what ways corruption shaped the American political arena for years to come.  The District Ring exploited weaknesses in the capital, as the city’s political system was in a state of flux given the recent changes of centralized governmental expansion</w:t>
      </w:r>
      <w:r w:rsidR="004C12FE" w:rsidRPr="004C12FE">
        <w:rPr>
          <w:rFonts w:ascii="Times New Roman" w:hAnsi="Times New Roman" w:cs="Times New Roman"/>
          <w:sz w:val="24"/>
          <w:szCs w:val="24"/>
        </w:rPr>
        <w:t xml:space="preserve"> </w:t>
      </w:r>
      <w:r w:rsidR="004C12FE" w:rsidRPr="002D394D">
        <w:rPr>
          <w:rFonts w:ascii="Times New Roman" w:hAnsi="Times New Roman" w:cs="Times New Roman"/>
          <w:sz w:val="24"/>
          <w:szCs w:val="24"/>
        </w:rPr>
        <w:t>combined with the rapidly changing physical and demographic landscape of Washington</w:t>
      </w:r>
      <w:r w:rsidRPr="002D394D">
        <w:rPr>
          <w:rFonts w:ascii="Times New Roman" w:hAnsi="Times New Roman" w:cs="Times New Roman"/>
          <w:sz w:val="24"/>
          <w:szCs w:val="24"/>
        </w:rPr>
        <w:t xml:space="preserve">.  The </w:t>
      </w:r>
      <w:r w:rsidR="006A5AA9">
        <w:rPr>
          <w:rFonts w:ascii="Times New Roman" w:hAnsi="Times New Roman" w:cs="Times New Roman"/>
          <w:sz w:val="24"/>
          <w:szCs w:val="24"/>
        </w:rPr>
        <w:t xml:space="preserve">District </w:t>
      </w:r>
      <w:r w:rsidRPr="002D394D">
        <w:rPr>
          <w:rFonts w:ascii="Times New Roman" w:hAnsi="Times New Roman" w:cs="Times New Roman"/>
          <w:sz w:val="24"/>
          <w:szCs w:val="24"/>
        </w:rPr>
        <w:t xml:space="preserve">Ring itself </w:t>
      </w:r>
      <w:r w:rsidR="00914C4D">
        <w:rPr>
          <w:rFonts w:ascii="Times New Roman" w:hAnsi="Times New Roman" w:cs="Times New Roman"/>
          <w:sz w:val="24"/>
          <w:szCs w:val="24"/>
        </w:rPr>
        <w:t>exhibit</w:t>
      </w:r>
      <w:r w:rsidRPr="002D394D">
        <w:rPr>
          <w:rFonts w:ascii="Times New Roman" w:hAnsi="Times New Roman" w:cs="Times New Roman"/>
          <w:sz w:val="24"/>
          <w:szCs w:val="24"/>
        </w:rPr>
        <w:t>ed the advance of shadow organizations in the United States</w:t>
      </w:r>
      <w:r w:rsidR="006A5AA9">
        <w:rPr>
          <w:rFonts w:ascii="Times New Roman" w:hAnsi="Times New Roman" w:cs="Times New Roman"/>
          <w:sz w:val="24"/>
          <w:szCs w:val="24"/>
        </w:rPr>
        <w:t xml:space="preserve"> and f</w:t>
      </w:r>
      <w:r w:rsidRPr="002D394D">
        <w:rPr>
          <w:rFonts w:ascii="Times New Roman" w:hAnsi="Times New Roman" w:cs="Times New Roman"/>
          <w:sz w:val="24"/>
          <w:szCs w:val="24"/>
        </w:rPr>
        <w:t xml:space="preserve">ound success thanks in large part to </w:t>
      </w:r>
      <w:r w:rsidR="00F526B8">
        <w:rPr>
          <w:rFonts w:ascii="Times New Roman" w:hAnsi="Times New Roman" w:cs="Times New Roman"/>
          <w:sz w:val="24"/>
          <w:szCs w:val="24"/>
        </w:rPr>
        <w:t>its</w:t>
      </w:r>
      <w:r w:rsidRPr="002D394D">
        <w:rPr>
          <w:rFonts w:ascii="Times New Roman" w:hAnsi="Times New Roman" w:cs="Times New Roman"/>
          <w:sz w:val="24"/>
          <w:szCs w:val="24"/>
        </w:rPr>
        <w:t xml:space="preserve"> entrenchment within the developing political system and</w:t>
      </w:r>
      <w:r w:rsidR="00F526B8">
        <w:rPr>
          <w:rFonts w:ascii="Times New Roman" w:hAnsi="Times New Roman" w:cs="Times New Roman"/>
          <w:sz w:val="24"/>
          <w:szCs w:val="24"/>
        </w:rPr>
        <w:t xml:space="preserve"> to</w:t>
      </w:r>
      <w:r w:rsidRPr="002D394D">
        <w:rPr>
          <w:rFonts w:ascii="Times New Roman" w:hAnsi="Times New Roman" w:cs="Times New Roman"/>
          <w:sz w:val="24"/>
          <w:szCs w:val="24"/>
        </w:rPr>
        <w:t xml:space="preserve"> the actions of men like Babcock.</w:t>
      </w:r>
    </w:p>
    <w:p w14:paraId="0899FA15" w14:textId="77777777" w:rsidR="006A5032" w:rsidRDefault="006A5032" w:rsidP="002D394D">
      <w:pPr>
        <w:spacing w:line="480" w:lineRule="auto"/>
        <w:jc w:val="center"/>
        <w:rPr>
          <w:rFonts w:ascii="Times New Roman" w:hAnsi="Times New Roman" w:cs="Times New Roman"/>
          <w:sz w:val="24"/>
          <w:szCs w:val="24"/>
        </w:rPr>
      </w:pPr>
    </w:p>
    <w:p w14:paraId="69779CD3" w14:textId="7C37ED5D" w:rsidR="002D394D" w:rsidRPr="002D394D" w:rsidRDefault="002D394D" w:rsidP="002D394D">
      <w:pPr>
        <w:spacing w:line="480" w:lineRule="auto"/>
        <w:jc w:val="center"/>
        <w:rPr>
          <w:rFonts w:ascii="Times New Roman" w:hAnsi="Times New Roman" w:cs="Times New Roman"/>
          <w:sz w:val="24"/>
          <w:szCs w:val="24"/>
        </w:rPr>
      </w:pPr>
      <w:r w:rsidRPr="002D394D">
        <w:rPr>
          <w:rFonts w:ascii="Times New Roman" w:hAnsi="Times New Roman" w:cs="Times New Roman"/>
          <w:sz w:val="24"/>
          <w:szCs w:val="24"/>
        </w:rPr>
        <w:lastRenderedPageBreak/>
        <w:t>Holding the (District) Ring: Babcock Pulls the Strings from the Shadows</w:t>
      </w:r>
    </w:p>
    <w:p w14:paraId="2CC83A86" w14:textId="235507E6"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The District Ring reflected a major development that emerged from the expanded federal powers of the Civil War Era through the system of booty capitalism.</w:t>
      </w:r>
      <w:r w:rsidRPr="002D394D">
        <w:rPr>
          <w:rFonts w:ascii="Times New Roman" w:hAnsi="Times New Roman" w:cs="Times New Roman"/>
          <w:sz w:val="24"/>
          <w:szCs w:val="24"/>
          <w:vertAlign w:val="superscript"/>
        </w:rPr>
        <w:footnoteReference w:id="924"/>
      </w:r>
      <w:r w:rsidRPr="002D394D">
        <w:rPr>
          <w:rFonts w:ascii="Times New Roman" w:hAnsi="Times New Roman" w:cs="Times New Roman"/>
          <w:sz w:val="24"/>
          <w:szCs w:val="24"/>
        </w:rPr>
        <w:t xml:space="preserve">  During the period of political competition for socioeconomic control of the nation, “at the meeting point of mass politics and capitalist takeoff,” associations seeking to exploit the new system formed as “Rings.”</w:t>
      </w:r>
      <w:r w:rsidRPr="002D394D">
        <w:rPr>
          <w:rFonts w:ascii="Times New Roman" w:hAnsi="Times New Roman" w:cs="Times New Roman"/>
          <w:sz w:val="24"/>
          <w:szCs w:val="24"/>
          <w:vertAlign w:val="superscript"/>
        </w:rPr>
        <w:footnoteReference w:id="925"/>
      </w:r>
      <w:r w:rsidRPr="002D394D">
        <w:rPr>
          <w:rFonts w:ascii="Times New Roman" w:hAnsi="Times New Roman" w:cs="Times New Roman"/>
          <w:sz w:val="24"/>
          <w:szCs w:val="24"/>
        </w:rPr>
        <w:t xml:space="preserve">  </w:t>
      </w:r>
      <w:bookmarkStart w:id="55" w:name="_Hlk134446638"/>
      <w:r w:rsidRPr="002D394D">
        <w:rPr>
          <w:rFonts w:ascii="Times New Roman" w:hAnsi="Times New Roman" w:cs="Times New Roman"/>
          <w:sz w:val="24"/>
          <w:szCs w:val="24"/>
        </w:rPr>
        <w:t xml:space="preserve">Samuel Tilden, the Governor of New York during this period, defined a </w:t>
      </w:r>
      <w:r w:rsidRPr="002D394D">
        <w:rPr>
          <w:rFonts w:ascii="Times New Roman" w:hAnsi="Times New Roman" w:cs="Times New Roman"/>
          <w:i/>
          <w:iCs/>
          <w:sz w:val="24"/>
          <w:szCs w:val="24"/>
        </w:rPr>
        <w:t>ring</w:t>
      </w:r>
      <w:r w:rsidRPr="002D394D">
        <w:rPr>
          <w:rFonts w:ascii="Times New Roman" w:hAnsi="Times New Roman" w:cs="Times New Roman"/>
          <w:sz w:val="24"/>
          <w:szCs w:val="24"/>
        </w:rPr>
        <w:t xml:space="preserve"> as an entity “that encircles enough influential men in the organization of each party to control the action of both party machines.”</w:t>
      </w:r>
      <w:r w:rsidRPr="002D394D">
        <w:rPr>
          <w:rFonts w:ascii="Times New Roman" w:hAnsi="Times New Roman" w:cs="Times New Roman"/>
          <w:sz w:val="24"/>
          <w:szCs w:val="24"/>
          <w:vertAlign w:val="superscript"/>
        </w:rPr>
        <w:footnoteReference w:id="926"/>
      </w:r>
      <w:r w:rsidRPr="002D394D">
        <w:rPr>
          <w:rFonts w:ascii="Times New Roman" w:hAnsi="Times New Roman" w:cs="Times New Roman"/>
          <w:sz w:val="24"/>
          <w:szCs w:val="24"/>
        </w:rPr>
        <w:t xml:space="preserve">  These rings consisted of “men who in public push to extremes the abstract ideas of their respective parties, while they secretly join their hands in schemes for personal power and profit.”</w:t>
      </w:r>
      <w:r w:rsidRPr="002D394D">
        <w:rPr>
          <w:rFonts w:ascii="Times New Roman" w:hAnsi="Times New Roman" w:cs="Times New Roman"/>
          <w:sz w:val="24"/>
          <w:szCs w:val="24"/>
          <w:vertAlign w:val="superscript"/>
        </w:rPr>
        <w:footnoteReference w:id="927"/>
      </w:r>
      <w:r w:rsidRPr="002D394D">
        <w:rPr>
          <w:rFonts w:ascii="Times New Roman" w:hAnsi="Times New Roman" w:cs="Times New Roman"/>
          <w:sz w:val="24"/>
          <w:szCs w:val="24"/>
        </w:rPr>
        <w:t xml:space="preserve">  </w:t>
      </w:r>
      <w:bookmarkEnd w:id="55"/>
      <w:r w:rsidRPr="002D394D">
        <w:rPr>
          <w:rFonts w:ascii="Times New Roman" w:hAnsi="Times New Roman" w:cs="Times New Roman"/>
          <w:sz w:val="24"/>
          <w:szCs w:val="24"/>
        </w:rPr>
        <w:t>Jeffrey Broxmeyer contends that, after the Civil War, “rings were the purest expression of the gilded rage for political wealth accumulation.”</w:t>
      </w:r>
      <w:r w:rsidRPr="002D394D">
        <w:rPr>
          <w:rFonts w:ascii="Times New Roman" w:hAnsi="Times New Roman" w:cs="Times New Roman"/>
          <w:sz w:val="24"/>
          <w:szCs w:val="24"/>
          <w:vertAlign w:val="superscript"/>
        </w:rPr>
        <w:footnoteReference w:id="928"/>
      </w:r>
      <w:r w:rsidRPr="002D394D">
        <w:rPr>
          <w:rFonts w:ascii="Times New Roman" w:hAnsi="Times New Roman" w:cs="Times New Roman"/>
          <w:sz w:val="24"/>
          <w:szCs w:val="24"/>
        </w:rPr>
        <w:t xml:space="preserve">  Among the most famous was New York’s Tweed Ring, also referred to as “Tammany Hall” after its physical presence in said office establishment.  The prominence of these organizations was widespread, as others like the Gas Ring, the Canal Ring, the Bank Ring, the Gold Ring, and of course, the Whiskey Ring, </w:t>
      </w:r>
      <w:r w:rsidR="005D5F8F">
        <w:rPr>
          <w:rFonts w:ascii="Times New Roman" w:hAnsi="Times New Roman" w:cs="Times New Roman"/>
          <w:sz w:val="24"/>
          <w:szCs w:val="24"/>
        </w:rPr>
        <w:t>prove</w:t>
      </w:r>
      <w:r w:rsidRPr="002D394D">
        <w:rPr>
          <w:rFonts w:ascii="Times New Roman" w:hAnsi="Times New Roman" w:cs="Times New Roman"/>
          <w:sz w:val="24"/>
          <w:szCs w:val="24"/>
        </w:rPr>
        <w:t xml:space="preserve"> through their very existence th</w:t>
      </w:r>
      <w:r w:rsidR="005D5F8F">
        <w:rPr>
          <w:rFonts w:ascii="Times New Roman" w:hAnsi="Times New Roman" w:cs="Times New Roman"/>
          <w:sz w:val="24"/>
          <w:szCs w:val="24"/>
        </w:rPr>
        <w:t>at</w:t>
      </w:r>
      <w:r w:rsidRPr="002D394D">
        <w:rPr>
          <w:rFonts w:ascii="Times New Roman" w:hAnsi="Times New Roman" w:cs="Times New Roman"/>
          <w:sz w:val="24"/>
          <w:szCs w:val="24"/>
        </w:rPr>
        <w:t xml:space="preserve"> corrupt maneuvering</w:t>
      </w:r>
      <w:r w:rsidR="005D5F8F">
        <w:rPr>
          <w:rFonts w:ascii="Times New Roman" w:hAnsi="Times New Roman" w:cs="Times New Roman"/>
          <w:sz w:val="24"/>
          <w:szCs w:val="24"/>
        </w:rPr>
        <w:t xml:space="preserve"> is</w:t>
      </w:r>
      <w:r w:rsidRPr="002D394D">
        <w:rPr>
          <w:rFonts w:ascii="Times New Roman" w:hAnsi="Times New Roman" w:cs="Times New Roman"/>
          <w:sz w:val="24"/>
          <w:szCs w:val="24"/>
        </w:rPr>
        <w:t xml:space="preserve"> necessary for these entities to succeed.</w:t>
      </w:r>
      <w:r w:rsidRPr="002D394D">
        <w:rPr>
          <w:rFonts w:ascii="Times New Roman" w:hAnsi="Times New Roman" w:cs="Times New Roman"/>
          <w:sz w:val="24"/>
          <w:szCs w:val="24"/>
          <w:vertAlign w:val="superscript"/>
        </w:rPr>
        <w:footnoteReference w:id="929"/>
      </w:r>
      <w:r w:rsidRPr="002D394D">
        <w:rPr>
          <w:rFonts w:ascii="Times New Roman" w:hAnsi="Times New Roman" w:cs="Times New Roman"/>
          <w:sz w:val="24"/>
          <w:szCs w:val="24"/>
        </w:rPr>
        <w:t xml:space="preserve">  These rings reflect a society with deeply entrenched political machines that sought to subvert the political process and make governance a for-profit institution. </w:t>
      </w:r>
    </w:p>
    <w:p w14:paraId="1879E16D" w14:textId="08F45EC4"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lastRenderedPageBreak/>
        <w:t xml:space="preserve">Within this expanding system of Rings, it makes sense that one would emerge in the nation’s capital, as there existed a greater potential for rogues to attain not only local, but national power through </w:t>
      </w:r>
      <w:r w:rsidR="00AC7305">
        <w:rPr>
          <w:rFonts w:ascii="Times New Roman" w:hAnsi="Times New Roman" w:cs="Times New Roman"/>
          <w:sz w:val="24"/>
          <w:szCs w:val="24"/>
        </w:rPr>
        <w:t>their villainy</w:t>
      </w:r>
      <w:r w:rsidRPr="002D394D">
        <w:rPr>
          <w:rFonts w:ascii="Times New Roman" w:hAnsi="Times New Roman" w:cs="Times New Roman"/>
          <w:sz w:val="24"/>
          <w:szCs w:val="24"/>
        </w:rPr>
        <w:t xml:space="preserve">.  Such an organization did </w:t>
      </w:r>
      <w:r w:rsidR="00C418BC" w:rsidRPr="002D394D">
        <w:rPr>
          <w:rFonts w:ascii="Times New Roman" w:hAnsi="Times New Roman" w:cs="Times New Roman"/>
          <w:sz w:val="24"/>
          <w:szCs w:val="24"/>
        </w:rPr>
        <w:t>develop,</w:t>
      </w:r>
      <w:r w:rsidRPr="002D394D">
        <w:rPr>
          <w:rFonts w:ascii="Times New Roman" w:hAnsi="Times New Roman" w:cs="Times New Roman"/>
          <w:sz w:val="24"/>
          <w:szCs w:val="24"/>
        </w:rPr>
        <w:t xml:space="preserve"> and it became known as the “District Ring.”  The District Ring held</w:t>
      </w:r>
      <w:r w:rsidR="00C418BC">
        <w:rPr>
          <w:rFonts w:ascii="Times New Roman" w:hAnsi="Times New Roman" w:cs="Times New Roman"/>
          <w:sz w:val="24"/>
          <w:szCs w:val="24"/>
        </w:rPr>
        <w:t xml:space="preserve"> </w:t>
      </w:r>
      <w:r w:rsidRPr="002D394D">
        <w:rPr>
          <w:rFonts w:ascii="Times New Roman" w:hAnsi="Times New Roman" w:cs="Times New Roman"/>
          <w:sz w:val="24"/>
          <w:szCs w:val="24"/>
        </w:rPr>
        <w:t>similarities to the Tweed Ring in New York.</w:t>
      </w:r>
      <w:r w:rsidRPr="002D394D">
        <w:rPr>
          <w:rFonts w:ascii="Times New Roman" w:hAnsi="Times New Roman" w:cs="Times New Roman"/>
          <w:sz w:val="24"/>
          <w:szCs w:val="24"/>
          <w:vertAlign w:val="superscript"/>
        </w:rPr>
        <w:footnoteReference w:id="930"/>
      </w:r>
      <w:r w:rsidRPr="002D394D">
        <w:rPr>
          <w:rFonts w:ascii="Times New Roman" w:hAnsi="Times New Roman" w:cs="Times New Roman"/>
          <w:sz w:val="24"/>
          <w:szCs w:val="24"/>
        </w:rPr>
        <w:t xml:space="preserve">  Both rings worked behind the scenes to line the pockets of their members through graft that exploited the political process of the city.  </w:t>
      </w:r>
      <w:r w:rsidR="003A72F7">
        <w:rPr>
          <w:rFonts w:ascii="Times New Roman" w:hAnsi="Times New Roman" w:cs="Times New Roman"/>
          <w:sz w:val="24"/>
          <w:szCs w:val="24"/>
        </w:rPr>
        <w:t>B</w:t>
      </w:r>
      <w:r w:rsidRPr="002D394D">
        <w:rPr>
          <w:rFonts w:ascii="Times New Roman" w:hAnsi="Times New Roman" w:cs="Times New Roman"/>
          <w:sz w:val="24"/>
          <w:szCs w:val="24"/>
        </w:rPr>
        <w:t>oth had buildings that served as unofficial headquarters for their corrupt activities; like the Tammany Hall location of the Tweed Ring, the District Ring was associated with the Washington Club House, to which members of the Ring belonged and where many unsavory deals were arranged.</w:t>
      </w:r>
      <w:r w:rsidRPr="002D394D">
        <w:rPr>
          <w:rFonts w:ascii="Times New Roman" w:hAnsi="Times New Roman" w:cs="Times New Roman"/>
          <w:sz w:val="24"/>
          <w:szCs w:val="24"/>
          <w:vertAlign w:val="superscript"/>
        </w:rPr>
        <w:footnoteReference w:id="931"/>
      </w:r>
      <w:r w:rsidRPr="002D394D">
        <w:rPr>
          <w:rFonts w:ascii="Times New Roman" w:hAnsi="Times New Roman" w:cs="Times New Roman"/>
          <w:sz w:val="24"/>
          <w:szCs w:val="24"/>
        </w:rPr>
        <w:t xml:space="preserve">  While some went so far as to make connections between these two organizations, they were inherently different.</w:t>
      </w:r>
      <w:r w:rsidRPr="002D394D">
        <w:rPr>
          <w:rFonts w:ascii="Times New Roman" w:hAnsi="Times New Roman" w:cs="Times New Roman"/>
          <w:sz w:val="24"/>
          <w:szCs w:val="24"/>
          <w:vertAlign w:val="superscript"/>
        </w:rPr>
        <w:footnoteReference w:id="932"/>
      </w:r>
      <w:r w:rsidRPr="002D394D">
        <w:rPr>
          <w:rFonts w:ascii="Times New Roman" w:hAnsi="Times New Roman" w:cs="Times New Roman"/>
          <w:sz w:val="24"/>
          <w:szCs w:val="24"/>
        </w:rPr>
        <w:t xml:space="preserve">  The District Ring was a whisper in the wind, not the </w:t>
      </w:r>
      <w:r w:rsidR="00701DB8">
        <w:rPr>
          <w:rFonts w:ascii="Times New Roman" w:hAnsi="Times New Roman" w:cs="Times New Roman"/>
          <w:sz w:val="24"/>
          <w:szCs w:val="24"/>
        </w:rPr>
        <w:t>bombastic</w:t>
      </w:r>
      <w:r w:rsidRPr="002D394D">
        <w:rPr>
          <w:rFonts w:ascii="Times New Roman" w:hAnsi="Times New Roman" w:cs="Times New Roman"/>
          <w:sz w:val="24"/>
          <w:szCs w:val="24"/>
        </w:rPr>
        <w:t xml:space="preserve"> political machine that the Tweed Ring </w:t>
      </w:r>
      <w:r w:rsidR="00F1596E">
        <w:rPr>
          <w:rFonts w:ascii="Times New Roman" w:hAnsi="Times New Roman" w:cs="Times New Roman"/>
          <w:sz w:val="24"/>
          <w:szCs w:val="24"/>
        </w:rPr>
        <w:t>had</w:t>
      </w:r>
      <w:r w:rsidRPr="002D394D">
        <w:rPr>
          <w:rFonts w:ascii="Times New Roman" w:hAnsi="Times New Roman" w:cs="Times New Roman"/>
          <w:sz w:val="24"/>
          <w:szCs w:val="24"/>
        </w:rPr>
        <w:t xml:space="preserve"> become.</w:t>
      </w:r>
      <w:r w:rsidRPr="002D394D">
        <w:rPr>
          <w:rFonts w:ascii="Times New Roman" w:hAnsi="Times New Roman" w:cs="Times New Roman"/>
          <w:sz w:val="24"/>
          <w:szCs w:val="24"/>
          <w:vertAlign w:val="superscript"/>
        </w:rPr>
        <w:footnoteReference w:id="933"/>
      </w:r>
      <w:r w:rsidRPr="002D394D">
        <w:rPr>
          <w:rFonts w:ascii="Times New Roman" w:hAnsi="Times New Roman" w:cs="Times New Roman"/>
          <w:sz w:val="24"/>
          <w:szCs w:val="24"/>
        </w:rPr>
        <w:t xml:space="preserve">  </w:t>
      </w:r>
      <w:r w:rsidR="005301FE">
        <w:rPr>
          <w:rFonts w:ascii="Times New Roman" w:hAnsi="Times New Roman" w:cs="Times New Roman"/>
          <w:sz w:val="24"/>
          <w:szCs w:val="24"/>
        </w:rPr>
        <w:t>M</w:t>
      </w:r>
      <w:r w:rsidRPr="002D394D">
        <w:rPr>
          <w:rFonts w:ascii="Times New Roman" w:hAnsi="Times New Roman" w:cs="Times New Roman"/>
          <w:sz w:val="24"/>
          <w:szCs w:val="24"/>
        </w:rPr>
        <w:t>ore apt comparisons for the District Ring would be the Whiskey Ring, or the Gold Ring associated with the Black Friday Panic of 1869, before either was uncovered by the authorities, because these organizations served as networks which connected high-ranking pragmaticos beyond the public eye.</w:t>
      </w:r>
      <w:r w:rsidRPr="002D394D">
        <w:rPr>
          <w:rFonts w:ascii="Times New Roman" w:hAnsi="Times New Roman" w:cs="Times New Roman"/>
          <w:sz w:val="24"/>
          <w:szCs w:val="24"/>
          <w:vertAlign w:val="superscript"/>
        </w:rPr>
        <w:footnoteReference w:id="934"/>
      </w:r>
      <w:r w:rsidRPr="002D394D">
        <w:rPr>
          <w:rFonts w:ascii="Times New Roman" w:hAnsi="Times New Roman" w:cs="Times New Roman"/>
          <w:sz w:val="24"/>
          <w:szCs w:val="24"/>
        </w:rPr>
        <w:t xml:space="preserve">  While certain individuals openly engaged in un</w:t>
      </w:r>
      <w:r w:rsidR="005301FE">
        <w:rPr>
          <w:rFonts w:ascii="Times New Roman" w:hAnsi="Times New Roman" w:cs="Times New Roman"/>
          <w:sz w:val="24"/>
          <w:szCs w:val="24"/>
        </w:rPr>
        <w:t>toward</w:t>
      </w:r>
      <w:r w:rsidRPr="002D394D">
        <w:rPr>
          <w:rFonts w:ascii="Times New Roman" w:hAnsi="Times New Roman" w:cs="Times New Roman"/>
          <w:sz w:val="24"/>
          <w:szCs w:val="24"/>
        </w:rPr>
        <w:t xml:space="preserve"> acts in the District like the corrupt lobbying of the railroad industry in the Reconstruction era, it was the Ring’s secrecy that was </w:t>
      </w:r>
      <w:r w:rsidRPr="002D394D">
        <w:rPr>
          <w:rFonts w:ascii="Times New Roman" w:hAnsi="Times New Roman" w:cs="Times New Roman"/>
          <w:sz w:val="24"/>
          <w:szCs w:val="24"/>
        </w:rPr>
        <w:lastRenderedPageBreak/>
        <w:t xml:space="preserve">key to understanding the network at play </w:t>
      </w:r>
      <w:r w:rsidR="00995916">
        <w:rPr>
          <w:rFonts w:ascii="Times New Roman" w:hAnsi="Times New Roman" w:cs="Times New Roman"/>
          <w:sz w:val="24"/>
          <w:szCs w:val="24"/>
        </w:rPr>
        <w:t xml:space="preserve">which </w:t>
      </w:r>
      <w:r w:rsidRPr="002D394D">
        <w:rPr>
          <w:rFonts w:ascii="Times New Roman" w:hAnsi="Times New Roman" w:cs="Times New Roman"/>
          <w:sz w:val="24"/>
          <w:szCs w:val="24"/>
        </w:rPr>
        <w:t>control</w:t>
      </w:r>
      <w:r w:rsidR="00995916">
        <w:rPr>
          <w:rFonts w:ascii="Times New Roman" w:hAnsi="Times New Roman" w:cs="Times New Roman"/>
          <w:sz w:val="24"/>
          <w:szCs w:val="24"/>
        </w:rPr>
        <w:t>led much of</w:t>
      </w:r>
      <w:r w:rsidRPr="002D394D">
        <w:rPr>
          <w:rFonts w:ascii="Times New Roman" w:hAnsi="Times New Roman" w:cs="Times New Roman"/>
          <w:sz w:val="24"/>
          <w:szCs w:val="24"/>
        </w:rPr>
        <w:t xml:space="preserve"> the governance of the district.</w:t>
      </w:r>
      <w:r w:rsidRPr="002D394D">
        <w:rPr>
          <w:rFonts w:ascii="Times New Roman" w:hAnsi="Times New Roman" w:cs="Times New Roman"/>
          <w:sz w:val="24"/>
          <w:szCs w:val="24"/>
          <w:vertAlign w:val="superscript"/>
        </w:rPr>
        <w:footnoteReference w:id="935"/>
      </w:r>
    </w:p>
    <w:p w14:paraId="16C9D5A9" w14:textId="77613E30"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The District Ring’s e</w:t>
      </w:r>
      <w:r w:rsidR="00056016">
        <w:rPr>
          <w:rFonts w:ascii="Times New Roman" w:hAnsi="Times New Roman" w:cs="Times New Roman"/>
          <w:sz w:val="24"/>
          <w:szCs w:val="24"/>
        </w:rPr>
        <w:t>xist</w:t>
      </w:r>
      <w:r w:rsidRPr="002D394D">
        <w:rPr>
          <w:rFonts w:ascii="Times New Roman" w:hAnsi="Times New Roman" w:cs="Times New Roman"/>
          <w:sz w:val="24"/>
          <w:szCs w:val="24"/>
        </w:rPr>
        <w:t>ence coincided with a period of tumult in the nation’s capital.  With the expansion of the federal government came a need to create a new physical infrastructure in the capital, as additional federal employees needed both places to live and to do their work.</w:t>
      </w:r>
      <w:r w:rsidRPr="002D394D">
        <w:rPr>
          <w:rFonts w:ascii="Times New Roman" w:hAnsi="Times New Roman" w:cs="Times New Roman"/>
          <w:sz w:val="24"/>
          <w:szCs w:val="24"/>
          <w:vertAlign w:val="superscript"/>
        </w:rPr>
        <w:footnoteReference w:id="936"/>
      </w:r>
      <w:r w:rsidRPr="002D394D">
        <w:rPr>
          <w:rFonts w:ascii="Times New Roman" w:hAnsi="Times New Roman" w:cs="Times New Roman"/>
          <w:sz w:val="24"/>
          <w:szCs w:val="24"/>
        </w:rPr>
        <w:t xml:space="preserve">  This </w:t>
      </w:r>
      <w:r w:rsidR="00056016">
        <w:rPr>
          <w:rFonts w:ascii="Times New Roman" w:hAnsi="Times New Roman" w:cs="Times New Roman"/>
          <w:sz w:val="24"/>
          <w:szCs w:val="24"/>
        </w:rPr>
        <w:t>growth</w:t>
      </w:r>
      <w:r w:rsidRPr="002D394D">
        <w:rPr>
          <w:rFonts w:ascii="Times New Roman" w:hAnsi="Times New Roman" w:cs="Times New Roman"/>
          <w:sz w:val="24"/>
          <w:szCs w:val="24"/>
        </w:rPr>
        <w:t xml:space="preserve"> was both complicated and, in some instances, aided by the wartime fortification of the city, as housing was constructed in order to appropriately billet the soldiers garrisoned therein.</w:t>
      </w:r>
      <w:r w:rsidRPr="002D394D">
        <w:rPr>
          <w:rFonts w:ascii="Times New Roman" w:hAnsi="Times New Roman" w:cs="Times New Roman"/>
          <w:sz w:val="24"/>
          <w:szCs w:val="24"/>
          <w:vertAlign w:val="superscript"/>
        </w:rPr>
        <w:footnoteReference w:id="937"/>
      </w:r>
      <w:r w:rsidRPr="002D394D">
        <w:rPr>
          <w:rFonts w:ascii="Times New Roman" w:hAnsi="Times New Roman" w:cs="Times New Roman"/>
          <w:sz w:val="24"/>
          <w:szCs w:val="24"/>
        </w:rPr>
        <w:t xml:space="preserve">  After the war, the expansion of powers gained permanence, and the rapidity of this </w:t>
      </w:r>
      <w:r w:rsidR="00056016">
        <w:rPr>
          <w:rFonts w:ascii="Times New Roman" w:hAnsi="Times New Roman" w:cs="Times New Roman"/>
          <w:sz w:val="24"/>
          <w:szCs w:val="24"/>
        </w:rPr>
        <w:t>growth</w:t>
      </w:r>
      <w:r w:rsidRPr="002D394D">
        <w:rPr>
          <w:rFonts w:ascii="Times New Roman" w:hAnsi="Times New Roman" w:cs="Times New Roman"/>
          <w:sz w:val="24"/>
          <w:szCs w:val="24"/>
        </w:rPr>
        <w:t xml:space="preserve"> left holes in the system open to exploitation by such organs as the District Ring that sought to manipulate a smoother governance than the status quo.</w:t>
      </w:r>
      <w:r w:rsidRPr="002D394D">
        <w:rPr>
          <w:rFonts w:ascii="Times New Roman" w:hAnsi="Times New Roman" w:cs="Times New Roman"/>
          <w:sz w:val="24"/>
          <w:szCs w:val="24"/>
          <w:vertAlign w:val="superscript"/>
        </w:rPr>
        <w:footnoteReference w:id="938"/>
      </w:r>
      <w:r w:rsidRPr="002D394D">
        <w:rPr>
          <w:rFonts w:ascii="Times New Roman" w:hAnsi="Times New Roman" w:cs="Times New Roman"/>
          <w:sz w:val="24"/>
          <w:szCs w:val="24"/>
        </w:rPr>
        <w:t xml:space="preserve">  With the ability to exploit power vacuums in the city and opportunities for graft </w:t>
      </w:r>
      <w:r w:rsidR="00056016">
        <w:rPr>
          <w:rFonts w:ascii="Times New Roman" w:hAnsi="Times New Roman" w:cs="Times New Roman"/>
          <w:sz w:val="24"/>
          <w:szCs w:val="24"/>
        </w:rPr>
        <w:t>pervasive</w:t>
      </w:r>
      <w:r w:rsidRPr="002D394D">
        <w:rPr>
          <w:rFonts w:ascii="Times New Roman" w:hAnsi="Times New Roman" w:cs="Times New Roman"/>
          <w:sz w:val="24"/>
          <w:szCs w:val="24"/>
        </w:rPr>
        <w:t>, the Ring emerged as a major force working behind the scenes in the nation’s capital.</w:t>
      </w:r>
    </w:p>
    <w:p w14:paraId="58167DAC" w14:textId="25647447"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We may never have a complete roster for the District Ring,</w:t>
      </w:r>
      <w:r w:rsidR="009D2EAD">
        <w:rPr>
          <w:rFonts w:ascii="Times New Roman" w:hAnsi="Times New Roman" w:cs="Times New Roman"/>
          <w:sz w:val="24"/>
          <w:szCs w:val="24"/>
        </w:rPr>
        <w:t xml:space="preserve"> but</w:t>
      </w:r>
      <w:r w:rsidRPr="002D394D">
        <w:rPr>
          <w:rFonts w:ascii="Times New Roman" w:hAnsi="Times New Roman" w:cs="Times New Roman"/>
          <w:sz w:val="24"/>
          <w:szCs w:val="24"/>
        </w:rPr>
        <w:t xml:space="preserve"> what is clear is that this dastardly organization became utterly entrenched in Washington society during the Reconstruction </w:t>
      </w:r>
      <w:r w:rsidR="00085655">
        <w:rPr>
          <w:rFonts w:ascii="Times New Roman" w:hAnsi="Times New Roman" w:cs="Times New Roman"/>
          <w:sz w:val="24"/>
          <w:szCs w:val="24"/>
        </w:rPr>
        <w:t>E</w:t>
      </w:r>
      <w:r w:rsidRPr="002D394D">
        <w:rPr>
          <w:rFonts w:ascii="Times New Roman" w:hAnsi="Times New Roman" w:cs="Times New Roman"/>
          <w:sz w:val="24"/>
          <w:szCs w:val="24"/>
        </w:rPr>
        <w:t xml:space="preserve">ra.  Keeping with Tilden’s definition, high-ranking elected and appointed officials were among the members of the District Ring.  The Ring reached near the top of the political chain in terms of both local and national governance, infiltrating the White House and </w:t>
      </w:r>
      <w:r w:rsidRPr="002D394D">
        <w:rPr>
          <w:rFonts w:ascii="Times New Roman" w:hAnsi="Times New Roman" w:cs="Times New Roman"/>
          <w:sz w:val="24"/>
          <w:szCs w:val="24"/>
        </w:rPr>
        <w:lastRenderedPageBreak/>
        <w:t>the Governor’s Office.</w:t>
      </w:r>
      <w:r w:rsidRPr="002D394D">
        <w:rPr>
          <w:rFonts w:ascii="Times New Roman" w:hAnsi="Times New Roman" w:cs="Times New Roman"/>
          <w:sz w:val="24"/>
          <w:szCs w:val="24"/>
          <w:vertAlign w:val="superscript"/>
        </w:rPr>
        <w:footnoteReference w:id="939"/>
      </w:r>
      <w:r w:rsidRPr="002D394D">
        <w:rPr>
          <w:rFonts w:ascii="Times New Roman" w:hAnsi="Times New Roman" w:cs="Times New Roman"/>
          <w:sz w:val="24"/>
          <w:szCs w:val="24"/>
        </w:rPr>
        <w:t xml:space="preserve">  From his position as Private Secretary to the President of the United States, Orville Babcock wielded considerable power within the federal government, a power which he used to aid the District Ring as well as other Rings in which he was a key player.  His position in the White House exposed him to many individuals in Washingtonian politics and the Secret Service, which enabled him to facilitate contact</w:t>
      </w:r>
      <w:r w:rsidR="007D13EF">
        <w:rPr>
          <w:rFonts w:ascii="Times New Roman" w:hAnsi="Times New Roman" w:cs="Times New Roman"/>
          <w:sz w:val="24"/>
          <w:szCs w:val="24"/>
        </w:rPr>
        <w:t xml:space="preserve"> among</w:t>
      </w:r>
      <w:r w:rsidRPr="002D394D">
        <w:rPr>
          <w:rFonts w:ascii="Times New Roman" w:hAnsi="Times New Roman" w:cs="Times New Roman"/>
          <w:sz w:val="24"/>
          <w:szCs w:val="24"/>
        </w:rPr>
        <w:t xml:space="preserve"> individuals </w:t>
      </w:r>
      <w:r w:rsidR="007D13EF">
        <w:rPr>
          <w:rFonts w:ascii="Times New Roman" w:hAnsi="Times New Roman" w:cs="Times New Roman"/>
          <w:sz w:val="24"/>
          <w:szCs w:val="24"/>
        </w:rPr>
        <w:t>to</w:t>
      </w:r>
      <w:r w:rsidRPr="002D394D">
        <w:rPr>
          <w:rFonts w:ascii="Times New Roman" w:hAnsi="Times New Roman" w:cs="Times New Roman"/>
          <w:sz w:val="24"/>
          <w:szCs w:val="24"/>
        </w:rPr>
        <w:t xml:space="preserve"> carry out </w:t>
      </w:r>
      <w:r w:rsidR="007D13EF">
        <w:rPr>
          <w:rFonts w:ascii="Times New Roman" w:hAnsi="Times New Roman" w:cs="Times New Roman"/>
          <w:sz w:val="24"/>
          <w:szCs w:val="24"/>
        </w:rPr>
        <w:t>secret mis</w:t>
      </w:r>
      <w:r w:rsidRPr="002D394D">
        <w:rPr>
          <w:rFonts w:ascii="Times New Roman" w:hAnsi="Times New Roman" w:cs="Times New Roman"/>
          <w:sz w:val="24"/>
          <w:szCs w:val="24"/>
        </w:rPr>
        <w:t>deeds while imbuing him with plausible deniability to specific plans</w:t>
      </w:r>
      <w:r w:rsidR="007D13EF">
        <w:rPr>
          <w:rFonts w:ascii="Times New Roman" w:hAnsi="Times New Roman" w:cs="Times New Roman"/>
          <w:sz w:val="24"/>
          <w:szCs w:val="24"/>
        </w:rPr>
        <w:t xml:space="preserve"> should these misdeeds be exposed</w:t>
      </w:r>
      <w:r w:rsidRPr="002D394D">
        <w:rPr>
          <w:rFonts w:ascii="Times New Roman" w:hAnsi="Times New Roman" w:cs="Times New Roman"/>
          <w:sz w:val="24"/>
          <w:szCs w:val="24"/>
        </w:rPr>
        <w:t>.  The Governor of the District of Columbia and suspected city boss, Alexander Robey Shepherd, had significant ties to members of the District Ring, and while he may not have been implicated as a member of the Safe Burglary Conspiracy, his participation in its investigation and its coverup suggest</w:t>
      </w:r>
      <w:r w:rsidR="00633F07">
        <w:rPr>
          <w:rFonts w:ascii="Times New Roman" w:hAnsi="Times New Roman" w:cs="Times New Roman"/>
          <w:sz w:val="24"/>
          <w:szCs w:val="24"/>
        </w:rPr>
        <w:t>s</w:t>
      </w:r>
      <w:r w:rsidR="000B09BE">
        <w:rPr>
          <w:rFonts w:ascii="Times New Roman" w:hAnsi="Times New Roman" w:cs="Times New Roman"/>
          <w:sz w:val="24"/>
          <w:szCs w:val="24"/>
        </w:rPr>
        <w:t xml:space="preserve"> his culpability</w:t>
      </w:r>
      <w:r w:rsidRPr="002D394D">
        <w:rPr>
          <w:rFonts w:ascii="Times New Roman" w:hAnsi="Times New Roman" w:cs="Times New Roman"/>
          <w:sz w:val="24"/>
          <w:szCs w:val="24"/>
        </w:rPr>
        <w:t>.</w:t>
      </w:r>
      <w:r w:rsidRPr="002D394D">
        <w:rPr>
          <w:rFonts w:ascii="Times New Roman" w:hAnsi="Times New Roman" w:cs="Times New Roman"/>
          <w:sz w:val="24"/>
          <w:szCs w:val="24"/>
          <w:vertAlign w:val="superscript"/>
        </w:rPr>
        <w:footnoteReference w:id="940"/>
      </w:r>
      <w:r w:rsidRPr="002D394D">
        <w:rPr>
          <w:rFonts w:ascii="Times New Roman" w:hAnsi="Times New Roman" w:cs="Times New Roman"/>
          <w:sz w:val="24"/>
          <w:szCs w:val="24"/>
        </w:rPr>
        <w:t xml:space="preserve">  </w:t>
      </w:r>
    </w:p>
    <w:p w14:paraId="71E0220C" w14:textId="0B086FA0"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Given the duplicitous nature of the District Ring and the number of illegal activities in which its members were involved, it makes sense that they would have individuals at </w:t>
      </w:r>
      <w:r w:rsidR="002A5D0F">
        <w:rPr>
          <w:rFonts w:ascii="Times New Roman" w:hAnsi="Times New Roman" w:cs="Times New Roman"/>
          <w:sz w:val="24"/>
          <w:szCs w:val="24"/>
        </w:rPr>
        <w:t>all</w:t>
      </w:r>
      <w:r w:rsidRPr="002D394D">
        <w:rPr>
          <w:rFonts w:ascii="Times New Roman" w:hAnsi="Times New Roman" w:cs="Times New Roman"/>
          <w:sz w:val="24"/>
          <w:szCs w:val="24"/>
        </w:rPr>
        <w:t xml:space="preserve"> levels of the criminal justice system who could cover the Ring’s tracks.  What is surprising is how deeply the Ring invaded these law enforcement agencies.  The Ring infiltrated almost every level of the Metropolitan Police Department, from the President of the Board of the Metropolitan Police to individual detectives and officers.</w:t>
      </w:r>
      <w:r w:rsidRPr="002D394D">
        <w:rPr>
          <w:rFonts w:ascii="Times New Roman" w:hAnsi="Times New Roman" w:cs="Times New Roman"/>
          <w:sz w:val="24"/>
          <w:szCs w:val="24"/>
          <w:vertAlign w:val="superscript"/>
        </w:rPr>
        <w:footnoteReference w:id="941"/>
      </w:r>
      <w:r w:rsidRPr="002D394D">
        <w:rPr>
          <w:rFonts w:ascii="Times New Roman" w:hAnsi="Times New Roman" w:cs="Times New Roman"/>
          <w:sz w:val="24"/>
          <w:szCs w:val="24"/>
        </w:rPr>
        <w:t xml:space="preserve">  The Chief of Detectives in the district, John A.W. Clarvoe, was involved in the ring, though he was not alone, as one prosecutor noted that “most of the men </w:t>
      </w:r>
      <w:r w:rsidRPr="002D394D">
        <w:rPr>
          <w:rFonts w:ascii="Times New Roman" w:hAnsi="Times New Roman" w:cs="Times New Roman"/>
          <w:sz w:val="24"/>
          <w:szCs w:val="24"/>
        </w:rPr>
        <w:lastRenderedPageBreak/>
        <w:t>composing it [the Washington detective force] seemed to be entirely in the power of the Ring.”</w:t>
      </w:r>
      <w:r w:rsidRPr="002D394D">
        <w:rPr>
          <w:rFonts w:ascii="Times New Roman" w:hAnsi="Times New Roman" w:cs="Times New Roman"/>
          <w:sz w:val="24"/>
          <w:szCs w:val="24"/>
          <w:vertAlign w:val="superscript"/>
        </w:rPr>
        <w:footnoteReference w:id="942"/>
      </w:r>
      <w:r w:rsidRPr="002D394D">
        <w:rPr>
          <w:rFonts w:ascii="Times New Roman" w:hAnsi="Times New Roman" w:cs="Times New Roman"/>
          <w:sz w:val="24"/>
          <w:szCs w:val="24"/>
        </w:rPr>
        <w:t xml:space="preserve">  </w:t>
      </w:r>
    </w:p>
    <w:p w14:paraId="3E871C26" w14:textId="24870C3B"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As the police were corruptly involved in the District Ring, so too were members of the Treasury Department.  The true irony was that the Ring took root within a newly created organ of the Treasury Department designed to assail corruption by suppressing widespread counterfeiting: The Secret Service.</w:t>
      </w:r>
      <w:r w:rsidRPr="002D394D">
        <w:rPr>
          <w:rFonts w:ascii="Times New Roman" w:hAnsi="Times New Roman" w:cs="Times New Roman"/>
          <w:sz w:val="24"/>
          <w:szCs w:val="24"/>
          <w:vertAlign w:val="superscript"/>
        </w:rPr>
        <w:footnoteReference w:id="943"/>
      </w:r>
      <w:r w:rsidRPr="002D394D">
        <w:rPr>
          <w:rFonts w:ascii="Times New Roman" w:hAnsi="Times New Roman" w:cs="Times New Roman"/>
          <w:sz w:val="24"/>
          <w:szCs w:val="24"/>
        </w:rPr>
        <w:t xml:space="preserve">  Though headquartered in New York with the Treasury Department, members of the Secret Service controlled their own networks of personnel in Washington which enabled them to carry out personal agendas.  The most significant of these Secret Service operatives was Colonel Hiram C. Whitley, the Chief of the Secret Service and a fellow pragmatico who was </w:t>
      </w:r>
      <w:r w:rsidR="00C930CC">
        <w:rPr>
          <w:rFonts w:ascii="Times New Roman" w:hAnsi="Times New Roman" w:cs="Times New Roman"/>
          <w:sz w:val="24"/>
          <w:szCs w:val="24"/>
        </w:rPr>
        <w:t>associated</w:t>
      </w:r>
      <w:r w:rsidRPr="002D394D">
        <w:rPr>
          <w:rFonts w:ascii="Times New Roman" w:hAnsi="Times New Roman" w:cs="Times New Roman"/>
          <w:sz w:val="24"/>
          <w:szCs w:val="24"/>
        </w:rPr>
        <w:t xml:space="preserve"> with Babcock </w:t>
      </w:r>
      <w:r w:rsidR="00C930CC">
        <w:rPr>
          <w:rFonts w:ascii="Times New Roman" w:hAnsi="Times New Roman" w:cs="Times New Roman"/>
          <w:sz w:val="24"/>
          <w:szCs w:val="24"/>
        </w:rPr>
        <w:t xml:space="preserve">and other Safe Burglary conspirators </w:t>
      </w:r>
      <w:r w:rsidRPr="002D394D">
        <w:rPr>
          <w:rFonts w:ascii="Times New Roman" w:hAnsi="Times New Roman" w:cs="Times New Roman"/>
          <w:sz w:val="24"/>
          <w:szCs w:val="24"/>
        </w:rPr>
        <w:t xml:space="preserve">due to </w:t>
      </w:r>
      <w:r w:rsidR="00C930CC">
        <w:rPr>
          <w:rFonts w:ascii="Times New Roman" w:hAnsi="Times New Roman" w:cs="Times New Roman"/>
          <w:sz w:val="24"/>
          <w:szCs w:val="24"/>
        </w:rPr>
        <w:t>his</w:t>
      </w:r>
      <w:r w:rsidRPr="002D394D">
        <w:rPr>
          <w:rFonts w:ascii="Times New Roman" w:hAnsi="Times New Roman" w:cs="Times New Roman"/>
          <w:sz w:val="24"/>
          <w:szCs w:val="24"/>
        </w:rPr>
        <w:t xml:space="preserve"> post in the government</w:t>
      </w:r>
      <w:r w:rsidR="00C930CC">
        <w:rPr>
          <w:rFonts w:ascii="Times New Roman" w:hAnsi="Times New Roman" w:cs="Times New Roman"/>
          <w:sz w:val="24"/>
          <w:szCs w:val="24"/>
        </w:rPr>
        <w:t>.</w:t>
      </w:r>
      <w:r w:rsidRPr="002D394D">
        <w:rPr>
          <w:rFonts w:ascii="Times New Roman" w:hAnsi="Times New Roman" w:cs="Times New Roman"/>
          <w:sz w:val="24"/>
          <w:szCs w:val="24"/>
          <w:vertAlign w:val="superscript"/>
        </w:rPr>
        <w:footnoteReference w:id="944"/>
      </w:r>
      <w:r w:rsidRPr="002D394D">
        <w:rPr>
          <w:rFonts w:ascii="Times New Roman" w:hAnsi="Times New Roman" w:cs="Times New Roman"/>
          <w:sz w:val="24"/>
          <w:szCs w:val="24"/>
        </w:rPr>
        <w:t xml:space="preserve">  Whitley crafted a network of Secret Service agents and affiliates that assisted with the process of the Safe Burglary Conspiracy.  Whitley’s Chief Assistant, Ichabod Nettleship, was a key member of the District Ring, serving as a frequent messenger between New York and Washington.</w:t>
      </w:r>
      <w:r w:rsidRPr="002D394D">
        <w:rPr>
          <w:rFonts w:ascii="Times New Roman" w:hAnsi="Times New Roman" w:cs="Times New Roman"/>
          <w:sz w:val="24"/>
          <w:szCs w:val="24"/>
          <w:vertAlign w:val="superscript"/>
        </w:rPr>
        <w:footnoteReference w:id="945"/>
      </w:r>
      <w:r w:rsidRPr="002D394D">
        <w:rPr>
          <w:rFonts w:ascii="Times New Roman" w:hAnsi="Times New Roman" w:cs="Times New Roman"/>
          <w:sz w:val="24"/>
          <w:szCs w:val="24"/>
        </w:rPr>
        <w:t xml:space="preserve">  Lower ranking Secret Service members such as Albert C. Cunz, a </w:t>
      </w:r>
      <w:r w:rsidR="0051029F">
        <w:rPr>
          <w:rFonts w:ascii="Times New Roman" w:hAnsi="Times New Roman" w:cs="Times New Roman"/>
          <w:sz w:val="24"/>
          <w:szCs w:val="24"/>
        </w:rPr>
        <w:t>c</w:t>
      </w:r>
      <w:r w:rsidRPr="002D394D">
        <w:rPr>
          <w:rFonts w:ascii="Times New Roman" w:hAnsi="Times New Roman" w:cs="Times New Roman"/>
          <w:sz w:val="24"/>
          <w:szCs w:val="24"/>
        </w:rPr>
        <w:t>lerk of the Service, were involved in sending</w:t>
      </w:r>
      <w:r w:rsidR="0051029F">
        <w:rPr>
          <w:rFonts w:ascii="Times New Roman" w:hAnsi="Times New Roman" w:cs="Times New Roman"/>
          <w:sz w:val="24"/>
          <w:szCs w:val="24"/>
        </w:rPr>
        <w:t xml:space="preserve"> covert</w:t>
      </w:r>
      <w:r w:rsidRPr="002D394D">
        <w:rPr>
          <w:rFonts w:ascii="Times New Roman" w:hAnsi="Times New Roman" w:cs="Times New Roman"/>
          <w:sz w:val="24"/>
          <w:szCs w:val="24"/>
        </w:rPr>
        <w:t xml:space="preserve"> messages between New York and Washington.</w:t>
      </w:r>
      <w:r w:rsidRPr="002D394D">
        <w:rPr>
          <w:rFonts w:ascii="Times New Roman" w:hAnsi="Times New Roman" w:cs="Times New Roman"/>
          <w:sz w:val="24"/>
          <w:szCs w:val="24"/>
          <w:vertAlign w:val="superscript"/>
        </w:rPr>
        <w:footnoteReference w:id="946"/>
      </w:r>
      <w:r w:rsidRPr="002D394D">
        <w:rPr>
          <w:rFonts w:ascii="Times New Roman" w:hAnsi="Times New Roman" w:cs="Times New Roman"/>
          <w:sz w:val="24"/>
          <w:szCs w:val="24"/>
        </w:rPr>
        <w:t xml:space="preserve">  Whitley even unofficially deputized former Washington detectives Gustave </w:t>
      </w:r>
      <w:r w:rsidRPr="002D394D">
        <w:rPr>
          <w:rFonts w:ascii="Times New Roman" w:hAnsi="Times New Roman" w:cs="Times New Roman"/>
          <w:sz w:val="24"/>
          <w:szCs w:val="24"/>
        </w:rPr>
        <w:lastRenderedPageBreak/>
        <w:t xml:space="preserve">Zirruth and Michael Hayes to aid in </w:t>
      </w:r>
      <w:r w:rsidR="00C51FB3">
        <w:rPr>
          <w:rFonts w:ascii="Times New Roman" w:hAnsi="Times New Roman" w:cs="Times New Roman"/>
          <w:sz w:val="24"/>
          <w:szCs w:val="24"/>
        </w:rPr>
        <w:t>Ring activities</w:t>
      </w:r>
      <w:r w:rsidRPr="002D394D">
        <w:rPr>
          <w:rFonts w:ascii="Times New Roman" w:hAnsi="Times New Roman" w:cs="Times New Roman"/>
          <w:sz w:val="24"/>
          <w:szCs w:val="24"/>
        </w:rPr>
        <w:t>.</w:t>
      </w:r>
      <w:r w:rsidRPr="002D394D">
        <w:rPr>
          <w:rFonts w:ascii="Times New Roman" w:hAnsi="Times New Roman" w:cs="Times New Roman"/>
          <w:sz w:val="24"/>
          <w:szCs w:val="24"/>
          <w:vertAlign w:val="superscript"/>
        </w:rPr>
        <w:footnoteReference w:id="947"/>
      </w:r>
      <w:r w:rsidRPr="002D394D">
        <w:rPr>
          <w:rFonts w:ascii="Times New Roman" w:hAnsi="Times New Roman" w:cs="Times New Roman"/>
          <w:sz w:val="24"/>
          <w:szCs w:val="24"/>
        </w:rPr>
        <w:t xml:space="preserve">  The District Ring’s infiltration of the Treasury Department showed that the geographical bounds of the Ring were not limited to the District.</w:t>
      </w:r>
    </w:p>
    <w:p w14:paraId="604FA5F6" w14:textId="1B9DD35D"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A</w:t>
      </w:r>
      <w:r w:rsidR="00326026">
        <w:rPr>
          <w:rFonts w:ascii="Times New Roman" w:hAnsi="Times New Roman" w:cs="Times New Roman"/>
          <w:sz w:val="24"/>
          <w:szCs w:val="24"/>
        </w:rPr>
        <w:t xml:space="preserve">mong its many assaults, the </w:t>
      </w:r>
      <w:r w:rsidRPr="002D394D">
        <w:rPr>
          <w:rFonts w:ascii="Times New Roman" w:hAnsi="Times New Roman" w:cs="Times New Roman"/>
          <w:sz w:val="24"/>
          <w:szCs w:val="24"/>
        </w:rPr>
        <w:t>District Ring</w:t>
      </w:r>
      <w:r w:rsidR="00326026">
        <w:rPr>
          <w:rFonts w:ascii="Times New Roman" w:hAnsi="Times New Roman" w:cs="Times New Roman"/>
          <w:sz w:val="24"/>
          <w:szCs w:val="24"/>
        </w:rPr>
        <w:t xml:space="preserve"> invaded</w:t>
      </w:r>
      <w:r w:rsidRPr="002D394D">
        <w:rPr>
          <w:rFonts w:ascii="Times New Roman" w:hAnsi="Times New Roman" w:cs="Times New Roman"/>
          <w:sz w:val="24"/>
          <w:szCs w:val="24"/>
        </w:rPr>
        <w:t xml:space="preserve"> the legal system.  The Ring infiltrated the United States District Attorney’s office </w:t>
      </w:r>
      <w:r w:rsidR="00797F89">
        <w:rPr>
          <w:rFonts w:ascii="Times New Roman" w:hAnsi="Times New Roman" w:cs="Times New Roman"/>
          <w:sz w:val="24"/>
          <w:szCs w:val="24"/>
        </w:rPr>
        <w:t>in the person of</w:t>
      </w:r>
      <w:r w:rsidRPr="002D394D">
        <w:rPr>
          <w:rFonts w:ascii="Times New Roman" w:hAnsi="Times New Roman" w:cs="Times New Roman"/>
          <w:sz w:val="24"/>
          <w:szCs w:val="24"/>
        </w:rPr>
        <w:t xml:space="preserve"> Richard Harrington, the Assistant District Attorney.</w:t>
      </w:r>
      <w:r w:rsidRPr="002D394D">
        <w:rPr>
          <w:rFonts w:ascii="Times New Roman" w:hAnsi="Times New Roman" w:cs="Times New Roman"/>
          <w:sz w:val="24"/>
          <w:szCs w:val="24"/>
          <w:vertAlign w:val="superscript"/>
        </w:rPr>
        <w:footnoteReference w:id="948"/>
      </w:r>
      <w:r w:rsidRPr="002D394D">
        <w:rPr>
          <w:rFonts w:ascii="Times New Roman" w:hAnsi="Times New Roman" w:cs="Times New Roman"/>
          <w:sz w:val="24"/>
          <w:szCs w:val="24"/>
        </w:rPr>
        <w:t xml:space="preserve">  In addition to his post as Assistant USDA, Harrington served as the Secretary of the District of Columbia, a post similar to the Secretary of State position in other states.  Harrington’s most notable role may have been as the mastermind of the Safe Burglary Conspiracy.  He </w:t>
      </w:r>
      <w:r w:rsidR="00467A8B">
        <w:rPr>
          <w:rFonts w:ascii="Times New Roman" w:hAnsi="Times New Roman" w:cs="Times New Roman"/>
          <w:sz w:val="24"/>
          <w:szCs w:val="24"/>
        </w:rPr>
        <w:t>abused</w:t>
      </w:r>
      <w:r w:rsidRPr="002D394D">
        <w:rPr>
          <w:rFonts w:ascii="Times New Roman" w:hAnsi="Times New Roman" w:cs="Times New Roman"/>
          <w:sz w:val="24"/>
          <w:szCs w:val="24"/>
        </w:rPr>
        <w:t xml:space="preserve"> contacts he made while in Washington, </w:t>
      </w:r>
      <w:r w:rsidR="00467A8B">
        <w:rPr>
          <w:rFonts w:ascii="Times New Roman" w:hAnsi="Times New Roman" w:cs="Times New Roman"/>
          <w:sz w:val="24"/>
          <w:szCs w:val="24"/>
        </w:rPr>
        <w:t xml:space="preserve">like </w:t>
      </w:r>
      <w:r w:rsidRPr="002D394D">
        <w:rPr>
          <w:rFonts w:ascii="Times New Roman" w:hAnsi="Times New Roman" w:cs="Times New Roman"/>
          <w:sz w:val="24"/>
          <w:szCs w:val="24"/>
        </w:rPr>
        <w:t>his friend and fellow lawyer Arthur B. Williams, as well as Babcock and Secret Service officials Whitley and Nettleship</w:t>
      </w:r>
      <w:r w:rsidR="00E445B9">
        <w:rPr>
          <w:rFonts w:ascii="Times New Roman" w:hAnsi="Times New Roman" w:cs="Times New Roman"/>
          <w:sz w:val="24"/>
          <w:szCs w:val="24"/>
        </w:rPr>
        <w:t>.</w:t>
      </w:r>
      <w:r w:rsidR="00E445B9">
        <w:rPr>
          <w:rStyle w:val="FootnoteReference"/>
          <w:rFonts w:ascii="Times New Roman" w:hAnsi="Times New Roman" w:cs="Times New Roman"/>
          <w:sz w:val="24"/>
          <w:szCs w:val="24"/>
        </w:rPr>
        <w:footnoteReference w:id="949"/>
      </w:r>
      <w:r w:rsidR="00E445B9">
        <w:rPr>
          <w:rFonts w:ascii="Times New Roman" w:hAnsi="Times New Roman" w:cs="Times New Roman"/>
          <w:sz w:val="24"/>
          <w:szCs w:val="24"/>
        </w:rPr>
        <w:t xml:space="preserve"> He</w:t>
      </w:r>
      <w:r w:rsidRPr="002D394D">
        <w:rPr>
          <w:rFonts w:ascii="Times New Roman" w:hAnsi="Times New Roman" w:cs="Times New Roman"/>
          <w:sz w:val="24"/>
          <w:szCs w:val="24"/>
        </w:rPr>
        <w:t xml:space="preserve"> constructed a web of conspirators that spanned the political landscape and brought the Safe Burglary Conspiracy to fruition.</w:t>
      </w:r>
      <w:r w:rsidRPr="002D394D">
        <w:rPr>
          <w:rFonts w:ascii="Times New Roman" w:hAnsi="Times New Roman" w:cs="Times New Roman"/>
          <w:sz w:val="24"/>
          <w:szCs w:val="24"/>
          <w:vertAlign w:val="superscript"/>
        </w:rPr>
        <w:footnoteReference w:id="950"/>
      </w:r>
      <w:r w:rsidRPr="002D394D">
        <w:rPr>
          <w:rFonts w:ascii="Times New Roman" w:hAnsi="Times New Roman" w:cs="Times New Roman"/>
          <w:sz w:val="24"/>
          <w:szCs w:val="24"/>
        </w:rPr>
        <w:t xml:space="preserve">  Harrington used his position to exploit the legal system for his personal gain and for the benefit of the District Ring.</w:t>
      </w:r>
    </w:p>
    <w:p w14:paraId="6A9EA522" w14:textId="77777777" w:rsidR="002D394D" w:rsidRPr="002D394D" w:rsidRDefault="002D394D" w:rsidP="002D394D">
      <w:pPr>
        <w:spacing w:line="480" w:lineRule="auto"/>
        <w:ind w:firstLine="810"/>
        <w:rPr>
          <w:rFonts w:ascii="Times New Roman" w:hAnsi="Times New Roman" w:cs="Times New Roman"/>
          <w:sz w:val="24"/>
          <w:szCs w:val="24"/>
        </w:rPr>
      </w:pPr>
      <w:r w:rsidRPr="002D394D">
        <w:rPr>
          <w:rFonts w:ascii="Times New Roman" w:hAnsi="Times New Roman" w:cs="Times New Roman"/>
          <w:sz w:val="24"/>
          <w:szCs w:val="24"/>
        </w:rPr>
        <w:t>The District Ring did not operate in the capital unperturbed.  The main group seeking to stop the actions of the District Ring called themselves the “Memorialists.”  However, these were not reformers seeking to rid the capital of the District Ring’s immoral activities.  The Memorialists were a band of Washingtonian conservatives who opposed massive revitalization projects around the city.</w:t>
      </w:r>
      <w:r w:rsidRPr="002D394D">
        <w:rPr>
          <w:rFonts w:ascii="Times New Roman" w:hAnsi="Times New Roman" w:cs="Times New Roman"/>
          <w:sz w:val="24"/>
          <w:szCs w:val="24"/>
          <w:vertAlign w:val="superscript"/>
        </w:rPr>
        <w:footnoteReference w:id="951"/>
      </w:r>
      <w:r w:rsidRPr="002D394D">
        <w:rPr>
          <w:rFonts w:ascii="Times New Roman" w:hAnsi="Times New Roman" w:cs="Times New Roman"/>
          <w:sz w:val="24"/>
          <w:szCs w:val="24"/>
        </w:rPr>
        <w:t xml:space="preserve">  Chief among the Memorialists was Columbus Alexander, a man who </w:t>
      </w:r>
      <w:r w:rsidRPr="002D394D">
        <w:rPr>
          <w:rFonts w:ascii="Times New Roman" w:hAnsi="Times New Roman" w:cs="Times New Roman"/>
          <w:sz w:val="24"/>
          <w:szCs w:val="24"/>
        </w:rPr>
        <w:lastRenderedPageBreak/>
        <w:t>was referred to once as “a pugilist refusing to know defeat” for his “remarkable pertinacity and ability in his long pursuit of the Ring.”</w:t>
      </w:r>
      <w:r w:rsidRPr="002D394D">
        <w:rPr>
          <w:rFonts w:ascii="Times New Roman" w:hAnsi="Times New Roman" w:cs="Times New Roman"/>
          <w:sz w:val="24"/>
          <w:szCs w:val="24"/>
          <w:vertAlign w:val="superscript"/>
        </w:rPr>
        <w:footnoteReference w:id="952"/>
      </w:r>
    </w:p>
    <w:p w14:paraId="6331F03A" w14:textId="016024A3" w:rsidR="002D394D" w:rsidRPr="002D394D" w:rsidRDefault="002D394D" w:rsidP="002D394D">
      <w:pPr>
        <w:spacing w:line="480" w:lineRule="auto"/>
        <w:ind w:firstLine="810"/>
        <w:rPr>
          <w:rFonts w:ascii="Times New Roman" w:hAnsi="Times New Roman" w:cs="Times New Roman"/>
          <w:sz w:val="24"/>
          <w:szCs w:val="24"/>
        </w:rPr>
      </w:pPr>
      <w:r w:rsidRPr="002D394D">
        <w:rPr>
          <w:rFonts w:ascii="Times New Roman" w:hAnsi="Times New Roman" w:cs="Times New Roman"/>
          <w:sz w:val="24"/>
          <w:szCs w:val="24"/>
        </w:rPr>
        <w:t>The revitalization projects in question were tied to high-ranking Washingtonians who were also believed to be part of the District Ring, namely Governor Alexander Robey Shepherd and Orville Babcock.  Shepherd organized many of these projects as the President of the Board of Public Works, and he continued to hold significant sway with this organization after his election to the governorship.</w:t>
      </w:r>
      <w:r w:rsidRPr="002D394D">
        <w:rPr>
          <w:rFonts w:ascii="Times New Roman" w:hAnsi="Times New Roman" w:cs="Times New Roman"/>
          <w:sz w:val="24"/>
          <w:szCs w:val="24"/>
          <w:vertAlign w:val="superscript"/>
        </w:rPr>
        <w:footnoteReference w:id="953"/>
      </w:r>
      <w:r w:rsidRPr="002D394D">
        <w:rPr>
          <w:rFonts w:ascii="Times New Roman" w:hAnsi="Times New Roman" w:cs="Times New Roman"/>
          <w:sz w:val="24"/>
          <w:szCs w:val="24"/>
        </w:rPr>
        <w:t xml:space="preserve">  Further, Babcock’s efforts to revitalize the capital as Superintendent of the </w:t>
      </w:r>
      <w:r w:rsidR="00A21C25">
        <w:rPr>
          <w:rFonts w:ascii="Times New Roman" w:hAnsi="Times New Roman" w:cs="Times New Roman"/>
          <w:sz w:val="24"/>
          <w:szCs w:val="24"/>
        </w:rPr>
        <w:t>Office of Public Buildings and Grounds</w:t>
      </w:r>
      <w:r w:rsidRPr="002D394D">
        <w:rPr>
          <w:rFonts w:ascii="Times New Roman" w:hAnsi="Times New Roman" w:cs="Times New Roman"/>
          <w:sz w:val="24"/>
          <w:szCs w:val="24"/>
        </w:rPr>
        <w:t xml:space="preserve"> and give the city a more Victorian appeal were called into question by those who believed his efforts were corrupt. Under Shepherd’s and Babcock’s supervision, the board worked to revitalize the city of Washington, particularly through the leveling, narrowing, and illuminating of the city’s roads.</w:t>
      </w:r>
      <w:r w:rsidRPr="002D394D">
        <w:rPr>
          <w:rFonts w:ascii="Times New Roman" w:hAnsi="Times New Roman" w:cs="Times New Roman"/>
          <w:sz w:val="24"/>
          <w:szCs w:val="24"/>
          <w:vertAlign w:val="superscript"/>
        </w:rPr>
        <w:footnoteReference w:id="954"/>
      </w:r>
      <w:r w:rsidRPr="002D394D">
        <w:rPr>
          <w:rFonts w:ascii="Times New Roman" w:hAnsi="Times New Roman" w:cs="Times New Roman"/>
          <w:sz w:val="24"/>
          <w:szCs w:val="24"/>
        </w:rPr>
        <w:t xml:space="preserve">  They also saw the laying of hundreds of miles of new water mains, the removal of the hazardous Washington City Canal, and a complete revitalization of the National Mall from its wartime existence as an animal pen.</w:t>
      </w:r>
      <w:r w:rsidRPr="002D394D">
        <w:rPr>
          <w:rFonts w:ascii="Times New Roman" w:hAnsi="Times New Roman" w:cs="Times New Roman"/>
          <w:sz w:val="24"/>
          <w:szCs w:val="24"/>
          <w:vertAlign w:val="superscript"/>
        </w:rPr>
        <w:footnoteReference w:id="955"/>
      </w:r>
    </w:p>
    <w:p w14:paraId="0DD9C9F9" w14:textId="501A3B80" w:rsidR="002D394D" w:rsidRPr="002D394D" w:rsidRDefault="002D394D" w:rsidP="002D394D">
      <w:pPr>
        <w:spacing w:line="480" w:lineRule="auto"/>
        <w:ind w:firstLine="810"/>
        <w:rPr>
          <w:rFonts w:ascii="Times New Roman" w:hAnsi="Times New Roman" w:cs="Times New Roman"/>
          <w:sz w:val="24"/>
          <w:szCs w:val="24"/>
        </w:rPr>
      </w:pPr>
      <w:r w:rsidRPr="002D394D">
        <w:rPr>
          <w:rFonts w:ascii="Times New Roman" w:hAnsi="Times New Roman" w:cs="Times New Roman"/>
          <w:sz w:val="24"/>
          <w:szCs w:val="24"/>
        </w:rPr>
        <w:t>On the surface, such revitalization projects seemed beneficial, bringing the city into a new era of modernity; the</w:t>
      </w:r>
      <w:r w:rsidR="001D26A8">
        <w:rPr>
          <w:rFonts w:ascii="Times New Roman" w:hAnsi="Times New Roman" w:cs="Times New Roman"/>
          <w:sz w:val="24"/>
          <w:szCs w:val="24"/>
        </w:rPr>
        <w:t xml:space="preserve"> underlying</w:t>
      </w:r>
      <w:r w:rsidRPr="002D394D">
        <w:rPr>
          <w:rFonts w:ascii="Times New Roman" w:hAnsi="Times New Roman" w:cs="Times New Roman"/>
          <w:sz w:val="24"/>
          <w:szCs w:val="24"/>
        </w:rPr>
        <w:t xml:space="preserve"> issue became </w:t>
      </w:r>
      <w:r w:rsidR="00896CF4">
        <w:rPr>
          <w:rFonts w:ascii="Times New Roman" w:hAnsi="Times New Roman" w:cs="Times New Roman"/>
          <w:sz w:val="24"/>
          <w:szCs w:val="24"/>
        </w:rPr>
        <w:t xml:space="preserve">the </w:t>
      </w:r>
      <w:r w:rsidRPr="002D394D">
        <w:rPr>
          <w:rFonts w:ascii="Times New Roman" w:hAnsi="Times New Roman" w:cs="Times New Roman"/>
          <w:sz w:val="24"/>
          <w:szCs w:val="24"/>
        </w:rPr>
        <w:t xml:space="preserve">question of the appropriate allocation of the district’s budget.  These </w:t>
      </w:r>
      <w:r w:rsidR="00026AE2">
        <w:rPr>
          <w:rFonts w:ascii="Times New Roman" w:hAnsi="Times New Roman" w:cs="Times New Roman"/>
          <w:sz w:val="24"/>
          <w:szCs w:val="24"/>
        </w:rPr>
        <w:t>project</w:t>
      </w:r>
      <w:r w:rsidRPr="002D394D">
        <w:rPr>
          <w:rFonts w:ascii="Times New Roman" w:hAnsi="Times New Roman" w:cs="Times New Roman"/>
          <w:sz w:val="24"/>
          <w:szCs w:val="24"/>
        </w:rPr>
        <w:t xml:space="preserve">s exceeded the budget as established by Congress by millions of dollars, and put the city in </w:t>
      </w:r>
      <w:r w:rsidR="00D10D18">
        <w:rPr>
          <w:rFonts w:ascii="Times New Roman" w:hAnsi="Times New Roman" w:cs="Times New Roman"/>
          <w:sz w:val="24"/>
          <w:szCs w:val="24"/>
        </w:rPr>
        <w:t xml:space="preserve">tremendous </w:t>
      </w:r>
      <w:r w:rsidRPr="002D394D">
        <w:rPr>
          <w:rFonts w:ascii="Times New Roman" w:hAnsi="Times New Roman" w:cs="Times New Roman"/>
          <w:sz w:val="24"/>
          <w:szCs w:val="24"/>
        </w:rPr>
        <w:t>debt in the wake of the Panic of 1873.</w:t>
      </w:r>
      <w:r w:rsidRPr="002D394D">
        <w:rPr>
          <w:rFonts w:ascii="Times New Roman" w:hAnsi="Times New Roman" w:cs="Times New Roman"/>
          <w:sz w:val="24"/>
          <w:szCs w:val="24"/>
          <w:vertAlign w:val="superscript"/>
        </w:rPr>
        <w:footnoteReference w:id="956"/>
      </w:r>
      <w:r w:rsidRPr="002D394D">
        <w:rPr>
          <w:rFonts w:ascii="Times New Roman" w:hAnsi="Times New Roman" w:cs="Times New Roman"/>
          <w:sz w:val="24"/>
          <w:szCs w:val="24"/>
        </w:rPr>
        <w:t xml:space="preserve">  What most incensed the Memorialists was “the conviction that a ‘ring’ of favored contractors and speculating associates was fattening financially at the expense of the District and its </w:t>
      </w:r>
      <w:r w:rsidRPr="002D394D">
        <w:rPr>
          <w:rFonts w:ascii="Times New Roman" w:hAnsi="Times New Roman" w:cs="Times New Roman"/>
          <w:sz w:val="24"/>
          <w:szCs w:val="24"/>
        </w:rPr>
        <w:lastRenderedPageBreak/>
        <w:t>taxpayers.”</w:t>
      </w:r>
      <w:r w:rsidRPr="002D394D">
        <w:rPr>
          <w:rFonts w:ascii="Times New Roman" w:hAnsi="Times New Roman" w:cs="Times New Roman"/>
          <w:sz w:val="24"/>
          <w:szCs w:val="24"/>
          <w:vertAlign w:val="superscript"/>
        </w:rPr>
        <w:footnoteReference w:id="957"/>
      </w:r>
      <w:r w:rsidRPr="002D394D">
        <w:rPr>
          <w:rFonts w:ascii="Times New Roman" w:hAnsi="Times New Roman" w:cs="Times New Roman"/>
          <w:sz w:val="24"/>
          <w:szCs w:val="24"/>
        </w:rPr>
        <w:t xml:space="preserve">  This led the group to make a “Memorial” appeal</w:t>
      </w:r>
      <w:r w:rsidR="0084166F">
        <w:rPr>
          <w:rFonts w:ascii="Times New Roman" w:hAnsi="Times New Roman" w:cs="Times New Roman"/>
          <w:sz w:val="24"/>
          <w:szCs w:val="24"/>
        </w:rPr>
        <w:t>, also known as a petition,</w:t>
      </w:r>
      <w:r w:rsidRPr="002D394D">
        <w:rPr>
          <w:rFonts w:ascii="Times New Roman" w:hAnsi="Times New Roman" w:cs="Times New Roman"/>
          <w:sz w:val="24"/>
          <w:szCs w:val="24"/>
        </w:rPr>
        <w:t xml:space="preserve"> to Congress in an attempt to allow the District to progress at its own pace rather than at the hastening speed Shepherd sought.</w:t>
      </w:r>
      <w:r w:rsidRPr="002D394D">
        <w:rPr>
          <w:rFonts w:ascii="Times New Roman" w:hAnsi="Times New Roman" w:cs="Times New Roman"/>
          <w:sz w:val="24"/>
          <w:szCs w:val="24"/>
          <w:vertAlign w:val="superscript"/>
        </w:rPr>
        <w:footnoteReference w:id="958"/>
      </w:r>
      <w:r w:rsidRPr="002D394D">
        <w:rPr>
          <w:rFonts w:ascii="Times New Roman" w:hAnsi="Times New Roman" w:cs="Times New Roman"/>
          <w:sz w:val="24"/>
          <w:szCs w:val="24"/>
        </w:rPr>
        <w:t xml:space="preserve">  </w:t>
      </w:r>
    </w:p>
    <w:p w14:paraId="77261452" w14:textId="15485B68" w:rsidR="002D394D" w:rsidRPr="002D394D" w:rsidRDefault="002D394D" w:rsidP="002D394D">
      <w:pPr>
        <w:spacing w:line="480" w:lineRule="auto"/>
        <w:ind w:firstLine="720"/>
        <w:contextualSpacing/>
        <w:rPr>
          <w:rFonts w:ascii="Times New Roman" w:hAnsi="Times New Roman" w:cs="Times New Roman"/>
          <w:sz w:val="24"/>
          <w:szCs w:val="24"/>
        </w:rPr>
      </w:pPr>
      <w:r w:rsidRPr="002D394D">
        <w:rPr>
          <w:rFonts w:ascii="Times New Roman" w:hAnsi="Times New Roman" w:cs="Times New Roman"/>
          <w:sz w:val="24"/>
          <w:szCs w:val="24"/>
        </w:rPr>
        <w:t xml:space="preserve">The Memorialist’s campaign against the District Ring centered on Washington’s Board of Public Works, an entity which was both responsible for the revitalization projects and which was </w:t>
      </w:r>
      <w:r w:rsidR="005F11D9">
        <w:rPr>
          <w:rFonts w:ascii="Times New Roman" w:hAnsi="Times New Roman" w:cs="Times New Roman"/>
          <w:sz w:val="24"/>
          <w:szCs w:val="24"/>
        </w:rPr>
        <w:t>entire</w:t>
      </w:r>
      <w:r w:rsidRPr="002D394D">
        <w:rPr>
          <w:rFonts w:ascii="Times New Roman" w:hAnsi="Times New Roman" w:cs="Times New Roman"/>
          <w:sz w:val="24"/>
          <w:szCs w:val="24"/>
        </w:rPr>
        <w:t>ly infiltrated by the Ring</w:t>
      </w:r>
      <w:r w:rsidR="005F11D9">
        <w:rPr>
          <w:rFonts w:ascii="Times New Roman" w:hAnsi="Times New Roman" w:cs="Times New Roman"/>
          <w:sz w:val="24"/>
          <w:szCs w:val="24"/>
        </w:rPr>
        <w:t xml:space="preserve"> members</w:t>
      </w:r>
      <w:r w:rsidRPr="002D394D">
        <w:rPr>
          <w:rFonts w:ascii="Times New Roman" w:hAnsi="Times New Roman" w:cs="Times New Roman"/>
          <w:sz w:val="24"/>
          <w:szCs w:val="24"/>
        </w:rPr>
        <w:t xml:space="preserve">.  While Shepherd held influence with the Board as its former President and maintained a semblance of control of the Board as </w:t>
      </w:r>
      <w:r w:rsidR="00250F64">
        <w:rPr>
          <w:rFonts w:ascii="Times New Roman" w:hAnsi="Times New Roman" w:cs="Times New Roman"/>
          <w:sz w:val="24"/>
          <w:szCs w:val="24"/>
        </w:rPr>
        <w:t>G</w:t>
      </w:r>
      <w:r w:rsidRPr="002D394D">
        <w:rPr>
          <w:rFonts w:ascii="Times New Roman" w:hAnsi="Times New Roman" w:cs="Times New Roman"/>
          <w:sz w:val="24"/>
          <w:szCs w:val="24"/>
        </w:rPr>
        <w:t>overnor, Babcock served as Washington’s Superintendent of Public Buildings and Grounds, a position he garnered through presidential appointment in 1873.</w:t>
      </w:r>
      <w:r w:rsidRPr="002D394D">
        <w:rPr>
          <w:rFonts w:ascii="Times New Roman" w:hAnsi="Times New Roman" w:cs="Times New Roman"/>
          <w:sz w:val="24"/>
          <w:szCs w:val="24"/>
          <w:vertAlign w:val="superscript"/>
        </w:rPr>
        <w:footnoteReference w:id="959"/>
      </w:r>
      <w:r w:rsidRPr="002D394D">
        <w:rPr>
          <w:rFonts w:ascii="Times New Roman" w:hAnsi="Times New Roman" w:cs="Times New Roman"/>
          <w:sz w:val="24"/>
          <w:szCs w:val="24"/>
        </w:rPr>
        <w:t xml:space="preserve">  The Memorialists claimed that these men used their high-ranking positions to take bribes in exchange for contracted work with the government.  These claims prompted Congressional investigations into the Board of Public Works’ activities, and the deposition of witnesses began in early March 1874.</w:t>
      </w:r>
      <w:r w:rsidRPr="002D394D">
        <w:rPr>
          <w:rFonts w:ascii="Times New Roman" w:hAnsi="Times New Roman" w:cs="Times New Roman"/>
          <w:sz w:val="24"/>
          <w:szCs w:val="24"/>
          <w:vertAlign w:val="superscript"/>
        </w:rPr>
        <w:footnoteReference w:id="960"/>
      </w:r>
      <w:r w:rsidRPr="002D394D">
        <w:rPr>
          <w:rFonts w:ascii="Times New Roman" w:hAnsi="Times New Roman" w:cs="Times New Roman"/>
          <w:sz w:val="24"/>
          <w:szCs w:val="24"/>
        </w:rPr>
        <w:t xml:space="preserve">  In response to the Memorialist campaign, the Washington press “openly and persistently said at the time that this powerful enginery of influence [the Memorialists] was subsidized… by the favors of which it was a beneficiary at the hands of the accused.”</w:t>
      </w:r>
      <w:r w:rsidRPr="002D394D">
        <w:rPr>
          <w:rFonts w:ascii="Times New Roman" w:hAnsi="Times New Roman" w:cs="Times New Roman"/>
          <w:sz w:val="24"/>
          <w:szCs w:val="24"/>
          <w:vertAlign w:val="superscript"/>
        </w:rPr>
        <w:footnoteReference w:id="961"/>
      </w:r>
      <w:r w:rsidRPr="002D394D">
        <w:rPr>
          <w:rFonts w:ascii="Times New Roman" w:hAnsi="Times New Roman" w:cs="Times New Roman"/>
          <w:sz w:val="24"/>
          <w:szCs w:val="24"/>
        </w:rPr>
        <w:t xml:space="preserve">  Yet the Memorialists continued their campaign by accumulating evidence against the District Ring.</w:t>
      </w:r>
    </w:p>
    <w:p w14:paraId="0AE676D8" w14:textId="31110020"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 xml:space="preserve">The </w:t>
      </w:r>
      <w:r w:rsidR="004109D5">
        <w:rPr>
          <w:rFonts w:ascii="Times New Roman" w:hAnsi="Times New Roman" w:cs="Times New Roman"/>
          <w:sz w:val="24"/>
          <w:szCs w:val="24"/>
        </w:rPr>
        <w:t xml:space="preserve">most </w:t>
      </w:r>
      <w:r w:rsidRPr="002D394D">
        <w:rPr>
          <w:rFonts w:ascii="Times New Roman" w:hAnsi="Times New Roman" w:cs="Times New Roman"/>
          <w:sz w:val="24"/>
          <w:szCs w:val="24"/>
        </w:rPr>
        <w:t>critical piece of evidence for the Memorialists lay in the records of John O. Evans. Evans, a Washingtonian contractor and real estate operator with ties to the Board of Public Works, was the first witness interviewed as part of the congressional investigation.</w:t>
      </w:r>
      <w:r w:rsidRPr="002D394D">
        <w:rPr>
          <w:rFonts w:ascii="Times New Roman" w:hAnsi="Times New Roman" w:cs="Times New Roman"/>
          <w:sz w:val="24"/>
          <w:szCs w:val="24"/>
          <w:vertAlign w:val="superscript"/>
        </w:rPr>
        <w:footnoteReference w:id="962"/>
      </w:r>
      <w:r w:rsidRPr="002D394D">
        <w:rPr>
          <w:rFonts w:ascii="Times New Roman" w:hAnsi="Times New Roman" w:cs="Times New Roman"/>
          <w:sz w:val="24"/>
          <w:szCs w:val="24"/>
        </w:rPr>
        <w:t xml:space="preserve">  </w:t>
      </w:r>
      <w:r w:rsidRPr="002D394D">
        <w:rPr>
          <w:rFonts w:ascii="Times New Roman" w:hAnsi="Times New Roman" w:cs="Times New Roman"/>
          <w:sz w:val="24"/>
          <w:szCs w:val="24"/>
        </w:rPr>
        <w:lastRenderedPageBreak/>
        <w:t>Evans was suspected of having ties to the Ring due to his repeated acquisition of contracts, leading the Memorialists to claim favoritism attained through grift.</w:t>
      </w:r>
      <w:r w:rsidRPr="002D394D">
        <w:rPr>
          <w:rFonts w:ascii="Times New Roman" w:hAnsi="Times New Roman" w:cs="Times New Roman"/>
          <w:sz w:val="24"/>
          <w:szCs w:val="24"/>
          <w:vertAlign w:val="superscript"/>
        </w:rPr>
        <w:footnoteReference w:id="963"/>
      </w:r>
      <w:r w:rsidRPr="002D394D">
        <w:rPr>
          <w:rFonts w:ascii="Times New Roman" w:hAnsi="Times New Roman" w:cs="Times New Roman"/>
          <w:sz w:val="24"/>
          <w:szCs w:val="24"/>
        </w:rPr>
        <w:t xml:space="preserve">  Congress ordered Evans to turn over his records, at which point he relinquished a few small ledgers that Alexander and his compatriots vehemently claimed to be incomplete, demanding Evans submit his full records to the investigators.</w:t>
      </w:r>
      <w:r w:rsidRPr="002D394D">
        <w:rPr>
          <w:rFonts w:ascii="Times New Roman" w:hAnsi="Times New Roman" w:cs="Times New Roman"/>
          <w:sz w:val="24"/>
          <w:szCs w:val="24"/>
          <w:vertAlign w:val="superscript"/>
        </w:rPr>
        <w:footnoteReference w:id="964"/>
      </w:r>
      <w:r w:rsidRPr="002D394D">
        <w:rPr>
          <w:rFonts w:ascii="Times New Roman" w:hAnsi="Times New Roman" w:cs="Times New Roman"/>
          <w:sz w:val="24"/>
          <w:szCs w:val="24"/>
        </w:rPr>
        <w:t xml:space="preserve">  As the Memorialists proved to be persistent thorns in the side of the District Ring, Alexander’s dogged determination to acquire Evans’s books presented an opportunity that the Ring couldn’t help but try to exploit in their quest to maintain their ill-gotten power.</w:t>
      </w:r>
    </w:p>
    <w:p w14:paraId="67387ED4" w14:textId="0C0BE48C"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 xml:space="preserve">Members of the Ring determined that the best opportunity to rescue their high-ranking operatives </w:t>
      </w:r>
      <w:r w:rsidR="00723A72">
        <w:rPr>
          <w:rFonts w:ascii="Times New Roman" w:hAnsi="Times New Roman" w:cs="Times New Roman"/>
          <w:sz w:val="24"/>
          <w:szCs w:val="24"/>
        </w:rPr>
        <w:t xml:space="preserve">from scrutiny </w:t>
      </w:r>
      <w:r w:rsidRPr="002D394D">
        <w:rPr>
          <w:rFonts w:ascii="Times New Roman" w:hAnsi="Times New Roman" w:cs="Times New Roman"/>
          <w:sz w:val="24"/>
          <w:szCs w:val="24"/>
        </w:rPr>
        <w:t xml:space="preserve">was to discredit their enemies.  Alexander’s zeal for attaining Evans’s books presented a solution: frame Alexander for burglarizing government property to get the </w:t>
      </w:r>
      <w:r w:rsidR="00723A72">
        <w:rPr>
          <w:rFonts w:ascii="Times New Roman" w:hAnsi="Times New Roman" w:cs="Times New Roman"/>
          <w:sz w:val="24"/>
          <w:szCs w:val="24"/>
        </w:rPr>
        <w:t xml:space="preserve">coveted </w:t>
      </w:r>
      <w:r w:rsidRPr="002D394D">
        <w:rPr>
          <w:rFonts w:ascii="Times New Roman" w:hAnsi="Times New Roman" w:cs="Times New Roman"/>
          <w:sz w:val="24"/>
          <w:szCs w:val="24"/>
        </w:rPr>
        <w:t>books</w:t>
      </w:r>
      <w:r w:rsidR="00723A72">
        <w:rPr>
          <w:rFonts w:ascii="Times New Roman" w:hAnsi="Times New Roman" w:cs="Times New Roman"/>
          <w:sz w:val="24"/>
          <w:szCs w:val="24"/>
        </w:rPr>
        <w:t>. They would accomplish this task</w:t>
      </w:r>
      <w:r w:rsidRPr="002D394D">
        <w:rPr>
          <w:rFonts w:ascii="Times New Roman" w:hAnsi="Times New Roman" w:cs="Times New Roman"/>
          <w:sz w:val="24"/>
          <w:szCs w:val="24"/>
        </w:rPr>
        <w:t xml:space="preserve"> by planting</w:t>
      </w:r>
      <w:r w:rsidR="00723A72">
        <w:rPr>
          <w:rFonts w:ascii="Times New Roman" w:hAnsi="Times New Roman" w:cs="Times New Roman"/>
          <w:sz w:val="24"/>
          <w:szCs w:val="24"/>
        </w:rPr>
        <w:t xml:space="preserve"> the</w:t>
      </w:r>
      <w:r w:rsidRPr="002D394D">
        <w:rPr>
          <w:rFonts w:ascii="Times New Roman" w:hAnsi="Times New Roman" w:cs="Times New Roman"/>
          <w:sz w:val="24"/>
          <w:szCs w:val="24"/>
        </w:rPr>
        <w:t xml:space="preserve"> stolen evidence on him.  This type of scheme involved many operatives, so key players began to craft appropriate plans.  Babcock reached out to the Treasury Department, specifically to Colonel Whitley, under the auspices of needing assistance with his defense against the Memorialists.</w:t>
      </w:r>
      <w:r w:rsidRPr="002D394D">
        <w:rPr>
          <w:rFonts w:ascii="Times New Roman" w:hAnsi="Times New Roman" w:cs="Times New Roman"/>
          <w:sz w:val="24"/>
          <w:szCs w:val="24"/>
          <w:vertAlign w:val="superscript"/>
        </w:rPr>
        <w:footnoteReference w:id="965"/>
      </w:r>
      <w:r w:rsidRPr="002D394D">
        <w:rPr>
          <w:rFonts w:ascii="Times New Roman" w:hAnsi="Times New Roman" w:cs="Times New Roman"/>
          <w:sz w:val="24"/>
          <w:szCs w:val="24"/>
        </w:rPr>
        <w:t xml:space="preserve">  Babcock introduced Whitley to Harrington, and it was here that the crux of the conspiracy was formed, for the Secret Service could not have been involved in such misdeeds “unless its chief had been thoroughly convinced that he could rely upon support and protection from what seemed the power next the President himself.”</w:t>
      </w:r>
      <w:r w:rsidRPr="002D394D">
        <w:rPr>
          <w:rFonts w:ascii="Times New Roman" w:hAnsi="Times New Roman" w:cs="Times New Roman"/>
          <w:sz w:val="24"/>
          <w:szCs w:val="24"/>
          <w:vertAlign w:val="superscript"/>
        </w:rPr>
        <w:footnoteReference w:id="966"/>
      </w:r>
      <w:r w:rsidRPr="002D394D">
        <w:rPr>
          <w:rFonts w:ascii="Times New Roman" w:hAnsi="Times New Roman" w:cs="Times New Roman"/>
          <w:sz w:val="24"/>
          <w:szCs w:val="24"/>
        </w:rPr>
        <w:t xml:space="preserve">  After receiving such assurance from Babcock and Harrington, Whitley </w:t>
      </w:r>
      <w:r w:rsidRPr="002D394D">
        <w:rPr>
          <w:rFonts w:ascii="Times New Roman" w:hAnsi="Times New Roman" w:cs="Times New Roman"/>
          <w:sz w:val="24"/>
          <w:szCs w:val="24"/>
        </w:rPr>
        <w:lastRenderedPageBreak/>
        <w:t>construct</w:t>
      </w:r>
      <w:r w:rsidR="00C5558A">
        <w:rPr>
          <w:rFonts w:ascii="Times New Roman" w:hAnsi="Times New Roman" w:cs="Times New Roman"/>
          <w:sz w:val="24"/>
          <w:szCs w:val="24"/>
        </w:rPr>
        <w:t>ed</w:t>
      </w:r>
      <w:r w:rsidRPr="002D394D">
        <w:rPr>
          <w:rFonts w:ascii="Times New Roman" w:hAnsi="Times New Roman" w:cs="Times New Roman"/>
          <w:sz w:val="24"/>
          <w:szCs w:val="24"/>
        </w:rPr>
        <w:t xml:space="preserve"> a network of additional individuals he could trust to perpetrate the conspiracy.  He contacted Nettleship to oversee many of the events in Washington in his absence, and reached out to former detectives Zirruth and Hayes to assist with burglary-related issues utilizing their law enforcement experience.</w:t>
      </w:r>
      <w:r w:rsidRPr="002D394D">
        <w:rPr>
          <w:rFonts w:ascii="Times New Roman" w:hAnsi="Times New Roman" w:cs="Times New Roman"/>
          <w:sz w:val="24"/>
          <w:szCs w:val="24"/>
          <w:vertAlign w:val="superscript"/>
        </w:rPr>
        <w:footnoteReference w:id="967"/>
      </w:r>
      <w:r w:rsidRPr="002D394D">
        <w:rPr>
          <w:rFonts w:ascii="Times New Roman" w:hAnsi="Times New Roman" w:cs="Times New Roman"/>
          <w:sz w:val="24"/>
          <w:szCs w:val="24"/>
        </w:rPr>
        <w:t xml:space="preserve">  Before long, all of the necessary conspirators were in place.</w:t>
      </w:r>
    </w:p>
    <w:p w14:paraId="7D6676AF" w14:textId="77777777" w:rsidR="002D394D" w:rsidRPr="002D394D" w:rsidRDefault="002D394D" w:rsidP="002D394D">
      <w:pPr>
        <w:spacing w:line="480" w:lineRule="auto"/>
        <w:jc w:val="center"/>
        <w:rPr>
          <w:rFonts w:ascii="Times New Roman" w:hAnsi="Times New Roman" w:cs="Times New Roman"/>
          <w:sz w:val="24"/>
          <w:szCs w:val="24"/>
        </w:rPr>
      </w:pPr>
      <w:r w:rsidRPr="002D394D">
        <w:rPr>
          <w:rFonts w:ascii="Times New Roman" w:hAnsi="Times New Roman" w:cs="Times New Roman"/>
          <w:sz w:val="24"/>
          <w:szCs w:val="24"/>
        </w:rPr>
        <w:t>The Plot is Afoot! Framing Enemies for Burglary</w:t>
      </w:r>
    </w:p>
    <w:p w14:paraId="5EE41873" w14:textId="6804AA29"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The plan for the burglary was simple.  Harrington arranged to have the Evans records that Alexander so desired locked in a safe at his law office for protection before their admission into evidence.</w:t>
      </w:r>
      <w:r w:rsidRPr="002D394D">
        <w:rPr>
          <w:rFonts w:ascii="Times New Roman" w:hAnsi="Times New Roman" w:cs="Times New Roman"/>
          <w:sz w:val="24"/>
          <w:szCs w:val="24"/>
          <w:vertAlign w:val="superscript"/>
        </w:rPr>
        <w:footnoteReference w:id="968"/>
      </w:r>
      <w:r w:rsidRPr="002D394D">
        <w:rPr>
          <w:rFonts w:ascii="Times New Roman" w:hAnsi="Times New Roman" w:cs="Times New Roman"/>
          <w:sz w:val="24"/>
          <w:szCs w:val="24"/>
        </w:rPr>
        <w:t xml:space="preserve">  As United States Assistant District Attorney, Harrington could control the location of the books without suspicion of foul play.  Someone would then contact Alexander to gauge his interest in acquiring the Evans books and to make sure he was prepared on the night in question for the handoff.</w:t>
      </w:r>
      <w:r w:rsidRPr="002D394D">
        <w:rPr>
          <w:rFonts w:ascii="Times New Roman" w:hAnsi="Times New Roman" w:cs="Times New Roman"/>
          <w:sz w:val="24"/>
          <w:szCs w:val="24"/>
          <w:vertAlign w:val="superscript"/>
        </w:rPr>
        <w:footnoteReference w:id="969"/>
      </w:r>
      <w:r w:rsidRPr="002D394D">
        <w:rPr>
          <w:rFonts w:ascii="Times New Roman" w:hAnsi="Times New Roman" w:cs="Times New Roman"/>
          <w:sz w:val="24"/>
          <w:szCs w:val="24"/>
        </w:rPr>
        <w:t xml:space="preserve">  The Ring’s best chance to cast suspicion on Alexander was if he had the books on his person, so they ensured that </w:t>
      </w:r>
      <w:r w:rsidR="00386C09">
        <w:rPr>
          <w:rFonts w:ascii="Times New Roman" w:hAnsi="Times New Roman" w:cs="Times New Roman"/>
          <w:sz w:val="24"/>
          <w:szCs w:val="24"/>
        </w:rPr>
        <w:t xml:space="preserve">ADA </w:t>
      </w:r>
      <w:r w:rsidRPr="002D394D">
        <w:rPr>
          <w:rFonts w:ascii="Times New Roman" w:hAnsi="Times New Roman" w:cs="Times New Roman"/>
          <w:sz w:val="24"/>
          <w:szCs w:val="24"/>
        </w:rPr>
        <w:t>Harrington</w:t>
      </w:r>
      <w:r w:rsidR="004973CB">
        <w:rPr>
          <w:rFonts w:ascii="Times New Roman" w:hAnsi="Times New Roman" w:cs="Times New Roman"/>
          <w:sz w:val="24"/>
          <w:szCs w:val="24"/>
        </w:rPr>
        <w:t xml:space="preserve"> and the police</w:t>
      </w:r>
      <w:r w:rsidRPr="002D394D">
        <w:rPr>
          <w:rFonts w:ascii="Times New Roman" w:hAnsi="Times New Roman" w:cs="Times New Roman"/>
          <w:sz w:val="24"/>
          <w:szCs w:val="24"/>
        </w:rPr>
        <w:t xml:space="preserve"> would be on site during the burglary, lying in wait to make sure Alexander was arrested at the appropriate time.  Then, Harrington, Nettleship, and company arranged for professional burglars from the New York “aristocracy of burglars” to enter the building, crack the safe, and deliver the books to Alexander.</w:t>
      </w:r>
      <w:r w:rsidRPr="002D394D">
        <w:rPr>
          <w:rFonts w:ascii="Times New Roman" w:hAnsi="Times New Roman" w:cs="Times New Roman"/>
          <w:sz w:val="24"/>
          <w:szCs w:val="24"/>
          <w:vertAlign w:val="superscript"/>
        </w:rPr>
        <w:footnoteReference w:id="970"/>
      </w:r>
      <w:r w:rsidRPr="002D394D">
        <w:rPr>
          <w:rFonts w:ascii="Times New Roman" w:hAnsi="Times New Roman" w:cs="Times New Roman"/>
          <w:sz w:val="24"/>
          <w:szCs w:val="24"/>
        </w:rPr>
        <w:t xml:space="preserve">  Finally, the conspirators would craft and show the local police a letter that </w:t>
      </w:r>
      <w:r w:rsidRPr="002D394D">
        <w:rPr>
          <w:rFonts w:ascii="Times New Roman" w:hAnsi="Times New Roman" w:cs="Times New Roman"/>
          <w:sz w:val="24"/>
          <w:szCs w:val="24"/>
        </w:rPr>
        <w:lastRenderedPageBreak/>
        <w:t>implicated Alexander in a planned burglary of the Evans books, thus removing their opposition in the reshaping of the district</w:t>
      </w:r>
      <w:r w:rsidR="00626B5B">
        <w:rPr>
          <w:rFonts w:ascii="Times New Roman" w:hAnsi="Times New Roman" w:cs="Times New Roman"/>
          <w:sz w:val="24"/>
          <w:szCs w:val="24"/>
        </w:rPr>
        <w:t xml:space="preserve"> and interfering in the Ring’s activities</w:t>
      </w:r>
      <w:r w:rsidRPr="002D394D">
        <w:rPr>
          <w:rFonts w:ascii="Times New Roman" w:hAnsi="Times New Roman" w:cs="Times New Roman"/>
          <w:sz w:val="24"/>
          <w:szCs w:val="24"/>
        </w:rPr>
        <w:t>.</w:t>
      </w:r>
      <w:r w:rsidRPr="002D394D">
        <w:rPr>
          <w:rFonts w:ascii="Times New Roman" w:hAnsi="Times New Roman" w:cs="Times New Roman"/>
          <w:sz w:val="24"/>
          <w:szCs w:val="24"/>
          <w:vertAlign w:val="superscript"/>
        </w:rPr>
        <w:footnoteReference w:id="971"/>
      </w:r>
      <w:r w:rsidRPr="002D394D">
        <w:rPr>
          <w:rFonts w:ascii="Times New Roman" w:hAnsi="Times New Roman" w:cs="Times New Roman"/>
          <w:sz w:val="24"/>
          <w:szCs w:val="24"/>
        </w:rPr>
        <w:t xml:space="preserve">  </w:t>
      </w:r>
    </w:p>
    <w:p w14:paraId="6F8ADDCC" w14:textId="1411B502"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With the plan formulated, the parties went to work.  Harrington acquired the books and locked them in his office safe “for protection.”  Meanwhile, Nettleship arranged for two men to break into the safe and transport the goods to Alexander.  The first man approached, named Miles, rejected the job in full, as he was wanted in the District and could not afford to be arrested even if Harrington promised to not press charges for burglary; his outstanding warrants would ensure prolonged imprisonment.</w:t>
      </w:r>
      <w:r w:rsidRPr="002D394D">
        <w:rPr>
          <w:rFonts w:ascii="Times New Roman" w:hAnsi="Times New Roman" w:cs="Times New Roman"/>
          <w:sz w:val="24"/>
          <w:szCs w:val="24"/>
          <w:vertAlign w:val="superscript"/>
        </w:rPr>
        <w:t xml:space="preserve"> </w:t>
      </w:r>
      <w:r w:rsidRPr="002D394D">
        <w:rPr>
          <w:rFonts w:ascii="Times New Roman" w:hAnsi="Times New Roman" w:cs="Times New Roman"/>
          <w:sz w:val="24"/>
          <w:szCs w:val="24"/>
          <w:vertAlign w:val="superscript"/>
        </w:rPr>
        <w:footnoteReference w:id="972"/>
      </w:r>
      <w:r w:rsidRPr="002D394D">
        <w:rPr>
          <w:rFonts w:ascii="Times New Roman" w:hAnsi="Times New Roman" w:cs="Times New Roman"/>
          <w:sz w:val="24"/>
          <w:szCs w:val="24"/>
        </w:rPr>
        <w:t xml:space="preserve">  Instead he agreed to complete the burglary portion of the job, but suggested an associate named Benton be the “fall guy” – the bagman who would carry the books to Alexander and be placed under temporary arrest before being released.</w:t>
      </w:r>
      <w:r w:rsidRPr="002D394D">
        <w:rPr>
          <w:rFonts w:ascii="Times New Roman" w:hAnsi="Times New Roman" w:cs="Times New Roman"/>
          <w:sz w:val="24"/>
          <w:szCs w:val="24"/>
          <w:vertAlign w:val="superscript"/>
        </w:rPr>
        <w:footnoteReference w:id="973"/>
      </w:r>
      <w:r w:rsidRPr="002D394D">
        <w:rPr>
          <w:rFonts w:ascii="Times New Roman" w:hAnsi="Times New Roman" w:cs="Times New Roman"/>
          <w:sz w:val="24"/>
          <w:szCs w:val="24"/>
        </w:rPr>
        <w:t xml:space="preserve">  The burglars began to case Harrington’s office, with permission from Harrington himself, to prepare for the burglary.  Former Detective Hayes, using a false identity, reached out to Alexander to discern his interest in acquiring the Evans books and to ready him for their delivery.</w:t>
      </w:r>
      <w:r w:rsidRPr="002D394D">
        <w:rPr>
          <w:rFonts w:ascii="Times New Roman" w:hAnsi="Times New Roman" w:cs="Times New Roman"/>
          <w:sz w:val="24"/>
          <w:szCs w:val="24"/>
          <w:vertAlign w:val="superscript"/>
        </w:rPr>
        <w:footnoteReference w:id="974"/>
      </w:r>
      <w:r w:rsidRPr="002D394D">
        <w:rPr>
          <w:rFonts w:ascii="Times New Roman" w:hAnsi="Times New Roman" w:cs="Times New Roman"/>
          <w:sz w:val="24"/>
          <w:szCs w:val="24"/>
        </w:rPr>
        <w:t xml:space="preserve">  Meanwhile a </w:t>
      </w:r>
      <w:r w:rsidR="000C3FAD">
        <w:rPr>
          <w:rFonts w:ascii="Times New Roman" w:hAnsi="Times New Roman" w:cs="Times New Roman"/>
          <w:sz w:val="24"/>
          <w:szCs w:val="24"/>
        </w:rPr>
        <w:t>banquet</w:t>
      </w:r>
      <w:r w:rsidRPr="002D394D">
        <w:rPr>
          <w:rFonts w:ascii="Times New Roman" w:hAnsi="Times New Roman" w:cs="Times New Roman"/>
          <w:sz w:val="24"/>
          <w:szCs w:val="24"/>
        </w:rPr>
        <w:t xml:space="preserve"> was arranged for the night of the burglary at the noted Ring hotbed, The Washington Club House, to celebrate the downfall of the Memorialists and to provide alibis for various Ring members in case the plan should go awry.</w:t>
      </w:r>
      <w:r w:rsidRPr="002D394D">
        <w:rPr>
          <w:rFonts w:ascii="Times New Roman" w:hAnsi="Times New Roman" w:cs="Times New Roman"/>
          <w:sz w:val="24"/>
          <w:szCs w:val="24"/>
          <w:vertAlign w:val="superscript"/>
        </w:rPr>
        <w:footnoteReference w:id="975"/>
      </w:r>
    </w:p>
    <w:p w14:paraId="3D6BDC23" w14:textId="437EEB7E"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r>
      <w:r w:rsidR="00963D90">
        <w:rPr>
          <w:rFonts w:ascii="Times New Roman" w:hAnsi="Times New Roman" w:cs="Times New Roman"/>
          <w:sz w:val="24"/>
          <w:szCs w:val="24"/>
        </w:rPr>
        <w:t>A significant</w:t>
      </w:r>
      <w:r w:rsidRPr="002D394D">
        <w:rPr>
          <w:rFonts w:ascii="Times New Roman" w:hAnsi="Times New Roman" w:cs="Times New Roman"/>
          <w:sz w:val="24"/>
          <w:szCs w:val="24"/>
        </w:rPr>
        <w:t xml:space="preserve"> part of this plot was the letter used to frame Alexander.  Members of the conspiracy sent an anonymous letter from New York to Harrington, which he then took to the </w:t>
      </w:r>
      <w:r w:rsidRPr="002D394D">
        <w:rPr>
          <w:rFonts w:ascii="Times New Roman" w:hAnsi="Times New Roman" w:cs="Times New Roman"/>
          <w:sz w:val="24"/>
          <w:szCs w:val="24"/>
        </w:rPr>
        <w:lastRenderedPageBreak/>
        <w:t>Metropolitan Police.</w:t>
      </w:r>
      <w:r w:rsidRPr="002D394D">
        <w:rPr>
          <w:rFonts w:ascii="Times New Roman" w:hAnsi="Times New Roman" w:cs="Times New Roman"/>
          <w:sz w:val="24"/>
          <w:szCs w:val="24"/>
          <w:vertAlign w:val="superscript"/>
        </w:rPr>
        <w:footnoteReference w:id="976"/>
      </w:r>
      <w:r w:rsidRPr="002D394D">
        <w:rPr>
          <w:rFonts w:ascii="Times New Roman" w:hAnsi="Times New Roman" w:cs="Times New Roman"/>
          <w:sz w:val="24"/>
          <w:szCs w:val="24"/>
        </w:rPr>
        <w:t xml:space="preserve">  This letter was written by a purported hired thief, and written “in thieves’ language.”</w:t>
      </w:r>
      <w:r w:rsidRPr="002D394D">
        <w:rPr>
          <w:rFonts w:ascii="Times New Roman" w:hAnsi="Times New Roman" w:cs="Times New Roman"/>
          <w:sz w:val="24"/>
          <w:szCs w:val="24"/>
          <w:vertAlign w:val="superscript"/>
        </w:rPr>
        <w:footnoteReference w:id="977"/>
      </w:r>
      <w:r w:rsidRPr="002D394D">
        <w:rPr>
          <w:rFonts w:ascii="Times New Roman" w:hAnsi="Times New Roman" w:cs="Times New Roman"/>
          <w:sz w:val="24"/>
          <w:szCs w:val="24"/>
        </w:rPr>
        <w:t xml:space="preserve">  The letter was sent to inform Harrington “that the writer had been engaged to ‘blow’ his safe for $500 and half the ‘swag;’ but that after incurring an expense of $80 for tools, he had been set aside, and in revenge wrote to tell Harrington of the plot.”</w:t>
      </w:r>
      <w:r w:rsidRPr="002D394D">
        <w:rPr>
          <w:rFonts w:ascii="Times New Roman" w:hAnsi="Times New Roman" w:cs="Times New Roman"/>
          <w:sz w:val="24"/>
          <w:szCs w:val="24"/>
          <w:vertAlign w:val="superscript"/>
        </w:rPr>
        <w:footnoteReference w:id="978"/>
      </w:r>
      <w:r w:rsidRPr="002D394D">
        <w:rPr>
          <w:rFonts w:ascii="Times New Roman" w:hAnsi="Times New Roman" w:cs="Times New Roman"/>
          <w:sz w:val="24"/>
          <w:szCs w:val="24"/>
        </w:rPr>
        <w:t xml:space="preserve">  Furthermore, the letter identified “the 22d or 23d [of April] as the time when the safe was to be robbed; and added, that the person at the bottom of the whole thing, the ‘head bloke,’ lived in Washington, and if Harrington would watch and follow the parties, or, as the letter read, ‘pipe them off,’ he could ascertain the truth of what was written.”</w:t>
      </w:r>
      <w:r w:rsidRPr="002D394D">
        <w:rPr>
          <w:rFonts w:ascii="Times New Roman" w:hAnsi="Times New Roman" w:cs="Times New Roman"/>
          <w:sz w:val="24"/>
          <w:szCs w:val="24"/>
          <w:vertAlign w:val="superscript"/>
        </w:rPr>
        <w:footnoteReference w:id="979"/>
      </w:r>
      <w:r w:rsidRPr="002D394D">
        <w:rPr>
          <w:rFonts w:ascii="Times New Roman" w:hAnsi="Times New Roman" w:cs="Times New Roman"/>
          <w:sz w:val="24"/>
          <w:szCs w:val="24"/>
        </w:rPr>
        <w:t xml:space="preserve">  Harrington received the letter on April 21</w:t>
      </w:r>
      <w:r w:rsidRPr="002D394D">
        <w:rPr>
          <w:rFonts w:ascii="Times New Roman" w:hAnsi="Times New Roman" w:cs="Times New Roman"/>
          <w:sz w:val="24"/>
          <w:szCs w:val="24"/>
          <w:vertAlign w:val="superscript"/>
        </w:rPr>
        <w:t>st</w:t>
      </w:r>
      <w:r w:rsidRPr="002D394D">
        <w:rPr>
          <w:rFonts w:ascii="Times New Roman" w:hAnsi="Times New Roman" w:cs="Times New Roman"/>
          <w:sz w:val="24"/>
          <w:szCs w:val="24"/>
        </w:rPr>
        <w:t xml:space="preserve"> and took it to the police, at which point Major A.C. Richards, the Chief of Metropolitan Police, organized a posse that included Chief of Detectives Clarvoe and other officers to stake out the building the following night.</w:t>
      </w:r>
      <w:r w:rsidRPr="002D394D">
        <w:rPr>
          <w:rFonts w:ascii="Times New Roman" w:hAnsi="Times New Roman" w:cs="Times New Roman"/>
          <w:sz w:val="24"/>
          <w:szCs w:val="24"/>
          <w:vertAlign w:val="superscript"/>
        </w:rPr>
        <w:footnoteReference w:id="980"/>
      </w:r>
      <w:r w:rsidRPr="002D394D">
        <w:rPr>
          <w:rFonts w:ascii="Times New Roman" w:hAnsi="Times New Roman" w:cs="Times New Roman"/>
          <w:sz w:val="24"/>
          <w:szCs w:val="24"/>
        </w:rPr>
        <w:t xml:space="preserve">  With everything in order, the Ring’s burglary could proceed as planned.</w:t>
      </w:r>
    </w:p>
    <w:p w14:paraId="6DE8FC76" w14:textId="77777777"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On the night of April 22</w:t>
      </w:r>
      <w:r w:rsidRPr="002D394D">
        <w:rPr>
          <w:rFonts w:ascii="Times New Roman" w:hAnsi="Times New Roman" w:cs="Times New Roman"/>
          <w:sz w:val="24"/>
          <w:szCs w:val="24"/>
          <w:vertAlign w:val="superscript"/>
        </w:rPr>
        <w:t>nd</w:t>
      </w:r>
      <w:r w:rsidRPr="002D394D">
        <w:rPr>
          <w:rFonts w:ascii="Times New Roman" w:hAnsi="Times New Roman" w:cs="Times New Roman"/>
          <w:sz w:val="24"/>
          <w:szCs w:val="24"/>
        </w:rPr>
        <w:t>, 1874, the burglary was set in motion.  Miles and Benton entered Harrington’s office building and commenced their task, while Harrington, Richards, Clarvoe, and the other officers lurked nearby to catch the thieves in the act.</w:t>
      </w:r>
      <w:r w:rsidRPr="002D394D">
        <w:rPr>
          <w:rFonts w:ascii="Times New Roman" w:hAnsi="Times New Roman" w:cs="Times New Roman"/>
          <w:sz w:val="24"/>
          <w:szCs w:val="24"/>
          <w:vertAlign w:val="superscript"/>
        </w:rPr>
        <w:footnoteReference w:id="981"/>
      </w:r>
      <w:r w:rsidRPr="002D394D">
        <w:rPr>
          <w:rFonts w:ascii="Times New Roman" w:hAnsi="Times New Roman" w:cs="Times New Roman"/>
          <w:sz w:val="24"/>
          <w:szCs w:val="24"/>
        </w:rPr>
        <w:t xml:space="preserve">  Harrington’s friend Arthur B. Williams joined the observers after “coincidentally” passing by in the night as the burglary happened.</w:t>
      </w:r>
      <w:r w:rsidRPr="002D394D">
        <w:rPr>
          <w:rFonts w:ascii="Times New Roman" w:hAnsi="Times New Roman" w:cs="Times New Roman"/>
          <w:sz w:val="24"/>
          <w:szCs w:val="24"/>
          <w:vertAlign w:val="superscript"/>
        </w:rPr>
        <w:footnoteReference w:id="982"/>
      </w:r>
      <w:r w:rsidRPr="002D394D">
        <w:rPr>
          <w:rFonts w:ascii="Times New Roman" w:hAnsi="Times New Roman" w:cs="Times New Roman"/>
          <w:sz w:val="24"/>
          <w:szCs w:val="24"/>
        </w:rPr>
        <w:t xml:space="preserve">  While the safe was blown, Ring members worked to actively subvert police efforts to catch the thieves.  Specifically, Harrington both alerted the burglars to the </w:t>
      </w:r>
      <w:r w:rsidRPr="002D394D">
        <w:rPr>
          <w:rFonts w:ascii="Times New Roman" w:hAnsi="Times New Roman" w:cs="Times New Roman"/>
          <w:sz w:val="24"/>
          <w:szCs w:val="24"/>
        </w:rPr>
        <w:lastRenderedPageBreak/>
        <w:t>presence of the posse and ordered officers away from an alleyway that was to be Miles’s avenue of escape at the crime’s conclusion, even though they were ordered there by Major Richards himself.</w:t>
      </w:r>
      <w:r w:rsidRPr="002D394D">
        <w:rPr>
          <w:rFonts w:ascii="Times New Roman" w:hAnsi="Times New Roman" w:cs="Times New Roman"/>
          <w:sz w:val="24"/>
          <w:szCs w:val="24"/>
          <w:vertAlign w:val="superscript"/>
        </w:rPr>
        <w:footnoteReference w:id="983"/>
      </w:r>
      <w:r w:rsidRPr="002D394D">
        <w:rPr>
          <w:rFonts w:ascii="Times New Roman" w:hAnsi="Times New Roman" w:cs="Times New Roman"/>
          <w:sz w:val="24"/>
          <w:szCs w:val="24"/>
        </w:rPr>
        <w:t xml:space="preserve">  With Harrington’s assistance, the final act in the burglary went according to plan, as Benton emerged with the books and began his delivery to Alexander while Miles walked in an opposite direction into the city.</w:t>
      </w:r>
      <w:r w:rsidRPr="002D394D">
        <w:rPr>
          <w:rFonts w:ascii="Times New Roman" w:hAnsi="Times New Roman" w:cs="Times New Roman"/>
          <w:sz w:val="24"/>
          <w:szCs w:val="24"/>
          <w:vertAlign w:val="superscript"/>
        </w:rPr>
        <w:footnoteReference w:id="984"/>
      </w:r>
    </w:p>
    <w:p w14:paraId="1E2A1B3A" w14:textId="220FF02F"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As Benton walked to the residence of Columbus Alexander, the posse pursued him at a distance so as to not arouse suspicion.  Williams broke from the main group and pursued Miles so that Miles could be linked to the burglary along with Benton.  However, Miles quickly gave Williams the slip (or more likely Williams allowed him to evade capture) and Williams rejoined the main party in pursuit of Benton.</w:t>
      </w:r>
      <w:r w:rsidRPr="002D394D">
        <w:rPr>
          <w:rFonts w:ascii="Times New Roman" w:hAnsi="Times New Roman" w:cs="Times New Roman"/>
          <w:sz w:val="24"/>
          <w:szCs w:val="24"/>
          <w:vertAlign w:val="superscript"/>
        </w:rPr>
        <w:footnoteReference w:id="985"/>
      </w:r>
      <w:r w:rsidRPr="002D394D">
        <w:rPr>
          <w:rFonts w:ascii="Times New Roman" w:hAnsi="Times New Roman" w:cs="Times New Roman"/>
          <w:sz w:val="24"/>
          <w:szCs w:val="24"/>
        </w:rPr>
        <w:t xml:space="preserve">  At some point in his journey</w:t>
      </w:r>
      <w:r w:rsidR="000B5E99">
        <w:rPr>
          <w:rFonts w:ascii="Times New Roman" w:hAnsi="Times New Roman" w:cs="Times New Roman"/>
          <w:sz w:val="24"/>
          <w:szCs w:val="24"/>
        </w:rPr>
        <w:t xml:space="preserve"> to Alexander’s house</w:t>
      </w:r>
      <w:r w:rsidRPr="002D394D">
        <w:rPr>
          <w:rFonts w:ascii="Times New Roman" w:hAnsi="Times New Roman" w:cs="Times New Roman"/>
          <w:sz w:val="24"/>
          <w:szCs w:val="24"/>
        </w:rPr>
        <w:t>, Benton got lost, so he turned to the only people around to ask for directions: the posse that pursued him.</w:t>
      </w:r>
      <w:r w:rsidRPr="002D394D">
        <w:rPr>
          <w:rFonts w:ascii="Times New Roman" w:hAnsi="Times New Roman" w:cs="Times New Roman"/>
          <w:sz w:val="24"/>
          <w:szCs w:val="24"/>
          <w:vertAlign w:val="superscript"/>
        </w:rPr>
        <w:footnoteReference w:id="986"/>
      </w:r>
      <w:r w:rsidRPr="002D394D">
        <w:rPr>
          <w:rFonts w:ascii="Times New Roman" w:hAnsi="Times New Roman" w:cs="Times New Roman"/>
          <w:sz w:val="24"/>
          <w:szCs w:val="24"/>
        </w:rPr>
        <w:t xml:space="preserve">  After receiving directions, Benton regained his course and arrived at the correct address, with the posse still in casual pursuit.  Benton finally arrived at the Alexander residence, but after ringing the bell for more than twenty minutes, no one greeted him.</w:t>
      </w:r>
      <w:r w:rsidRPr="002D394D">
        <w:rPr>
          <w:rFonts w:ascii="Times New Roman" w:hAnsi="Times New Roman" w:cs="Times New Roman"/>
          <w:sz w:val="24"/>
          <w:szCs w:val="24"/>
          <w:vertAlign w:val="superscript"/>
        </w:rPr>
        <w:footnoteReference w:id="987"/>
      </w:r>
      <w:r w:rsidRPr="002D394D">
        <w:rPr>
          <w:rFonts w:ascii="Times New Roman" w:hAnsi="Times New Roman" w:cs="Times New Roman"/>
          <w:sz w:val="24"/>
          <w:szCs w:val="24"/>
        </w:rPr>
        <w:t xml:space="preserve">  Benton set the books down and approached the posse once again to ask if the house in question was the Alexander residence.</w:t>
      </w:r>
      <w:r w:rsidRPr="002D394D">
        <w:rPr>
          <w:rFonts w:ascii="Times New Roman" w:hAnsi="Times New Roman" w:cs="Times New Roman"/>
          <w:sz w:val="24"/>
          <w:szCs w:val="24"/>
          <w:vertAlign w:val="superscript"/>
        </w:rPr>
        <w:footnoteReference w:id="988"/>
      </w:r>
      <w:r w:rsidRPr="002D394D">
        <w:rPr>
          <w:rFonts w:ascii="Times New Roman" w:hAnsi="Times New Roman" w:cs="Times New Roman"/>
          <w:sz w:val="24"/>
          <w:szCs w:val="24"/>
        </w:rPr>
        <w:t xml:space="preserve">  When he received confirmation that it was Alexander’s house, he returned and proceeded to try every door to deliver the goods, but no one in the Alexander </w:t>
      </w:r>
      <w:r w:rsidRPr="002D394D">
        <w:rPr>
          <w:rFonts w:ascii="Times New Roman" w:hAnsi="Times New Roman" w:cs="Times New Roman"/>
          <w:sz w:val="24"/>
          <w:szCs w:val="24"/>
        </w:rPr>
        <w:lastRenderedPageBreak/>
        <w:t>household was awake.</w:t>
      </w:r>
      <w:r w:rsidRPr="002D394D">
        <w:rPr>
          <w:rFonts w:ascii="Times New Roman" w:hAnsi="Times New Roman" w:cs="Times New Roman"/>
          <w:sz w:val="24"/>
          <w:szCs w:val="24"/>
          <w:vertAlign w:val="superscript"/>
        </w:rPr>
        <w:footnoteReference w:id="989"/>
      </w:r>
      <w:r w:rsidRPr="002D394D">
        <w:rPr>
          <w:rFonts w:ascii="Times New Roman" w:hAnsi="Times New Roman" w:cs="Times New Roman"/>
          <w:sz w:val="24"/>
          <w:szCs w:val="24"/>
        </w:rPr>
        <w:t xml:space="preserve">  Richards finally had enough and ordered Benton’s arrest, and as the police seized the stolen books as evidence, the meticulous planning to frame Alexander seemed to be for naught simply because Alexander had retired early on this fateful evening.</w:t>
      </w:r>
      <w:r w:rsidRPr="002D394D">
        <w:rPr>
          <w:rFonts w:ascii="Times New Roman" w:hAnsi="Times New Roman" w:cs="Times New Roman"/>
          <w:sz w:val="24"/>
          <w:szCs w:val="24"/>
          <w:vertAlign w:val="superscript"/>
        </w:rPr>
        <w:footnoteReference w:id="990"/>
      </w:r>
    </w:p>
    <w:p w14:paraId="50634A53" w14:textId="54AA1865"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Though the Ring failed in their attempt to get the stolen goods directly into the hands of Alexander, their frame job still had potential life.  There remained an opportunity to blame Alexander through hearsay.  Benton’s arrest meant that he could testify that he was paid to deliver the books to Alexander, so the plan shifted to a reliance on the testimony of a thief who was captured in the act.</w:t>
      </w:r>
      <w:r w:rsidRPr="002D394D">
        <w:rPr>
          <w:rFonts w:ascii="Times New Roman" w:hAnsi="Times New Roman" w:cs="Times New Roman"/>
          <w:sz w:val="24"/>
          <w:szCs w:val="24"/>
          <w:vertAlign w:val="superscript"/>
        </w:rPr>
        <w:footnoteReference w:id="991"/>
      </w:r>
      <w:r w:rsidRPr="002D394D">
        <w:rPr>
          <w:rFonts w:ascii="Times New Roman" w:hAnsi="Times New Roman" w:cs="Times New Roman"/>
          <w:sz w:val="24"/>
          <w:szCs w:val="24"/>
        </w:rPr>
        <w:t xml:space="preserve">  This was far weaker evidence than had Alexander been arrested with the books in hand, but such testimony could at least contribute to the besmirching of Alexander’s reputation in the District, which is what the Ring sought in the first place.  At the same time, the Ring needed to ensure they covered their tracks, particularly those belonging to the larger players like Harrington, Babcock, and Shepherd.  There was also a concern that men like </w:t>
      </w:r>
      <w:r w:rsidR="0045394C">
        <w:rPr>
          <w:rFonts w:ascii="Times New Roman" w:hAnsi="Times New Roman" w:cs="Times New Roman"/>
          <w:sz w:val="24"/>
          <w:szCs w:val="24"/>
        </w:rPr>
        <w:t xml:space="preserve">former detectives </w:t>
      </w:r>
      <w:r w:rsidRPr="002D394D">
        <w:rPr>
          <w:rFonts w:ascii="Times New Roman" w:hAnsi="Times New Roman" w:cs="Times New Roman"/>
          <w:sz w:val="24"/>
          <w:szCs w:val="24"/>
        </w:rPr>
        <w:t>Hayes and Zirruth would flip on the Ring and reveal the truth behind the burglary in exchange for immunity.  As a result, Hayes was paid to sign an affidavit stating that he knew Alexander was behind the burglary and to then flee to Toronto, while Zirruth was paid to flee the continent entirely and escape to Europe.</w:t>
      </w:r>
      <w:r w:rsidRPr="002D394D">
        <w:rPr>
          <w:rFonts w:ascii="Times New Roman" w:hAnsi="Times New Roman" w:cs="Times New Roman"/>
          <w:sz w:val="24"/>
          <w:szCs w:val="24"/>
          <w:vertAlign w:val="superscript"/>
        </w:rPr>
        <w:footnoteReference w:id="992"/>
      </w:r>
    </w:p>
    <w:p w14:paraId="0C272C38" w14:textId="21A08711"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While this attempt at a backup plan was underway, authorities continued to investigate the burglary.  Major Richards believed that something more insidious than a simple burglary was in the works on the night in question, with particular suspicion towards Harrington’s </w:t>
      </w:r>
      <w:r w:rsidRPr="002D394D">
        <w:rPr>
          <w:rFonts w:ascii="Times New Roman" w:hAnsi="Times New Roman" w:cs="Times New Roman"/>
          <w:sz w:val="24"/>
          <w:szCs w:val="24"/>
        </w:rPr>
        <w:lastRenderedPageBreak/>
        <w:t>involvement.  In response, he submitted a report to the Board of Police requesting further investigation.</w:t>
      </w:r>
      <w:r w:rsidRPr="002D394D">
        <w:rPr>
          <w:rFonts w:ascii="Times New Roman" w:hAnsi="Times New Roman" w:cs="Times New Roman"/>
          <w:sz w:val="24"/>
          <w:szCs w:val="24"/>
          <w:vertAlign w:val="superscript"/>
        </w:rPr>
        <w:footnoteReference w:id="993"/>
      </w:r>
      <w:r w:rsidRPr="002D394D">
        <w:rPr>
          <w:rFonts w:ascii="Times New Roman" w:hAnsi="Times New Roman" w:cs="Times New Roman"/>
          <w:sz w:val="24"/>
          <w:szCs w:val="24"/>
        </w:rPr>
        <w:t xml:space="preserve">  Though the Ring stopped this report from seeing the light of day </w:t>
      </w:r>
      <w:r w:rsidR="00070151">
        <w:rPr>
          <w:rFonts w:ascii="Times New Roman" w:hAnsi="Times New Roman" w:cs="Times New Roman"/>
          <w:sz w:val="24"/>
          <w:szCs w:val="24"/>
        </w:rPr>
        <w:t>via</w:t>
      </w:r>
      <w:r w:rsidRPr="002D394D">
        <w:rPr>
          <w:rFonts w:ascii="Times New Roman" w:hAnsi="Times New Roman" w:cs="Times New Roman"/>
          <w:sz w:val="24"/>
          <w:szCs w:val="24"/>
        </w:rPr>
        <w:t xml:space="preserve"> their existing relations with members of the Board of Police, others continued to investigate the events in question beyond the reach of the Ring.</w:t>
      </w:r>
      <w:r w:rsidRPr="002D394D">
        <w:rPr>
          <w:rFonts w:ascii="Times New Roman" w:hAnsi="Times New Roman" w:cs="Times New Roman"/>
          <w:sz w:val="24"/>
          <w:szCs w:val="24"/>
          <w:vertAlign w:val="superscript"/>
        </w:rPr>
        <w:footnoteReference w:id="994"/>
      </w:r>
      <w:r w:rsidRPr="002D394D">
        <w:rPr>
          <w:rFonts w:ascii="Times New Roman" w:hAnsi="Times New Roman" w:cs="Times New Roman"/>
          <w:sz w:val="24"/>
          <w:szCs w:val="24"/>
        </w:rPr>
        <w:t xml:space="preserve">  A detective for the B&amp;O Railroad, George Carter, began to investigate whispers surrounding the Safe Burglary because of the supposed involvement of his friend, Michael Hayes.</w:t>
      </w:r>
      <w:r w:rsidRPr="002D394D">
        <w:rPr>
          <w:rFonts w:ascii="Times New Roman" w:hAnsi="Times New Roman" w:cs="Times New Roman"/>
          <w:sz w:val="24"/>
          <w:szCs w:val="24"/>
          <w:vertAlign w:val="superscript"/>
        </w:rPr>
        <w:footnoteReference w:id="995"/>
      </w:r>
      <w:r w:rsidRPr="002D394D">
        <w:rPr>
          <w:rFonts w:ascii="Times New Roman" w:hAnsi="Times New Roman" w:cs="Times New Roman"/>
          <w:sz w:val="24"/>
          <w:szCs w:val="24"/>
        </w:rPr>
        <w:t xml:space="preserve">  During this investigation, Carter, along with another detective named Downs, discovered new evidence that prompted an investigation into Harrington and the Safe Burglary.</w:t>
      </w:r>
      <w:r w:rsidRPr="002D394D">
        <w:rPr>
          <w:rFonts w:ascii="Times New Roman" w:hAnsi="Times New Roman" w:cs="Times New Roman"/>
          <w:sz w:val="24"/>
          <w:szCs w:val="24"/>
          <w:vertAlign w:val="superscript"/>
        </w:rPr>
        <w:footnoteReference w:id="996"/>
      </w:r>
      <w:r w:rsidRPr="002D394D">
        <w:rPr>
          <w:rFonts w:ascii="Times New Roman" w:hAnsi="Times New Roman" w:cs="Times New Roman"/>
          <w:sz w:val="24"/>
          <w:szCs w:val="24"/>
        </w:rPr>
        <w:t xml:space="preserve">  By June 3</w:t>
      </w:r>
      <w:r w:rsidRPr="002D394D">
        <w:rPr>
          <w:rFonts w:ascii="Times New Roman" w:hAnsi="Times New Roman" w:cs="Times New Roman"/>
          <w:sz w:val="24"/>
          <w:szCs w:val="24"/>
          <w:vertAlign w:val="superscript"/>
        </w:rPr>
        <w:t>rd</w:t>
      </w:r>
      <w:r w:rsidRPr="002D394D">
        <w:rPr>
          <w:rFonts w:ascii="Times New Roman" w:hAnsi="Times New Roman" w:cs="Times New Roman"/>
          <w:sz w:val="24"/>
          <w:szCs w:val="24"/>
        </w:rPr>
        <w:t xml:space="preserve">, members of the House of Representatives </w:t>
      </w:r>
      <w:r w:rsidR="007F0C18">
        <w:rPr>
          <w:rFonts w:ascii="Times New Roman" w:hAnsi="Times New Roman" w:cs="Times New Roman"/>
          <w:sz w:val="24"/>
          <w:szCs w:val="24"/>
        </w:rPr>
        <w:t>were presented with</w:t>
      </w:r>
      <w:r w:rsidRPr="002D394D">
        <w:rPr>
          <w:rFonts w:ascii="Times New Roman" w:hAnsi="Times New Roman" w:cs="Times New Roman"/>
          <w:sz w:val="24"/>
          <w:szCs w:val="24"/>
        </w:rPr>
        <w:t xml:space="preserve"> enough evidence through telegrams and personal testimony to elicit a formal investigation from the Secretary of the Treasury Benjamin Bristow and the Attorney General George H. Williams.</w:t>
      </w:r>
      <w:r w:rsidRPr="002D394D">
        <w:rPr>
          <w:rFonts w:ascii="Times New Roman" w:hAnsi="Times New Roman" w:cs="Times New Roman"/>
          <w:sz w:val="24"/>
          <w:szCs w:val="24"/>
          <w:vertAlign w:val="superscript"/>
        </w:rPr>
        <w:footnoteReference w:id="997"/>
      </w:r>
      <w:r w:rsidRPr="002D394D">
        <w:rPr>
          <w:rFonts w:ascii="Times New Roman" w:hAnsi="Times New Roman" w:cs="Times New Roman"/>
          <w:sz w:val="24"/>
          <w:szCs w:val="24"/>
        </w:rPr>
        <w:t xml:space="preserve">  </w:t>
      </w:r>
    </w:p>
    <w:p w14:paraId="5F65DAF9" w14:textId="40401FD7" w:rsidR="002D394D" w:rsidRPr="002D394D" w:rsidRDefault="002D394D" w:rsidP="009F5F75">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As a potential trial drew near, new investigators entered the fray. Secretary Bristow appointed Major Bluford Wilson, the Solicitor of the Treasury and his close friend, to investigate the role of Secret Service agents in the burglary, while Attorney General Williams appointed Albert G. Riddle as Special Assistant Attorney General to oversee the case in its entirety.</w:t>
      </w:r>
      <w:r w:rsidRPr="002D394D">
        <w:rPr>
          <w:rFonts w:ascii="Times New Roman" w:hAnsi="Times New Roman" w:cs="Times New Roman"/>
          <w:sz w:val="24"/>
          <w:szCs w:val="24"/>
          <w:vertAlign w:val="superscript"/>
        </w:rPr>
        <w:footnoteReference w:id="998"/>
      </w:r>
      <w:r w:rsidRPr="002D394D">
        <w:rPr>
          <w:rFonts w:ascii="Times New Roman" w:hAnsi="Times New Roman" w:cs="Times New Roman"/>
          <w:sz w:val="24"/>
          <w:szCs w:val="24"/>
        </w:rPr>
        <w:t xml:space="preserve">  Together, these two men would represent a greater threat to the District Ring than did the Memorialists that prompted the </w:t>
      </w:r>
      <w:r w:rsidR="009F5F75">
        <w:rPr>
          <w:rFonts w:ascii="Times New Roman" w:hAnsi="Times New Roman" w:cs="Times New Roman"/>
          <w:sz w:val="24"/>
          <w:szCs w:val="24"/>
        </w:rPr>
        <w:t>fiasco</w:t>
      </w:r>
      <w:r w:rsidRPr="002D394D">
        <w:rPr>
          <w:rFonts w:ascii="Times New Roman" w:hAnsi="Times New Roman" w:cs="Times New Roman"/>
          <w:sz w:val="24"/>
          <w:szCs w:val="24"/>
        </w:rPr>
        <w:t xml:space="preserve"> of framing Alexander, as they would quickly find enough evidence to warrant a more complete investigation and a subsequent trial on the grounds that the Safe Burglary was not a simple smash-and-grab: this was a conspiracy.</w:t>
      </w:r>
    </w:p>
    <w:p w14:paraId="618E782B" w14:textId="77777777" w:rsidR="002D394D" w:rsidRPr="002D394D" w:rsidRDefault="002D394D" w:rsidP="002D394D">
      <w:pPr>
        <w:contextualSpacing/>
        <w:jc w:val="center"/>
        <w:rPr>
          <w:rFonts w:ascii="Times New Roman" w:hAnsi="Times New Roman" w:cs="Times New Roman"/>
          <w:sz w:val="24"/>
          <w:szCs w:val="24"/>
        </w:rPr>
      </w:pPr>
      <w:r w:rsidRPr="002D394D">
        <w:rPr>
          <w:rFonts w:ascii="Times New Roman" w:hAnsi="Times New Roman" w:cs="Times New Roman"/>
          <w:sz w:val="24"/>
          <w:szCs w:val="24"/>
        </w:rPr>
        <w:lastRenderedPageBreak/>
        <w:t>Trial and Error: The District Ring Attempts a Cover-Up</w:t>
      </w:r>
    </w:p>
    <w:p w14:paraId="31A4F12C" w14:textId="77777777" w:rsidR="002D394D" w:rsidRPr="002D394D" w:rsidRDefault="002D394D" w:rsidP="002D394D">
      <w:pPr>
        <w:contextualSpacing/>
        <w:jc w:val="center"/>
        <w:rPr>
          <w:rFonts w:ascii="Times New Roman" w:hAnsi="Times New Roman" w:cs="Times New Roman"/>
          <w:sz w:val="24"/>
          <w:szCs w:val="24"/>
        </w:rPr>
      </w:pPr>
    </w:p>
    <w:p w14:paraId="1FC4FFE0" w14:textId="3AF89D8F"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Due to the cunning instincts of investigators like Riddle, new evidence emerged connecting the burglars with members of the District Ring.  Wilson was thoroughly hoodwinked by testimony that he heard regarding the involvement of Nettleship and Whitley, to the point that members of the Ring were elated by “the certain prospect of the full vindication of the chief managers of the burglary at the hands of the Secretary of the Treasury.”</w:t>
      </w:r>
      <w:r w:rsidRPr="002D394D">
        <w:rPr>
          <w:rFonts w:ascii="Times New Roman" w:hAnsi="Times New Roman" w:cs="Times New Roman"/>
          <w:sz w:val="24"/>
          <w:szCs w:val="24"/>
          <w:vertAlign w:val="superscript"/>
        </w:rPr>
        <w:footnoteReference w:id="999"/>
      </w:r>
      <w:r w:rsidRPr="002D394D">
        <w:rPr>
          <w:rFonts w:ascii="Times New Roman" w:hAnsi="Times New Roman" w:cs="Times New Roman"/>
          <w:sz w:val="24"/>
          <w:szCs w:val="24"/>
        </w:rPr>
        <w:t xml:space="preserve">  Riddle, however, quickly proved to be the savior of the prosecutorial operation.  Riddle’s success came from his revival of “a good practice which had fallen into disuse in Washington, of the prosecuting attorney appearing in the grand-jury room and conducting in person the examination of his witnesses.”</w:t>
      </w:r>
      <w:r w:rsidRPr="002D394D">
        <w:rPr>
          <w:rFonts w:ascii="Times New Roman" w:hAnsi="Times New Roman" w:cs="Times New Roman"/>
          <w:sz w:val="24"/>
          <w:szCs w:val="24"/>
          <w:vertAlign w:val="superscript"/>
        </w:rPr>
        <w:footnoteReference w:id="1000"/>
      </w:r>
      <w:r w:rsidRPr="002D394D">
        <w:rPr>
          <w:rFonts w:ascii="Times New Roman" w:hAnsi="Times New Roman" w:cs="Times New Roman"/>
          <w:sz w:val="24"/>
          <w:szCs w:val="24"/>
        </w:rPr>
        <w:t xml:space="preserve">  This meant that Riddle knew all of the information regarding the case through firsthand experience and interviews, rather than acquiring information through secondhand reports from aides.  Sometime into the process of collecting information and evidence, Wilson and Riddle met to discuss the case.  After consulting with Wilson regarding the false information as presented to Wilson, Riddle found discrepancies in the testimonies provided to the investigators.</w:t>
      </w:r>
      <w:r w:rsidRPr="002D394D">
        <w:rPr>
          <w:rFonts w:ascii="Times New Roman" w:hAnsi="Times New Roman" w:cs="Times New Roman"/>
          <w:sz w:val="24"/>
          <w:szCs w:val="24"/>
          <w:vertAlign w:val="superscript"/>
        </w:rPr>
        <w:footnoteReference w:id="1001"/>
      </w:r>
      <w:r w:rsidRPr="002D394D">
        <w:rPr>
          <w:rFonts w:ascii="Times New Roman" w:hAnsi="Times New Roman" w:cs="Times New Roman"/>
          <w:sz w:val="24"/>
          <w:szCs w:val="24"/>
        </w:rPr>
        <w:t xml:space="preserve">  Wilson returned to New York to further investigate the deceit perpetrated by members of the Ring, and he remained in contact with Riddle about any developments in the case.</w:t>
      </w:r>
      <w:r w:rsidRPr="002D394D">
        <w:rPr>
          <w:rFonts w:ascii="Times New Roman" w:hAnsi="Times New Roman" w:cs="Times New Roman"/>
          <w:sz w:val="24"/>
          <w:szCs w:val="24"/>
          <w:vertAlign w:val="superscript"/>
        </w:rPr>
        <w:footnoteReference w:id="1002"/>
      </w:r>
      <w:r w:rsidRPr="002D394D">
        <w:rPr>
          <w:rFonts w:ascii="Times New Roman" w:hAnsi="Times New Roman" w:cs="Times New Roman"/>
          <w:sz w:val="24"/>
          <w:szCs w:val="24"/>
        </w:rPr>
        <w:t xml:space="preserve">  The two men uncovered suspicious telegrams and continued to investigate individuals associated with the burglary and the men under suspicion of conspiracy until a more complete case could be developed.  With their new evidence in </w:t>
      </w:r>
      <w:r w:rsidR="0034259D">
        <w:rPr>
          <w:rFonts w:ascii="Times New Roman" w:hAnsi="Times New Roman" w:cs="Times New Roman"/>
          <w:sz w:val="24"/>
          <w:szCs w:val="24"/>
        </w:rPr>
        <w:t>hand</w:t>
      </w:r>
      <w:r w:rsidRPr="002D394D">
        <w:rPr>
          <w:rFonts w:ascii="Times New Roman" w:hAnsi="Times New Roman" w:cs="Times New Roman"/>
          <w:sz w:val="24"/>
          <w:szCs w:val="24"/>
        </w:rPr>
        <w:t xml:space="preserve">, Riddle and his allies could justifiably </w:t>
      </w:r>
      <w:r w:rsidRPr="002D394D">
        <w:rPr>
          <w:rFonts w:ascii="Times New Roman" w:hAnsi="Times New Roman" w:cs="Times New Roman"/>
          <w:sz w:val="24"/>
          <w:szCs w:val="24"/>
        </w:rPr>
        <w:lastRenderedPageBreak/>
        <w:t xml:space="preserve">claim a conspiracy, and trial became the next necessary step in uncovering the </w:t>
      </w:r>
      <w:r w:rsidR="00F81DA4">
        <w:rPr>
          <w:rFonts w:ascii="Times New Roman" w:hAnsi="Times New Roman" w:cs="Times New Roman"/>
          <w:sz w:val="24"/>
          <w:szCs w:val="24"/>
        </w:rPr>
        <w:t xml:space="preserve">extent of the </w:t>
      </w:r>
      <w:r w:rsidRPr="002D394D">
        <w:rPr>
          <w:rFonts w:ascii="Times New Roman" w:hAnsi="Times New Roman" w:cs="Times New Roman"/>
          <w:sz w:val="24"/>
          <w:szCs w:val="24"/>
        </w:rPr>
        <w:t>Ring’s corruption.</w:t>
      </w:r>
    </w:p>
    <w:p w14:paraId="6398F483" w14:textId="0FD64C72"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The trial of the Washington Conspiracy Case commenced on October 20</w:t>
      </w:r>
      <w:r w:rsidRPr="002D394D">
        <w:rPr>
          <w:rFonts w:ascii="Times New Roman" w:hAnsi="Times New Roman" w:cs="Times New Roman"/>
          <w:sz w:val="24"/>
          <w:szCs w:val="24"/>
          <w:vertAlign w:val="superscript"/>
        </w:rPr>
        <w:t>th</w:t>
      </w:r>
      <w:r w:rsidRPr="002D394D">
        <w:rPr>
          <w:rFonts w:ascii="Times New Roman" w:hAnsi="Times New Roman" w:cs="Times New Roman"/>
          <w:sz w:val="24"/>
          <w:szCs w:val="24"/>
        </w:rPr>
        <w:t>, 1874 as the prosecution brought forth new evidence against not only the burglars themselves, but also against the network of individuals who hired them.</w:t>
      </w:r>
      <w:r w:rsidRPr="002D394D">
        <w:rPr>
          <w:rFonts w:ascii="Times New Roman" w:hAnsi="Times New Roman" w:cs="Times New Roman"/>
          <w:sz w:val="24"/>
          <w:szCs w:val="24"/>
          <w:vertAlign w:val="superscript"/>
        </w:rPr>
        <w:footnoteReference w:id="1003"/>
      </w:r>
      <w:r w:rsidRPr="002D394D">
        <w:rPr>
          <w:rFonts w:ascii="Times New Roman" w:hAnsi="Times New Roman" w:cs="Times New Roman"/>
          <w:sz w:val="24"/>
          <w:szCs w:val="24"/>
        </w:rPr>
        <w:t xml:space="preserve">  Those indicted in the case for the Safe Burglary Conspiracy included Secret Service Chief Hiram Whitley and his Chief Assistant Ichabod Nettleship, Assistant USDA Richard Harrington, Harrington’s lawyer friend Arthur B. Williams, former Secret Service Agent Michael Hayes and former Detective Gustave Zirruth.</w:t>
      </w:r>
      <w:r w:rsidRPr="002D394D">
        <w:rPr>
          <w:rFonts w:ascii="Times New Roman" w:hAnsi="Times New Roman" w:cs="Times New Roman"/>
          <w:sz w:val="24"/>
          <w:szCs w:val="24"/>
          <w:vertAlign w:val="superscript"/>
        </w:rPr>
        <w:footnoteReference w:id="1004"/>
      </w:r>
      <w:r w:rsidRPr="002D394D">
        <w:rPr>
          <w:rFonts w:ascii="Times New Roman" w:hAnsi="Times New Roman" w:cs="Times New Roman"/>
          <w:sz w:val="24"/>
          <w:szCs w:val="24"/>
        </w:rPr>
        <w:t xml:space="preserve">  Benton and his burglar compatriot were tried in a separate case for burglary and larceny, but the focus of the conspiracy trial was on those involved in the planning, not those who conducted the actual burglary.</w:t>
      </w:r>
      <w:r w:rsidRPr="002D394D">
        <w:rPr>
          <w:rFonts w:ascii="Times New Roman" w:hAnsi="Times New Roman" w:cs="Times New Roman"/>
          <w:sz w:val="24"/>
          <w:szCs w:val="24"/>
          <w:vertAlign w:val="superscript"/>
        </w:rPr>
        <w:footnoteReference w:id="1005"/>
      </w:r>
      <w:r w:rsidRPr="002D394D">
        <w:rPr>
          <w:rFonts w:ascii="Times New Roman" w:hAnsi="Times New Roman" w:cs="Times New Roman"/>
          <w:sz w:val="24"/>
          <w:szCs w:val="24"/>
        </w:rPr>
        <w:t xml:space="preserve"> However, Benton had been released from prison on bail by Harrington in August and subsequently disappeared while Riddle was on vacation in yet another example of the Ring circumventing the judicial process.</w:t>
      </w:r>
      <w:r w:rsidRPr="002D394D">
        <w:rPr>
          <w:rFonts w:ascii="Times New Roman" w:hAnsi="Times New Roman" w:cs="Times New Roman"/>
          <w:sz w:val="24"/>
          <w:szCs w:val="24"/>
          <w:vertAlign w:val="superscript"/>
        </w:rPr>
        <w:footnoteReference w:id="1006"/>
      </w:r>
    </w:p>
    <w:p w14:paraId="7DE93202" w14:textId="6375AEDF"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Even without Benton’s testimony, Riddle presented the prosecution’s case with fervor, offering a preponderance of evidence to prove the guilt of the conspirators.  Telegrams to and from the accused, particularly those sent between the parties in Washington and New York, were “incriminating” and “demanding the attention of the authorities, the Treasury Department especially.”</w:t>
      </w:r>
      <w:r w:rsidRPr="002D394D">
        <w:rPr>
          <w:rFonts w:ascii="Times New Roman" w:hAnsi="Times New Roman" w:cs="Times New Roman"/>
          <w:sz w:val="24"/>
          <w:szCs w:val="24"/>
          <w:vertAlign w:val="superscript"/>
        </w:rPr>
        <w:footnoteReference w:id="1007"/>
      </w:r>
      <w:r w:rsidRPr="002D394D">
        <w:rPr>
          <w:rFonts w:ascii="Times New Roman" w:hAnsi="Times New Roman" w:cs="Times New Roman"/>
          <w:sz w:val="24"/>
          <w:szCs w:val="24"/>
        </w:rPr>
        <w:t xml:space="preserve">  </w:t>
      </w:r>
      <w:r w:rsidR="001D5062">
        <w:rPr>
          <w:rFonts w:ascii="Times New Roman" w:hAnsi="Times New Roman" w:cs="Times New Roman"/>
          <w:sz w:val="24"/>
          <w:szCs w:val="24"/>
        </w:rPr>
        <w:t xml:space="preserve">Chief of Metropolitan Police </w:t>
      </w:r>
      <w:r w:rsidRPr="002D394D">
        <w:rPr>
          <w:rFonts w:ascii="Times New Roman" w:hAnsi="Times New Roman" w:cs="Times New Roman"/>
          <w:sz w:val="24"/>
          <w:szCs w:val="24"/>
        </w:rPr>
        <w:t xml:space="preserve">Major Richards’s eyewitness testimony was of key importance, for his presence and his narrative of events “set forth lucidly and consecutively all </w:t>
      </w:r>
      <w:r w:rsidRPr="002D394D">
        <w:rPr>
          <w:rFonts w:ascii="Times New Roman" w:hAnsi="Times New Roman" w:cs="Times New Roman"/>
          <w:sz w:val="24"/>
          <w:szCs w:val="24"/>
        </w:rPr>
        <w:lastRenderedPageBreak/>
        <w:t>the details of the story, from Harrington's first communication to him of the receipt of the anonymous letter, to that unfortunate defendant's nausea at Police Headquarters after the plot had ended in its complete failure.”</w:t>
      </w:r>
      <w:r w:rsidRPr="002D394D">
        <w:rPr>
          <w:rFonts w:ascii="Times New Roman" w:hAnsi="Times New Roman" w:cs="Times New Roman"/>
          <w:sz w:val="24"/>
          <w:szCs w:val="24"/>
          <w:vertAlign w:val="superscript"/>
        </w:rPr>
        <w:footnoteReference w:id="1008"/>
      </w:r>
      <w:r w:rsidRPr="002D394D">
        <w:rPr>
          <w:rFonts w:ascii="Times New Roman" w:hAnsi="Times New Roman" w:cs="Times New Roman"/>
          <w:sz w:val="24"/>
          <w:szCs w:val="24"/>
        </w:rPr>
        <w:t xml:space="preserve">  Perhaps most significantly, though, w</w:t>
      </w:r>
      <w:r w:rsidR="000B793A">
        <w:rPr>
          <w:rFonts w:ascii="Times New Roman" w:hAnsi="Times New Roman" w:cs="Times New Roman"/>
          <w:sz w:val="24"/>
          <w:szCs w:val="24"/>
        </w:rPr>
        <w:t>ere</w:t>
      </w:r>
      <w:r w:rsidRPr="002D394D">
        <w:rPr>
          <w:rFonts w:ascii="Times New Roman" w:hAnsi="Times New Roman" w:cs="Times New Roman"/>
          <w:sz w:val="24"/>
          <w:szCs w:val="24"/>
        </w:rPr>
        <w:t xml:space="preserve"> the testimon</w:t>
      </w:r>
      <w:r w:rsidR="000B793A">
        <w:rPr>
          <w:rFonts w:ascii="Times New Roman" w:hAnsi="Times New Roman" w:cs="Times New Roman"/>
          <w:sz w:val="24"/>
          <w:szCs w:val="24"/>
        </w:rPr>
        <w:t>ies</w:t>
      </w:r>
      <w:r w:rsidRPr="002D394D">
        <w:rPr>
          <w:rFonts w:ascii="Times New Roman" w:hAnsi="Times New Roman" w:cs="Times New Roman"/>
          <w:sz w:val="24"/>
          <w:szCs w:val="24"/>
        </w:rPr>
        <w:t xml:space="preserve"> of Hayes and Zirruth, both of whom had been found by prosecutors during their exile (or in Zirruth’s case, before his departure) and were presented as witnesses for the prosecution in exchange for the “‘nolling’” of their own indictments.</w:t>
      </w:r>
      <w:r w:rsidRPr="002D394D">
        <w:rPr>
          <w:rFonts w:ascii="Times New Roman" w:hAnsi="Times New Roman" w:cs="Times New Roman"/>
          <w:sz w:val="24"/>
          <w:szCs w:val="24"/>
          <w:vertAlign w:val="superscript"/>
        </w:rPr>
        <w:footnoteReference w:id="1009"/>
      </w:r>
      <w:r w:rsidRPr="002D394D">
        <w:rPr>
          <w:rFonts w:ascii="Times New Roman" w:hAnsi="Times New Roman" w:cs="Times New Roman"/>
          <w:sz w:val="24"/>
          <w:szCs w:val="24"/>
        </w:rPr>
        <w:t xml:space="preserve">  These men provided a glimpse inside the organization of the conspiracy, as well as insight into its execution, that was invaluable to the prosecution.</w:t>
      </w:r>
    </w:p>
    <w:p w14:paraId="7630708F" w14:textId="54B1C34A"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As the evidence against the conspirators compounded in damning fashion, the District Ring found a way to rebuff or discredit every charge.  In addition to clear perjury by defendants from the witness stand, the defense</w:t>
      </w:r>
      <w:r w:rsidR="00480F74">
        <w:rPr>
          <w:rFonts w:ascii="Times New Roman" w:hAnsi="Times New Roman" w:cs="Times New Roman"/>
          <w:sz w:val="24"/>
          <w:szCs w:val="24"/>
        </w:rPr>
        <w:t xml:space="preserve"> team</w:t>
      </w:r>
      <w:r w:rsidRPr="002D394D">
        <w:rPr>
          <w:rFonts w:ascii="Times New Roman" w:hAnsi="Times New Roman" w:cs="Times New Roman"/>
          <w:sz w:val="24"/>
          <w:szCs w:val="24"/>
        </w:rPr>
        <w:t xml:space="preserve"> and </w:t>
      </w:r>
      <w:r w:rsidR="00480F74">
        <w:rPr>
          <w:rFonts w:ascii="Times New Roman" w:hAnsi="Times New Roman" w:cs="Times New Roman"/>
          <w:sz w:val="24"/>
          <w:szCs w:val="24"/>
        </w:rPr>
        <w:t>R</w:t>
      </w:r>
      <w:r w:rsidRPr="002D394D">
        <w:rPr>
          <w:rFonts w:ascii="Times New Roman" w:hAnsi="Times New Roman" w:cs="Times New Roman"/>
          <w:sz w:val="24"/>
          <w:szCs w:val="24"/>
        </w:rPr>
        <w:t>ing associates were accused of signaling the jury, with the most notable perpetrator being Governor Shepherd, who had free reign of the building occupied by the jury.</w:t>
      </w:r>
      <w:r w:rsidRPr="002D394D">
        <w:rPr>
          <w:rFonts w:ascii="Times New Roman" w:hAnsi="Times New Roman" w:cs="Times New Roman"/>
          <w:sz w:val="24"/>
          <w:szCs w:val="24"/>
          <w:vertAlign w:val="superscript"/>
        </w:rPr>
        <w:footnoteReference w:id="1010"/>
      </w:r>
      <w:r w:rsidRPr="002D394D">
        <w:rPr>
          <w:rFonts w:ascii="Times New Roman" w:hAnsi="Times New Roman" w:cs="Times New Roman"/>
          <w:sz w:val="24"/>
          <w:szCs w:val="24"/>
        </w:rPr>
        <w:t xml:space="preserve">  Clarvoe was presented as a witness for the defense to rebuke Richards’s testimony, and the defense attacked the </w:t>
      </w:r>
      <w:r w:rsidR="00026078">
        <w:rPr>
          <w:rFonts w:ascii="Times New Roman" w:hAnsi="Times New Roman" w:cs="Times New Roman"/>
          <w:sz w:val="24"/>
          <w:szCs w:val="24"/>
        </w:rPr>
        <w:t xml:space="preserve">criminal </w:t>
      </w:r>
      <w:r w:rsidRPr="002D394D">
        <w:rPr>
          <w:rFonts w:ascii="Times New Roman" w:hAnsi="Times New Roman" w:cs="Times New Roman"/>
          <w:sz w:val="24"/>
          <w:szCs w:val="24"/>
        </w:rPr>
        <w:t>character of Hayes and Zirruth with veracity.</w:t>
      </w:r>
      <w:r w:rsidRPr="002D394D">
        <w:rPr>
          <w:rFonts w:ascii="Times New Roman" w:hAnsi="Times New Roman" w:cs="Times New Roman"/>
          <w:sz w:val="24"/>
          <w:szCs w:val="24"/>
          <w:vertAlign w:val="superscript"/>
        </w:rPr>
        <w:footnoteReference w:id="1011"/>
      </w:r>
      <w:r w:rsidRPr="002D394D">
        <w:rPr>
          <w:rFonts w:ascii="Times New Roman" w:hAnsi="Times New Roman" w:cs="Times New Roman"/>
          <w:sz w:val="24"/>
          <w:szCs w:val="24"/>
        </w:rPr>
        <w:t xml:space="preserve">  The Ring made several attempts to destroy physical evidence like telegrams, and in some cases these efforts succeeded.</w:t>
      </w:r>
      <w:r w:rsidRPr="002D394D">
        <w:rPr>
          <w:rFonts w:ascii="Times New Roman" w:hAnsi="Times New Roman" w:cs="Times New Roman"/>
          <w:sz w:val="24"/>
          <w:szCs w:val="24"/>
          <w:vertAlign w:val="superscript"/>
        </w:rPr>
        <w:footnoteReference w:id="1012"/>
      </w:r>
      <w:r w:rsidRPr="002D394D">
        <w:rPr>
          <w:rFonts w:ascii="Times New Roman" w:hAnsi="Times New Roman" w:cs="Times New Roman"/>
          <w:sz w:val="24"/>
          <w:szCs w:val="24"/>
        </w:rPr>
        <w:t xml:space="preserve">  </w:t>
      </w:r>
    </w:p>
    <w:p w14:paraId="3B5B0547" w14:textId="480BAF5A"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Two extreme cases of defense tactics stand out that warrant special mention.  In addition to his role as defendant, Harrington served as an attorney for the defense.</w:t>
      </w:r>
      <w:r w:rsidRPr="002D394D">
        <w:rPr>
          <w:rFonts w:ascii="Times New Roman" w:hAnsi="Times New Roman" w:cs="Times New Roman"/>
          <w:sz w:val="24"/>
          <w:szCs w:val="24"/>
          <w:vertAlign w:val="superscript"/>
        </w:rPr>
        <w:footnoteReference w:id="1013"/>
      </w:r>
      <w:r w:rsidRPr="002D394D">
        <w:rPr>
          <w:rFonts w:ascii="Times New Roman" w:hAnsi="Times New Roman" w:cs="Times New Roman"/>
          <w:sz w:val="24"/>
          <w:szCs w:val="24"/>
        </w:rPr>
        <w:t xml:space="preserve">  Particularly noteworthy in Harrington’s actions during the trial was his “tasteless conduct” as he “repeatedly </w:t>
      </w:r>
      <w:r w:rsidRPr="002D394D">
        <w:rPr>
          <w:rFonts w:ascii="Times New Roman" w:hAnsi="Times New Roman" w:cs="Times New Roman"/>
          <w:sz w:val="24"/>
          <w:szCs w:val="24"/>
        </w:rPr>
        <w:lastRenderedPageBreak/>
        <w:t>interrupted the course of the proceedings with his interjections by way of comment on the testimony… which might well have caused anyone present to inquire in what capacity Harrington was at the bar.”</w:t>
      </w:r>
      <w:r w:rsidRPr="002D394D">
        <w:rPr>
          <w:rFonts w:ascii="Times New Roman" w:hAnsi="Times New Roman" w:cs="Times New Roman"/>
          <w:sz w:val="24"/>
          <w:szCs w:val="24"/>
          <w:vertAlign w:val="superscript"/>
        </w:rPr>
        <w:footnoteReference w:id="1014"/>
      </w:r>
      <w:r w:rsidRPr="002D394D">
        <w:rPr>
          <w:rFonts w:ascii="Times New Roman" w:hAnsi="Times New Roman" w:cs="Times New Roman"/>
          <w:sz w:val="24"/>
          <w:szCs w:val="24"/>
        </w:rPr>
        <w:t xml:space="preserve">  </w:t>
      </w:r>
      <w:r w:rsidR="00753EAD">
        <w:rPr>
          <w:rFonts w:ascii="Times New Roman" w:hAnsi="Times New Roman" w:cs="Times New Roman"/>
          <w:sz w:val="24"/>
          <w:szCs w:val="24"/>
        </w:rPr>
        <w:t>Secondly</w:t>
      </w:r>
      <w:r w:rsidRPr="002D394D">
        <w:rPr>
          <w:rFonts w:ascii="Times New Roman" w:hAnsi="Times New Roman" w:cs="Times New Roman"/>
          <w:sz w:val="24"/>
          <w:szCs w:val="24"/>
        </w:rPr>
        <w:t>, a clerk of the Congressional Committee named Colby was charged with maintaining the telegraph book that was a key part of the prosecution’s evidence when it suspiciously disappeared.</w:t>
      </w:r>
      <w:r w:rsidRPr="002D394D">
        <w:rPr>
          <w:rFonts w:ascii="Times New Roman" w:hAnsi="Times New Roman" w:cs="Times New Roman"/>
          <w:sz w:val="24"/>
          <w:szCs w:val="24"/>
          <w:vertAlign w:val="superscript"/>
        </w:rPr>
        <w:footnoteReference w:id="1015"/>
      </w:r>
      <w:r w:rsidRPr="002D394D">
        <w:rPr>
          <w:rFonts w:ascii="Times New Roman" w:hAnsi="Times New Roman" w:cs="Times New Roman"/>
          <w:sz w:val="24"/>
          <w:szCs w:val="24"/>
        </w:rPr>
        <w:t xml:space="preserve">  Before he could be subpoenaed to testify to the circumstances of its disappearance, the Ring worked its magic and had Colby reassigned to a new post as far from the proceedings as humanly possible at the time as the United States Consul in Chin Kiang, China.</w:t>
      </w:r>
      <w:r w:rsidRPr="002D394D">
        <w:rPr>
          <w:rFonts w:ascii="Times New Roman" w:hAnsi="Times New Roman" w:cs="Times New Roman"/>
          <w:sz w:val="24"/>
          <w:szCs w:val="24"/>
          <w:vertAlign w:val="superscript"/>
        </w:rPr>
        <w:footnoteReference w:id="1016"/>
      </w:r>
      <w:r w:rsidRPr="002D394D">
        <w:rPr>
          <w:rFonts w:ascii="Times New Roman" w:hAnsi="Times New Roman" w:cs="Times New Roman"/>
          <w:sz w:val="24"/>
          <w:szCs w:val="24"/>
        </w:rPr>
        <w:t xml:space="preserve">  The reassignment of Colby to the Consulate in China, as well as the premature release of Benton, show the extremes to which the Ring and its conspirators would go to use their positions in the local judiciary and the federal government to win the acquittal of its members.</w:t>
      </w:r>
    </w:p>
    <w:p w14:paraId="2DE63ADA" w14:textId="46134B02"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 xml:space="preserve">In addition to the actions of the District Ring, the press played a significant role in shaping perceptions of the trial, and at times, </w:t>
      </w:r>
      <w:r w:rsidR="00782F3D">
        <w:rPr>
          <w:rFonts w:ascii="Times New Roman" w:hAnsi="Times New Roman" w:cs="Times New Roman"/>
          <w:sz w:val="24"/>
          <w:szCs w:val="24"/>
        </w:rPr>
        <w:t xml:space="preserve">actually </w:t>
      </w:r>
      <w:r w:rsidRPr="002D394D">
        <w:rPr>
          <w:rFonts w:ascii="Times New Roman" w:hAnsi="Times New Roman" w:cs="Times New Roman"/>
          <w:sz w:val="24"/>
          <w:szCs w:val="24"/>
        </w:rPr>
        <w:t xml:space="preserve">helped shape decisions in the trial.  </w:t>
      </w:r>
      <w:r w:rsidR="00C74418">
        <w:rPr>
          <w:rFonts w:ascii="Times New Roman" w:hAnsi="Times New Roman" w:cs="Times New Roman"/>
          <w:sz w:val="24"/>
          <w:szCs w:val="24"/>
        </w:rPr>
        <w:t>T</w:t>
      </w:r>
      <w:r w:rsidRPr="002D394D">
        <w:rPr>
          <w:rFonts w:ascii="Times New Roman" w:hAnsi="Times New Roman" w:cs="Times New Roman"/>
          <w:sz w:val="24"/>
          <w:szCs w:val="24"/>
        </w:rPr>
        <w:t>he justice presiding over the case, David Humphreys, spoke against the “utterances of certain of the local newspapers” for their commentary on the trial.</w:t>
      </w:r>
      <w:r w:rsidRPr="002D394D">
        <w:rPr>
          <w:rFonts w:ascii="Times New Roman" w:hAnsi="Times New Roman" w:cs="Times New Roman"/>
          <w:sz w:val="24"/>
          <w:szCs w:val="24"/>
          <w:vertAlign w:val="superscript"/>
        </w:rPr>
        <w:footnoteReference w:id="1017"/>
      </w:r>
      <w:r w:rsidRPr="002D394D">
        <w:rPr>
          <w:rFonts w:ascii="Times New Roman" w:hAnsi="Times New Roman" w:cs="Times New Roman"/>
          <w:sz w:val="24"/>
          <w:szCs w:val="24"/>
        </w:rPr>
        <w:t xml:space="preserve">  As a result he placed the jury in the custody of a bailiff to be remanded so as not to be swayed by public opinion.</w:t>
      </w:r>
      <w:r w:rsidRPr="002D394D">
        <w:rPr>
          <w:rFonts w:ascii="Times New Roman" w:hAnsi="Times New Roman" w:cs="Times New Roman"/>
          <w:sz w:val="24"/>
          <w:szCs w:val="24"/>
          <w:vertAlign w:val="superscript"/>
        </w:rPr>
        <w:footnoteReference w:id="1018"/>
      </w:r>
      <w:r w:rsidRPr="002D394D">
        <w:rPr>
          <w:rFonts w:ascii="Times New Roman" w:hAnsi="Times New Roman" w:cs="Times New Roman"/>
          <w:sz w:val="24"/>
          <w:szCs w:val="24"/>
        </w:rPr>
        <w:t xml:space="preserve">  Humphreys had a change of heart towards the close of the trial, arguably its most important stage</w:t>
      </w:r>
      <w:r w:rsidR="00207EB8">
        <w:rPr>
          <w:rFonts w:ascii="Times New Roman" w:hAnsi="Times New Roman" w:cs="Times New Roman"/>
          <w:sz w:val="24"/>
          <w:szCs w:val="24"/>
        </w:rPr>
        <w:t xml:space="preserve"> and </w:t>
      </w:r>
      <w:r w:rsidRPr="002D394D">
        <w:rPr>
          <w:rFonts w:ascii="Times New Roman" w:hAnsi="Times New Roman" w:cs="Times New Roman"/>
          <w:sz w:val="24"/>
          <w:szCs w:val="24"/>
        </w:rPr>
        <w:t xml:space="preserve">decided to allow the jurors to return to their respective homes at night upon “their assurance that they would </w:t>
      </w:r>
      <w:r w:rsidRPr="002D394D">
        <w:rPr>
          <w:rFonts w:ascii="Times New Roman" w:hAnsi="Times New Roman" w:cs="Times New Roman"/>
          <w:sz w:val="24"/>
          <w:szCs w:val="24"/>
        </w:rPr>
        <w:lastRenderedPageBreak/>
        <w:t>return the following morning without in the meanwhile having any communication with anyone interested in the trial.”</w:t>
      </w:r>
      <w:r w:rsidRPr="002D394D">
        <w:rPr>
          <w:rFonts w:ascii="Times New Roman" w:hAnsi="Times New Roman" w:cs="Times New Roman"/>
          <w:sz w:val="24"/>
          <w:szCs w:val="24"/>
          <w:vertAlign w:val="superscript"/>
        </w:rPr>
        <w:footnoteReference w:id="1019"/>
      </w:r>
    </w:p>
    <w:p w14:paraId="746C90AA" w14:textId="77777777"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Justice Humphreys’s decision to allow the jury to return home is suspicious given the actions of the Ring itself, but it is even more suspect when one investigates the local press coverage against which he had railed.  The national press was deeply interested in the case, as papers from such distances as Wyoming and Montana in the West, New York in the North, and Tennessee in the South presented the details of the case to the nation.</w:t>
      </w:r>
      <w:r w:rsidRPr="002D394D">
        <w:rPr>
          <w:rFonts w:ascii="Times New Roman" w:hAnsi="Times New Roman" w:cs="Times New Roman"/>
          <w:sz w:val="24"/>
          <w:szCs w:val="24"/>
          <w:vertAlign w:val="superscript"/>
        </w:rPr>
        <w:footnoteReference w:id="1020"/>
      </w:r>
      <w:r w:rsidRPr="002D394D">
        <w:rPr>
          <w:rFonts w:ascii="Times New Roman" w:hAnsi="Times New Roman" w:cs="Times New Roman"/>
          <w:sz w:val="24"/>
          <w:szCs w:val="24"/>
        </w:rPr>
        <w:t xml:space="preserve">  Two local Washington papers, the </w:t>
      </w:r>
      <w:r w:rsidRPr="002D394D">
        <w:rPr>
          <w:rFonts w:ascii="Times New Roman" w:hAnsi="Times New Roman" w:cs="Times New Roman"/>
          <w:i/>
          <w:iCs/>
          <w:sz w:val="24"/>
          <w:szCs w:val="24"/>
        </w:rPr>
        <w:t>Alexandria Gazette</w:t>
      </w:r>
      <w:r w:rsidRPr="002D394D">
        <w:rPr>
          <w:rFonts w:ascii="Times New Roman" w:hAnsi="Times New Roman" w:cs="Times New Roman"/>
          <w:sz w:val="24"/>
          <w:szCs w:val="24"/>
        </w:rPr>
        <w:t xml:space="preserve"> and the </w:t>
      </w:r>
      <w:r w:rsidRPr="002D394D">
        <w:rPr>
          <w:rFonts w:ascii="Times New Roman" w:hAnsi="Times New Roman" w:cs="Times New Roman"/>
          <w:i/>
          <w:iCs/>
          <w:sz w:val="24"/>
          <w:szCs w:val="24"/>
        </w:rPr>
        <w:t>Washington Evening Star</w:t>
      </w:r>
      <w:r w:rsidRPr="002D394D">
        <w:rPr>
          <w:rFonts w:ascii="Times New Roman" w:hAnsi="Times New Roman" w:cs="Times New Roman"/>
          <w:sz w:val="24"/>
          <w:szCs w:val="24"/>
        </w:rPr>
        <w:t>, respectively, reported on the case from a conservative democratic perspective, printing statements of testimonies offered and specific events of the case.</w:t>
      </w:r>
      <w:r w:rsidRPr="002D394D">
        <w:rPr>
          <w:rFonts w:ascii="Times New Roman" w:hAnsi="Times New Roman" w:cs="Times New Roman"/>
          <w:sz w:val="24"/>
          <w:szCs w:val="24"/>
          <w:vertAlign w:val="superscript"/>
        </w:rPr>
        <w:footnoteReference w:id="1021"/>
      </w:r>
      <w:r w:rsidRPr="002D394D">
        <w:rPr>
          <w:rFonts w:ascii="Times New Roman" w:hAnsi="Times New Roman" w:cs="Times New Roman"/>
          <w:sz w:val="24"/>
          <w:szCs w:val="24"/>
        </w:rPr>
        <w:t xml:space="preserve">  The </w:t>
      </w:r>
      <w:r w:rsidRPr="002D394D">
        <w:rPr>
          <w:rFonts w:ascii="Times New Roman" w:hAnsi="Times New Roman" w:cs="Times New Roman"/>
          <w:i/>
          <w:iCs/>
          <w:sz w:val="24"/>
          <w:szCs w:val="24"/>
        </w:rPr>
        <w:t>Evening Star</w:t>
      </w:r>
      <w:r w:rsidRPr="002D394D">
        <w:rPr>
          <w:rFonts w:ascii="Times New Roman" w:hAnsi="Times New Roman" w:cs="Times New Roman"/>
          <w:sz w:val="24"/>
          <w:szCs w:val="24"/>
        </w:rPr>
        <w:t xml:space="preserve"> made attempts to dispel rumors surrounding the case at times, but this was as far as either paper went into editorializing.</w:t>
      </w:r>
      <w:r w:rsidRPr="002D394D">
        <w:rPr>
          <w:rFonts w:ascii="Times New Roman" w:hAnsi="Times New Roman" w:cs="Times New Roman"/>
          <w:sz w:val="24"/>
          <w:szCs w:val="24"/>
          <w:vertAlign w:val="superscript"/>
        </w:rPr>
        <w:footnoteReference w:id="1022"/>
      </w:r>
      <w:r w:rsidRPr="002D394D">
        <w:rPr>
          <w:rFonts w:ascii="Times New Roman" w:hAnsi="Times New Roman" w:cs="Times New Roman"/>
          <w:sz w:val="24"/>
          <w:szCs w:val="24"/>
        </w:rPr>
        <w:t xml:space="preserve">  The most likely source of Justice Humphreys’s ire then was the </w:t>
      </w:r>
      <w:r w:rsidRPr="002D394D">
        <w:rPr>
          <w:rFonts w:ascii="Times New Roman" w:hAnsi="Times New Roman" w:cs="Times New Roman"/>
          <w:i/>
          <w:iCs/>
          <w:sz w:val="24"/>
          <w:szCs w:val="24"/>
        </w:rPr>
        <w:t>National Republican</w:t>
      </w:r>
      <w:r w:rsidRPr="002D394D">
        <w:rPr>
          <w:rFonts w:ascii="Times New Roman" w:hAnsi="Times New Roman" w:cs="Times New Roman"/>
          <w:sz w:val="24"/>
          <w:szCs w:val="24"/>
        </w:rPr>
        <w:t>.  This bastion of the Republican Party reported on the events of the trial as well, most notably as they interwove the trial within events of the previous year in the article “The History of 1874,” showing just how connected the trial, and the Ring, were to Washington daily life.</w:t>
      </w:r>
      <w:r w:rsidRPr="002D394D">
        <w:rPr>
          <w:rFonts w:ascii="Times New Roman" w:hAnsi="Times New Roman" w:cs="Times New Roman"/>
          <w:sz w:val="24"/>
          <w:szCs w:val="24"/>
          <w:vertAlign w:val="superscript"/>
        </w:rPr>
        <w:t xml:space="preserve"> </w:t>
      </w:r>
      <w:r w:rsidRPr="002D394D">
        <w:rPr>
          <w:rFonts w:ascii="Times New Roman" w:hAnsi="Times New Roman" w:cs="Times New Roman"/>
          <w:sz w:val="24"/>
          <w:szCs w:val="24"/>
          <w:vertAlign w:val="superscript"/>
        </w:rPr>
        <w:footnoteReference w:id="1023"/>
      </w:r>
      <w:r w:rsidRPr="002D394D">
        <w:rPr>
          <w:rFonts w:ascii="Times New Roman" w:hAnsi="Times New Roman" w:cs="Times New Roman"/>
          <w:sz w:val="24"/>
          <w:szCs w:val="24"/>
        </w:rPr>
        <w:t xml:space="preserve">  But their coverage of these events did not stop there.  The </w:t>
      </w:r>
      <w:r w:rsidRPr="002D394D">
        <w:rPr>
          <w:rFonts w:ascii="Times New Roman" w:hAnsi="Times New Roman" w:cs="Times New Roman"/>
          <w:i/>
          <w:iCs/>
          <w:sz w:val="24"/>
          <w:szCs w:val="24"/>
        </w:rPr>
        <w:t>National Republican</w:t>
      </w:r>
      <w:r w:rsidRPr="002D394D">
        <w:rPr>
          <w:rFonts w:ascii="Times New Roman" w:hAnsi="Times New Roman" w:cs="Times New Roman"/>
          <w:sz w:val="24"/>
          <w:szCs w:val="24"/>
        </w:rPr>
        <w:t xml:space="preserve"> offered the most critical coverage of the trial and the conspirators, at one point calling it a “farce” and a “satire on justice, an insult to the intelligence of the judiciary, and as far removed from the dignity which the judge sought to </w:t>
      </w:r>
      <w:r w:rsidRPr="002D394D">
        <w:rPr>
          <w:rFonts w:ascii="Times New Roman" w:hAnsi="Times New Roman" w:cs="Times New Roman"/>
          <w:sz w:val="24"/>
          <w:szCs w:val="24"/>
        </w:rPr>
        <w:lastRenderedPageBreak/>
        <w:t>maintain.”</w:t>
      </w:r>
      <w:r w:rsidRPr="002D394D">
        <w:rPr>
          <w:rFonts w:ascii="Times New Roman" w:hAnsi="Times New Roman" w:cs="Times New Roman"/>
          <w:sz w:val="24"/>
          <w:szCs w:val="24"/>
          <w:vertAlign w:val="superscript"/>
        </w:rPr>
        <w:footnoteReference w:id="1024"/>
      </w:r>
      <w:r w:rsidRPr="002D394D">
        <w:rPr>
          <w:rFonts w:ascii="Times New Roman" w:hAnsi="Times New Roman" w:cs="Times New Roman"/>
          <w:sz w:val="24"/>
          <w:szCs w:val="24"/>
        </w:rPr>
        <w:t xml:space="preserve">  This is surprising on its face, given the connections of several implicated to the reigning Republican regime, but this is exactly the reason for such vitriol.  The partisan press did not want their organization to be seen by the masses as associated with conspiratorial ne’er-do-wells, and thus assailed these men for their actions regardless of party affiliation.  It was this assault that drew fears of taint from the presiding justice and led to the jury’s temporary sequestration.</w:t>
      </w:r>
    </w:p>
    <w:p w14:paraId="03F6B0F0" w14:textId="77B2B3EF"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r>
      <w:r w:rsidR="00A4711F">
        <w:rPr>
          <w:rFonts w:ascii="Times New Roman" w:hAnsi="Times New Roman" w:cs="Times New Roman"/>
          <w:sz w:val="24"/>
          <w:szCs w:val="24"/>
        </w:rPr>
        <w:t xml:space="preserve">Justice </w:t>
      </w:r>
      <w:r w:rsidRPr="002D394D">
        <w:rPr>
          <w:rFonts w:ascii="Times New Roman" w:hAnsi="Times New Roman" w:cs="Times New Roman"/>
          <w:sz w:val="24"/>
          <w:szCs w:val="24"/>
        </w:rPr>
        <w:t>Humphreys’s trust in the jury’s “honor” justified their return to their homes, yet it is questionable how many maintained such honor due to their ties to the District Ring. The impropriety surrounding the jury began during the jury selection process.  The marshal charged with finding the individuals who would be selected for service on the jury was the brother-in-law of President Grant.</w:t>
      </w:r>
      <w:r w:rsidRPr="002D394D">
        <w:rPr>
          <w:rFonts w:ascii="Times New Roman" w:hAnsi="Times New Roman" w:cs="Times New Roman"/>
          <w:sz w:val="24"/>
          <w:szCs w:val="24"/>
          <w:vertAlign w:val="superscript"/>
        </w:rPr>
        <w:footnoteReference w:id="1025"/>
      </w:r>
      <w:r w:rsidRPr="002D394D">
        <w:rPr>
          <w:rFonts w:ascii="Times New Roman" w:hAnsi="Times New Roman" w:cs="Times New Roman"/>
          <w:sz w:val="24"/>
          <w:szCs w:val="24"/>
        </w:rPr>
        <w:t xml:space="preserve">  Grant’s brother-in-law, somewhat of a pragmatico himself, used his familial connections to establish new networks in the nation’s capital, and several of these brought him in contact with the District Ring.</w:t>
      </w:r>
      <w:r w:rsidRPr="002D394D">
        <w:rPr>
          <w:rFonts w:ascii="Times New Roman" w:hAnsi="Times New Roman" w:cs="Times New Roman"/>
          <w:sz w:val="24"/>
          <w:szCs w:val="24"/>
          <w:vertAlign w:val="superscript"/>
        </w:rPr>
        <w:footnoteReference w:id="1026"/>
      </w:r>
      <w:r w:rsidRPr="002D394D">
        <w:rPr>
          <w:rFonts w:ascii="Times New Roman" w:hAnsi="Times New Roman" w:cs="Times New Roman"/>
          <w:sz w:val="24"/>
          <w:szCs w:val="24"/>
        </w:rPr>
        <w:t xml:space="preserve">  For the first time in his career as a marshal, he selected each of the members of the twenty-five-person jury pool himself, loading it with Ring associates and their family members, friends of the accused, and members of the Washington Club.</w:t>
      </w:r>
      <w:r w:rsidRPr="002D394D">
        <w:rPr>
          <w:rFonts w:ascii="Times New Roman" w:hAnsi="Times New Roman" w:cs="Times New Roman"/>
          <w:sz w:val="24"/>
          <w:szCs w:val="24"/>
          <w:vertAlign w:val="superscript"/>
        </w:rPr>
        <w:footnoteReference w:id="1027"/>
      </w:r>
      <w:r w:rsidRPr="002D394D">
        <w:rPr>
          <w:rFonts w:ascii="Times New Roman" w:hAnsi="Times New Roman" w:cs="Times New Roman"/>
          <w:sz w:val="24"/>
          <w:szCs w:val="24"/>
        </w:rPr>
        <w:t xml:space="preserve">  Ironically, it was the defense who would dispute the legality of the jury⸺ the grand jury, that is⸺ that had returned the indictments.</w:t>
      </w:r>
      <w:r w:rsidRPr="002D394D">
        <w:rPr>
          <w:rFonts w:ascii="Times New Roman" w:hAnsi="Times New Roman" w:cs="Times New Roman"/>
          <w:sz w:val="24"/>
          <w:szCs w:val="24"/>
          <w:vertAlign w:val="superscript"/>
        </w:rPr>
        <w:footnoteReference w:id="1028"/>
      </w:r>
      <w:r w:rsidRPr="002D394D">
        <w:rPr>
          <w:rFonts w:ascii="Times New Roman" w:hAnsi="Times New Roman" w:cs="Times New Roman"/>
          <w:sz w:val="24"/>
          <w:szCs w:val="24"/>
        </w:rPr>
        <w:t xml:space="preserve">  Though this was a common tactic used by </w:t>
      </w:r>
      <w:r w:rsidRPr="002D394D">
        <w:rPr>
          <w:rFonts w:ascii="Times New Roman" w:hAnsi="Times New Roman" w:cs="Times New Roman"/>
          <w:sz w:val="24"/>
          <w:szCs w:val="24"/>
        </w:rPr>
        <w:lastRenderedPageBreak/>
        <w:t>individuals indicted by grand juries, the fact that members of the Ring would question the legality of a jury after stacking one themselves is downright laughable.</w:t>
      </w:r>
      <w:r w:rsidRPr="002D394D">
        <w:rPr>
          <w:rFonts w:ascii="Times New Roman" w:hAnsi="Times New Roman" w:cs="Times New Roman"/>
          <w:sz w:val="24"/>
          <w:szCs w:val="24"/>
          <w:vertAlign w:val="superscript"/>
        </w:rPr>
        <w:footnoteReference w:id="1029"/>
      </w:r>
    </w:p>
    <w:p w14:paraId="29EE9F4F" w14:textId="77777777"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In large part because of the loaded jury, the trial’s results were disappointing for the prosecution given the seemingly concrete evidence against the conspirators.  Not a single conviction was returned; Williams was acquitted of the charges levied against him, and for the cases of the other defendants, jury disagreement led to a lack of conviction.</w:t>
      </w:r>
      <w:r w:rsidRPr="002D394D">
        <w:rPr>
          <w:rFonts w:ascii="Times New Roman" w:hAnsi="Times New Roman" w:cs="Times New Roman"/>
          <w:sz w:val="24"/>
          <w:szCs w:val="24"/>
          <w:vertAlign w:val="superscript"/>
        </w:rPr>
        <w:footnoteReference w:id="1030"/>
      </w:r>
      <w:r w:rsidRPr="002D394D">
        <w:rPr>
          <w:rFonts w:ascii="Times New Roman" w:hAnsi="Times New Roman" w:cs="Times New Roman"/>
          <w:sz w:val="24"/>
          <w:szCs w:val="24"/>
        </w:rPr>
        <w:t xml:space="preserve">  Aware of the possibility of a stacked jury, Riddle quickly met with Attorney General Williams.</w:t>
      </w:r>
      <w:r w:rsidRPr="002D394D">
        <w:rPr>
          <w:rFonts w:ascii="Times New Roman" w:hAnsi="Times New Roman" w:cs="Times New Roman"/>
          <w:sz w:val="24"/>
          <w:szCs w:val="24"/>
          <w:vertAlign w:val="superscript"/>
        </w:rPr>
        <w:footnoteReference w:id="1031"/>
      </w:r>
      <w:r w:rsidRPr="002D394D">
        <w:rPr>
          <w:rFonts w:ascii="Times New Roman" w:hAnsi="Times New Roman" w:cs="Times New Roman"/>
          <w:sz w:val="24"/>
          <w:szCs w:val="24"/>
        </w:rPr>
        <w:t xml:space="preserve">  They determined that the case’s legality was questionable, but new indictments could be levied at the ensuing term of the Criminal Court, hopefully beyond the reach of the Ring with a new grand jury.</w:t>
      </w:r>
      <w:r w:rsidRPr="002D394D">
        <w:rPr>
          <w:rFonts w:ascii="Times New Roman" w:hAnsi="Times New Roman" w:cs="Times New Roman"/>
          <w:sz w:val="24"/>
          <w:szCs w:val="24"/>
          <w:vertAlign w:val="superscript"/>
        </w:rPr>
        <w:footnoteReference w:id="1032"/>
      </w:r>
      <w:r w:rsidRPr="002D394D">
        <w:rPr>
          <w:rFonts w:ascii="Times New Roman" w:hAnsi="Times New Roman" w:cs="Times New Roman"/>
          <w:sz w:val="24"/>
          <w:szCs w:val="24"/>
        </w:rPr>
        <w:t xml:space="preserve">  To ensure that the accused would not be tried twice for the same crime, Attorney General Williams nullified the indictments of all but Arthur Williams through a </w:t>
      </w:r>
      <w:r w:rsidRPr="002D394D">
        <w:rPr>
          <w:rFonts w:ascii="Times New Roman" w:hAnsi="Times New Roman" w:cs="Times New Roman"/>
          <w:i/>
          <w:iCs/>
          <w:sz w:val="24"/>
          <w:szCs w:val="24"/>
        </w:rPr>
        <w:t>nolle prosequi</w:t>
      </w:r>
      <w:r w:rsidRPr="002D394D">
        <w:rPr>
          <w:rFonts w:ascii="Times New Roman" w:hAnsi="Times New Roman" w:cs="Times New Roman"/>
          <w:sz w:val="24"/>
          <w:szCs w:val="24"/>
        </w:rPr>
        <w:t>, which would leave the defendants open to further indictments.</w:t>
      </w:r>
      <w:r w:rsidRPr="002D394D">
        <w:rPr>
          <w:rFonts w:ascii="Times New Roman" w:hAnsi="Times New Roman" w:cs="Times New Roman"/>
          <w:sz w:val="24"/>
          <w:szCs w:val="24"/>
          <w:vertAlign w:val="superscript"/>
        </w:rPr>
        <w:footnoteReference w:id="1033"/>
      </w:r>
      <w:r w:rsidRPr="002D394D">
        <w:rPr>
          <w:rFonts w:ascii="Times New Roman" w:hAnsi="Times New Roman" w:cs="Times New Roman"/>
          <w:sz w:val="24"/>
          <w:szCs w:val="24"/>
        </w:rPr>
        <w:t xml:space="preserve">  With this new development, the prosecution made plans to pursue a second trial and obtain convictions for Harrington and his co-conspirators.</w:t>
      </w:r>
    </w:p>
    <w:p w14:paraId="42627569" w14:textId="20826208" w:rsidR="002D394D" w:rsidRPr="002D394D" w:rsidRDefault="002D394D" w:rsidP="002D394D">
      <w:pPr>
        <w:spacing w:line="480" w:lineRule="auto"/>
        <w:ind w:firstLine="720"/>
        <w:rPr>
          <w:rFonts w:ascii="Times New Roman" w:hAnsi="Times New Roman" w:cs="Times New Roman"/>
          <w:color w:val="FF0000"/>
          <w:sz w:val="24"/>
          <w:szCs w:val="24"/>
        </w:rPr>
      </w:pPr>
      <w:r w:rsidRPr="002D394D">
        <w:rPr>
          <w:rFonts w:ascii="Times New Roman" w:hAnsi="Times New Roman" w:cs="Times New Roman"/>
          <w:sz w:val="24"/>
          <w:szCs w:val="24"/>
        </w:rPr>
        <w:t>Between the two trials, the Ring’s network became utterly critical</w:t>
      </w:r>
      <w:r w:rsidR="00417B60">
        <w:rPr>
          <w:rFonts w:ascii="Times New Roman" w:hAnsi="Times New Roman" w:cs="Times New Roman"/>
          <w:sz w:val="24"/>
          <w:szCs w:val="24"/>
        </w:rPr>
        <w:t xml:space="preserve"> to its efforts to evade </w:t>
      </w:r>
      <w:r w:rsidR="0007677C">
        <w:rPr>
          <w:rFonts w:ascii="Times New Roman" w:hAnsi="Times New Roman" w:cs="Times New Roman"/>
          <w:sz w:val="24"/>
          <w:szCs w:val="24"/>
        </w:rPr>
        <w:t>justice</w:t>
      </w:r>
      <w:r w:rsidRPr="002D394D">
        <w:rPr>
          <w:rFonts w:ascii="Times New Roman" w:hAnsi="Times New Roman" w:cs="Times New Roman"/>
          <w:sz w:val="24"/>
          <w:szCs w:val="24"/>
        </w:rPr>
        <w:t>.  Riddle had proven a worthy opponent for the Ring, so much so that Babcock had to use his significant sway within the White House to alter events.  Babcock, among other Ring members within President Grant’s circle, began to plant seeds of doubt in his mind that Riddle and Wilson were not up to the task.</w:t>
      </w:r>
      <w:r w:rsidRPr="002D394D">
        <w:rPr>
          <w:rFonts w:ascii="Times New Roman" w:hAnsi="Times New Roman" w:cs="Times New Roman"/>
          <w:sz w:val="24"/>
          <w:szCs w:val="24"/>
          <w:vertAlign w:val="superscript"/>
        </w:rPr>
        <w:footnoteReference w:id="1034"/>
      </w:r>
      <w:r w:rsidRPr="002D394D">
        <w:rPr>
          <w:rFonts w:ascii="Times New Roman" w:hAnsi="Times New Roman" w:cs="Times New Roman"/>
          <w:sz w:val="24"/>
          <w:szCs w:val="24"/>
        </w:rPr>
        <w:t xml:space="preserve">  These sowers of uncertainty proved successful in their </w:t>
      </w:r>
      <w:r w:rsidRPr="002D394D">
        <w:rPr>
          <w:rFonts w:ascii="Times New Roman" w:hAnsi="Times New Roman" w:cs="Times New Roman"/>
          <w:sz w:val="24"/>
          <w:szCs w:val="24"/>
        </w:rPr>
        <w:lastRenderedPageBreak/>
        <w:t>task, as Grant requested the resignations of Riddle and Wilson from the case from both Riddle’s superior, Attorney General Williams, and Wilson’s superior, Secretary of the Treasury Bristow.</w:t>
      </w:r>
      <w:r w:rsidRPr="002D394D">
        <w:rPr>
          <w:rFonts w:ascii="Times New Roman" w:hAnsi="Times New Roman" w:cs="Times New Roman"/>
          <w:sz w:val="24"/>
          <w:szCs w:val="24"/>
          <w:vertAlign w:val="superscript"/>
        </w:rPr>
        <w:footnoteReference w:id="1035"/>
      </w:r>
      <w:r w:rsidRPr="002D394D">
        <w:rPr>
          <w:rFonts w:ascii="Times New Roman" w:hAnsi="Times New Roman" w:cs="Times New Roman"/>
          <w:sz w:val="24"/>
          <w:szCs w:val="24"/>
        </w:rPr>
        <w:t xml:space="preserve">  Williams proved to be amenable, expressing faith in Riddle and his associates who tried the case even though they were being removed from their duties.</w:t>
      </w:r>
      <w:r w:rsidRPr="002D394D">
        <w:rPr>
          <w:rFonts w:ascii="Times New Roman" w:hAnsi="Times New Roman" w:cs="Times New Roman"/>
          <w:sz w:val="24"/>
          <w:szCs w:val="24"/>
          <w:vertAlign w:val="superscript"/>
        </w:rPr>
        <w:footnoteReference w:id="1036"/>
      </w:r>
      <w:r w:rsidRPr="002D394D">
        <w:rPr>
          <w:rFonts w:ascii="Times New Roman" w:hAnsi="Times New Roman" w:cs="Times New Roman"/>
          <w:sz w:val="24"/>
          <w:szCs w:val="24"/>
        </w:rPr>
        <w:t xml:space="preserve">  Bristow, however, proved to be a different story entirely.  Perhaps in part because of his own political ambitions and his growing displeasure with President Grant, Bristow challenged the President’s decision on the grounds that “Major Wilson was acting under his orders as Secretary, he did not propose to desert him.”</w:t>
      </w:r>
      <w:r w:rsidRPr="002D394D">
        <w:rPr>
          <w:rFonts w:ascii="Times New Roman" w:hAnsi="Times New Roman" w:cs="Times New Roman"/>
          <w:sz w:val="24"/>
          <w:szCs w:val="24"/>
          <w:vertAlign w:val="superscript"/>
        </w:rPr>
        <w:footnoteReference w:id="1037"/>
      </w:r>
      <w:r w:rsidRPr="002D394D">
        <w:rPr>
          <w:rFonts w:ascii="Times New Roman" w:hAnsi="Times New Roman" w:cs="Times New Roman"/>
          <w:sz w:val="24"/>
          <w:szCs w:val="24"/>
        </w:rPr>
        <w:t xml:space="preserve">  As such, “if the President, upon reflection, should decide to insist upon Wilson's resignation, he should be obliged to ask the President to accept his own as Secretary.”</w:t>
      </w:r>
      <w:r w:rsidRPr="002D394D">
        <w:rPr>
          <w:rFonts w:ascii="Times New Roman" w:hAnsi="Times New Roman" w:cs="Times New Roman"/>
          <w:sz w:val="24"/>
          <w:szCs w:val="24"/>
          <w:vertAlign w:val="superscript"/>
        </w:rPr>
        <w:footnoteReference w:id="1038"/>
      </w:r>
      <w:r w:rsidRPr="002D394D">
        <w:rPr>
          <w:rFonts w:ascii="Times New Roman" w:hAnsi="Times New Roman" w:cs="Times New Roman"/>
          <w:sz w:val="24"/>
          <w:szCs w:val="24"/>
        </w:rPr>
        <w:t xml:space="preserve">  Grant reconsidered Wilson’s resignation, but he did reassign him to other work within the Treasury Department.  Yet again, the Ring successfully used its connections in Washington society for personal gain, though not to line their pockets this time, but to avoid potential conviction.</w:t>
      </w:r>
      <w:r w:rsidRPr="002D394D">
        <w:rPr>
          <w:rFonts w:ascii="Times New Roman" w:hAnsi="Times New Roman" w:cs="Times New Roman"/>
          <w:color w:val="FF0000"/>
          <w:sz w:val="24"/>
          <w:szCs w:val="24"/>
        </w:rPr>
        <w:t xml:space="preserve"> </w:t>
      </w:r>
    </w:p>
    <w:p w14:paraId="563F2392" w14:textId="1EF81156" w:rsidR="002D394D" w:rsidRPr="002D394D" w:rsidRDefault="002D394D" w:rsidP="002D394D">
      <w:pPr>
        <w:spacing w:line="480" w:lineRule="auto"/>
        <w:ind w:firstLine="720"/>
        <w:rPr>
          <w:rFonts w:ascii="Times New Roman" w:hAnsi="Times New Roman" w:cs="Times New Roman"/>
          <w:sz w:val="24"/>
        </w:rPr>
      </w:pPr>
      <w:r w:rsidRPr="002D394D">
        <w:rPr>
          <w:rFonts w:ascii="Times New Roman" w:hAnsi="Times New Roman" w:cs="Times New Roman"/>
          <w:sz w:val="24"/>
          <w:szCs w:val="24"/>
        </w:rPr>
        <w:t>It was at this critical moment in the intertrial period that Secretary of the Treasury Benjamin Bristow stole the stage from this local event in both the press and the minds of government figures.  As the wait for the second trial continued, Bristow’s Treasury agents carried out their raids on the Whiskey Ring</w:t>
      </w:r>
      <w:r w:rsidR="00827083">
        <w:rPr>
          <w:rFonts w:ascii="Times New Roman" w:hAnsi="Times New Roman" w:cs="Times New Roman"/>
          <w:sz w:val="24"/>
          <w:szCs w:val="24"/>
        </w:rPr>
        <w:t xml:space="preserve"> in the Midwest</w:t>
      </w:r>
      <w:r w:rsidRPr="002D394D">
        <w:rPr>
          <w:rFonts w:ascii="Times New Roman" w:hAnsi="Times New Roman" w:cs="Times New Roman"/>
          <w:sz w:val="24"/>
          <w:szCs w:val="24"/>
        </w:rPr>
        <w:t xml:space="preserve">, bringing to light not only another example of corruption, but </w:t>
      </w:r>
      <w:r w:rsidR="005216DE">
        <w:rPr>
          <w:rFonts w:ascii="Times New Roman" w:hAnsi="Times New Roman" w:cs="Times New Roman"/>
          <w:sz w:val="24"/>
          <w:szCs w:val="24"/>
        </w:rPr>
        <w:t>one</w:t>
      </w:r>
      <w:r w:rsidR="004C11ED">
        <w:rPr>
          <w:rFonts w:ascii="Times New Roman" w:hAnsi="Times New Roman" w:cs="Times New Roman"/>
          <w:sz w:val="24"/>
          <w:szCs w:val="24"/>
        </w:rPr>
        <w:t xml:space="preserve"> directly</w:t>
      </w:r>
      <w:r w:rsidRPr="002D394D">
        <w:rPr>
          <w:rFonts w:ascii="Times New Roman" w:hAnsi="Times New Roman" w:cs="Times New Roman"/>
          <w:sz w:val="24"/>
          <w:szCs w:val="24"/>
        </w:rPr>
        <w:t xml:space="preserve"> tied to Babcock.</w:t>
      </w:r>
      <w:r w:rsidRPr="002D394D">
        <w:rPr>
          <w:rFonts w:ascii="Times New Roman" w:hAnsi="Times New Roman" w:cs="Times New Roman"/>
          <w:sz w:val="24"/>
          <w:szCs w:val="24"/>
          <w:vertAlign w:val="superscript"/>
        </w:rPr>
        <w:footnoteReference w:id="1039"/>
      </w:r>
      <w:r w:rsidRPr="002D394D">
        <w:rPr>
          <w:rFonts w:ascii="Times New Roman" w:hAnsi="Times New Roman" w:cs="Times New Roman"/>
          <w:sz w:val="24"/>
          <w:szCs w:val="24"/>
        </w:rPr>
        <w:t xml:space="preserve">  After the major parties were charged, co</w:t>
      </w:r>
      <w:r w:rsidRPr="002D394D">
        <w:rPr>
          <w:rFonts w:ascii="Times New Roman" w:hAnsi="Times New Roman" w:cs="Times New Roman"/>
          <w:sz w:val="24"/>
        </w:rPr>
        <w:t xml:space="preserve">ngressional inquests into the Whiskey Ring began in October 1875, resulting in the convictions of over 100 individuals and the recovery of more than three million dollars in federal </w:t>
      </w:r>
      <w:r w:rsidRPr="002D394D">
        <w:rPr>
          <w:rFonts w:ascii="Times New Roman" w:hAnsi="Times New Roman" w:cs="Times New Roman"/>
          <w:sz w:val="24"/>
        </w:rPr>
        <w:lastRenderedPageBreak/>
        <w:t>taxes.</w:t>
      </w:r>
      <w:r w:rsidRPr="002D394D">
        <w:rPr>
          <w:rFonts w:ascii="Times New Roman" w:hAnsi="Times New Roman" w:cs="Times New Roman"/>
          <w:sz w:val="24"/>
          <w:vertAlign w:val="superscript"/>
        </w:rPr>
        <w:footnoteReference w:id="1040"/>
      </w:r>
      <w:r w:rsidRPr="002D394D">
        <w:rPr>
          <w:rFonts w:ascii="Times New Roman" w:hAnsi="Times New Roman" w:cs="Times New Roman"/>
          <w:sz w:val="24"/>
        </w:rPr>
        <w:t xml:space="preserve">  Babcock, though charged, was not one of the convicted.  Still, his acquittal was smeared by testimony from other defendants who attempted to drag the </w:t>
      </w:r>
      <w:r w:rsidR="006F1BB3">
        <w:rPr>
          <w:rFonts w:ascii="Times New Roman" w:hAnsi="Times New Roman" w:cs="Times New Roman"/>
          <w:sz w:val="24"/>
        </w:rPr>
        <w:t>G</w:t>
      </w:r>
      <w:r w:rsidRPr="002D394D">
        <w:rPr>
          <w:rFonts w:ascii="Times New Roman" w:hAnsi="Times New Roman" w:cs="Times New Roman"/>
          <w:sz w:val="24"/>
        </w:rPr>
        <w:t>eneral down with them.</w:t>
      </w:r>
      <w:r w:rsidRPr="002D394D">
        <w:rPr>
          <w:rFonts w:ascii="Times New Roman" w:hAnsi="Times New Roman" w:cs="Times New Roman"/>
          <w:sz w:val="24"/>
          <w:vertAlign w:val="superscript"/>
        </w:rPr>
        <w:footnoteReference w:id="1041"/>
      </w:r>
      <w:r w:rsidRPr="002D394D">
        <w:rPr>
          <w:rFonts w:ascii="Times New Roman" w:hAnsi="Times New Roman" w:cs="Times New Roman"/>
          <w:sz w:val="24"/>
        </w:rPr>
        <w:t xml:space="preserve">  This led to increased suspicion of Babcock among high-ranking political figures, and amongst members of the press.</w:t>
      </w:r>
      <w:r w:rsidRPr="002D394D">
        <w:rPr>
          <w:rFonts w:ascii="Times New Roman" w:hAnsi="Times New Roman" w:cs="Times New Roman"/>
          <w:sz w:val="24"/>
          <w:vertAlign w:val="superscript"/>
        </w:rPr>
        <w:footnoteReference w:id="1042"/>
      </w:r>
      <w:r w:rsidRPr="002D394D">
        <w:rPr>
          <w:rFonts w:ascii="Times New Roman" w:hAnsi="Times New Roman" w:cs="Times New Roman"/>
          <w:sz w:val="24"/>
        </w:rPr>
        <w:t xml:space="preserve">  The question then changed from if Babcock was </w:t>
      </w:r>
      <w:r w:rsidR="00791DFA" w:rsidRPr="002D394D">
        <w:rPr>
          <w:rFonts w:ascii="Times New Roman" w:hAnsi="Times New Roman" w:cs="Times New Roman"/>
          <w:sz w:val="24"/>
        </w:rPr>
        <w:t>i</w:t>
      </w:r>
      <w:r w:rsidR="00791DFA">
        <w:rPr>
          <w:rFonts w:ascii="Times New Roman" w:hAnsi="Times New Roman" w:cs="Times New Roman"/>
          <w:sz w:val="24"/>
        </w:rPr>
        <w:t>nvolved</w:t>
      </w:r>
      <w:r w:rsidRPr="002D394D">
        <w:rPr>
          <w:rFonts w:ascii="Times New Roman" w:hAnsi="Times New Roman" w:cs="Times New Roman"/>
          <w:sz w:val="24"/>
        </w:rPr>
        <w:t xml:space="preserve"> in corruption in the capital </w:t>
      </w:r>
      <w:r w:rsidR="00791DFA">
        <w:rPr>
          <w:rFonts w:ascii="Times New Roman" w:hAnsi="Times New Roman" w:cs="Times New Roman"/>
          <w:sz w:val="24"/>
        </w:rPr>
        <w:t>to how f</w:t>
      </w:r>
      <w:r w:rsidRPr="002D394D">
        <w:rPr>
          <w:rFonts w:ascii="Times New Roman" w:hAnsi="Times New Roman" w:cs="Times New Roman"/>
          <w:sz w:val="24"/>
        </w:rPr>
        <w:t>ar did Babcock’s corruption truly extend?</w:t>
      </w:r>
    </w:p>
    <w:p w14:paraId="4F447D7E" w14:textId="45FC583D"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During the second trial of the Safe Burglary Conspiracy, the specter of the Whiskey Ring haunted the accused conspirators.  In April 1876, a new grand jury brought a second set of indictments for Harrington, Nettleship, and Whitley, as well as new indictments for Benton, Miles, Babcock, and Somerville, a New York lawyer who was a contact for the conspirators.</w:t>
      </w:r>
      <w:r w:rsidRPr="002D394D">
        <w:rPr>
          <w:rFonts w:ascii="Times New Roman" w:hAnsi="Times New Roman" w:cs="Times New Roman"/>
          <w:sz w:val="24"/>
          <w:szCs w:val="24"/>
          <w:vertAlign w:val="superscript"/>
        </w:rPr>
        <w:footnoteReference w:id="1043"/>
      </w:r>
      <w:r w:rsidRPr="002D394D">
        <w:rPr>
          <w:rFonts w:ascii="Times New Roman" w:hAnsi="Times New Roman" w:cs="Times New Roman"/>
          <w:sz w:val="24"/>
          <w:szCs w:val="24"/>
        </w:rPr>
        <w:t xml:space="preserve">  With a new trial on the horizon, Nettleship tired of living on the lam, and approached the authorities with an offer t</w:t>
      </w:r>
      <w:r w:rsidR="002005F4">
        <w:rPr>
          <w:rFonts w:ascii="Times New Roman" w:hAnsi="Times New Roman" w:cs="Times New Roman"/>
          <w:sz w:val="24"/>
          <w:szCs w:val="24"/>
        </w:rPr>
        <w:t>o</w:t>
      </w:r>
      <w:r w:rsidRPr="002D394D">
        <w:rPr>
          <w:rFonts w:ascii="Times New Roman" w:hAnsi="Times New Roman" w:cs="Times New Roman"/>
          <w:sz w:val="24"/>
          <w:szCs w:val="24"/>
        </w:rPr>
        <w:t xml:space="preserve"> testify against those involved in exchange for immunity for his role in the crime.</w:t>
      </w:r>
      <w:r w:rsidRPr="002D394D">
        <w:rPr>
          <w:rFonts w:ascii="Times New Roman" w:hAnsi="Times New Roman" w:cs="Times New Roman"/>
          <w:sz w:val="24"/>
          <w:szCs w:val="24"/>
          <w:vertAlign w:val="superscript"/>
        </w:rPr>
        <w:footnoteReference w:id="1044"/>
      </w:r>
      <w:r w:rsidRPr="002D394D">
        <w:rPr>
          <w:rFonts w:ascii="Times New Roman" w:hAnsi="Times New Roman" w:cs="Times New Roman"/>
          <w:sz w:val="24"/>
          <w:szCs w:val="24"/>
        </w:rPr>
        <w:t xml:space="preserve">  After Whitley heard of this betrayal by his subordinate, he too offered to turn state’s witness against the conspirators in exchange for immunity, and the prosecution accepted both Whitley</w:t>
      </w:r>
      <w:r w:rsidR="00D772DB">
        <w:rPr>
          <w:rFonts w:ascii="Times New Roman" w:hAnsi="Times New Roman" w:cs="Times New Roman"/>
          <w:sz w:val="24"/>
          <w:szCs w:val="24"/>
        </w:rPr>
        <w:t>’s</w:t>
      </w:r>
      <w:r w:rsidRPr="002D394D">
        <w:rPr>
          <w:rFonts w:ascii="Times New Roman" w:hAnsi="Times New Roman" w:cs="Times New Roman"/>
          <w:sz w:val="24"/>
          <w:szCs w:val="24"/>
        </w:rPr>
        <w:t xml:space="preserve"> and Nettleship’s </w:t>
      </w:r>
      <w:r w:rsidR="00A21240">
        <w:rPr>
          <w:rFonts w:ascii="Times New Roman" w:hAnsi="Times New Roman" w:cs="Times New Roman"/>
          <w:sz w:val="24"/>
          <w:szCs w:val="24"/>
        </w:rPr>
        <w:t>offer</w:t>
      </w:r>
      <w:r w:rsidRPr="002D394D">
        <w:rPr>
          <w:rFonts w:ascii="Times New Roman" w:hAnsi="Times New Roman" w:cs="Times New Roman"/>
          <w:sz w:val="24"/>
          <w:szCs w:val="24"/>
        </w:rPr>
        <w:t>s on the condition that they provided satisfactory testimonies.</w:t>
      </w:r>
      <w:r w:rsidRPr="002D394D">
        <w:rPr>
          <w:rFonts w:ascii="Times New Roman" w:hAnsi="Times New Roman" w:cs="Times New Roman"/>
          <w:sz w:val="24"/>
          <w:szCs w:val="24"/>
          <w:vertAlign w:val="superscript"/>
        </w:rPr>
        <w:footnoteReference w:id="1045"/>
      </w:r>
      <w:r w:rsidRPr="002D394D">
        <w:rPr>
          <w:rFonts w:ascii="Times New Roman" w:hAnsi="Times New Roman" w:cs="Times New Roman"/>
          <w:sz w:val="24"/>
          <w:szCs w:val="24"/>
        </w:rPr>
        <w:t xml:space="preserve">  </w:t>
      </w:r>
      <w:r w:rsidR="00717AC1">
        <w:rPr>
          <w:rFonts w:ascii="Times New Roman" w:hAnsi="Times New Roman" w:cs="Times New Roman"/>
          <w:sz w:val="24"/>
          <w:szCs w:val="24"/>
        </w:rPr>
        <w:t xml:space="preserve">The original bagman </w:t>
      </w:r>
      <w:r w:rsidRPr="002D394D">
        <w:rPr>
          <w:rFonts w:ascii="Times New Roman" w:hAnsi="Times New Roman" w:cs="Times New Roman"/>
          <w:sz w:val="24"/>
          <w:szCs w:val="24"/>
        </w:rPr>
        <w:t xml:space="preserve">Benton had been in hiding for more than a year and did not appear to stand trial, and </w:t>
      </w:r>
      <w:r w:rsidR="00717AC1">
        <w:rPr>
          <w:rFonts w:ascii="Times New Roman" w:hAnsi="Times New Roman" w:cs="Times New Roman"/>
          <w:sz w:val="24"/>
          <w:szCs w:val="24"/>
        </w:rPr>
        <w:t xml:space="preserve">his partner </w:t>
      </w:r>
      <w:r w:rsidRPr="002D394D">
        <w:rPr>
          <w:rFonts w:ascii="Times New Roman" w:hAnsi="Times New Roman" w:cs="Times New Roman"/>
          <w:sz w:val="24"/>
          <w:szCs w:val="24"/>
        </w:rPr>
        <w:t>Miles, under the name Bliss in one available record, was serving a fourteen year sentence in Vermont for other crimes, but perhaps most shocking in their absence from the proceedings was Harrington.</w:t>
      </w:r>
      <w:r w:rsidRPr="002D394D">
        <w:rPr>
          <w:rFonts w:ascii="Times New Roman" w:hAnsi="Times New Roman" w:cs="Times New Roman"/>
          <w:sz w:val="24"/>
          <w:szCs w:val="24"/>
          <w:vertAlign w:val="superscript"/>
        </w:rPr>
        <w:footnoteReference w:id="1046"/>
      </w:r>
      <w:r w:rsidRPr="002D394D">
        <w:rPr>
          <w:rFonts w:ascii="Times New Roman" w:hAnsi="Times New Roman" w:cs="Times New Roman"/>
          <w:sz w:val="24"/>
          <w:szCs w:val="24"/>
        </w:rPr>
        <w:t xml:space="preserve">  Harrington, who was not only a defendant but </w:t>
      </w:r>
      <w:r w:rsidRPr="002D394D">
        <w:rPr>
          <w:rFonts w:ascii="Times New Roman" w:hAnsi="Times New Roman" w:cs="Times New Roman"/>
          <w:sz w:val="24"/>
          <w:szCs w:val="24"/>
        </w:rPr>
        <w:lastRenderedPageBreak/>
        <w:t>a counsellor in the first trial, so feared the odds against him that he fled the district to evade his own capture and increasingly likely conviction.</w:t>
      </w:r>
      <w:r w:rsidRPr="002D394D">
        <w:rPr>
          <w:rFonts w:ascii="Times New Roman" w:hAnsi="Times New Roman" w:cs="Times New Roman"/>
          <w:sz w:val="24"/>
          <w:szCs w:val="24"/>
          <w:vertAlign w:val="superscript"/>
        </w:rPr>
        <w:footnoteReference w:id="1047"/>
      </w:r>
    </w:p>
    <w:p w14:paraId="118F225E" w14:textId="7747276E"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Of the damning testimony offered by Whitley and Nettleship, Whitley’s stands out for its implication of both Harrington and Babcock in the conspiracy.  Whitley portrayed Babcock as a puppet master working behind the scenes to pull the strings of the Safe Burglary operation, while Harrington was shown as </w:t>
      </w:r>
      <w:r w:rsidR="00D430DB">
        <w:rPr>
          <w:rFonts w:ascii="Times New Roman" w:hAnsi="Times New Roman" w:cs="Times New Roman"/>
          <w:sz w:val="24"/>
          <w:szCs w:val="24"/>
        </w:rPr>
        <w:t>Babcock’s</w:t>
      </w:r>
      <w:r w:rsidRPr="002D394D">
        <w:rPr>
          <w:rFonts w:ascii="Times New Roman" w:hAnsi="Times New Roman" w:cs="Times New Roman"/>
          <w:sz w:val="24"/>
          <w:szCs w:val="24"/>
        </w:rPr>
        <w:t xml:space="preserve"> whipping boy with an ego far greater than his societal standing.</w:t>
      </w:r>
      <w:r w:rsidRPr="002D394D">
        <w:rPr>
          <w:rFonts w:ascii="Times New Roman" w:hAnsi="Times New Roman" w:cs="Times New Roman"/>
          <w:sz w:val="24"/>
          <w:szCs w:val="24"/>
          <w:vertAlign w:val="superscript"/>
        </w:rPr>
        <w:footnoteReference w:id="1048"/>
      </w:r>
      <w:r w:rsidRPr="002D394D">
        <w:rPr>
          <w:rFonts w:ascii="Times New Roman" w:hAnsi="Times New Roman" w:cs="Times New Roman"/>
          <w:sz w:val="24"/>
          <w:szCs w:val="24"/>
        </w:rPr>
        <w:t xml:space="preserve">  Whitley testified that he had expressed problems with the first trial to Harrington, stating that “I complained to him that the whole matter of the safe burglary seemed to be falling upon the secret service, and that we would likely get into trouble about it. Harrington said: ‘No; I am the real district attorney at Washington, and I will protect all of you.’”</w:t>
      </w:r>
      <w:r w:rsidRPr="002D394D">
        <w:rPr>
          <w:rFonts w:ascii="Times New Roman" w:hAnsi="Times New Roman" w:cs="Times New Roman"/>
          <w:sz w:val="24"/>
          <w:szCs w:val="24"/>
          <w:vertAlign w:val="superscript"/>
        </w:rPr>
        <w:footnoteReference w:id="1049"/>
      </w:r>
      <w:r w:rsidRPr="002D394D">
        <w:rPr>
          <w:rFonts w:ascii="Times New Roman" w:hAnsi="Times New Roman" w:cs="Times New Roman"/>
          <w:sz w:val="24"/>
          <w:szCs w:val="24"/>
        </w:rPr>
        <w:t xml:space="preserve">  Whitley then attested that in Autumn 1875 he spoke with Babcock about being reassigned, and when Whitley suggested that he would like to stay in the country rather than flee to Europe as Babcock countered, that “Babcock said: ‘If any trouble comes up you can 'slide off,'’ or words to that effect. I told him I had had trouble enough in connection with the case, and did not want any more.”</w:t>
      </w:r>
      <w:r w:rsidRPr="002D394D">
        <w:rPr>
          <w:rFonts w:ascii="Times New Roman" w:hAnsi="Times New Roman" w:cs="Times New Roman"/>
          <w:sz w:val="24"/>
          <w:szCs w:val="24"/>
          <w:vertAlign w:val="superscript"/>
        </w:rPr>
        <w:footnoteReference w:id="1050"/>
      </w:r>
    </w:p>
    <w:p w14:paraId="3B263096" w14:textId="04B7430D"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 xml:space="preserve">The testimony of those men directly involved in the Safe Burglary Conspiracy was staggering, but it had little impact on the events of the trial itself.  The defense made Harrington a scapegoat </w:t>
      </w:r>
      <w:r w:rsidRPr="002D394D">
        <w:rPr>
          <w:rFonts w:ascii="Times New Roman" w:hAnsi="Times New Roman" w:cs="Times New Roman"/>
          <w:i/>
          <w:iCs/>
          <w:sz w:val="24"/>
          <w:szCs w:val="24"/>
        </w:rPr>
        <w:t>in absentia</w:t>
      </w:r>
      <w:r w:rsidRPr="002D394D">
        <w:rPr>
          <w:rFonts w:ascii="Times New Roman" w:hAnsi="Times New Roman" w:cs="Times New Roman"/>
          <w:sz w:val="24"/>
          <w:szCs w:val="24"/>
        </w:rPr>
        <w:t xml:space="preserve"> and instead focused on exonerating Babcock and Somerville, </w:t>
      </w:r>
      <w:r w:rsidR="001A32FB">
        <w:rPr>
          <w:rFonts w:ascii="Times New Roman" w:hAnsi="Times New Roman" w:cs="Times New Roman"/>
          <w:sz w:val="24"/>
          <w:szCs w:val="24"/>
        </w:rPr>
        <w:t>as</w:t>
      </w:r>
      <w:r w:rsidRPr="002D394D">
        <w:rPr>
          <w:rFonts w:ascii="Times New Roman" w:hAnsi="Times New Roman" w:cs="Times New Roman"/>
          <w:sz w:val="24"/>
          <w:szCs w:val="24"/>
        </w:rPr>
        <w:t xml:space="preserve"> the prosecution offered little evidence other than their association with heinous individuals and the </w:t>
      </w:r>
      <w:r w:rsidRPr="002D394D">
        <w:rPr>
          <w:rFonts w:ascii="Times New Roman" w:hAnsi="Times New Roman" w:cs="Times New Roman"/>
          <w:sz w:val="24"/>
          <w:szCs w:val="24"/>
        </w:rPr>
        <w:lastRenderedPageBreak/>
        <w:t>testimonies of admitted felons.</w:t>
      </w:r>
      <w:r w:rsidRPr="002D394D">
        <w:rPr>
          <w:rFonts w:ascii="Times New Roman" w:hAnsi="Times New Roman" w:cs="Times New Roman"/>
          <w:sz w:val="24"/>
          <w:szCs w:val="24"/>
          <w:vertAlign w:val="superscript"/>
        </w:rPr>
        <w:footnoteReference w:id="1051"/>
      </w:r>
      <w:r w:rsidRPr="002D394D">
        <w:rPr>
          <w:rFonts w:ascii="Times New Roman" w:hAnsi="Times New Roman" w:cs="Times New Roman"/>
          <w:sz w:val="24"/>
          <w:szCs w:val="24"/>
        </w:rPr>
        <w:t xml:space="preserve">  Still, the evidence mounted, and in the wake of the scandal that surrounded the Whiskey Ring, Babcock and </w:t>
      </w:r>
      <w:r w:rsidR="002714D8">
        <w:rPr>
          <w:rFonts w:ascii="Times New Roman" w:hAnsi="Times New Roman" w:cs="Times New Roman"/>
          <w:sz w:val="24"/>
          <w:szCs w:val="24"/>
        </w:rPr>
        <w:t>o</w:t>
      </w:r>
      <w:r w:rsidRPr="002D394D">
        <w:rPr>
          <w:rFonts w:ascii="Times New Roman" w:hAnsi="Times New Roman" w:cs="Times New Roman"/>
          <w:sz w:val="24"/>
          <w:szCs w:val="24"/>
        </w:rPr>
        <w:t>the</w:t>
      </w:r>
      <w:r w:rsidR="002714D8">
        <w:rPr>
          <w:rFonts w:ascii="Times New Roman" w:hAnsi="Times New Roman" w:cs="Times New Roman"/>
          <w:sz w:val="24"/>
          <w:szCs w:val="24"/>
        </w:rPr>
        <w:t>r</w:t>
      </w:r>
      <w:r w:rsidRPr="002D394D">
        <w:rPr>
          <w:rFonts w:ascii="Times New Roman" w:hAnsi="Times New Roman" w:cs="Times New Roman"/>
          <w:sz w:val="24"/>
          <w:szCs w:val="24"/>
        </w:rPr>
        <w:t xml:space="preserve"> District Ring</w:t>
      </w:r>
      <w:r w:rsidR="002714D8">
        <w:rPr>
          <w:rFonts w:ascii="Times New Roman" w:hAnsi="Times New Roman" w:cs="Times New Roman"/>
          <w:sz w:val="24"/>
          <w:szCs w:val="24"/>
        </w:rPr>
        <w:t xml:space="preserve"> members</w:t>
      </w:r>
      <w:r w:rsidRPr="002D394D">
        <w:rPr>
          <w:rFonts w:ascii="Times New Roman" w:hAnsi="Times New Roman" w:cs="Times New Roman"/>
          <w:sz w:val="24"/>
          <w:szCs w:val="24"/>
        </w:rPr>
        <w:t xml:space="preserve"> did not want to chance guilt by association.  Thus, the Ring worked to stack the jury box again, signaled perhaps most prominently by the presence of the </w:t>
      </w:r>
      <w:r w:rsidR="005B7D01">
        <w:rPr>
          <w:rFonts w:ascii="Times New Roman" w:hAnsi="Times New Roman" w:cs="Times New Roman"/>
          <w:sz w:val="24"/>
          <w:szCs w:val="24"/>
        </w:rPr>
        <w:t>S</w:t>
      </w:r>
      <w:r w:rsidRPr="002D394D">
        <w:rPr>
          <w:rFonts w:ascii="Times New Roman" w:hAnsi="Times New Roman" w:cs="Times New Roman"/>
          <w:sz w:val="24"/>
          <w:szCs w:val="24"/>
        </w:rPr>
        <w:t>teward of the Washington Club House, a man “who prepared the lunch for Harrington and those prominent worthies of the Ring, who so long before had arranged with him to celebrate the arrest of Alexander, and the downfall of the memorialists.”</w:t>
      </w:r>
      <w:r w:rsidRPr="002D394D">
        <w:rPr>
          <w:rFonts w:ascii="Times New Roman" w:hAnsi="Times New Roman" w:cs="Times New Roman"/>
          <w:sz w:val="24"/>
          <w:szCs w:val="24"/>
          <w:vertAlign w:val="superscript"/>
        </w:rPr>
        <w:footnoteReference w:id="1052"/>
      </w:r>
      <w:r w:rsidRPr="002D394D">
        <w:rPr>
          <w:rFonts w:ascii="Times New Roman" w:hAnsi="Times New Roman" w:cs="Times New Roman"/>
          <w:sz w:val="24"/>
          <w:szCs w:val="24"/>
        </w:rPr>
        <w:t xml:space="preserve">  In other words, the literal alibi for one of the defendants was a member of the jury.  Facing a reprioritization of resources that shifted to combatting the Whiskey Ring, the new Attorney General, Alphonso Taft, requested that President Grant reinstate Riddle to the case for his mastery of the details of the events in question.</w:t>
      </w:r>
      <w:r w:rsidRPr="002D394D">
        <w:rPr>
          <w:rFonts w:ascii="Times New Roman" w:hAnsi="Times New Roman" w:cs="Times New Roman"/>
          <w:sz w:val="24"/>
          <w:szCs w:val="24"/>
          <w:vertAlign w:val="superscript"/>
        </w:rPr>
        <w:footnoteReference w:id="1053"/>
      </w:r>
      <w:r w:rsidRPr="002D394D">
        <w:rPr>
          <w:rFonts w:ascii="Times New Roman" w:hAnsi="Times New Roman" w:cs="Times New Roman"/>
          <w:sz w:val="24"/>
          <w:szCs w:val="24"/>
        </w:rPr>
        <w:t xml:space="preserve">  The President agreed, stating that “there should be good counsil employed so that the public should be satisfied, after the trial, that the verdict of the court was a fair and impartial one.”</w:t>
      </w:r>
      <w:r w:rsidRPr="002D394D">
        <w:rPr>
          <w:rFonts w:ascii="Times New Roman" w:hAnsi="Times New Roman" w:cs="Times New Roman"/>
          <w:sz w:val="24"/>
          <w:szCs w:val="24"/>
          <w:vertAlign w:val="superscript"/>
        </w:rPr>
        <w:footnoteReference w:id="1054"/>
      </w:r>
      <w:r w:rsidRPr="002D394D">
        <w:rPr>
          <w:rFonts w:ascii="Times New Roman" w:hAnsi="Times New Roman" w:cs="Times New Roman"/>
          <w:sz w:val="24"/>
          <w:szCs w:val="24"/>
        </w:rPr>
        <w:t xml:space="preserve">  Riddle returned to the prosecution only to face another impossible trial due to the stacked jury he hoped to avoid through new indictments.</w:t>
      </w:r>
    </w:p>
    <w:p w14:paraId="4322CC6C" w14:textId="77777777"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t>In the end, the veracity of the prosecution under the reinstated Riddle and the evidence gathered against the conspirators was no match for the District Ring, as the trial ended in a notable lack of charges against the accused.  Like Williams before them, Babcock and Somerville were exonerated by a corrupted jury in a verdict which came back after only one hour of deliberation.</w:t>
      </w:r>
      <w:r w:rsidRPr="002D394D">
        <w:rPr>
          <w:rFonts w:ascii="Times New Roman" w:hAnsi="Times New Roman" w:cs="Times New Roman"/>
          <w:sz w:val="24"/>
          <w:szCs w:val="24"/>
          <w:vertAlign w:val="superscript"/>
        </w:rPr>
        <w:footnoteReference w:id="1055"/>
      </w:r>
      <w:r w:rsidRPr="002D394D">
        <w:rPr>
          <w:rFonts w:ascii="Times New Roman" w:hAnsi="Times New Roman" w:cs="Times New Roman"/>
          <w:sz w:val="24"/>
          <w:szCs w:val="24"/>
        </w:rPr>
        <w:t xml:space="preserve">  With the other conspirators either unable to be tried, unable to be found, or given immunity in exchange for testimony, this scandal, steeped as it was in conspiracy and the </w:t>
      </w:r>
      <w:r w:rsidRPr="002D394D">
        <w:rPr>
          <w:rFonts w:ascii="Times New Roman" w:hAnsi="Times New Roman" w:cs="Times New Roman"/>
          <w:sz w:val="24"/>
          <w:szCs w:val="24"/>
        </w:rPr>
        <w:lastRenderedPageBreak/>
        <w:t xml:space="preserve">corruption of the criminal justice, legal, political, and judicial systems, ended not with a bang, but a whimper.  </w:t>
      </w:r>
      <w:r w:rsidRPr="002D394D">
        <w:rPr>
          <w:rFonts w:ascii="Times New Roman" w:hAnsi="Times New Roman" w:cs="Times New Roman"/>
          <w:sz w:val="24"/>
          <w:szCs w:val="24"/>
        </w:rPr>
        <w:tab/>
      </w:r>
    </w:p>
    <w:p w14:paraId="29093496" w14:textId="519D5D97"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It is difficult to measure the success of a secret society, for they leave little to no record of their existence in their quest for secrecy.  What we know about shadow organizations like the Whiskey Ring or the Gold Ring is gleaned from records of trials after their organizational dissolution.</w:t>
      </w:r>
      <w:r w:rsidRPr="002D394D">
        <w:rPr>
          <w:rFonts w:ascii="Times New Roman" w:hAnsi="Times New Roman" w:cs="Times New Roman"/>
          <w:sz w:val="24"/>
          <w:szCs w:val="24"/>
          <w:vertAlign w:val="superscript"/>
        </w:rPr>
        <w:footnoteReference w:id="1056"/>
      </w:r>
      <w:r w:rsidRPr="002D394D">
        <w:rPr>
          <w:rFonts w:ascii="Times New Roman" w:hAnsi="Times New Roman" w:cs="Times New Roman"/>
          <w:sz w:val="24"/>
          <w:szCs w:val="24"/>
        </w:rPr>
        <w:t xml:space="preserve">  Although the burglary itself failed to accomplish its original goal to tarnish the reputation of Columbus Alexander and his Memorialist cohort, the Ring did manage to protect those amongst its ranks from conviction.  Furthermore, we do not have proof that the Ring was disassembled in the wake of this conspiracy.  The true success of the District Ring, then, is that it worked so effectively and efficiently behind the scenes of the trials for the Washington Safe Burglary that it was not exposed, nor did these trials lead to the forced disintegration of the Ring itself. </w:t>
      </w:r>
    </w:p>
    <w:p w14:paraId="613320CD" w14:textId="0EE513F8" w:rsidR="002D394D" w:rsidRPr="002D394D" w:rsidRDefault="002D394D" w:rsidP="002D394D">
      <w:pPr>
        <w:spacing w:line="480" w:lineRule="auto"/>
        <w:rPr>
          <w:rFonts w:ascii="Times New Roman" w:hAnsi="Times New Roman" w:cs="Times New Roman"/>
          <w:sz w:val="24"/>
          <w:szCs w:val="24"/>
        </w:rPr>
      </w:pPr>
      <w:r w:rsidRPr="002D394D">
        <w:rPr>
          <w:rFonts w:ascii="Times New Roman" w:hAnsi="Times New Roman" w:cs="Times New Roman"/>
          <w:sz w:val="24"/>
          <w:szCs w:val="24"/>
        </w:rPr>
        <w:tab/>
      </w:r>
      <w:r w:rsidR="00F66F47">
        <w:rPr>
          <w:rFonts w:ascii="Times New Roman" w:hAnsi="Times New Roman" w:cs="Times New Roman"/>
          <w:sz w:val="24"/>
          <w:szCs w:val="24"/>
        </w:rPr>
        <w:t>T</w:t>
      </w:r>
      <w:r w:rsidRPr="002D394D">
        <w:rPr>
          <w:rFonts w:ascii="Times New Roman" w:hAnsi="Times New Roman" w:cs="Times New Roman"/>
          <w:sz w:val="24"/>
          <w:szCs w:val="24"/>
        </w:rPr>
        <w:t xml:space="preserve">he extent to which the </w:t>
      </w:r>
      <w:r w:rsidR="00F66F47">
        <w:rPr>
          <w:rFonts w:ascii="Times New Roman" w:hAnsi="Times New Roman" w:cs="Times New Roman"/>
          <w:sz w:val="24"/>
          <w:szCs w:val="24"/>
        </w:rPr>
        <w:t xml:space="preserve">District </w:t>
      </w:r>
      <w:r w:rsidRPr="002D394D">
        <w:rPr>
          <w:rFonts w:ascii="Times New Roman" w:hAnsi="Times New Roman" w:cs="Times New Roman"/>
          <w:sz w:val="24"/>
          <w:szCs w:val="24"/>
        </w:rPr>
        <w:t>Ring continued to operate in the wake of the Safe Burglary Conspiracy</w:t>
      </w:r>
      <w:r w:rsidR="00F66F47">
        <w:rPr>
          <w:rFonts w:ascii="Times New Roman" w:hAnsi="Times New Roman" w:cs="Times New Roman"/>
          <w:sz w:val="24"/>
          <w:szCs w:val="24"/>
        </w:rPr>
        <w:t xml:space="preserve"> is unknown.</w:t>
      </w:r>
      <w:r w:rsidRPr="002D394D">
        <w:rPr>
          <w:rFonts w:ascii="Times New Roman" w:hAnsi="Times New Roman" w:cs="Times New Roman"/>
          <w:sz w:val="24"/>
          <w:szCs w:val="24"/>
        </w:rPr>
        <w:t xml:space="preserve"> </w:t>
      </w:r>
      <w:r w:rsidR="00F66F47">
        <w:rPr>
          <w:rFonts w:ascii="Times New Roman" w:hAnsi="Times New Roman" w:cs="Times New Roman"/>
          <w:sz w:val="24"/>
          <w:szCs w:val="24"/>
        </w:rPr>
        <w:t>What is known is i</w:t>
      </w:r>
      <w:r w:rsidRPr="002D394D">
        <w:rPr>
          <w:rFonts w:ascii="Times New Roman" w:hAnsi="Times New Roman" w:cs="Times New Roman"/>
          <w:sz w:val="24"/>
          <w:szCs w:val="24"/>
        </w:rPr>
        <w:t xml:space="preserve">ts power and ability to operate unperturbed in the nation’s capital </w:t>
      </w:r>
      <w:r w:rsidR="00F66F47">
        <w:rPr>
          <w:rFonts w:ascii="Times New Roman" w:hAnsi="Times New Roman" w:cs="Times New Roman"/>
          <w:sz w:val="24"/>
          <w:szCs w:val="24"/>
        </w:rPr>
        <w:t>became</w:t>
      </w:r>
      <w:r w:rsidRPr="002D394D">
        <w:rPr>
          <w:rFonts w:ascii="Times New Roman" w:hAnsi="Times New Roman" w:cs="Times New Roman"/>
          <w:sz w:val="24"/>
          <w:szCs w:val="24"/>
        </w:rPr>
        <w:t xml:space="preserve"> drastically limited. Several of the key players in this conspiracy were left with tainted reputations that led to their own individual loss of power. Harrington, for example, went into his self-imposed exile from the capital, forfeiting his successful law practice and the connections he made within Washington society in order to evade arrest.  He would later reemerge in Delaware after the statute of limitations for his crimes expired, where he lived and practiced law until his death sometime before 1923.</w:t>
      </w:r>
      <w:r w:rsidRPr="002D394D">
        <w:rPr>
          <w:rFonts w:ascii="Times New Roman" w:hAnsi="Times New Roman" w:cs="Times New Roman"/>
          <w:sz w:val="24"/>
          <w:szCs w:val="24"/>
          <w:vertAlign w:val="superscript"/>
        </w:rPr>
        <w:footnoteReference w:id="1057"/>
      </w:r>
      <w:r w:rsidRPr="002D394D">
        <w:rPr>
          <w:rFonts w:ascii="Times New Roman" w:hAnsi="Times New Roman" w:cs="Times New Roman"/>
          <w:sz w:val="24"/>
          <w:szCs w:val="24"/>
        </w:rPr>
        <w:t xml:space="preserve">  </w:t>
      </w:r>
      <w:r w:rsidR="008432F3">
        <w:rPr>
          <w:rFonts w:ascii="Times New Roman" w:hAnsi="Times New Roman" w:cs="Times New Roman"/>
          <w:sz w:val="24"/>
          <w:szCs w:val="24"/>
        </w:rPr>
        <w:t>The m</w:t>
      </w:r>
      <w:r w:rsidRPr="002D394D">
        <w:rPr>
          <w:rFonts w:ascii="Times New Roman" w:hAnsi="Times New Roman" w:cs="Times New Roman"/>
          <w:sz w:val="24"/>
          <w:szCs w:val="24"/>
        </w:rPr>
        <w:t xml:space="preserve">embers of the Secret Service who were involved in this event were either reassigned or terminated, highlighted by Colonel </w:t>
      </w:r>
      <w:r w:rsidRPr="002D394D">
        <w:rPr>
          <w:rFonts w:ascii="Times New Roman" w:hAnsi="Times New Roman" w:cs="Times New Roman"/>
          <w:sz w:val="24"/>
          <w:szCs w:val="24"/>
        </w:rPr>
        <w:lastRenderedPageBreak/>
        <w:t>Whitley’s resignation from the Treasury Department.</w:t>
      </w:r>
      <w:r w:rsidRPr="002D394D">
        <w:rPr>
          <w:rFonts w:ascii="Times New Roman" w:hAnsi="Times New Roman" w:cs="Times New Roman"/>
          <w:sz w:val="24"/>
          <w:szCs w:val="24"/>
          <w:vertAlign w:val="superscript"/>
        </w:rPr>
        <w:footnoteReference w:id="1058"/>
      </w:r>
      <w:r w:rsidRPr="002D394D">
        <w:rPr>
          <w:rFonts w:ascii="Times New Roman" w:hAnsi="Times New Roman" w:cs="Times New Roman"/>
          <w:sz w:val="24"/>
          <w:szCs w:val="24"/>
        </w:rPr>
        <w:t xml:space="preserve">  Shepherd lost his position as governor of the District in June 1874, though he stayed in the region as a real estate magnate and venerated member of the community.</w:t>
      </w:r>
      <w:r w:rsidRPr="002D394D">
        <w:rPr>
          <w:rFonts w:ascii="Times New Roman" w:hAnsi="Times New Roman" w:cs="Times New Roman"/>
          <w:sz w:val="24"/>
          <w:szCs w:val="24"/>
          <w:vertAlign w:val="superscript"/>
        </w:rPr>
        <w:footnoteReference w:id="1059"/>
      </w:r>
      <w:r w:rsidRPr="002D394D">
        <w:rPr>
          <w:rFonts w:ascii="Times New Roman" w:hAnsi="Times New Roman" w:cs="Times New Roman"/>
          <w:sz w:val="24"/>
          <w:szCs w:val="24"/>
        </w:rPr>
        <w:t xml:space="preserve">  He declared bankruptcy in 1876 and, after settling his accounts in Washington, he and his family moved to Mexico where he attempted to regain his lost fortune by mining silver.</w:t>
      </w:r>
      <w:r w:rsidRPr="002D394D">
        <w:rPr>
          <w:rFonts w:ascii="Times New Roman" w:hAnsi="Times New Roman" w:cs="Times New Roman"/>
          <w:sz w:val="24"/>
          <w:szCs w:val="24"/>
          <w:vertAlign w:val="superscript"/>
        </w:rPr>
        <w:footnoteReference w:id="1060"/>
      </w:r>
      <w:r w:rsidRPr="002D394D">
        <w:rPr>
          <w:rFonts w:ascii="Times New Roman" w:hAnsi="Times New Roman" w:cs="Times New Roman"/>
          <w:sz w:val="24"/>
          <w:szCs w:val="24"/>
        </w:rPr>
        <w:t xml:space="preserve">  The revelation that Babcock was affiliated with not one, but two Rings in as many years made him </w:t>
      </w:r>
      <w:r w:rsidRPr="002D394D">
        <w:rPr>
          <w:rFonts w:ascii="Times New Roman" w:hAnsi="Times New Roman" w:cs="Times New Roman"/>
          <w:i/>
          <w:iCs/>
          <w:sz w:val="24"/>
          <w:szCs w:val="24"/>
        </w:rPr>
        <w:t>persona non grata</w:t>
      </w:r>
      <w:r w:rsidRPr="002D394D">
        <w:rPr>
          <w:rFonts w:ascii="Times New Roman" w:hAnsi="Times New Roman" w:cs="Times New Roman"/>
          <w:sz w:val="24"/>
          <w:szCs w:val="24"/>
        </w:rPr>
        <w:t xml:space="preserve"> in the capital, and while he maintained his position on the </w:t>
      </w:r>
      <w:r w:rsidR="005F2684">
        <w:rPr>
          <w:rFonts w:ascii="Times New Roman" w:hAnsi="Times New Roman" w:cs="Times New Roman"/>
          <w:sz w:val="24"/>
          <w:szCs w:val="24"/>
        </w:rPr>
        <w:t>Office of Public Buildings and Grounds</w:t>
      </w:r>
      <w:r w:rsidRPr="002D394D">
        <w:rPr>
          <w:rFonts w:ascii="Times New Roman" w:hAnsi="Times New Roman" w:cs="Times New Roman"/>
          <w:sz w:val="24"/>
          <w:szCs w:val="24"/>
        </w:rPr>
        <w:t xml:space="preserve">, his career in politics was in serious jeopardy. </w:t>
      </w:r>
      <w:r w:rsidR="00CF44BB">
        <w:rPr>
          <w:rFonts w:ascii="Times New Roman" w:hAnsi="Times New Roman" w:cs="Times New Roman"/>
          <w:sz w:val="24"/>
          <w:szCs w:val="24"/>
        </w:rPr>
        <w:t>While t</w:t>
      </w:r>
      <w:r w:rsidRPr="002D394D">
        <w:rPr>
          <w:rFonts w:ascii="Times New Roman" w:hAnsi="Times New Roman" w:cs="Times New Roman"/>
          <w:sz w:val="24"/>
          <w:szCs w:val="24"/>
        </w:rPr>
        <w:t xml:space="preserve">he Safe Burglary Trials may not have been effective in outright incarcerating the accused members of the District Ring, justice found alternate routes as </w:t>
      </w:r>
      <w:r w:rsidR="007C1F29">
        <w:rPr>
          <w:rFonts w:ascii="Times New Roman" w:hAnsi="Times New Roman" w:cs="Times New Roman"/>
          <w:sz w:val="24"/>
          <w:szCs w:val="24"/>
        </w:rPr>
        <w:t>most of those</w:t>
      </w:r>
      <w:r w:rsidRPr="002D394D">
        <w:rPr>
          <w:rFonts w:ascii="Times New Roman" w:hAnsi="Times New Roman" w:cs="Times New Roman"/>
          <w:sz w:val="24"/>
          <w:szCs w:val="24"/>
        </w:rPr>
        <w:t xml:space="preserve"> allegedly involved in both the case and the Ring saw their power and careers fade in the aftermath.  We can safely say that the Safe Burglary Conspiracy marked a nadir for the Ring’s operational capacities.</w:t>
      </w:r>
    </w:p>
    <w:p w14:paraId="017E4F2A" w14:textId="77777777" w:rsidR="002D394D" w:rsidRPr="002D394D" w:rsidRDefault="002D394D" w:rsidP="002D394D">
      <w:pPr>
        <w:spacing w:line="480" w:lineRule="auto"/>
        <w:ind w:firstLine="720"/>
        <w:rPr>
          <w:rFonts w:ascii="Times New Roman" w:hAnsi="Times New Roman" w:cs="Times New Roman"/>
          <w:sz w:val="24"/>
          <w:szCs w:val="24"/>
        </w:rPr>
      </w:pPr>
      <w:r w:rsidRPr="002D394D">
        <w:rPr>
          <w:rFonts w:ascii="Times New Roman" w:hAnsi="Times New Roman" w:cs="Times New Roman"/>
          <w:sz w:val="24"/>
          <w:szCs w:val="24"/>
        </w:rPr>
        <w:t>The dismantling of the Whiskey Ring proved the fragility of rings in a political landscape that held great animosity for corruption.</w:t>
      </w:r>
      <w:r w:rsidRPr="002D394D">
        <w:rPr>
          <w:rFonts w:ascii="Times New Roman" w:hAnsi="Times New Roman" w:cs="Times New Roman"/>
          <w:sz w:val="24"/>
          <w:szCs w:val="24"/>
          <w:vertAlign w:val="superscript"/>
        </w:rPr>
        <w:footnoteReference w:id="1061"/>
      </w:r>
      <w:r w:rsidRPr="002D394D">
        <w:rPr>
          <w:rFonts w:ascii="Times New Roman" w:hAnsi="Times New Roman" w:cs="Times New Roman"/>
          <w:sz w:val="24"/>
          <w:szCs w:val="24"/>
        </w:rPr>
        <w:t xml:space="preserve">  The Memorialists embraced this animosity in their attempts to reform their city of Washington, as did Major Richards who sought to prevent crime within the city he was charged with protecting.  Still, their efforts to stop even some of the actions of the District Ring, namely the reshaping of the District itself, proved to be for naught.  Through graft, the Ring reshaped the physical landscape of Washington.  Through the Washington Club, they reshaped the power structure of the district behind closed doors.  Through the trial of the Safe Burglary Conspiracy, they reshaped the criminal justice system, at </w:t>
      </w:r>
      <w:r w:rsidRPr="002D394D">
        <w:rPr>
          <w:rFonts w:ascii="Times New Roman" w:hAnsi="Times New Roman" w:cs="Times New Roman"/>
          <w:sz w:val="24"/>
          <w:szCs w:val="24"/>
        </w:rPr>
        <w:lastRenderedPageBreak/>
        <w:t xml:space="preserve">least temporarily, wielding their corrupt influence.  In each instance, the District Ring played a significant role in mid-nineteenth century Washington, reshaping the capital to fit their own heinous goals. </w:t>
      </w:r>
    </w:p>
    <w:p w14:paraId="5EC2E741" w14:textId="65AFA6F1" w:rsidR="00EB755A" w:rsidRDefault="00EB755A" w:rsidP="00EB755A">
      <w:pPr>
        <w:spacing w:line="480" w:lineRule="auto"/>
        <w:jc w:val="center"/>
        <w:rPr>
          <w:rFonts w:ascii="Times New Roman" w:hAnsi="Times New Roman" w:cs="Times New Roman"/>
          <w:sz w:val="24"/>
          <w:szCs w:val="24"/>
        </w:rPr>
      </w:pPr>
    </w:p>
    <w:p w14:paraId="599E3EC9" w14:textId="77777777" w:rsidR="00EB755A" w:rsidRPr="00D94230" w:rsidRDefault="00EB755A" w:rsidP="00EB755A">
      <w:pPr>
        <w:rPr>
          <w:rFonts w:ascii="Times New Roman" w:hAnsi="Times New Roman" w:cs="Times New Roman"/>
          <w:sz w:val="24"/>
          <w:szCs w:val="24"/>
        </w:rPr>
      </w:pPr>
    </w:p>
    <w:p w14:paraId="0B4F6A0E" w14:textId="77777777" w:rsidR="00EB755A" w:rsidRDefault="00EB755A">
      <w:pPr>
        <w:rPr>
          <w:rFonts w:ascii="Times New Roman" w:hAnsi="Times New Roman" w:cs="Times New Roman"/>
          <w:sz w:val="24"/>
          <w:szCs w:val="24"/>
        </w:rPr>
      </w:pPr>
    </w:p>
    <w:p w14:paraId="44C20F14" w14:textId="77777777" w:rsidR="00715974" w:rsidRDefault="00715974">
      <w:pPr>
        <w:rPr>
          <w:rFonts w:ascii="Times New Roman" w:hAnsi="Times New Roman" w:cs="Times New Roman"/>
          <w:sz w:val="24"/>
          <w:szCs w:val="24"/>
        </w:rPr>
      </w:pPr>
    </w:p>
    <w:p w14:paraId="3E7EE234" w14:textId="77777777" w:rsidR="00715974" w:rsidRDefault="00715974">
      <w:pPr>
        <w:rPr>
          <w:rFonts w:ascii="Times New Roman" w:hAnsi="Times New Roman" w:cs="Times New Roman"/>
          <w:sz w:val="24"/>
          <w:szCs w:val="24"/>
        </w:rPr>
      </w:pPr>
    </w:p>
    <w:p w14:paraId="5C7A34A0" w14:textId="77777777" w:rsidR="00715974" w:rsidRDefault="00715974">
      <w:pPr>
        <w:rPr>
          <w:rFonts w:ascii="Times New Roman" w:hAnsi="Times New Roman" w:cs="Times New Roman"/>
          <w:sz w:val="24"/>
          <w:szCs w:val="24"/>
        </w:rPr>
      </w:pPr>
    </w:p>
    <w:p w14:paraId="0FDC492A" w14:textId="77777777" w:rsidR="00715974" w:rsidRDefault="00715974">
      <w:pPr>
        <w:rPr>
          <w:rFonts w:ascii="Times New Roman" w:hAnsi="Times New Roman" w:cs="Times New Roman"/>
          <w:sz w:val="24"/>
          <w:szCs w:val="24"/>
        </w:rPr>
      </w:pPr>
    </w:p>
    <w:p w14:paraId="4F7556C7" w14:textId="77777777" w:rsidR="00715974" w:rsidRDefault="00715974">
      <w:pPr>
        <w:rPr>
          <w:rFonts w:ascii="Times New Roman" w:hAnsi="Times New Roman" w:cs="Times New Roman"/>
          <w:sz w:val="24"/>
          <w:szCs w:val="24"/>
        </w:rPr>
      </w:pPr>
    </w:p>
    <w:p w14:paraId="7F8D4B6E" w14:textId="77777777" w:rsidR="00715974" w:rsidRDefault="00715974">
      <w:pPr>
        <w:rPr>
          <w:rFonts w:ascii="Times New Roman" w:hAnsi="Times New Roman" w:cs="Times New Roman"/>
          <w:sz w:val="24"/>
          <w:szCs w:val="24"/>
        </w:rPr>
      </w:pPr>
    </w:p>
    <w:p w14:paraId="40075170" w14:textId="77777777" w:rsidR="00715974" w:rsidRDefault="00715974">
      <w:pPr>
        <w:rPr>
          <w:rFonts w:ascii="Times New Roman" w:hAnsi="Times New Roman" w:cs="Times New Roman"/>
          <w:sz w:val="24"/>
          <w:szCs w:val="24"/>
        </w:rPr>
      </w:pPr>
    </w:p>
    <w:p w14:paraId="74A7F4CB" w14:textId="77777777" w:rsidR="00715974" w:rsidRDefault="00715974">
      <w:pPr>
        <w:rPr>
          <w:rFonts w:ascii="Times New Roman" w:hAnsi="Times New Roman" w:cs="Times New Roman"/>
          <w:sz w:val="24"/>
          <w:szCs w:val="24"/>
        </w:rPr>
      </w:pPr>
    </w:p>
    <w:p w14:paraId="0BFBD023" w14:textId="77777777" w:rsidR="00715974" w:rsidRDefault="00715974">
      <w:pPr>
        <w:rPr>
          <w:rFonts w:ascii="Times New Roman" w:hAnsi="Times New Roman" w:cs="Times New Roman"/>
          <w:sz w:val="24"/>
          <w:szCs w:val="24"/>
        </w:rPr>
      </w:pPr>
    </w:p>
    <w:p w14:paraId="19E59955" w14:textId="77777777" w:rsidR="00715974" w:rsidRDefault="00715974">
      <w:pPr>
        <w:rPr>
          <w:rFonts w:ascii="Times New Roman" w:hAnsi="Times New Roman" w:cs="Times New Roman"/>
          <w:sz w:val="24"/>
          <w:szCs w:val="24"/>
        </w:rPr>
      </w:pPr>
    </w:p>
    <w:p w14:paraId="39041C4A" w14:textId="77777777" w:rsidR="00715974" w:rsidRDefault="00715974">
      <w:pPr>
        <w:rPr>
          <w:rFonts w:ascii="Times New Roman" w:hAnsi="Times New Roman" w:cs="Times New Roman"/>
          <w:sz w:val="24"/>
          <w:szCs w:val="24"/>
        </w:rPr>
      </w:pPr>
    </w:p>
    <w:p w14:paraId="32384D2E" w14:textId="77777777" w:rsidR="00715974" w:rsidRDefault="00715974">
      <w:pPr>
        <w:rPr>
          <w:rFonts w:ascii="Times New Roman" w:hAnsi="Times New Roman" w:cs="Times New Roman"/>
          <w:sz w:val="24"/>
          <w:szCs w:val="24"/>
        </w:rPr>
      </w:pPr>
    </w:p>
    <w:p w14:paraId="1DB2845D" w14:textId="77777777" w:rsidR="00715974" w:rsidRDefault="00715974">
      <w:pPr>
        <w:rPr>
          <w:rFonts w:ascii="Times New Roman" w:hAnsi="Times New Roman" w:cs="Times New Roman"/>
          <w:sz w:val="24"/>
          <w:szCs w:val="24"/>
        </w:rPr>
      </w:pPr>
    </w:p>
    <w:p w14:paraId="0BCEF79C" w14:textId="77777777" w:rsidR="00C7212F" w:rsidRDefault="00C7212F">
      <w:pPr>
        <w:rPr>
          <w:rFonts w:ascii="Times New Roman" w:hAnsi="Times New Roman" w:cs="Times New Roman"/>
          <w:sz w:val="24"/>
          <w:szCs w:val="24"/>
        </w:rPr>
      </w:pPr>
    </w:p>
    <w:p w14:paraId="2FDDB580" w14:textId="77777777" w:rsidR="00C7212F" w:rsidRDefault="00C7212F">
      <w:pPr>
        <w:rPr>
          <w:rFonts w:ascii="Times New Roman" w:hAnsi="Times New Roman" w:cs="Times New Roman"/>
          <w:sz w:val="24"/>
          <w:szCs w:val="24"/>
        </w:rPr>
      </w:pPr>
    </w:p>
    <w:p w14:paraId="28ECC660" w14:textId="77777777" w:rsidR="007C1778" w:rsidRDefault="007C1778">
      <w:pPr>
        <w:rPr>
          <w:rFonts w:ascii="Times New Roman" w:hAnsi="Times New Roman" w:cs="Times New Roman"/>
          <w:sz w:val="24"/>
          <w:szCs w:val="24"/>
        </w:rPr>
      </w:pPr>
    </w:p>
    <w:p w14:paraId="2724B603" w14:textId="77777777" w:rsidR="007C1778" w:rsidRDefault="007C1778">
      <w:pPr>
        <w:rPr>
          <w:rFonts w:ascii="Times New Roman" w:hAnsi="Times New Roman" w:cs="Times New Roman"/>
          <w:sz w:val="24"/>
          <w:szCs w:val="24"/>
        </w:rPr>
      </w:pPr>
    </w:p>
    <w:p w14:paraId="039016E9" w14:textId="77777777" w:rsidR="007C1778" w:rsidRDefault="007C1778">
      <w:pPr>
        <w:rPr>
          <w:rFonts w:ascii="Times New Roman" w:hAnsi="Times New Roman" w:cs="Times New Roman"/>
          <w:sz w:val="24"/>
          <w:szCs w:val="24"/>
        </w:rPr>
      </w:pPr>
    </w:p>
    <w:p w14:paraId="2408B93C" w14:textId="77777777" w:rsidR="007C1778" w:rsidRDefault="007C1778">
      <w:pPr>
        <w:rPr>
          <w:rFonts w:ascii="Times New Roman" w:hAnsi="Times New Roman" w:cs="Times New Roman"/>
          <w:sz w:val="24"/>
          <w:szCs w:val="24"/>
        </w:rPr>
      </w:pPr>
    </w:p>
    <w:p w14:paraId="7207FF69" w14:textId="77777777" w:rsidR="007C1778" w:rsidRDefault="007C1778">
      <w:pPr>
        <w:rPr>
          <w:rFonts w:ascii="Times New Roman" w:hAnsi="Times New Roman" w:cs="Times New Roman"/>
          <w:sz w:val="24"/>
          <w:szCs w:val="24"/>
        </w:rPr>
      </w:pPr>
    </w:p>
    <w:p w14:paraId="459C999F" w14:textId="76B8C201" w:rsidR="00F06201" w:rsidRPr="006D5319" w:rsidRDefault="00F06201" w:rsidP="006D5319">
      <w:pPr>
        <w:spacing w:line="480" w:lineRule="auto"/>
        <w:jc w:val="center"/>
        <w:rPr>
          <w:rFonts w:ascii="Times New Roman" w:hAnsi="Times New Roman" w:cs="Times New Roman"/>
          <w:sz w:val="24"/>
          <w:szCs w:val="24"/>
        </w:rPr>
      </w:pPr>
      <w:r w:rsidRPr="00F06201">
        <w:rPr>
          <w:rFonts w:ascii="Times New Roman" w:hAnsi="Times New Roman" w:cs="Times New Roman"/>
          <w:sz w:val="24"/>
          <w:szCs w:val="24"/>
        </w:rPr>
        <w:lastRenderedPageBreak/>
        <w:t>Chap</w:t>
      </w:r>
      <w:r w:rsidR="009951C6">
        <w:rPr>
          <w:rFonts w:ascii="Times New Roman" w:hAnsi="Times New Roman" w:cs="Times New Roman"/>
          <w:sz w:val="24"/>
          <w:szCs w:val="24"/>
        </w:rPr>
        <w:t>ter</w:t>
      </w:r>
      <w:r w:rsidRPr="00F06201">
        <w:rPr>
          <w:rFonts w:ascii="Times New Roman" w:hAnsi="Times New Roman" w:cs="Times New Roman"/>
          <w:sz w:val="24"/>
          <w:szCs w:val="24"/>
        </w:rPr>
        <w:t xml:space="preserve"> </w:t>
      </w:r>
      <w:r w:rsidR="004E4290">
        <w:rPr>
          <w:rFonts w:ascii="Times New Roman" w:hAnsi="Times New Roman" w:cs="Times New Roman"/>
          <w:sz w:val="24"/>
          <w:szCs w:val="24"/>
        </w:rPr>
        <w:t>Five</w:t>
      </w:r>
      <w:r w:rsidRPr="00F06201">
        <w:rPr>
          <w:rFonts w:ascii="Times New Roman" w:hAnsi="Times New Roman" w:cs="Times New Roman"/>
          <w:sz w:val="24"/>
          <w:szCs w:val="24"/>
        </w:rPr>
        <w:t xml:space="preserve">: </w:t>
      </w:r>
      <w:bookmarkStart w:id="85" w:name="_Hlk200795357"/>
      <w:r w:rsidRPr="00F06201">
        <w:rPr>
          <w:rFonts w:ascii="Times New Roman" w:hAnsi="Times New Roman" w:cs="Times New Roman"/>
          <w:sz w:val="24"/>
          <w:szCs w:val="24"/>
        </w:rPr>
        <w:t>Purging the Party of Rogues: The Whiskey Ring, Babcock’s Magnum Opus, Undone</w:t>
      </w:r>
      <w:bookmarkEnd w:id="85"/>
    </w:p>
    <w:p w14:paraId="23BE3C4F" w14:textId="237A9785"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 xml:space="preserve">In the waning years of the Grant Administration, as Babcock continued his roles in the White House and with Washington’s public works, the president realized that there remained significant issues before him that required more direct resolution. In December 1874, President Grant highlighted these issues in his Annual Message to Congress, </w:t>
      </w:r>
      <w:r w:rsidR="007A7AA6">
        <w:rPr>
          <w:rFonts w:ascii="Times New Roman" w:hAnsi="Times New Roman" w:cs="Times New Roman"/>
          <w:sz w:val="24"/>
          <w:szCs w:val="24"/>
        </w:rPr>
        <w:t>address</w:t>
      </w:r>
      <w:r w:rsidRPr="00F06201">
        <w:rPr>
          <w:rFonts w:ascii="Times New Roman" w:hAnsi="Times New Roman" w:cs="Times New Roman"/>
          <w:sz w:val="24"/>
          <w:szCs w:val="24"/>
        </w:rPr>
        <w:t>ing Reconstruction in the Southern states and international affairs as he had in each of his previous messages to Congress.</w:t>
      </w:r>
      <w:r w:rsidRPr="00F06201">
        <w:rPr>
          <w:rFonts w:ascii="Times New Roman" w:hAnsi="Times New Roman" w:cs="Times New Roman"/>
          <w:sz w:val="24"/>
          <w:szCs w:val="24"/>
          <w:vertAlign w:val="superscript"/>
        </w:rPr>
        <w:footnoteReference w:id="1062"/>
      </w:r>
      <w:r w:rsidRPr="00F06201">
        <w:rPr>
          <w:rFonts w:ascii="Times New Roman" w:hAnsi="Times New Roman" w:cs="Times New Roman"/>
          <w:sz w:val="24"/>
          <w:szCs w:val="24"/>
        </w:rPr>
        <w:t xml:space="preserve"> President Grant implored Congress to act upon two specific legislative issues in an effort to correct growing concerns with</w:t>
      </w:r>
      <w:r w:rsidR="0060004E">
        <w:rPr>
          <w:rFonts w:ascii="Times New Roman" w:hAnsi="Times New Roman" w:cs="Times New Roman"/>
          <w:sz w:val="24"/>
          <w:szCs w:val="24"/>
        </w:rPr>
        <w:t>in</w:t>
      </w:r>
      <w:r w:rsidRPr="00F06201">
        <w:rPr>
          <w:rFonts w:ascii="Times New Roman" w:hAnsi="Times New Roman" w:cs="Times New Roman"/>
          <w:sz w:val="24"/>
          <w:szCs w:val="24"/>
        </w:rPr>
        <w:t xml:space="preserve"> the American government. One of these </w:t>
      </w:r>
      <w:r w:rsidR="0060004E">
        <w:rPr>
          <w:rFonts w:ascii="Times New Roman" w:hAnsi="Times New Roman" w:cs="Times New Roman"/>
          <w:sz w:val="24"/>
          <w:szCs w:val="24"/>
        </w:rPr>
        <w:t>issue</w:t>
      </w:r>
      <w:r w:rsidRPr="00F06201">
        <w:rPr>
          <w:rFonts w:ascii="Times New Roman" w:hAnsi="Times New Roman" w:cs="Times New Roman"/>
          <w:sz w:val="24"/>
          <w:szCs w:val="24"/>
        </w:rPr>
        <w:t>s concerned civil service reforms. The president attested that “the rules adopted to improve the civil service of the Government have been adhered to as closely as has been practicable with the opposition with which they meet,” but that it was also “impracticable to maintain them without direct and positive support of Congress.”</w:t>
      </w:r>
      <w:r w:rsidRPr="00F06201">
        <w:rPr>
          <w:rFonts w:ascii="Times New Roman" w:hAnsi="Times New Roman" w:cs="Times New Roman"/>
          <w:sz w:val="24"/>
          <w:szCs w:val="24"/>
          <w:vertAlign w:val="superscript"/>
        </w:rPr>
        <w:footnoteReference w:id="1063"/>
      </w:r>
      <w:r w:rsidRPr="00F06201">
        <w:rPr>
          <w:rFonts w:ascii="Times New Roman" w:hAnsi="Times New Roman" w:cs="Times New Roman"/>
          <w:sz w:val="24"/>
          <w:szCs w:val="24"/>
        </w:rPr>
        <w:t xml:space="preserve"> Presenting this case, he committed to “abandon” such reform efforts “if Congress adjourns without positive legislation,” regarding such inaction as “a disapproval of the system.”</w:t>
      </w:r>
      <w:r w:rsidRPr="00F06201">
        <w:rPr>
          <w:rFonts w:ascii="Times New Roman" w:hAnsi="Times New Roman" w:cs="Times New Roman"/>
          <w:sz w:val="24"/>
          <w:szCs w:val="24"/>
          <w:vertAlign w:val="superscript"/>
        </w:rPr>
        <w:footnoteReference w:id="1064"/>
      </w:r>
    </w:p>
    <w:p w14:paraId="541C6A7B" w14:textId="694240A6"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The second of the significant issues outlined by President Grant, and perhaps the more pressing matter for the administration, w</w:t>
      </w:r>
      <w:r w:rsidR="002830B0">
        <w:rPr>
          <w:rFonts w:ascii="Times New Roman" w:hAnsi="Times New Roman" w:cs="Times New Roman"/>
          <w:sz w:val="24"/>
          <w:szCs w:val="24"/>
        </w:rPr>
        <w:t>as</w:t>
      </w:r>
      <w:r w:rsidRPr="00F06201">
        <w:rPr>
          <w:rFonts w:ascii="Times New Roman" w:hAnsi="Times New Roman" w:cs="Times New Roman"/>
          <w:sz w:val="24"/>
          <w:szCs w:val="24"/>
        </w:rPr>
        <w:t xml:space="preserve"> </w:t>
      </w:r>
      <w:r w:rsidR="002830B0">
        <w:rPr>
          <w:rFonts w:ascii="Times New Roman" w:hAnsi="Times New Roman" w:cs="Times New Roman"/>
          <w:sz w:val="24"/>
          <w:szCs w:val="24"/>
        </w:rPr>
        <w:t>the</w:t>
      </w:r>
      <w:r w:rsidRPr="00F06201">
        <w:rPr>
          <w:rFonts w:ascii="Times New Roman" w:hAnsi="Times New Roman" w:cs="Times New Roman"/>
          <w:sz w:val="24"/>
          <w:szCs w:val="24"/>
        </w:rPr>
        <w:t xml:space="preserve"> economy. Grant recognized that </w:t>
      </w:r>
      <w:r w:rsidR="00171F30">
        <w:rPr>
          <w:rFonts w:ascii="Times New Roman" w:hAnsi="Times New Roman" w:cs="Times New Roman"/>
          <w:sz w:val="24"/>
          <w:szCs w:val="24"/>
        </w:rPr>
        <w:t>ongoing</w:t>
      </w:r>
      <w:r w:rsidRPr="00F06201">
        <w:rPr>
          <w:rFonts w:ascii="Times New Roman" w:hAnsi="Times New Roman" w:cs="Times New Roman"/>
          <w:sz w:val="24"/>
          <w:szCs w:val="24"/>
        </w:rPr>
        <w:t xml:space="preserve"> problem</w:t>
      </w:r>
      <w:r w:rsidR="00171F30">
        <w:rPr>
          <w:rFonts w:ascii="Times New Roman" w:hAnsi="Times New Roman" w:cs="Times New Roman"/>
          <w:sz w:val="24"/>
          <w:szCs w:val="24"/>
        </w:rPr>
        <w:t>s</w:t>
      </w:r>
      <w:r w:rsidRPr="00F06201">
        <w:rPr>
          <w:rFonts w:ascii="Times New Roman" w:hAnsi="Times New Roman" w:cs="Times New Roman"/>
          <w:sz w:val="24"/>
          <w:szCs w:val="24"/>
        </w:rPr>
        <w:t xml:space="preserve"> w</w:t>
      </w:r>
      <w:r w:rsidR="006F23C5">
        <w:rPr>
          <w:rFonts w:ascii="Times New Roman" w:hAnsi="Times New Roman" w:cs="Times New Roman"/>
          <w:sz w:val="24"/>
          <w:szCs w:val="24"/>
        </w:rPr>
        <w:t>ere</w:t>
      </w:r>
      <w:r w:rsidRPr="00F06201">
        <w:rPr>
          <w:rFonts w:ascii="Times New Roman" w:hAnsi="Times New Roman" w:cs="Times New Roman"/>
          <w:sz w:val="24"/>
          <w:szCs w:val="24"/>
        </w:rPr>
        <w:t xml:space="preserve"> not spurred by any issues of labor or of capital, insisting that these “two great elements of prosperity…have not been denied us.”</w:t>
      </w:r>
      <w:r w:rsidRPr="00F06201">
        <w:rPr>
          <w:rFonts w:ascii="Times New Roman" w:hAnsi="Times New Roman" w:cs="Times New Roman"/>
          <w:sz w:val="24"/>
          <w:szCs w:val="24"/>
          <w:vertAlign w:val="superscript"/>
        </w:rPr>
        <w:footnoteReference w:id="1065"/>
      </w:r>
      <w:r w:rsidRPr="00F06201">
        <w:rPr>
          <w:rFonts w:ascii="Times New Roman" w:hAnsi="Times New Roman" w:cs="Times New Roman"/>
          <w:sz w:val="24"/>
          <w:szCs w:val="24"/>
        </w:rPr>
        <w:t xml:space="preserve"> Instead, he posited that the issue dated </w:t>
      </w:r>
      <w:r w:rsidRPr="00F06201">
        <w:rPr>
          <w:rFonts w:ascii="Times New Roman" w:hAnsi="Times New Roman" w:cs="Times New Roman"/>
          <w:sz w:val="24"/>
          <w:szCs w:val="24"/>
        </w:rPr>
        <w:lastRenderedPageBreak/>
        <w:t>back to the Civil War, and while it “made necessary, for temporary purposes, the raising of large sums of money from whatever source attainable,” it also “begot a spirit of speculation involving an extravagance and luxury not required for the happiness or prosperity of a people, and involving, both directly and indirectly, foreign indebtedness.”</w:t>
      </w:r>
      <w:r w:rsidRPr="00F06201">
        <w:rPr>
          <w:rFonts w:ascii="Times New Roman" w:hAnsi="Times New Roman" w:cs="Times New Roman"/>
          <w:sz w:val="24"/>
          <w:szCs w:val="24"/>
          <w:vertAlign w:val="superscript"/>
        </w:rPr>
        <w:footnoteReference w:id="1066"/>
      </w:r>
      <w:r w:rsidRPr="00F06201">
        <w:rPr>
          <w:rFonts w:ascii="Times New Roman" w:hAnsi="Times New Roman" w:cs="Times New Roman"/>
          <w:sz w:val="24"/>
          <w:szCs w:val="24"/>
        </w:rPr>
        <w:t xml:space="preserve"> President Grant attested that it was time for the United States to rein in these financial excesses in such a manner that did not violate good faith towards the nation’s creditors, but which encouraged its burgeoning commerce.</w:t>
      </w:r>
      <w:r w:rsidRPr="00F06201">
        <w:rPr>
          <w:rFonts w:ascii="Times New Roman" w:hAnsi="Times New Roman" w:cs="Times New Roman"/>
          <w:sz w:val="24"/>
          <w:szCs w:val="24"/>
          <w:vertAlign w:val="superscript"/>
        </w:rPr>
        <w:footnoteReference w:id="1067"/>
      </w:r>
      <w:r w:rsidRPr="00F06201">
        <w:rPr>
          <w:rFonts w:ascii="Times New Roman" w:hAnsi="Times New Roman" w:cs="Times New Roman"/>
          <w:sz w:val="24"/>
          <w:szCs w:val="24"/>
        </w:rPr>
        <w:t xml:space="preserve"> </w:t>
      </w:r>
    </w:p>
    <w:p w14:paraId="612DCAF8" w14:textId="181015AF"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Grant was forced to consider many new approaches to America’s financial situation in </w:t>
      </w:r>
      <w:r w:rsidR="006F23C5">
        <w:rPr>
          <w:rFonts w:ascii="Times New Roman" w:hAnsi="Times New Roman" w:cs="Times New Roman"/>
          <w:sz w:val="24"/>
          <w:szCs w:val="24"/>
        </w:rPr>
        <w:t xml:space="preserve">the </w:t>
      </w:r>
      <w:r w:rsidRPr="00F06201">
        <w:rPr>
          <w:rFonts w:ascii="Times New Roman" w:hAnsi="Times New Roman" w:cs="Times New Roman"/>
          <w:sz w:val="24"/>
          <w:szCs w:val="24"/>
        </w:rPr>
        <w:t>wake of his Annual Message. Many individuals suggested different policy changes in an effort to resolve some of the administration’s growing financial concerns. In terms of economics, Grant was a fiscal conservative who believed in ‘hard money</w:t>
      </w:r>
      <w:r w:rsidR="006438BD">
        <w:rPr>
          <w:rFonts w:ascii="Times New Roman" w:hAnsi="Times New Roman" w:cs="Times New Roman"/>
          <w:sz w:val="24"/>
          <w:szCs w:val="24"/>
        </w:rPr>
        <w:t>’</w:t>
      </w:r>
      <w:r w:rsidRPr="00F06201">
        <w:rPr>
          <w:rFonts w:ascii="Times New Roman" w:hAnsi="Times New Roman" w:cs="Times New Roman"/>
          <w:sz w:val="24"/>
          <w:szCs w:val="24"/>
        </w:rPr>
        <w:t xml:space="preserve"> backed by gold.</w:t>
      </w:r>
      <w:r w:rsidRPr="00F06201">
        <w:rPr>
          <w:rFonts w:ascii="Times New Roman" w:hAnsi="Times New Roman" w:cs="Times New Roman"/>
          <w:sz w:val="24"/>
          <w:szCs w:val="24"/>
          <w:vertAlign w:val="superscript"/>
        </w:rPr>
        <w:footnoteReference w:id="1068"/>
      </w:r>
      <w:r w:rsidRPr="00F06201">
        <w:rPr>
          <w:rFonts w:ascii="Times New Roman" w:hAnsi="Times New Roman" w:cs="Times New Roman"/>
          <w:sz w:val="24"/>
          <w:szCs w:val="24"/>
        </w:rPr>
        <w:t xml:space="preserve"> He expressed these views in 1874 in a veto message for a bill that would have circulated $100 million in new currency to alleviate the ongoing depression, which he believed was a “departure from true principles of finance.”</w:t>
      </w:r>
      <w:r w:rsidRPr="00F06201">
        <w:rPr>
          <w:rFonts w:ascii="Times New Roman" w:hAnsi="Times New Roman" w:cs="Times New Roman"/>
          <w:sz w:val="24"/>
          <w:szCs w:val="24"/>
          <w:vertAlign w:val="superscript"/>
        </w:rPr>
        <w:footnoteReference w:id="1069"/>
      </w:r>
      <w:r w:rsidRPr="00F06201">
        <w:rPr>
          <w:rFonts w:ascii="Times New Roman" w:hAnsi="Times New Roman" w:cs="Times New Roman"/>
          <w:sz w:val="24"/>
          <w:szCs w:val="24"/>
        </w:rPr>
        <w:t xml:space="preserve"> As the depression continued, Grant had to consider new proposals to get the government out of its financial burden, including a proposal of spending money to make money by creating new transportation projects that would put the money in the hands of those who worked on the projects.</w:t>
      </w:r>
      <w:r w:rsidRPr="00F06201">
        <w:rPr>
          <w:rFonts w:ascii="Times New Roman" w:hAnsi="Times New Roman" w:cs="Times New Roman"/>
          <w:sz w:val="24"/>
          <w:szCs w:val="24"/>
          <w:vertAlign w:val="superscript"/>
        </w:rPr>
        <w:footnoteReference w:id="1070"/>
      </w:r>
      <w:r w:rsidRPr="00F06201">
        <w:rPr>
          <w:rFonts w:ascii="Times New Roman" w:hAnsi="Times New Roman" w:cs="Times New Roman"/>
          <w:sz w:val="24"/>
          <w:szCs w:val="24"/>
        </w:rPr>
        <w:t xml:space="preserve"> He also considered a return to specie payments and repealing greenback tender, as well as a tariff on tea and coffee in order to raise revenue.</w:t>
      </w:r>
      <w:r w:rsidRPr="00F06201">
        <w:rPr>
          <w:rFonts w:ascii="Times New Roman" w:hAnsi="Times New Roman" w:cs="Times New Roman"/>
          <w:sz w:val="24"/>
          <w:szCs w:val="24"/>
          <w:vertAlign w:val="superscript"/>
        </w:rPr>
        <w:footnoteReference w:id="1071"/>
      </w:r>
    </w:p>
    <w:p w14:paraId="34D08794" w14:textId="088EF81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lastRenderedPageBreak/>
        <w:tab/>
        <w:t>Perhaps the most significant change suggested was one from Secretary of the Interior Columbus Delano which focused on a hike to the tax on whiskey. Secretary Delano, who previously served as a commissioner of internal revenue, recommended an increase to the whiskey tax from 70 cents to $1 per gallon, in addition to a tobacco tax increase from 20 to 24 cents.</w:t>
      </w:r>
      <w:r w:rsidRPr="00F06201">
        <w:rPr>
          <w:rFonts w:ascii="Times New Roman" w:hAnsi="Times New Roman" w:cs="Times New Roman"/>
          <w:sz w:val="24"/>
          <w:szCs w:val="24"/>
          <w:vertAlign w:val="superscript"/>
        </w:rPr>
        <w:footnoteReference w:id="1072"/>
      </w:r>
      <w:r w:rsidRPr="00F06201">
        <w:rPr>
          <w:rFonts w:ascii="Times New Roman" w:hAnsi="Times New Roman" w:cs="Times New Roman"/>
          <w:sz w:val="24"/>
          <w:szCs w:val="24"/>
        </w:rPr>
        <w:t xml:space="preserve"> </w:t>
      </w:r>
      <w:r w:rsidR="006F23C5">
        <w:rPr>
          <w:rFonts w:ascii="Times New Roman" w:hAnsi="Times New Roman" w:cs="Times New Roman"/>
          <w:sz w:val="24"/>
          <w:szCs w:val="24"/>
        </w:rPr>
        <w:t>An</w:t>
      </w:r>
      <w:r w:rsidRPr="00F06201">
        <w:rPr>
          <w:rFonts w:ascii="Times New Roman" w:hAnsi="Times New Roman" w:cs="Times New Roman"/>
          <w:sz w:val="24"/>
          <w:szCs w:val="24"/>
        </w:rPr>
        <w:t xml:space="preserve"> increased tax was something</w:t>
      </w:r>
      <w:r w:rsidR="00CA4141">
        <w:rPr>
          <w:rFonts w:ascii="Times New Roman" w:hAnsi="Times New Roman" w:cs="Times New Roman"/>
          <w:sz w:val="24"/>
          <w:szCs w:val="24"/>
        </w:rPr>
        <w:t xml:space="preserve"> to which</w:t>
      </w:r>
      <w:r w:rsidRPr="00F06201">
        <w:rPr>
          <w:rFonts w:ascii="Times New Roman" w:hAnsi="Times New Roman" w:cs="Times New Roman"/>
          <w:sz w:val="24"/>
          <w:szCs w:val="24"/>
        </w:rPr>
        <w:t xml:space="preserve"> Grant was open, as he favored a 10 cent per gallon increase to the internal whiskey tax.</w:t>
      </w:r>
      <w:r w:rsidRPr="00F06201">
        <w:rPr>
          <w:rFonts w:ascii="Times New Roman" w:hAnsi="Times New Roman" w:cs="Times New Roman"/>
          <w:sz w:val="24"/>
          <w:szCs w:val="24"/>
          <w:vertAlign w:val="superscript"/>
        </w:rPr>
        <w:footnoteReference w:id="1073"/>
      </w:r>
      <w:r w:rsidRPr="00F06201">
        <w:rPr>
          <w:rFonts w:ascii="Times New Roman" w:hAnsi="Times New Roman" w:cs="Times New Roman"/>
          <w:sz w:val="24"/>
          <w:szCs w:val="24"/>
        </w:rPr>
        <w:t xml:space="preserve"> However, both he and Secretary of the Treasury Benjamin Bristow believed that Delano’s proposal was too steep of an increase and could lead to tax evasion amongst distillers.</w:t>
      </w:r>
      <w:r w:rsidRPr="00F06201">
        <w:rPr>
          <w:rFonts w:ascii="Times New Roman" w:hAnsi="Times New Roman" w:cs="Times New Roman"/>
          <w:sz w:val="24"/>
          <w:szCs w:val="24"/>
          <w:vertAlign w:val="superscript"/>
        </w:rPr>
        <w:footnoteReference w:id="1074"/>
      </w:r>
      <w:r w:rsidRPr="00F06201">
        <w:rPr>
          <w:rFonts w:ascii="Times New Roman" w:hAnsi="Times New Roman" w:cs="Times New Roman"/>
          <w:sz w:val="24"/>
          <w:szCs w:val="24"/>
        </w:rPr>
        <w:t xml:space="preserve"> William Belknap, Secretary of War and a former revenue collector as well, worked to assuage Grant’s concerns, and the faction in favor of the steeper increase prevailed a</w:t>
      </w:r>
      <w:r w:rsidR="00F91A20">
        <w:rPr>
          <w:rFonts w:ascii="Times New Roman" w:hAnsi="Times New Roman" w:cs="Times New Roman"/>
          <w:sz w:val="24"/>
          <w:szCs w:val="24"/>
        </w:rPr>
        <w:t>nd</w:t>
      </w:r>
      <w:r w:rsidRPr="00F06201">
        <w:rPr>
          <w:rFonts w:ascii="Times New Roman" w:hAnsi="Times New Roman" w:cs="Times New Roman"/>
          <w:sz w:val="24"/>
          <w:szCs w:val="24"/>
        </w:rPr>
        <w:t xml:space="preserve"> the plans were sent to Congress, where the bill passed 30-29.</w:t>
      </w:r>
      <w:r w:rsidRPr="00F06201">
        <w:rPr>
          <w:rFonts w:ascii="Times New Roman" w:hAnsi="Times New Roman" w:cs="Times New Roman"/>
          <w:sz w:val="24"/>
          <w:szCs w:val="24"/>
          <w:vertAlign w:val="superscript"/>
        </w:rPr>
        <w:footnoteReference w:id="1075"/>
      </w:r>
    </w:p>
    <w:p w14:paraId="43F7E610" w14:textId="77777777" w:rsidR="00406B6E"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What Grant recognized in this proposed tax increase was a threat to whiskey, which to this point in America</w:t>
      </w:r>
      <w:r w:rsidR="00595620">
        <w:rPr>
          <w:rFonts w:ascii="Times New Roman" w:hAnsi="Times New Roman" w:cs="Times New Roman"/>
          <w:sz w:val="24"/>
          <w:szCs w:val="24"/>
        </w:rPr>
        <w:t xml:space="preserve"> </w:t>
      </w:r>
      <w:r w:rsidRPr="00F06201">
        <w:rPr>
          <w:rFonts w:ascii="Times New Roman" w:hAnsi="Times New Roman" w:cs="Times New Roman"/>
          <w:sz w:val="24"/>
          <w:szCs w:val="24"/>
        </w:rPr>
        <w:t>had a deep history intrinsically tied to specific parts of the population. Perhaps he recalled the infamous Whiskey Rebellion, a protest against a 1791 whiskey tax meant to raise revenue to pay o</w:t>
      </w:r>
      <w:r w:rsidR="008D1171">
        <w:rPr>
          <w:rFonts w:ascii="Times New Roman" w:hAnsi="Times New Roman" w:cs="Times New Roman"/>
          <w:sz w:val="24"/>
          <w:szCs w:val="24"/>
        </w:rPr>
        <w:t>f</w:t>
      </w:r>
      <w:r w:rsidRPr="00F06201">
        <w:rPr>
          <w:rFonts w:ascii="Times New Roman" w:hAnsi="Times New Roman" w:cs="Times New Roman"/>
          <w:sz w:val="24"/>
          <w:szCs w:val="24"/>
        </w:rPr>
        <w:t>f American debts from their Revolutionary War.</w:t>
      </w:r>
      <w:r w:rsidRPr="00F06201">
        <w:rPr>
          <w:rFonts w:ascii="Times New Roman" w:hAnsi="Times New Roman" w:cs="Times New Roman"/>
          <w:sz w:val="24"/>
          <w:szCs w:val="24"/>
          <w:vertAlign w:val="superscript"/>
        </w:rPr>
        <w:footnoteReference w:id="1076"/>
      </w:r>
      <w:r w:rsidRPr="00F06201">
        <w:rPr>
          <w:rFonts w:ascii="Times New Roman" w:hAnsi="Times New Roman" w:cs="Times New Roman"/>
          <w:sz w:val="24"/>
          <w:szCs w:val="24"/>
        </w:rPr>
        <w:t xml:space="preserve"> However, farmers in Western Pennsylvania were used to distilling their surplus crops into whiskey</w:t>
      </w:r>
      <w:r w:rsidR="0065334D">
        <w:rPr>
          <w:rFonts w:ascii="Times New Roman" w:hAnsi="Times New Roman" w:cs="Times New Roman"/>
          <w:sz w:val="24"/>
          <w:szCs w:val="24"/>
        </w:rPr>
        <w:t>.</w:t>
      </w:r>
      <w:r w:rsidRPr="00F06201">
        <w:rPr>
          <w:rFonts w:ascii="Times New Roman" w:hAnsi="Times New Roman" w:cs="Times New Roman"/>
          <w:sz w:val="24"/>
          <w:szCs w:val="24"/>
        </w:rPr>
        <w:t xml:space="preserve"> </w:t>
      </w:r>
      <w:r w:rsidR="0065334D">
        <w:rPr>
          <w:rFonts w:ascii="Times New Roman" w:hAnsi="Times New Roman" w:cs="Times New Roman"/>
          <w:sz w:val="24"/>
          <w:szCs w:val="24"/>
        </w:rPr>
        <w:t>A</w:t>
      </w:r>
      <w:r w:rsidRPr="00F06201">
        <w:rPr>
          <w:rFonts w:ascii="Times New Roman" w:hAnsi="Times New Roman" w:cs="Times New Roman"/>
          <w:sz w:val="24"/>
          <w:szCs w:val="24"/>
        </w:rPr>
        <w:t>s official currency was rare in this area</w:t>
      </w:r>
      <w:r w:rsidR="0065334D">
        <w:rPr>
          <w:rFonts w:ascii="Times New Roman" w:hAnsi="Times New Roman" w:cs="Times New Roman"/>
          <w:sz w:val="24"/>
          <w:szCs w:val="24"/>
        </w:rPr>
        <w:t>, and</w:t>
      </w:r>
      <w:r w:rsidRPr="00F06201">
        <w:rPr>
          <w:rFonts w:ascii="Times New Roman" w:hAnsi="Times New Roman" w:cs="Times New Roman"/>
          <w:sz w:val="24"/>
          <w:szCs w:val="24"/>
        </w:rPr>
        <w:t xml:space="preserve"> given its</w:t>
      </w:r>
      <w:r w:rsidR="00E0667D">
        <w:rPr>
          <w:rFonts w:ascii="Times New Roman" w:hAnsi="Times New Roman" w:cs="Times New Roman"/>
          <w:sz w:val="24"/>
          <w:szCs w:val="24"/>
        </w:rPr>
        <w:t xml:space="preserve"> frequent</w:t>
      </w:r>
      <w:r w:rsidR="0065334D">
        <w:rPr>
          <w:rFonts w:ascii="Times New Roman" w:hAnsi="Times New Roman" w:cs="Times New Roman"/>
          <w:sz w:val="24"/>
          <w:szCs w:val="24"/>
        </w:rPr>
        <w:t xml:space="preserve"> consumption</w:t>
      </w:r>
      <w:r w:rsidRPr="00F06201">
        <w:rPr>
          <w:rFonts w:ascii="Times New Roman" w:hAnsi="Times New Roman" w:cs="Times New Roman"/>
          <w:sz w:val="24"/>
          <w:szCs w:val="24"/>
        </w:rPr>
        <w:t xml:space="preserve"> along the East Coast, these farmers used a barter system in which whiskey was a common replacement.</w:t>
      </w:r>
      <w:r w:rsidRPr="00F06201">
        <w:rPr>
          <w:rFonts w:ascii="Times New Roman" w:hAnsi="Times New Roman" w:cs="Times New Roman"/>
          <w:sz w:val="24"/>
          <w:szCs w:val="24"/>
          <w:vertAlign w:val="superscript"/>
        </w:rPr>
        <w:footnoteReference w:id="1077"/>
      </w:r>
      <w:r w:rsidRPr="00F06201">
        <w:rPr>
          <w:rFonts w:ascii="Times New Roman" w:hAnsi="Times New Roman" w:cs="Times New Roman"/>
          <w:sz w:val="24"/>
          <w:szCs w:val="24"/>
        </w:rPr>
        <w:t xml:space="preserve"> Thus many of </w:t>
      </w:r>
      <w:r w:rsidRPr="00F06201">
        <w:rPr>
          <w:rFonts w:ascii="Times New Roman" w:hAnsi="Times New Roman" w:cs="Times New Roman"/>
          <w:sz w:val="24"/>
          <w:szCs w:val="24"/>
        </w:rPr>
        <w:lastRenderedPageBreak/>
        <w:t>these farmers took th</w:t>
      </w:r>
      <w:r w:rsidR="006776CB">
        <w:rPr>
          <w:rFonts w:ascii="Times New Roman" w:hAnsi="Times New Roman" w:cs="Times New Roman"/>
          <w:sz w:val="24"/>
          <w:szCs w:val="24"/>
        </w:rPr>
        <w:t>e whiskey tax</w:t>
      </w:r>
      <w:r w:rsidRPr="00F06201">
        <w:rPr>
          <w:rFonts w:ascii="Times New Roman" w:hAnsi="Times New Roman" w:cs="Times New Roman"/>
          <w:sz w:val="24"/>
          <w:szCs w:val="24"/>
        </w:rPr>
        <w:t xml:space="preserve"> as an attack on their way of life and protested, violently intimidating tax collectors until President George Washington sent in the militia to quell the rebellion.</w:t>
      </w:r>
      <w:r w:rsidRPr="00F06201">
        <w:rPr>
          <w:rFonts w:ascii="Times New Roman" w:hAnsi="Times New Roman" w:cs="Times New Roman"/>
          <w:sz w:val="24"/>
          <w:szCs w:val="24"/>
          <w:vertAlign w:val="superscript"/>
        </w:rPr>
        <w:footnoteReference w:id="1078"/>
      </w:r>
      <w:r w:rsidRPr="00F06201">
        <w:rPr>
          <w:rFonts w:ascii="Times New Roman" w:hAnsi="Times New Roman" w:cs="Times New Roman"/>
          <w:sz w:val="24"/>
          <w:szCs w:val="24"/>
        </w:rPr>
        <w:t xml:space="preserve"> More recently, the taxes collected on the sale of liquor was a major source of revenue for the United States</w:t>
      </w:r>
      <w:r w:rsidR="005A25DB">
        <w:rPr>
          <w:rFonts w:ascii="Times New Roman" w:hAnsi="Times New Roman" w:cs="Times New Roman"/>
          <w:sz w:val="24"/>
          <w:szCs w:val="24"/>
        </w:rPr>
        <w:t xml:space="preserve"> (</w:t>
      </w:r>
      <w:r w:rsidR="005A25DB">
        <w:rPr>
          <w:rFonts w:ascii="Times New Roman" w:hAnsi="Times New Roman" w:cs="Times New Roman"/>
          <w:b/>
          <w:bCs/>
          <w:sz w:val="24"/>
          <w:szCs w:val="24"/>
        </w:rPr>
        <w:t>Figure 5.1</w:t>
      </w:r>
      <w:r w:rsidR="005A25DB">
        <w:rPr>
          <w:rFonts w:ascii="Times New Roman" w:hAnsi="Times New Roman" w:cs="Times New Roman"/>
          <w:sz w:val="24"/>
          <w:szCs w:val="24"/>
        </w:rPr>
        <w:t>)</w:t>
      </w:r>
      <w:r w:rsidRPr="00F06201">
        <w:rPr>
          <w:rFonts w:ascii="Times New Roman" w:hAnsi="Times New Roman" w:cs="Times New Roman"/>
          <w:sz w:val="24"/>
          <w:szCs w:val="24"/>
        </w:rPr>
        <w:t>.</w:t>
      </w:r>
      <w:r w:rsidRPr="00F06201">
        <w:rPr>
          <w:rFonts w:ascii="Times New Roman" w:hAnsi="Times New Roman" w:cs="Times New Roman"/>
          <w:sz w:val="24"/>
          <w:szCs w:val="24"/>
          <w:vertAlign w:val="superscript"/>
        </w:rPr>
        <w:footnoteReference w:id="1079"/>
      </w:r>
      <w:r w:rsidRPr="00F06201">
        <w:rPr>
          <w:rFonts w:ascii="Times New Roman" w:hAnsi="Times New Roman" w:cs="Times New Roman"/>
          <w:sz w:val="24"/>
          <w:szCs w:val="24"/>
        </w:rPr>
        <w:t xml:space="preserve"> Increasing these taxes could lead to attempts to evade taxes by those producing the whiskey, and it could further lead to political outcry as President Grant would be increasing taxes on something that was his alleged vice.</w:t>
      </w:r>
      <w:r w:rsidRPr="00F06201">
        <w:rPr>
          <w:rFonts w:ascii="Times New Roman" w:hAnsi="Times New Roman" w:cs="Times New Roman"/>
          <w:sz w:val="24"/>
          <w:szCs w:val="24"/>
          <w:vertAlign w:val="superscript"/>
        </w:rPr>
        <w:footnoteReference w:id="1080"/>
      </w:r>
      <w:r w:rsidR="00406B6E" w:rsidRPr="00406B6E">
        <w:rPr>
          <w:rFonts w:ascii="Times New Roman" w:hAnsi="Times New Roman" w:cs="Times New Roman"/>
          <w:sz w:val="24"/>
          <w:szCs w:val="24"/>
        </w:rPr>
        <w:t xml:space="preserve"> </w:t>
      </w:r>
    </w:p>
    <w:p w14:paraId="3EEDF96E" w14:textId="24EDA4AC" w:rsidR="00F06201" w:rsidRPr="00F06201" w:rsidRDefault="00406B6E" w:rsidP="00406B6E">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Even with </w:t>
      </w:r>
      <w:r>
        <w:rPr>
          <w:rFonts w:ascii="Times New Roman" w:hAnsi="Times New Roman" w:cs="Times New Roman"/>
          <w:sz w:val="24"/>
          <w:szCs w:val="24"/>
        </w:rPr>
        <w:t>a</w:t>
      </w:r>
      <w:r w:rsidRPr="00F06201">
        <w:rPr>
          <w:rFonts w:ascii="Times New Roman" w:hAnsi="Times New Roman" w:cs="Times New Roman"/>
          <w:sz w:val="24"/>
          <w:szCs w:val="24"/>
        </w:rPr>
        <w:t xml:space="preserve"> cautionary </w:t>
      </w:r>
      <w:r>
        <w:rPr>
          <w:rFonts w:ascii="Times New Roman" w:hAnsi="Times New Roman" w:cs="Times New Roman"/>
          <w:sz w:val="24"/>
          <w:szCs w:val="24"/>
        </w:rPr>
        <w:t>history and potential backlash</w:t>
      </w:r>
      <w:r w:rsidRPr="00F06201">
        <w:rPr>
          <w:rFonts w:ascii="Times New Roman" w:hAnsi="Times New Roman" w:cs="Times New Roman"/>
          <w:sz w:val="24"/>
          <w:szCs w:val="24"/>
        </w:rPr>
        <w:t>, plans proceeded within the administration to increase the tax on whiskey</w:t>
      </w:r>
      <w:r>
        <w:rPr>
          <w:rFonts w:ascii="Times New Roman" w:hAnsi="Times New Roman" w:cs="Times New Roman"/>
          <w:sz w:val="24"/>
          <w:szCs w:val="24"/>
        </w:rPr>
        <w:t xml:space="preserve"> as</w:t>
      </w:r>
      <w:r w:rsidRPr="00F06201">
        <w:rPr>
          <w:rFonts w:ascii="Times New Roman" w:hAnsi="Times New Roman" w:cs="Times New Roman"/>
          <w:sz w:val="24"/>
          <w:szCs w:val="24"/>
        </w:rPr>
        <w:t xml:space="preserve"> Grant sought to make good on his efforts to </w:t>
      </w:r>
    </w:p>
    <w:p w14:paraId="7BA839E2" w14:textId="77777777" w:rsidR="005A25DB" w:rsidRDefault="005A25DB" w:rsidP="005A25DB">
      <w:pPr>
        <w:spacing w:after="0" w:line="240" w:lineRule="auto"/>
        <w:jc w:val="center"/>
        <w:rPr>
          <w:rFonts w:ascii="Times New Roman" w:hAnsi="Times New Roman" w:cs="Times New Roman"/>
          <w:b/>
          <w:bCs/>
          <w:sz w:val="20"/>
          <w:szCs w:val="20"/>
        </w:rPr>
      </w:pPr>
      <w:r w:rsidRPr="00F06201">
        <w:rPr>
          <w:rFonts w:ascii="Times New Roman" w:hAnsi="Times New Roman" w:cs="Times New Roman"/>
          <w:noProof/>
          <w:sz w:val="24"/>
          <w:szCs w:val="24"/>
        </w:rPr>
        <w:drawing>
          <wp:inline distT="0" distB="0" distL="0" distR="0" wp14:anchorId="46D85469" wp14:editId="65E5A626">
            <wp:extent cx="2308860" cy="2328995"/>
            <wp:effectExtent l="0" t="0" r="0" b="0"/>
            <wp:docPr id="540649545" name="Picture 1" descr="Cartoon of a person in a police uniform with a barrel and a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49545" name="Picture 1" descr="Cartoon of a person in a police uniform with a barrel and a ball&#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2368311" cy="2388965"/>
                    </a:xfrm>
                    <a:prstGeom prst="rect">
                      <a:avLst/>
                    </a:prstGeom>
                  </pic:spPr>
                </pic:pic>
              </a:graphicData>
            </a:graphic>
          </wp:inline>
        </w:drawing>
      </w:r>
      <w:r w:rsidRPr="005A25DB">
        <w:rPr>
          <w:rFonts w:ascii="Times New Roman" w:hAnsi="Times New Roman" w:cs="Times New Roman"/>
          <w:b/>
          <w:bCs/>
          <w:sz w:val="20"/>
          <w:szCs w:val="20"/>
        </w:rPr>
        <w:t xml:space="preserve"> </w:t>
      </w:r>
    </w:p>
    <w:p w14:paraId="636E9365" w14:textId="77777777" w:rsidR="00837CBF" w:rsidRDefault="00837CBF" w:rsidP="005A25DB">
      <w:pPr>
        <w:spacing w:after="0" w:line="240" w:lineRule="auto"/>
        <w:jc w:val="center"/>
        <w:rPr>
          <w:rFonts w:ascii="Times New Roman" w:hAnsi="Times New Roman" w:cs="Times New Roman"/>
          <w:b/>
          <w:bCs/>
          <w:sz w:val="20"/>
          <w:szCs w:val="20"/>
        </w:rPr>
      </w:pPr>
    </w:p>
    <w:p w14:paraId="1E903D2D" w14:textId="6CD369CB" w:rsidR="005A25DB" w:rsidRPr="005A25DB" w:rsidRDefault="005A25DB" w:rsidP="00901176">
      <w:pPr>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Figure 5.1: </w:t>
      </w:r>
      <w:r w:rsidRPr="00F06201">
        <w:rPr>
          <w:rFonts w:ascii="Times New Roman" w:hAnsi="Times New Roman" w:cs="Times New Roman"/>
          <w:b/>
          <w:bCs/>
          <w:sz w:val="20"/>
          <w:szCs w:val="20"/>
        </w:rPr>
        <w:t>Let No Whisky Escape</w:t>
      </w:r>
      <w:r>
        <w:rPr>
          <w:rFonts w:ascii="Times New Roman" w:hAnsi="Times New Roman" w:cs="Times New Roman"/>
          <w:b/>
          <w:bCs/>
          <w:sz w:val="20"/>
          <w:szCs w:val="20"/>
        </w:rPr>
        <w:t xml:space="preserve">: </w:t>
      </w:r>
      <w:r w:rsidRPr="00F06201">
        <w:rPr>
          <w:rFonts w:ascii="Times New Roman" w:hAnsi="Times New Roman" w:cs="Times New Roman"/>
          <w:sz w:val="20"/>
          <w:szCs w:val="20"/>
        </w:rPr>
        <w:t>“U.S. ‘You will improve by keeping – the longer the better (as a Sample)’” This double entendre references the whiskey aging process and hints that the longer those involved in defrauding the government in the Whiskey Ring will do well to age while in the darkness of prison.</w:t>
      </w:r>
      <w:r w:rsidRPr="007C1778">
        <w:rPr>
          <w:rFonts w:ascii="Times New Roman" w:hAnsi="Times New Roman" w:cs="Times New Roman"/>
          <w:b/>
          <w:bCs/>
          <w:sz w:val="20"/>
          <w:szCs w:val="20"/>
          <w:vertAlign w:val="superscript"/>
        </w:rPr>
        <w:t xml:space="preserve"> </w:t>
      </w:r>
      <w:r w:rsidRPr="007C1778">
        <w:rPr>
          <w:rFonts w:ascii="Times New Roman" w:hAnsi="Times New Roman" w:cs="Times New Roman"/>
          <w:sz w:val="20"/>
          <w:szCs w:val="20"/>
          <w:vertAlign w:val="superscript"/>
        </w:rPr>
        <w:footnoteReference w:id="1081"/>
      </w:r>
    </w:p>
    <w:p w14:paraId="4A86C16F" w14:textId="7C46D6F7" w:rsidR="00F06201" w:rsidRPr="00F06201" w:rsidRDefault="00406B6E" w:rsidP="00406B6E">
      <w:pPr>
        <w:spacing w:line="480" w:lineRule="auto"/>
        <w:rPr>
          <w:rFonts w:ascii="Times New Roman" w:hAnsi="Times New Roman" w:cs="Times New Roman"/>
          <w:sz w:val="24"/>
          <w:szCs w:val="24"/>
        </w:rPr>
      </w:pPr>
      <w:r w:rsidRPr="00F06201">
        <w:rPr>
          <w:rFonts w:ascii="Times New Roman" w:hAnsi="Times New Roman" w:cs="Times New Roman"/>
          <w:sz w:val="24"/>
          <w:szCs w:val="24"/>
        </w:rPr>
        <w:lastRenderedPageBreak/>
        <w:t>reform the civil service. In the spring of 1874, Congress refused Grant’s request for funding for a</w:t>
      </w:r>
      <w:r w:rsidRPr="00F06201">
        <w:rPr>
          <w:rFonts w:ascii="Times New Roman" w:hAnsi="Times New Roman" w:cs="Times New Roman"/>
          <w:sz w:val="24"/>
          <w:szCs w:val="24"/>
        </w:rPr>
        <w:t xml:space="preserve"> </w:t>
      </w:r>
      <w:r w:rsidR="00F06201" w:rsidRPr="00F06201">
        <w:rPr>
          <w:rFonts w:ascii="Times New Roman" w:hAnsi="Times New Roman" w:cs="Times New Roman"/>
          <w:sz w:val="24"/>
          <w:szCs w:val="24"/>
        </w:rPr>
        <w:t>Civil Service Board, but he remained dedicated to his reform instincts</w:t>
      </w:r>
      <w:r w:rsidR="001D769B">
        <w:rPr>
          <w:rFonts w:ascii="Times New Roman" w:hAnsi="Times New Roman" w:cs="Times New Roman"/>
          <w:sz w:val="24"/>
          <w:szCs w:val="24"/>
        </w:rPr>
        <w:t>, going so far as</w:t>
      </w:r>
      <w:r w:rsidR="00F06201" w:rsidRPr="00F06201">
        <w:rPr>
          <w:rFonts w:ascii="Times New Roman" w:hAnsi="Times New Roman" w:cs="Times New Roman"/>
          <w:sz w:val="24"/>
          <w:szCs w:val="24"/>
        </w:rPr>
        <w:t xml:space="preserve"> asking both Congress and his </w:t>
      </w:r>
      <w:r w:rsidR="001D769B">
        <w:rPr>
          <w:rFonts w:ascii="Times New Roman" w:hAnsi="Times New Roman" w:cs="Times New Roman"/>
          <w:sz w:val="24"/>
          <w:szCs w:val="24"/>
        </w:rPr>
        <w:t>C</w:t>
      </w:r>
      <w:r w:rsidR="00F06201" w:rsidRPr="00F06201">
        <w:rPr>
          <w:rFonts w:ascii="Times New Roman" w:hAnsi="Times New Roman" w:cs="Times New Roman"/>
          <w:sz w:val="24"/>
          <w:szCs w:val="24"/>
        </w:rPr>
        <w:t>abinet to abandon previous failed efforts and look towards the future.</w:t>
      </w:r>
      <w:r w:rsidR="00F06201" w:rsidRPr="00F06201">
        <w:rPr>
          <w:rFonts w:ascii="Times New Roman" w:hAnsi="Times New Roman" w:cs="Times New Roman"/>
          <w:sz w:val="24"/>
          <w:szCs w:val="24"/>
          <w:vertAlign w:val="superscript"/>
        </w:rPr>
        <w:footnoteReference w:id="1082"/>
      </w:r>
      <w:r w:rsidR="00F06201" w:rsidRPr="00F06201">
        <w:rPr>
          <w:rFonts w:ascii="Times New Roman" w:hAnsi="Times New Roman" w:cs="Times New Roman"/>
          <w:sz w:val="24"/>
          <w:szCs w:val="24"/>
        </w:rPr>
        <w:t xml:space="preserve"> Perhaps there was no better place for the president to begin his reform efforts than within his own </w:t>
      </w:r>
      <w:r w:rsidR="001D769B">
        <w:rPr>
          <w:rFonts w:ascii="Times New Roman" w:hAnsi="Times New Roman" w:cs="Times New Roman"/>
          <w:sz w:val="24"/>
          <w:szCs w:val="24"/>
        </w:rPr>
        <w:t>C</w:t>
      </w:r>
      <w:r w:rsidR="00F06201" w:rsidRPr="00F06201">
        <w:rPr>
          <w:rFonts w:ascii="Times New Roman" w:hAnsi="Times New Roman" w:cs="Times New Roman"/>
          <w:sz w:val="24"/>
          <w:szCs w:val="24"/>
        </w:rPr>
        <w:t xml:space="preserve">abinet, and the perfect candidate was his Attorney General George Williams. Williams’s status in Washington society was unstable, partly because of his wife’s inability to get along with other cabinet wives, but </w:t>
      </w:r>
      <w:r w:rsidR="00B45269">
        <w:rPr>
          <w:rFonts w:ascii="Times New Roman" w:hAnsi="Times New Roman" w:cs="Times New Roman"/>
          <w:sz w:val="24"/>
          <w:szCs w:val="24"/>
        </w:rPr>
        <w:t>mainly</w:t>
      </w:r>
      <w:r w:rsidR="00F06201" w:rsidRPr="00F06201">
        <w:rPr>
          <w:rFonts w:ascii="Times New Roman" w:hAnsi="Times New Roman" w:cs="Times New Roman"/>
          <w:sz w:val="24"/>
          <w:szCs w:val="24"/>
        </w:rPr>
        <w:t xml:space="preserve"> because of evidence he mismanaged the Justice Department.</w:t>
      </w:r>
      <w:r w:rsidR="00F06201" w:rsidRPr="00F06201">
        <w:rPr>
          <w:rFonts w:ascii="Times New Roman" w:hAnsi="Times New Roman" w:cs="Times New Roman"/>
          <w:sz w:val="24"/>
          <w:szCs w:val="24"/>
          <w:vertAlign w:val="superscript"/>
        </w:rPr>
        <w:footnoteReference w:id="1083"/>
      </w:r>
      <w:r w:rsidR="00F06201" w:rsidRPr="00F06201">
        <w:rPr>
          <w:rFonts w:ascii="Times New Roman" w:hAnsi="Times New Roman" w:cs="Times New Roman"/>
          <w:sz w:val="24"/>
          <w:szCs w:val="24"/>
        </w:rPr>
        <w:t xml:space="preserve"> After a failed attempt by Mrs. Williams to threaten</w:t>
      </w:r>
      <w:r w:rsidR="00B45269">
        <w:rPr>
          <w:rFonts w:ascii="Times New Roman" w:hAnsi="Times New Roman" w:cs="Times New Roman"/>
          <w:sz w:val="24"/>
          <w:szCs w:val="24"/>
        </w:rPr>
        <w:t xml:space="preserve"> to expose</w:t>
      </w:r>
      <w:r w:rsidR="00F06201" w:rsidRPr="00F06201">
        <w:rPr>
          <w:rFonts w:ascii="Times New Roman" w:hAnsi="Times New Roman" w:cs="Times New Roman"/>
          <w:sz w:val="24"/>
          <w:szCs w:val="24"/>
        </w:rPr>
        <w:t xml:space="preserve"> key members of the administration for skimming money from the federal government, Orville Babcock, among others, </w:t>
      </w:r>
      <w:r w:rsidR="00DE3049">
        <w:rPr>
          <w:rFonts w:ascii="Times New Roman" w:hAnsi="Times New Roman" w:cs="Times New Roman"/>
          <w:sz w:val="24"/>
          <w:szCs w:val="24"/>
        </w:rPr>
        <w:t>appris</w:t>
      </w:r>
      <w:r w:rsidR="00F06201" w:rsidRPr="00F06201">
        <w:rPr>
          <w:rFonts w:ascii="Times New Roman" w:hAnsi="Times New Roman" w:cs="Times New Roman"/>
          <w:sz w:val="24"/>
          <w:szCs w:val="24"/>
        </w:rPr>
        <w:t>ed President Grant of the situation regarding Williams, and the president replaced Williams with Edwards Pierrepont, a former federal district attorney from New York.</w:t>
      </w:r>
      <w:r w:rsidR="00F06201" w:rsidRPr="00F06201">
        <w:rPr>
          <w:rFonts w:ascii="Times New Roman" w:hAnsi="Times New Roman" w:cs="Times New Roman"/>
          <w:sz w:val="24"/>
          <w:szCs w:val="24"/>
          <w:vertAlign w:val="superscript"/>
        </w:rPr>
        <w:footnoteReference w:id="1084"/>
      </w:r>
      <w:r w:rsidR="00F06201" w:rsidRPr="00F06201">
        <w:rPr>
          <w:rFonts w:ascii="Times New Roman" w:hAnsi="Times New Roman" w:cs="Times New Roman"/>
          <w:sz w:val="24"/>
          <w:szCs w:val="24"/>
        </w:rPr>
        <w:t xml:space="preserve"> Even with this replacement, the administration proved to </w:t>
      </w:r>
      <w:r w:rsidR="00020423">
        <w:rPr>
          <w:rFonts w:ascii="Times New Roman" w:hAnsi="Times New Roman" w:cs="Times New Roman"/>
          <w:sz w:val="24"/>
          <w:szCs w:val="24"/>
        </w:rPr>
        <w:t xml:space="preserve">still </w:t>
      </w:r>
      <w:r w:rsidR="00F06201" w:rsidRPr="00F06201">
        <w:rPr>
          <w:rFonts w:ascii="Times New Roman" w:hAnsi="Times New Roman" w:cs="Times New Roman"/>
          <w:sz w:val="24"/>
          <w:szCs w:val="24"/>
        </w:rPr>
        <w:t>be rife with men who sought to serve themselves before serving their country.</w:t>
      </w:r>
    </w:p>
    <w:p w14:paraId="2EB79C50" w14:textId="74AC8F73"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 xml:space="preserve">The most </w:t>
      </w:r>
      <w:r w:rsidR="001D1D33">
        <w:rPr>
          <w:rFonts w:ascii="Times New Roman" w:hAnsi="Times New Roman" w:cs="Times New Roman"/>
          <w:sz w:val="24"/>
          <w:szCs w:val="24"/>
        </w:rPr>
        <w:t>active</w:t>
      </w:r>
      <w:r w:rsidRPr="00F06201">
        <w:rPr>
          <w:rFonts w:ascii="Times New Roman" w:hAnsi="Times New Roman" w:cs="Times New Roman"/>
          <w:sz w:val="24"/>
          <w:szCs w:val="24"/>
        </w:rPr>
        <w:t xml:space="preserve"> figure in the efforts to clean up the civil service at this point in the Grant Administration was Secretary of the Treasury Benjamin Bristow. Bristow was born June 20, 1832 in Elkton, KY, and though he grew up in a border state, he aligned with the Union when fighting broke out in the Civil War.</w:t>
      </w:r>
      <w:r w:rsidRPr="00F06201">
        <w:rPr>
          <w:rFonts w:ascii="Times New Roman" w:hAnsi="Times New Roman" w:cs="Times New Roman"/>
          <w:sz w:val="24"/>
          <w:szCs w:val="24"/>
          <w:vertAlign w:val="superscript"/>
        </w:rPr>
        <w:footnoteReference w:id="1085"/>
      </w:r>
      <w:r w:rsidRPr="00F06201">
        <w:rPr>
          <w:rFonts w:ascii="Times New Roman" w:hAnsi="Times New Roman" w:cs="Times New Roman"/>
          <w:sz w:val="24"/>
          <w:szCs w:val="24"/>
        </w:rPr>
        <w:t xml:space="preserve"> He practiced law until his enlistment and he reached the rank of colonel, fighting in </w:t>
      </w:r>
      <w:r w:rsidR="00165307">
        <w:rPr>
          <w:rFonts w:ascii="Times New Roman" w:hAnsi="Times New Roman" w:cs="Times New Roman"/>
          <w:sz w:val="24"/>
          <w:szCs w:val="24"/>
        </w:rPr>
        <w:t xml:space="preserve">the </w:t>
      </w:r>
      <w:r w:rsidRPr="00F06201">
        <w:rPr>
          <w:rFonts w:ascii="Times New Roman" w:hAnsi="Times New Roman" w:cs="Times New Roman"/>
          <w:sz w:val="24"/>
          <w:szCs w:val="24"/>
        </w:rPr>
        <w:t>key battle</w:t>
      </w:r>
      <w:r w:rsidR="00165307">
        <w:rPr>
          <w:rFonts w:ascii="Times New Roman" w:hAnsi="Times New Roman" w:cs="Times New Roman"/>
          <w:sz w:val="24"/>
          <w:szCs w:val="24"/>
        </w:rPr>
        <w:t xml:space="preserve"> of</w:t>
      </w:r>
      <w:r w:rsidRPr="00F06201">
        <w:rPr>
          <w:rFonts w:ascii="Times New Roman" w:hAnsi="Times New Roman" w:cs="Times New Roman"/>
          <w:sz w:val="24"/>
          <w:szCs w:val="24"/>
        </w:rPr>
        <w:t xml:space="preserve"> Shiloh where he was wounded and promoted to lieutenant colonel.</w:t>
      </w:r>
      <w:r w:rsidRPr="00F06201">
        <w:rPr>
          <w:rFonts w:ascii="Times New Roman" w:hAnsi="Times New Roman" w:cs="Times New Roman"/>
          <w:sz w:val="24"/>
          <w:szCs w:val="24"/>
          <w:vertAlign w:val="superscript"/>
        </w:rPr>
        <w:footnoteReference w:id="1086"/>
      </w:r>
      <w:r w:rsidRPr="00F06201">
        <w:rPr>
          <w:rFonts w:ascii="Times New Roman" w:hAnsi="Times New Roman" w:cs="Times New Roman"/>
          <w:sz w:val="24"/>
          <w:szCs w:val="24"/>
        </w:rPr>
        <w:t xml:space="preserve"> He was elected as a </w:t>
      </w:r>
      <w:r w:rsidR="00743A78">
        <w:rPr>
          <w:rFonts w:ascii="Times New Roman" w:hAnsi="Times New Roman" w:cs="Times New Roman"/>
          <w:sz w:val="24"/>
          <w:szCs w:val="24"/>
        </w:rPr>
        <w:t>S</w:t>
      </w:r>
      <w:r w:rsidRPr="00F06201">
        <w:rPr>
          <w:rFonts w:ascii="Times New Roman" w:hAnsi="Times New Roman" w:cs="Times New Roman"/>
          <w:sz w:val="24"/>
          <w:szCs w:val="24"/>
        </w:rPr>
        <w:t xml:space="preserve">tate Senator for Kentucky in 1863, and after the Civil </w:t>
      </w:r>
      <w:r w:rsidRPr="00F06201">
        <w:rPr>
          <w:rFonts w:ascii="Times New Roman" w:hAnsi="Times New Roman" w:cs="Times New Roman"/>
          <w:sz w:val="24"/>
          <w:szCs w:val="24"/>
        </w:rPr>
        <w:lastRenderedPageBreak/>
        <w:t>War was appointed Assistant District Attorney for the Louisville area before being promoted to District Attorney for the area in 1866.</w:t>
      </w:r>
      <w:r w:rsidRPr="00F06201">
        <w:rPr>
          <w:rFonts w:ascii="Times New Roman" w:hAnsi="Times New Roman" w:cs="Times New Roman"/>
          <w:sz w:val="24"/>
          <w:szCs w:val="24"/>
          <w:vertAlign w:val="superscript"/>
        </w:rPr>
        <w:footnoteReference w:id="1087"/>
      </w:r>
      <w:r w:rsidRPr="00F06201">
        <w:rPr>
          <w:rFonts w:ascii="Times New Roman" w:hAnsi="Times New Roman" w:cs="Times New Roman"/>
          <w:sz w:val="24"/>
          <w:szCs w:val="24"/>
        </w:rPr>
        <w:t xml:space="preserve"> In 1870, Bristow was appointed to be America’s first United States Solicitor General, a post which assists the Attorney General </w:t>
      </w:r>
      <w:r w:rsidR="00446340">
        <w:rPr>
          <w:rFonts w:ascii="Times New Roman" w:hAnsi="Times New Roman" w:cs="Times New Roman"/>
          <w:sz w:val="24"/>
          <w:szCs w:val="24"/>
        </w:rPr>
        <w:t xml:space="preserve">by </w:t>
      </w:r>
      <w:r w:rsidRPr="00F06201">
        <w:rPr>
          <w:rFonts w:ascii="Times New Roman" w:hAnsi="Times New Roman" w:cs="Times New Roman"/>
          <w:sz w:val="24"/>
          <w:szCs w:val="24"/>
        </w:rPr>
        <w:t>argu</w:t>
      </w:r>
      <w:r w:rsidR="00446340">
        <w:rPr>
          <w:rFonts w:ascii="Times New Roman" w:hAnsi="Times New Roman" w:cs="Times New Roman"/>
          <w:sz w:val="24"/>
          <w:szCs w:val="24"/>
        </w:rPr>
        <w:t>ing</w:t>
      </w:r>
      <w:r w:rsidRPr="00F06201">
        <w:rPr>
          <w:rFonts w:ascii="Times New Roman" w:hAnsi="Times New Roman" w:cs="Times New Roman"/>
          <w:sz w:val="24"/>
          <w:szCs w:val="24"/>
        </w:rPr>
        <w:t xml:space="preserve"> cases before the Supreme Court.</w:t>
      </w:r>
      <w:r w:rsidRPr="00F06201">
        <w:rPr>
          <w:rFonts w:ascii="Times New Roman" w:hAnsi="Times New Roman" w:cs="Times New Roman"/>
          <w:sz w:val="24"/>
          <w:szCs w:val="24"/>
          <w:vertAlign w:val="superscript"/>
        </w:rPr>
        <w:footnoteReference w:id="1088"/>
      </w:r>
      <w:r w:rsidRPr="00F06201">
        <w:rPr>
          <w:rFonts w:ascii="Times New Roman" w:hAnsi="Times New Roman" w:cs="Times New Roman"/>
          <w:sz w:val="24"/>
          <w:szCs w:val="24"/>
        </w:rPr>
        <w:t xml:space="preserve"> During his rise to prominence, Bristow became known as a reformer within the Republican Party, cleaning up his offices and rooting out corruption in others. He stated his philosophy on reform </w:t>
      </w:r>
      <w:r w:rsidR="00256033">
        <w:rPr>
          <w:rFonts w:ascii="Times New Roman" w:hAnsi="Times New Roman" w:cs="Times New Roman"/>
          <w:sz w:val="24"/>
          <w:szCs w:val="24"/>
        </w:rPr>
        <w:t>during</w:t>
      </w:r>
      <w:r w:rsidRPr="00F06201">
        <w:rPr>
          <w:rFonts w:ascii="Times New Roman" w:hAnsi="Times New Roman" w:cs="Times New Roman"/>
          <w:sz w:val="24"/>
          <w:szCs w:val="24"/>
        </w:rPr>
        <w:t xml:space="preserve"> the 1876 election</w:t>
      </w:r>
      <w:r w:rsidR="00256033">
        <w:rPr>
          <w:rFonts w:ascii="Times New Roman" w:hAnsi="Times New Roman" w:cs="Times New Roman"/>
          <w:sz w:val="24"/>
          <w:szCs w:val="24"/>
        </w:rPr>
        <w:t xml:space="preserve"> campaign</w:t>
      </w:r>
      <w:r w:rsidRPr="00F06201">
        <w:rPr>
          <w:rFonts w:ascii="Times New Roman" w:hAnsi="Times New Roman" w:cs="Times New Roman"/>
          <w:sz w:val="24"/>
          <w:szCs w:val="24"/>
        </w:rPr>
        <w:t>: “I believe that the way to insure success in 1876 is to purge the party of all rogues that have fastened themselves upon us and to satisfy the people that we mean to have honest government.”</w:t>
      </w:r>
      <w:r w:rsidRPr="00F06201">
        <w:rPr>
          <w:rFonts w:ascii="Times New Roman" w:hAnsi="Times New Roman" w:cs="Times New Roman"/>
          <w:sz w:val="24"/>
          <w:szCs w:val="24"/>
          <w:vertAlign w:val="superscript"/>
        </w:rPr>
        <w:footnoteReference w:id="1089"/>
      </w:r>
      <w:r w:rsidRPr="00F06201">
        <w:rPr>
          <w:rFonts w:ascii="Times New Roman" w:hAnsi="Times New Roman" w:cs="Times New Roman"/>
          <w:sz w:val="24"/>
          <w:szCs w:val="24"/>
        </w:rPr>
        <w:t xml:space="preserve"> In this </w:t>
      </w:r>
      <w:r w:rsidR="00256033">
        <w:rPr>
          <w:rFonts w:ascii="Times New Roman" w:hAnsi="Times New Roman" w:cs="Times New Roman"/>
          <w:sz w:val="24"/>
          <w:szCs w:val="24"/>
        </w:rPr>
        <w:t>crusade</w:t>
      </w:r>
      <w:r w:rsidRPr="00F06201">
        <w:rPr>
          <w:rFonts w:ascii="Times New Roman" w:hAnsi="Times New Roman" w:cs="Times New Roman"/>
          <w:sz w:val="24"/>
          <w:szCs w:val="24"/>
        </w:rPr>
        <w:t xml:space="preserve"> Bristow gained a key ally in Solicitor of the Treasury Bluford Wilson, </w:t>
      </w:r>
      <w:r w:rsidR="008C7E50">
        <w:rPr>
          <w:rFonts w:ascii="Times New Roman" w:hAnsi="Times New Roman" w:cs="Times New Roman"/>
          <w:sz w:val="24"/>
          <w:szCs w:val="24"/>
        </w:rPr>
        <w:t xml:space="preserve">with </w:t>
      </w:r>
      <w:r w:rsidRPr="00F06201">
        <w:rPr>
          <w:rFonts w:ascii="Times New Roman" w:hAnsi="Times New Roman" w:cs="Times New Roman"/>
          <w:sz w:val="24"/>
          <w:szCs w:val="24"/>
        </w:rPr>
        <w:t>who</w:t>
      </w:r>
      <w:r w:rsidR="008C7E50">
        <w:rPr>
          <w:rFonts w:ascii="Times New Roman" w:hAnsi="Times New Roman" w:cs="Times New Roman"/>
          <w:sz w:val="24"/>
          <w:szCs w:val="24"/>
        </w:rPr>
        <w:t>m</w:t>
      </w:r>
      <w:r w:rsidRPr="00F06201">
        <w:rPr>
          <w:rFonts w:ascii="Times New Roman" w:hAnsi="Times New Roman" w:cs="Times New Roman"/>
          <w:sz w:val="24"/>
          <w:szCs w:val="24"/>
        </w:rPr>
        <w:t xml:space="preserve"> he kept close communication for both his friendship and his commitment to revamping the rotting political system.</w:t>
      </w:r>
      <w:r w:rsidRPr="00F06201">
        <w:rPr>
          <w:rFonts w:ascii="Times New Roman" w:hAnsi="Times New Roman" w:cs="Times New Roman"/>
          <w:sz w:val="24"/>
          <w:szCs w:val="24"/>
          <w:vertAlign w:val="superscript"/>
        </w:rPr>
        <w:footnoteReference w:id="1090"/>
      </w:r>
    </w:p>
    <w:p w14:paraId="54F46C7F" w14:textId="43D53324"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In 1874, Bristow was appointed Secretary of the Treasury to replace William Richardson in the wake of a scandal involving the improper collection and payment of Treasury contracts to private citizens known as the Sanborn incident.</w:t>
      </w:r>
      <w:r w:rsidRPr="00F06201">
        <w:rPr>
          <w:rFonts w:ascii="Times New Roman" w:hAnsi="Times New Roman" w:cs="Times New Roman"/>
          <w:sz w:val="24"/>
          <w:szCs w:val="24"/>
          <w:vertAlign w:val="superscript"/>
        </w:rPr>
        <w:footnoteReference w:id="1091"/>
      </w:r>
      <w:r w:rsidRPr="00F06201">
        <w:rPr>
          <w:rFonts w:ascii="Times New Roman" w:hAnsi="Times New Roman" w:cs="Times New Roman"/>
          <w:sz w:val="24"/>
          <w:szCs w:val="24"/>
        </w:rPr>
        <w:t xml:space="preserve"> In this post, Bristow played a key role in the ousting of several members of Grant’s </w:t>
      </w:r>
      <w:r w:rsidR="00643004">
        <w:rPr>
          <w:rFonts w:ascii="Times New Roman" w:hAnsi="Times New Roman" w:cs="Times New Roman"/>
          <w:sz w:val="24"/>
          <w:szCs w:val="24"/>
        </w:rPr>
        <w:t>Ca</w:t>
      </w:r>
      <w:r w:rsidRPr="00F06201">
        <w:rPr>
          <w:rFonts w:ascii="Times New Roman" w:hAnsi="Times New Roman" w:cs="Times New Roman"/>
          <w:sz w:val="24"/>
          <w:szCs w:val="24"/>
        </w:rPr>
        <w:t xml:space="preserve">binet, some for legitimate reasons and others for personal reasons. While serving as Solicitor General, Bristow undermined </w:t>
      </w:r>
      <w:r w:rsidR="007F6CAC">
        <w:rPr>
          <w:rFonts w:ascii="Times New Roman" w:hAnsi="Times New Roman" w:cs="Times New Roman"/>
          <w:sz w:val="24"/>
          <w:szCs w:val="24"/>
        </w:rPr>
        <w:t>the</w:t>
      </w:r>
      <w:r w:rsidRPr="00F06201">
        <w:rPr>
          <w:rFonts w:ascii="Times New Roman" w:hAnsi="Times New Roman" w:cs="Times New Roman"/>
          <w:sz w:val="24"/>
          <w:szCs w:val="24"/>
        </w:rPr>
        <w:t xml:space="preserve"> Attorney General Amos T. Akerman until </w:t>
      </w:r>
      <w:r w:rsidR="007F6CAC">
        <w:rPr>
          <w:rFonts w:ascii="Times New Roman" w:hAnsi="Times New Roman" w:cs="Times New Roman"/>
          <w:sz w:val="24"/>
          <w:szCs w:val="24"/>
        </w:rPr>
        <w:t>left Grant no choice but</w:t>
      </w:r>
      <w:r w:rsidRPr="00F06201">
        <w:rPr>
          <w:rFonts w:ascii="Times New Roman" w:hAnsi="Times New Roman" w:cs="Times New Roman"/>
          <w:sz w:val="24"/>
          <w:szCs w:val="24"/>
        </w:rPr>
        <w:t xml:space="preserve"> to replac</w:t>
      </w:r>
      <w:r w:rsidR="007F6CAC">
        <w:rPr>
          <w:rFonts w:ascii="Times New Roman" w:hAnsi="Times New Roman" w:cs="Times New Roman"/>
          <w:sz w:val="24"/>
          <w:szCs w:val="24"/>
        </w:rPr>
        <w:t>e</w:t>
      </w:r>
      <w:r w:rsidRPr="00F06201">
        <w:rPr>
          <w:rFonts w:ascii="Times New Roman" w:hAnsi="Times New Roman" w:cs="Times New Roman"/>
          <w:sz w:val="24"/>
          <w:szCs w:val="24"/>
        </w:rPr>
        <w:t xml:space="preserve"> him with George Williams.</w:t>
      </w:r>
      <w:r w:rsidRPr="00F06201">
        <w:rPr>
          <w:rFonts w:ascii="Times New Roman" w:hAnsi="Times New Roman" w:cs="Times New Roman"/>
          <w:sz w:val="24"/>
          <w:szCs w:val="24"/>
          <w:vertAlign w:val="superscript"/>
        </w:rPr>
        <w:footnoteReference w:id="1092"/>
      </w:r>
      <w:r w:rsidRPr="00F06201">
        <w:rPr>
          <w:rFonts w:ascii="Times New Roman" w:hAnsi="Times New Roman" w:cs="Times New Roman"/>
          <w:sz w:val="24"/>
          <w:szCs w:val="24"/>
        </w:rPr>
        <w:t xml:space="preserve"> Bristow was </w:t>
      </w:r>
      <w:r w:rsidR="00996EFC">
        <w:rPr>
          <w:rFonts w:ascii="Times New Roman" w:hAnsi="Times New Roman" w:cs="Times New Roman"/>
          <w:sz w:val="24"/>
          <w:szCs w:val="24"/>
        </w:rPr>
        <w:t xml:space="preserve">then </w:t>
      </w:r>
      <w:r w:rsidRPr="00F06201">
        <w:rPr>
          <w:rFonts w:ascii="Times New Roman" w:hAnsi="Times New Roman" w:cs="Times New Roman"/>
          <w:sz w:val="24"/>
          <w:szCs w:val="24"/>
        </w:rPr>
        <w:t xml:space="preserve">influential in the aforementioned ousting of Attorney General Williams, though he </w:t>
      </w:r>
      <w:r w:rsidR="00634F52">
        <w:rPr>
          <w:rFonts w:ascii="Times New Roman" w:hAnsi="Times New Roman" w:cs="Times New Roman"/>
          <w:sz w:val="24"/>
          <w:szCs w:val="24"/>
        </w:rPr>
        <w:t xml:space="preserve">finally </w:t>
      </w:r>
      <w:r w:rsidRPr="00F06201">
        <w:rPr>
          <w:rFonts w:ascii="Times New Roman" w:hAnsi="Times New Roman" w:cs="Times New Roman"/>
          <w:sz w:val="24"/>
          <w:szCs w:val="24"/>
        </w:rPr>
        <w:t xml:space="preserve">came to work well with his replacement, Edwards Pierrepont, perhaps because </w:t>
      </w:r>
      <w:r w:rsidRPr="00F06201">
        <w:rPr>
          <w:rFonts w:ascii="Times New Roman" w:hAnsi="Times New Roman" w:cs="Times New Roman"/>
          <w:sz w:val="24"/>
          <w:szCs w:val="24"/>
        </w:rPr>
        <w:lastRenderedPageBreak/>
        <w:t>they were equals in the cabinet and not in a superior-subordinate relationship.</w:t>
      </w:r>
      <w:r w:rsidRPr="00F06201">
        <w:rPr>
          <w:rFonts w:ascii="Times New Roman" w:hAnsi="Times New Roman" w:cs="Times New Roman"/>
          <w:sz w:val="24"/>
          <w:szCs w:val="24"/>
          <w:vertAlign w:val="superscript"/>
        </w:rPr>
        <w:footnoteReference w:id="1093"/>
      </w:r>
      <w:r w:rsidRPr="00F06201">
        <w:rPr>
          <w:rFonts w:ascii="Times New Roman" w:hAnsi="Times New Roman" w:cs="Times New Roman"/>
          <w:sz w:val="24"/>
          <w:szCs w:val="24"/>
        </w:rPr>
        <w:t xml:space="preserve"> He found another “rogue” in the cabinet in the form of Secretary of the Interior Columbus Delano, who he found to be engaging in land office schemes in the Wyoming Territory with his son John.</w:t>
      </w:r>
      <w:r w:rsidRPr="00F06201">
        <w:rPr>
          <w:rFonts w:ascii="Times New Roman" w:hAnsi="Times New Roman" w:cs="Times New Roman"/>
          <w:sz w:val="24"/>
          <w:szCs w:val="24"/>
          <w:vertAlign w:val="superscript"/>
        </w:rPr>
        <w:footnoteReference w:id="1094"/>
      </w:r>
      <w:r w:rsidRPr="00F06201">
        <w:rPr>
          <w:rFonts w:ascii="Times New Roman" w:hAnsi="Times New Roman" w:cs="Times New Roman"/>
          <w:sz w:val="24"/>
          <w:szCs w:val="24"/>
        </w:rPr>
        <w:t xml:space="preserve"> The schemes were legal </w:t>
      </w:r>
      <w:r w:rsidR="00941ED7">
        <w:rPr>
          <w:rFonts w:ascii="Times New Roman" w:hAnsi="Times New Roman" w:cs="Times New Roman"/>
          <w:sz w:val="24"/>
          <w:szCs w:val="24"/>
        </w:rPr>
        <w:t>by</w:t>
      </w:r>
      <w:r w:rsidRPr="00F06201">
        <w:rPr>
          <w:rFonts w:ascii="Times New Roman" w:hAnsi="Times New Roman" w:cs="Times New Roman"/>
          <w:sz w:val="24"/>
          <w:szCs w:val="24"/>
        </w:rPr>
        <w:t xml:space="preserve"> the letter of the law, but they were clearly attempts to cheat the government</w:t>
      </w:r>
      <w:r w:rsidR="00FE7B4D">
        <w:rPr>
          <w:rFonts w:ascii="Times New Roman" w:hAnsi="Times New Roman" w:cs="Times New Roman"/>
          <w:sz w:val="24"/>
          <w:szCs w:val="24"/>
        </w:rPr>
        <w:t xml:space="preserve"> and the intent of the law</w:t>
      </w:r>
      <w:r w:rsidR="008A2BA4">
        <w:rPr>
          <w:rFonts w:ascii="Times New Roman" w:hAnsi="Times New Roman" w:cs="Times New Roman"/>
          <w:sz w:val="24"/>
          <w:szCs w:val="24"/>
        </w:rPr>
        <w:t xml:space="preserve">, leaving </w:t>
      </w:r>
      <w:r w:rsidRPr="00F06201">
        <w:rPr>
          <w:rFonts w:ascii="Times New Roman" w:hAnsi="Times New Roman" w:cs="Times New Roman"/>
          <w:sz w:val="24"/>
          <w:szCs w:val="24"/>
        </w:rPr>
        <w:t xml:space="preserve">Grant </w:t>
      </w:r>
      <w:r w:rsidR="008A2BA4">
        <w:rPr>
          <w:rFonts w:ascii="Times New Roman" w:hAnsi="Times New Roman" w:cs="Times New Roman"/>
          <w:sz w:val="24"/>
          <w:szCs w:val="24"/>
        </w:rPr>
        <w:t>to replace</w:t>
      </w:r>
      <w:r w:rsidRPr="00F06201">
        <w:rPr>
          <w:rFonts w:ascii="Times New Roman" w:hAnsi="Times New Roman" w:cs="Times New Roman"/>
          <w:sz w:val="24"/>
          <w:szCs w:val="24"/>
        </w:rPr>
        <w:t xml:space="preserve"> Delano</w:t>
      </w:r>
      <w:r w:rsidR="008A2BA4">
        <w:rPr>
          <w:rFonts w:ascii="Times New Roman" w:hAnsi="Times New Roman" w:cs="Times New Roman"/>
          <w:sz w:val="24"/>
          <w:szCs w:val="24"/>
        </w:rPr>
        <w:t xml:space="preserve"> with</w:t>
      </w:r>
      <w:r w:rsidRPr="00F06201">
        <w:rPr>
          <w:rFonts w:ascii="Times New Roman" w:hAnsi="Times New Roman" w:cs="Times New Roman"/>
          <w:sz w:val="24"/>
          <w:szCs w:val="24"/>
        </w:rPr>
        <w:t xml:space="preserve"> Zachariah Chandler.</w:t>
      </w:r>
      <w:r w:rsidRPr="00F06201">
        <w:rPr>
          <w:rFonts w:ascii="Times New Roman" w:hAnsi="Times New Roman" w:cs="Times New Roman"/>
          <w:sz w:val="24"/>
          <w:szCs w:val="24"/>
          <w:vertAlign w:val="superscript"/>
        </w:rPr>
        <w:footnoteReference w:id="1095"/>
      </w:r>
      <w:r w:rsidRPr="00F06201">
        <w:rPr>
          <w:rFonts w:ascii="Times New Roman" w:hAnsi="Times New Roman" w:cs="Times New Roman"/>
          <w:sz w:val="24"/>
          <w:szCs w:val="24"/>
        </w:rPr>
        <w:t xml:space="preserve"> Bristow’s efforts </w:t>
      </w:r>
      <w:r w:rsidR="0097566E">
        <w:rPr>
          <w:rFonts w:ascii="Times New Roman" w:hAnsi="Times New Roman" w:cs="Times New Roman"/>
          <w:sz w:val="24"/>
          <w:szCs w:val="24"/>
        </w:rPr>
        <w:t>had</w:t>
      </w:r>
      <w:r w:rsidRPr="00F06201">
        <w:rPr>
          <w:rFonts w:ascii="Times New Roman" w:hAnsi="Times New Roman" w:cs="Times New Roman"/>
          <w:sz w:val="24"/>
          <w:szCs w:val="24"/>
        </w:rPr>
        <w:t xml:space="preserve"> a significant </w:t>
      </w:r>
      <w:r w:rsidR="0097566E">
        <w:rPr>
          <w:rFonts w:ascii="Times New Roman" w:hAnsi="Times New Roman" w:cs="Times New Roman"/>
          <w:sz w:val="24"/>
          <w:szCs w:val="24"/>
        </w:rPr>
        <w:t>impact o</w:t>
      </w:r>
      <w:r w:rsidRPr="00F06201">
        <w:rPr>
          <w:rFonts w:ascii="Times New Roman" w:hAnsi="Times New Roman" w:cs="Times New Roman"/>
          <w:sz w:val="24"/>
          <w:szCs w:val="24"/>
        </w:rPr>
        <w:t xml:space="preserve">n the cabinet and struck </w:t>
      </w:r>
      <w:r w:rsidR="0097566E">
        <w:rPr>
          <w:rFonts w:ascii="Times New Roman" w:hAnsi="Times New Roman" w:cs="Times New Roman"/>
          <w:sz w:val="24"/>
          <w:szCs w:val="24"/>
        </w:rPr>
        <w:t>several resounding blows</w:t>
      </w:r>
      <w:r w:rsidRPr="00F06201">
        <w:rPr>
          <w:rFonts w:ascii="Times New Roman" w:hAnsi="Times New Roman" w:cs="Times New Roman"/>
          <w:sz w:val="24"/>
          <w:szCs w:val="24"/>
        </w:rPr>
        <w:t xml:space="preserve"> for Grant’s desired civil service reforms.</w:t>
      </w:r>
    </w:p>
    <w:p w14:paraId="3FF33042" w14:textId="2959FA61"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 xml:space="preserve">Ironically, President Grant’s two major concerns in his 1874 Annual Message – economics and civil service reform – polymerized to create a scandal of national proportions that implicated local and federal </w:t>
      </w:r>
      <w:r w:rsidR="00632F48">
        <w:rPr>
          <w:rFonts w:ascii="Times New Roman" w:hAnsi="Times New Roman" w:cs="Times New Roman"/>
          <w:sz w:val="24"/>
          <w:szCs w:val="24"/>
        </w:rPr>
        <w:t xml:space="preserve">government </w:t>
      </w:r>
      <w:r w:rsidRPr="00F06201">
        <w:rPr>
          <w:rFonts w:ascii="Times New Roman" w:hAnsi="Times New Roman" w:cs="Times New Roman"/>
          <w:sz w:val="24"/>
          <w:szCs w:val="24"/>
        </w:rPr>
        <w:t>employees in an effort to steal millions in revenue from the government. The Whiskey Ring dated to the Lincoln Administration, as whiskey distillers in the Midwest bribed treasury agents to evade taxes on their products.</w:t>
      </w:r>
      <w:r w:rsidRPr="00F06201">
        <w:rPr>
          <w:rFonts w:ascii="Times New Roman" w:hAnsi="Times New Roman" w:cs="Times New Roman"/>
          <w:sz w:val="24"/>
          <w:szCs w:val="24"/>
          <w:vertAlign w:val="superscript"/>
        </w:rPr>
        <w:footnoteReference w:id="1096"/>
      </w:r>
      <w:r w:rsidRPr="00F06201">
        <w:rPr>
          <w:rFonts w:ascii="Times New Roman" w:hAnsi="Times New Roman" w:cs="Times New Roman"/>
          <w:sz w:val="24"/>
          <w:szCs w:val="24"/>
        </w:rPr>
        <w:t xml:space="preserve"> It took on a </w:t>
      </w:r>
      <w:r w:rsidR="00945782">
        <w:rPr>
          <w:rFonts w:ascii="Times New Roman" w:hAnsi="Times New Roman" w:cs="Times New Roman"/>
          <w:sz w:val="24"/>
          <w:szCs w:val="24"/>
        </w:rPr>
        <w:t>more spirited</w:t>
      </w:r>
      <w:r w:rsidRPr="00F06201">
        <w:rPr>
          <w:rFonts w:ascii="Times New Roman" w:hAnsi="Times New Roman" w:cs="Times New Roman"/>
          <w:sz w:val="24"/>
          <w:szCs w:val="24"/>
        </w:rPr>
        <w:t xml:space="preserve"> dynamic during the Grant Administration, as corrupt civil serv</w:t>
      </w:r>
      <w:r w:rsidR="00CC0F28">
        <w:rPr>
          <w:rFonts w:ascii="Times New Roman" w:hAnsi="Times New Roman" w:cs="Times New Roman"/>
          <w:sz w:val="24"/>
          <w:szCs w:val="24"/>
        </w:rPr>
        <w:t>ants</w:t>
      </w:r>
      <w:r w:rsidRPr="00F06201">
        <w:rPr>
          <w:rFonts w:ascii="Times New Roman" w:hAnsi="Times New Roman" w:cs="Times New Roman"/>
          <w:sz w:val="24"/>
          <w:szCs w:val="24"/>
        </w:rPr>
        <w:t xml:space="preserve"> began to work with the distillers to continually steal revenue from the federal government. This resulted in inquests helmed by Bristow into those involved in the frauds, and his investigation went so high as to implicate General Orville Babcock. The investigations came to a head in criminal trials that captured the attention of the nation and became one of the most notorious scandals of its era, if not all of American history.</w:t>
      </w:r>
    </w:p>
    <w:p w14:paraId="0484551F" w14:textId="56789F00" w:rsidR="0024515D" w:rsidRPr="00F06201" w:rsidRDefault="00F06201" w:rsidP="006054F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Babcock’s alleged actions as a key member of the Whiskey Ring have been the lasting impression historians have of his role as a political agent, and for good reason. This event was </w:t>
      </w:r>
      <w:r w:rsidRPr="00F06201">
        <w:rPr>
          <w:rFonts w:ascii="Times New Roman" w:hAnsi="Times New Roman" w:cs="Times New Roman"/>
          <w:sz w:val="24"/>
          <w:szCs w:val="24"/>
        </w:rPr>
        <w:lastRenderedPageBreak/>
        <w:t>arguably the biggest political scandal amidst the Reconstruction Era apart from</w:t>
      </w:r>
      <w:r w:rsidR="006D365D">
        <w:rPr>
          <w:rFonts w:ascii="Times New Roman" w:hAnsi="Times New Roman" w:cs="Times New Roman"/>
          <w:sz w:val="24"/>
          <w:szCs w:val="24"/>
        </w:rPr>
        <w:t xml:space="preserve"> the</w:t>
      </w:r>
      <w:r w:rsidRPr="00F06201">
        <w:rPr>
          <w:rFonts w:ascii="Times New Roman" w:hAnsi="Times New Roman" w:cs="Times New Roman"/>
          <w:sz w:val="24"/>
          <w:szCs w:val="24"/>
        </w:rPr>
        <w:t xml:space="preserve"> presidential impeachment</w:t>
      </w:r>
      <w:r w:rsidR="006D365D">
        <w:rPr>
          <w:rFonts w:ascii="Times New Roman" w:hAnsi="Times New Roman" w:cs="Times New Roman"/>
          <w:sz w:val="24"/>
          <w:szCs w:val="24"/>
        </w:rPr>
        <w:t xml:space="preserve"> of Andrew Johnson</w:t>
      </w:r>
      <w:r w:rsidRPr="00F06201">
        <w:rPr>
          <w:rFonts w:ascii="Times New Roman" w:hAnsi="Times New Roman" w:cs="Times New Roman"/>
          <w:sz w:val="24"/>
          <w:szCs w:val="24"/>
        </w:rPr>
        <w:t xml:space="preserve">. It received widespread news coverage, resulted in congressional trials, and saw government officials jailed for their roles. It damaged the reputations of the President, his administration, his party, and the nation in general. This </w:t>
      </w:r>
      <w:r w:rsidR="009139D1">
        <w:rPr>
          <w:rFonts w:ascii="Times New Roman" w:hAnsi="Times New Roman" w:cs="Times New Roman"/>
          <w:sz w:val="24"/>
          <w:szCs w:val="24"/>
        </w:rPr>
        <w:t xml:space="preserve">sobering </w:t>
      </w:r>
      <w:r w:rsidRPr="00F06201">
        <w:rPr>
          <w:rFonts w:ascii="Times New Roman" w:hAnsi="Times New Roman" w:cs="Times New Roman"/>
          <w:sz w:val="24"/>
          <w:szCs w:val="24"/>
        </w:rPr>
        <w:t>event</w:t>
      </w:r>
      <w:r w:rsidR="00E86F59">
        <w:rPr>
          <w:rFonts w:ascii="Times New Roman" w:hAnsi="Times New Roman" w:cs="Times New Roman"/>
          <w:sz w:val="24"/>
          <w:szCs w:val="24"/>
        </w:rPr>
        <w:t xml:space="preserve"> ha</w:t>
      </w:r>
      <w:r w:rsidRPr="00F06201">
        <w:rPr>
          <w:rFonts w:ascii="Times New Roman" w:hAnsi="Times New Roman" w:cs="Times New Roman"/>
          <w:sz w:val="24"/>
          <w:szCs w:val="24"/>
        </w:rPr>
        <w:t>s</w:t>
      </w:r>
      <w:r w:rsidR="00E86F59">
        <w:rPr>
          <w:rFonts w:ascii="Times New Roman" w:hAnsi="Times New Roman" w:cs="Times New Roman"/>
          <w:sz w:val="24"/>
          <w:szCs w:val="24"/>
        </w:rPr>
        <w:t xml:space="preserve"> been seen by some as the defining </w:t>
      </w:r>
      <w:r w:rsidR="00BF4976">
        <w:rPr>
          <w:rFonts w:ascii="Times New Roman" w:hAnsi="Times New Roman" w:cs="Times New Roman"/>
          <w:sz w:val="24"/>
          <w:szCs w:val="24"/>
        </w:rPr>
        <w:t>mome</w:t>
      </w:r>
      <w:r w:rsidR="00E86F59">
        <w:rPr>
          <w:rFonts w:ascii="Times New Roman" w:hAnsi="Times New Roman" w:cs="Times New Roman"/>
          <w:sz w:val="24"/>
          <w:szCs w:val="24"/>
        </w:rPr>
        <w:t>nt of the</w:t>
      </w:r>
      <w:r w:rsidRPr="00F06201">
        <w:rPr>
          <w:rFonts w:ascii="Times New Roman" w:hAnsi="Times New Roman" w:cs="Times New Roman"/>
          <w:sz w:val="24"/>
          <w:szCs w:val="24"/>
        </w:rPr>
        <w:t xml:space="preserve"> Grant Administration and the Reconstruction Era at large.</w:t>
      </w:r>
      <w:r w:rsidR="00291222">
        <w:rPr>
          <w:rStyle w:val="FootnoteReference"/>
          <w:rFonts w:ascii="Times New Roman" w:hAnsi="Times New Roman" w:cs="Times New Roman"/>
          <w:sz w:val="24"/>
          <w:szCs w:val="24"/>
        </w:rPr>
        <w:footnoteReference w:id="1097"/>
      </w:r>
      <w:r w:rsidRPr="00F06201">
        <w:rPr>
          <w:rFonts w:ascii="Times New Roman" w:hAnsi="Times New Roman" w:cs="Times New Roman"/>
          <w:sz w:val="24"/>
          <w:szCs w:val="24"/>
        </w:rPr>
        <w:t xml:space="preserve"> </w:t>
      </w:r>
      <w:r w:rsidR="005E7B6E">
        <w:rPr>
          <w:rFonts w:ascii="Times New Roman" w:hAnsi="Times New Roman" w:cs="Times New Roman"/>
          <w:sz w:val="24"/>
          <w:szCs w:val="24"/>
        </w:rPr>
        <w:t>As a result</w:t>
      </w:r>
      <w:r w:rsidRPr="00F06201">
        <w:rPr>
          <w:rFonts w:ascii="Times New Roman" w:hAnsi="Times New Roman" w:cs="Times New Roman"/>
          <w:sz w:val="24"/>
          <w:szCs w:val="24"/>
        </w:rPr>
        <w:t>, many have focused on this moment in a v</w:t>
      </w:r>
      <w:r w:rsidR="005E7B6E">
        <w:rPr>
          <w:rFonts w:ascii="Times New Roman" w:hAnsi="Times New Roman" w:cs="Times New Roman"/>
          <w:sz w:val="24"/>
          <w:szCs w:val="24"/>
        </w:rPr>
        <w:t>acuum</w:t>
      </w:r>
      <w:r w:rsidRPr="00F06201">
        <w:rPr>
          <w:rFonts w:ascii="Times New Roman" w:hAnsi="Times New Roman" w:cs="Times New Roman"/>
          <w:sz w:val="24"/>
          <w:szCs w:val="24"/>
        </w:rPr>
        <w:t xml:space="preserve"> rather than focusing on this as another step in a winding road of Reconstruction corruption. It is critical t</w:t>
      </w:r>
      <w:r w:rsidR="002C6F24">
        <w:rPr>
          <w:rFonts w:ascii="Times New Roman" w:hAnsi="Times New Roman" w:cs="Times New Roman"/>
          <w:sz w:val="24"/>
          <w:szCs w:val="24"/>
        </w:rPr>
        <w:t>o</w:t>
      </w:r>
      <w:r w:rsidRPr="00F06201">
        <w:rPr>
          <w:rFonts w:ascii="Times New Roman" w:hAnsi="Times New Roman" w:cs="Times New Roman"/>
          <w:sz w:val="24"/>
          <w:szCs w:val="24"/>
        </w:rPr>
        <w:t xml:space="preserve"> understand this event </w:t>
      </w:r>
      <w:r w:rsidR="002C6F24">
        <w:rPr>
          <w:rFonts w:ascii="Times New Roman" w:hAnsi="Times New Roman" w:cs="Times New Roman"/>
          <w:sz w:val="24"/>
          <w:szCs w:val="24"/>
        </w:rPr>
        <w:t>singularly</w:t>
      </w:r>
      <w:r w:rsidRPr="00F06201">
        <w:rPr>
          <w:rFonts w:ascii="Times New Roman" w:hAnsi="Times New Roman" w:cs="Times New Roman"/>
          <w:sz w:val="24"/>
          <w:szCs w:val="24"/>
        </w:rPr>
        <w:t xml:space="preserve"> and as </w:t>
      </w:r>
      <w:r w:rsidR="002C6F24">
        <w:rPr>
          <w:rFonts w:ascii="Times New Roman" w:hAnsi="Times New Roman" w:cs="Times New Roman"/>
          <w:sz w:val="24"/>
          <w:szCs w:val="24"/>
        </w:rPr>
        <w:t>a part</w:t>
      </w:r>
      <w:r w:rsidRPr="00F06201">
        <w:rPr>
          <w:rFonts w:ascii="Times New Roman" w:hAnsi="Times New Roman" w:cs="Times New Roman"/>
          <w:sz w:val="24"/>
          <w:szCs w:val="24"/>
        </w:rPr>
        <w:t xml:space="preserve"> of</w:t>
      </w:r>
      <w:r w:rsidR="002C6F24">
        <w:rPr>
          <w:rFonts w:ascii="Times New Roman" w:hAnsi="Times New Roman" w:cs="Times New Roman"/>
          <w:sz w:val="24"/>
          <w:szCs w:val="24"/>
        </w:rPr>
        <w:t xml:space="preserve"> a behavioral pattern in</w:t>
      </w:r>
      <w:r w:rsidRPr="00F06201">
        <w:rPr>
          <w:rFonts w:ascii="Times New Roman" w:hAnsi="Times New Roman" w:cs="Times New Roman"/>
          <w:sz w:val="24"/>
          <w:szCs w:val="24"/>
        </w:rPr>
        <w:t xml:space="preserve"> the career of Orville Babcock. By considering the event as a part of Babcock’s political career, we can see that it is the result of previous failures to secure personal fortune, opportunity based on political status, and associations with corrupt individuals and networks. The Whiskey Ring plays an important role in Babcock’s career as it exemplifies his development as a political agent, his corrupt actions in his political role, and the ways in which he damaged the reputations of almost all of those with whom he was associated because of his </w:t>
      </w:r>
      <w:r w:rsidR="0001266E">
        <w:rPr>
          <w:rFonts w:ascii="Times New Roman" w:hAnsi="Times New Roman" w:cs="Times New Roman"/>
          <w:sz w:val="24"/>
          <w:szCs w:val="24"/>
        </w:rPr>
        <w:t xml:space="preserve">personal </w:t>
      </w:r>
      <w:r w:rsidRPr="00F06201">
        <w:rPr>
          <w:rFonts w:ascii="Times New Roman" w:hAnsi="Times New Roman" w:cs="Times New Roman"/>
          <w:sz w:val="24"/>
          <w:szCs w:val="24"/>
        </w:rPr>
        <w:t>misdeeds.</w:t>
      </w:r>
    </w:p>
    <w:p w14:paraId="17229309" w14:textId="77777777" w:rsidR="00F06201" w:rsidRPr="00F06201" w:rsidRDefault="00F06201" w:rsidP="00F06201">
      <w:pPr>
        <w:jc w:val="center"/>
        <w:rPr>
          <w:rFonts w:ascii="Times New Roman" w:hAnsi="Times New Roman" w:cs="Times New Roman"/>
          <w:sz w:val="24"/>
          <w:szCs w:val="24"/>
        </w:rPr>
      </w:pPr>
      <w:r w:rsidRPr="00F06201">
        <w:rPr>
          <w:rFonts w:ascii="Times New Roman" w:hAnsi="Times New Roman" w:cs="Times New Roman"/>
          <w:sz w:val="24"/>
          <w:szCs w:val="24"/>
        </w:rPr>
        <w:t>St. Louis: The Gateway to the Theft</w:t>
      </w:r>
    </w:p>
    <w:p w14:paraId="246F83B5" w14:textId="2FEDC482" w:rsidR="00F06201" w:rsidRPr="00F06201" w:rsidRDefault="00F06201" w:rsidP="0024515D">
      <w:pPr>
        <w:spacing w:before="240" w:line="480" w:lineRule="auto"/>
        <w:rPr>
          <w:rFonts w:ascii="Times New Roman" w:hAnsi="Times New Roman" w:cs="Times New Roman"/>
          <w:sz w:val="24"/>
          <w:szCs w:val="24"/>
        </w:rPr>
      </w:pPr>
      <w:r w:rsidRPr="00F06201">
        <w:rPr>
          <w:rFonts w:ascii="Times New Roman" w:hAnsi="Times New Roman" w:cs="Times New Roman"/>
          <w:sz w:val="24"/>
          <w:szCs w:val="24"/>
        </w:rPr>
        <w:tab/>
        <w:t>The Whiskey Ring was perhaps America’s worst kept secret during the Reconstruction Era. It began during the Civil War, as whiskey distillers bribed treasury agents to evade the rising taxes on their product in an effort to create a slush fund for themselves.</w:t>
      </w:r>
      <w:r w:rsidRPr="00F06201">
        <w:rPr>
          <w:rFonts w:ascii="Times New Roman" w:hAnsi="Times New Roman" w:cs="Times New Roman"/>
          <w:sz w:val="24"/>
          <w:szCs w:val="24"/>
          <w:vertAlign w:val="superscript"/>
        </w:rPr>
        <w:footnoteReference w:id="1098"/>
      </w:r>
      <w:r w:rsidRPr="00F06201">
        <w:rPr>
          <w:rFonts w:ascii="Times New Roman" w:hAnsi="Times New Roman" w:cs="Times New Roman"/>
          <w:sz w:val="24"/>
          <w:szCs w:val="24"/>
        </w:rPr>
        <w:t xml:space="preserve"> Criminal networks develop</w:t>
      </w:r>
      <w:r w:rsidR="00CF5898">
        <w:rPr>
          <w:rFonts w:ascii="Times New Roman" w:hAnsi="Times New Roman" w:cs="Times New Roman"/>
          <w:sz w:val="24"/>
          <w:szCs w:val="24"/>
        </w:rPr>
        <w:t>ed</w:t>
      </w:r>
      <w:r w:rsidRPr="00F06201">
        <w:rPr>
          <w:rFonts w:ascii="Times New Roman" w:hAnsi="Times New Roman" w:cs="Times New Roman"/>
          <w:sz w:val="24"/>
          <w:szCs w:val="24"/>
        </w:rPr>
        <w:t xml:space="preserve"> through</w:t>
      </w:r>
      <w:r w:rsidR="00CF5898">
        <w:rPr>
          <w:rFonts w:ascii="Times New Roman" w:hAnsi="Times New Roman" w:cs="Times New Roman"/>
          <w:sz w:val="24"/>
          <w:szCs w:val="24"/>
        </w:rPr>
        <w:t>out</w:t>
      </w:r>
      <w:r w:rsidRPr="00F06201">
        <w:rPr>
          <w:rFonts w:ascii="Times New Roman" w:hAnsi="Times New Roman" w:cs="Times New Roman"/>
          <w:sz w:val="24"/>
          <w:szCs w:val="24"/>
        </w:rPr>
        <w:t xml:space="preserve"> Reconstruction, and in the 1870s they took on the added </w:t>
      </w:r>
      <w:r w:rsidR="00D548D6">
        <w:rPr>
          <w:rFonts w:ascii="Times New Roman" w:hAnsi="Times New Roman" w:cs="Times New Roman"/>
          <w:sz w:val="24"/>
          <w:szCs w:val="24"/>
        </w:rPr>
        <w:t>dimension</w:t>
      </w:r>
      <w:r w:rsidRPr="00F06201">
        <w:rPr>
          <w:rFonts w:ascii="Times New Roman" w:hAnsi="Times New Roman" w:cs="Times New Roman"/>
          <w:sz w:val="24"/>
          <w:szCs w:val="24"/>
        </w:rPr>
        <w:t xml:space="preserve"> of </w:t>
      </w:r>
      <w:r w:rsidRPr="00F06201">
        <w:rPr>
          <w:rFonts w:ascii="Times New Roman" w:hAnsi="Times New Roman" w:cs="Times New Roman"/>
          <w:sz w:val="24"/>
          <w:szCs w:val="24"/>
        </w:rPr>
        <w:lastRenderedPageBreak/>
        <w:t>including federal agents in the efforts to skim taxes on spirits. These networks developed in cities across the Midwest, with hubs in Milwaukee, Cincinnati, and Chicago, but it was based in St. Louis, Missouri.</w:t>
      </w:r>
      <w:r w:rsidRPr="00F06201">
        <w:rPr>
          <w:rFonts w:ascii="Times New Roman" w:hAnsi="Times New Roman" w:cs="Times New Roman"/>
          <w:sz w:val="24"/>
          <w:szCs w:val="24"/>
          <w:vertAlign w:val="superscript"/>
        </w:rPr>
        <w:footnoteReference w:id="1099"/>
      </w:r>
      <w:r w:rsidRPr="00F06201">
        <w:rPr>
          <w:rFonts w:ascii="Times New Roman" w:hAnsi="Times New Roman" w:cs="Times New Roman"/>
          <w:sz w:val="24"/>
          <w:szCs w:val="24"/>
        </w:rPr>
        <w:t xml:space="preserve"> Due to the intensive network of distillers, local agents, and federal connections with powers in Washington, the development of the Whiskey Ring in St. Louis is the </w:t>
      </w:r>
      <w:r w:rsidR="00FF3BCE">
        <w:rPr>
          <w:rFonts w:ascii="Times New Roman" w:hAnsi="Times New Roman" w:cs="Times New Roman"/>
          <w:sz w:val="24"/>
          <w:szCs w:val="24"/>
        </w:rPr>
        <w:t>most appropriate loci of focus for this scandal</w:t>
      </w:r>
      <w:r w:rsidRPr="00F06201">
        <w:rPr>
          <w:rFonts w:ascii="Times New Roman" w:hAnsi="Times New Roman" w:cs="Times New Roman"/>
          <w:sz w:val="24"/>
          <w:szCs w:val="24"/>
        </w:rPr>
        <w:t>.</w:t>
      </w:r>
      <w:r w:rsidR="00F03B21">
        <w:rPr>
          <w:rFonts w:ascii="Times New Roman" w:hAnsi="Times New Roman" w:cs="Times New Roman"/>
          <w:sz w:val="24"/>
          <w:szCs w:val="24"/>
        </w:rPr>
        <w:t xml:space="preserve"> T</w:t>
      </w:r>
      <w:r w:rsidRPr="00F06201">
        <w:rPr>
          <w:rFonts w:ascii="Times New Roman" w:hAnsi="Times New Roman" w:cs="Times New Roman"/>
          <w:sz w:val="24"/>
          <w:szCs w:val="24"/>
        </w:rPr>
        <w:t>he contacts developed by Orville Babcock in St. Louis, as well as his subsequent trial in the city, focuses our attention on this city rather than on other</w:t>
      </w:r>
      <w:r w:rsidR="008C6F52">
        <w:rPr>
          <w:rFonts w:ascii="Times New Roman" w:hAnsi="Times New Roman" w:cs="Times New Roman"/>
          <w:sz w:val="24"/>
          <w:szCs w:val="24"/>
        </w:rPr>
        <w:t xml:space="preserve"> distilled turmoil in the region</w:t>
      </w:r>
      <w:r w:rsidRPr="00F06201">
        <w:rPr>
          <w:rFonts w:ascii="Times New Roman" w:hAnsi="Times New Roman" w:cs="Times New Roman"/>
          <w:sz w:val="24"/>
          <w:szCs w:val="24"/>
        </w:rPr>
        <w:t>.</w:t>
      </w:r>
    </w:p>
    <w:p w14:paraId="651C7C83" w14:textId="097D61B8"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Why was whiskey the focus of this developing criminal enterprise? Liquor taxes were a significant source of income in Reconstruction-era America. </w:t>
      </w:r>
      <w:r w:rsidR="00FA58BC">
        <w:rPr>
          <w:rFonts w:ascii="Times New Roman" w:hAnsi="Times New Roman" w:cs="Times New Roman"/>
          <w:sz w:val="24"/>
          <w:szCs w:val="24"/>
        </w:rPr>
        <w:t>The money was there to attract the criminals, but i</w:t>
      </w:r>
      <w:r w:rsidRPr="00F06201">
        <w:rPr>
          <w:rFonts w:ascii="Times New Roman" w:hAnsi="Times New Roman" w:cs="Times New Roman"/>
          <w:sz w:val="24"/>
          <w:szCs w:val="24"/>
        </w:rPr>
        <w:t>f one were to defraud the government by bilking funds from whiskey sales, they could not fully capitalize on it without the assistance of the several businesses</w:t>
      </w:r>
      <w:r w:rsidR="00FA58BC">
        <w:rPr>
          <w:rFonts w:ascii="Times New Roman" w:hAnsi="Times New Roman" w:cs="Times New Roman"/>
          <w:sz w:val="24"/>
          <w:szCs w:val="24"/>
        </w:rPr>
        <w:t xml:space="preserve"> and government agents</w:t>
      </w:r>
      <w:r w:rsidRPr="00F06201">
        <w:rPr>
          <w:rFonts w:ascii="Times New Roman" w:hAnsi="Times New Roman" w:cs="Times New Roman"/>
          <w:sz w:val="24"/>
          <w:szCs w:val="24"/>
        </w:rPr>
        <w:t xml:space="preserve"> involved</w:t>
      </w:r>
      <w:r w:rsidR="000426AF">
        <w:rPr>
          <w:rFonts w:ascii="Times New Roman" w:hAnsi="Times New Roman" w:cs="Times New Roman"/>
          <w:sz w:val="24"/>
          <w:szCs w:val="24"/>
        </w:rPr>
        <w:t xml:space="preserve">. Involving the businesses </w:t>
      </w:r>
      <w:r w:rsidRPr="00F06201">
        <w:rPr>
          <w:rFonts w:ascii="Times New Roman" w:hAnsi="Times New Roman" w:cs="Times New Roman"/>
          <w:sz w:val="24"/>
          <w:szCs w:val="24"/>
        </w:rPr>
        <w:t>crafting and distributing the liquor</w:t>
      </w:r>
      <w:r w:rsidR="000426AF">
        <w:rPr>
          <w:rFonts w:ascii="Times New Roman" w:hAnsi="Times New Roman" w:cs="Times New Roman"/>
          <w:sz w:val="24"/>
          <w:szCs w:val="24"/>
        </w:rPr>
        <w:t xml:space="preserve"> was necessary</w:t>
      </w:r>
      <w:r w:rsidRPr="00F06201">
        <w:rPr>
          <w:rFonts w:ascii="Times New Roman" w:hAnsi="Times New Roman" w:cs="Times New Roman"/>
          <w:sz w:val="24"/>
          <w:szCs w:val="24"/>
        </w:rPr>
        <w:t xml:space="preserve"> </w:t>
      </w:r>
      <w:r w:rsidR="000426AF">
        <w:rPr>
          <w:rFonts w:ascii="Times New Roman" w:hAnsi="Times New Roman" w:cs="Times New Roman"/>
          <w:sz w:val="24"/>
          <w:szCs w:val="24"/>
        </w:rPr>
        <w:t>du</w:t>
      </w:r>
      <w:r w:rsidRPr="00F06201">
        <w:rPr>
          <w:rFonts w:ascii="Times New Roman" w:hAnsi="Times New Roman" w:cs="Times New Roman"/>
          <w:sz w:val="24"/>
          <w:szCs w:val="24"/>
        </w:rPr>
        <w:t>e of the existing system of checks in place to prevent such fraud. Each distillery was assigned a storekeeper who kept records of the grain and other materials brought in to make the whiskey in an effort to ensure similar outputs were also recorded.</w:t>
      </w:r>
      <w:r w:rsidRPr="00F06201">
        <w:rPr>
          <w:rFonts w:ascii="Times New Roman" w:hAnsi="Times New Roman" w:cs="Times New Roman"/>
          <w:sz w:val="24"/>
          <w:szCs w:val="24"/>
          <w:vertAlign w:val="superscript"/>
        </w:rPr>
        <w:footnoteReference w:id="1100"/>
      </w:r>
      <w:r w:rsidRPr="00F06201">
        <w:rPr>
          <w:rFonts w:ascii="Times New Roman" w:hAnsi="Times New Roman" w:cs="Times New Roman"/>
          <w:sz w:val="24"/>
          <w:szCs w:val="24"/>
        </w:rPr>
        <w:t xml:space="preserve"> A gauger determined the exact amount of liquor produced and compared it to the raw materials noted by the storekeeper.</w:t>
      </w:r>
      <w:r w:rsidRPr="00F06201">
        <w:rPr>
          <w:rFonts w:ascii="Times New Roman" w:hAnsi="Times New Roman" w:cs="Times New Roman"/>
          <w:sz w:val="24"/>
          <w:szCs w:val="24"/>
          <w:vertAlign w:val="superscript"/>
        </w:rPr>
        <w:footnoteReference w:id="1101"/>
      </w:r>
      <w:r w:rsidRPr="00F06201">
        <w:rPr>
          <w:rFonts w:ascii="Times New Roman" w:hAnsi="Times New Roman" w:cs="Times New Roman"/>
          <w:sz w:val="24"/>
          <w:szCs w:val="24"/>
        </w:rPr>
        <w:t xml:space="preserve"> Each barrel of whiskey was both serial numbered and affixed with a warehouse stamp, also serial numbered, before placing the barrel in a warehouse on distillery premises.</w:t>
      </w:r>
      <w:r w:rsidRPr="00F06201">
        <w:rPr>
          <w:rFonts w:ascii="Times New Roman" w:hAnsi="Times New Roman" w:cs="Times New Roman"/>
          <w:sz w:val="24"/>
          <w:szCs w:val="24"/>
          <w:vertAlign w:val="superscript"/>
        </w:rPr>
        <w:footnoteReference w:id="1102"/>
      </w:r>
      <w:r w:rsidRPr="00F06201">
        <w:rPr>
          <w:rFonts w:ascii="Times New Roman" w:hAnsi="Times New Roman" w:cs="Times New Roman"/>
          <w:sz w:val="24"/>
          <w:szCs w:val="24"/>
        </w:rPr>
        <w:t xml:space="preserve"> Taxes had to be paid to a federal revenue collector before the barrels could leave the warehouse, at which point the barrel was affixed with yet another serial-numbered tax-paid stamp, at which point it was sent to a </w:t>
      </w:r>
      <w:r w:rsidRPr="00F06201">
        <w:rPr>
          <w:rFonts w:ascii="Times New Roman" w:hAnsi="Times New Roman" w:cs="Times New Roman"/>
          <w:sz w:val="24"/>
          <w:szCs w:val="24"/>
        </w:rPr>
        <w:lastRenderedPageBreak/>
        <w:t>rectifier for repackaging and sale to the public.</w:t>
      </w:r>
      <w:r w:rsidRPr="00F06201">
        <w:rPr>
          <w:rFonts w:ascii="Times New Roman" w:hAnsi="Times New Roman" w:cs="Times New Roman"/>
          <w:sz w:val="24"/>
          <w:szCs w:val="24"/>
          <w:vertAlign w:val="superscript"/>
        </w:rPr>
        <w:footnoteReference w:id="1103"/>
      </w:r>
      <w:r w:rsidRPr="00F06201">
        <w:rPr>
          <w:rFonts w:ascii="Times New Roman" w:hAnsi="Times New Roman" w:cs="Times New Roman"/>
          <w:sz w:val="24"/>
          <w:szCs w:val="24"/>
        </w:rPr>
        <w:t xml:space="preserve"> The rectifier, before removing the liquor from its barrel, was responsible for telling the revenue collector, who in turn had the gauger measure the liquor in the barrel once more and destroy the stamped barrels to prevent illegal reuse.</w:t>
      </w:r>
      <w:r w:rsidRPr="00F06201">
        <w:rPr>
          <w:rFonts w:ascii="Times New Roman" w:hAnsi="Times New Roman" w:cs="Times New Roman"/>
          <w:sz w:val="24"/>
          <w:szCs w:val="24"/>
          <w:vertAlign w:val="superscript"/>
        </w:rPr>
        <w:footnoteReference w:id="1104"/>
      </w:r>
      <w:r w:rsidRPr="00F06201">
        <w:rPr>
          <w:rFonts w:ascii="Times New Roman" w:hAnsi="Times New Roman" w:cs="Times New Roman"/>
          <w:sz w:val="24"/>
          <w:szCs w:val="24"/>
        </w:rPr>
        <w:t xml:space="preserve"> Within this system, the storekeepers, gaugers, and revenue collectors were all federal employees, meaning that if someone wanted to defraud the system as it existed, they needed to turn agents promised to uphold the law to their side.</w:t>
      </w:r>
      <w:r w:rsidRPr="00F06201">
        <w:rPr>
          <w:rFonts w:ascii="Times New Roman" w:hAnsi="Times New Roman" w:cs="Times New Roman"/>
          <w:sz w:val="24"/>
          <w:szCs w:val="24"/>
          <w:vertAlign w:val="superscript"/>
        </w:rPr>
        <w:footnoteReference w:id="1105"/>
      </w:r>
    </w:p>
    <w:p w14:paraId="37B37185" w14:textId="7602EAAF" w:rsid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The head of the Whiskey Ring during the Grant Administration was a Civil War veteran, and a pragmatico, General John McDonald</w:t>
      </w:r>
      <w:r w:rsidR="00C01C0C">
        <w:rPr>
          <w:rFonts w:ascii="Times New Roman" w:hAnsi="Times New Roman" w:cs="Times New Roman"/>
          <w:sz w:val="24"/>
          <w:szCs w:val="24"/>
        </w:rPr>
        <w:t xml:space="preserve"> (</w:t>
      </w:r>
      <w:r w:rsidR="00C01C0C">
        <w:rPr>
          <w:rFonts w:ascii="Times New Roman" w:hAnsi="Times New Roman" w:cs="Times New Roman"/>
          <w:b/>
          <w:bCs/>
          <w:sz w:val="24"/>
          <w:szCs w:val="24"/>
        </w:rPr>
        <w:t>Figure 5.2</w:t>
      </w:r>
      <w:r w:rsidR="00C01C0C">
        <w:rPr>
          <w:rFonts w:ascii="Times New Roman" w:hAnsi="Times New Roman" w:cs="Times New Roman"/>
          <w:sz w:val="24"/>
          <w:szCs w:val="24"/>
        </w:rPr>
        <w:t>)</w:t>
      </w:r>
      <w:r w:rsidRPr="00F06201">
        <w:rPr>
          <w:rFonts w:ascii="Times New Roman" w:hAnsi="Times New Roman" w:cs="Times New Roman"/>
          <w:sz w:val="24"/>
          <w:szCs w:val="24"/>
        </w:rPr>
        <w:t xml:space="preserve">. Born in Rochester, New York on February 22, 1832, McDonald journeyed west to St. Louis when he </w:t>
      </w:r>
      <w:r w:rsidR="00C85AF0">
        <w:rPr>
          <w:rFonts w:ascii="Times New Roman" w:hAnsi="Times New Roman" w:cs="Times New Roman"/>
          <w:sz w:val="24"/>
          <w:szCs w:val="24"/>
        </w:rPr>
        <w:t>was</w:t>
      </w:r>
      <w:r w:rsidRPr="00F06201">
        <w:rPr>
          <w:rFonts w:ascii="Times New Roman" w:hAnsi="Times New Roman" w:cs="Times New Roman"/>
          <w:sz w:val="24"/>
          <w:szCs w:val="24"/>
        </w:rPr>
        <w:t xml:space="preserve"> seventeen, where he found himself amidst a ballooning population thanks to the reach of manifest destiny.</w:t>
      </w:r>
      <w:r w:rsidRPr="00F06201">
        <w:rPr>
          <w:rFonts w:ascii="Times New Roman" w:hAnsi="Times New Roman" w:cs="Times New Roman"/>
          <w:sz w:val="24"/>
          <w:szCs w:val="24"/>
          <w:vertAlign w:val="superscript"/>
        </w:rPr>
        <w:footnoteReference w:id="1106"/>
      </w:r>
      <w:r w:rsidRPr="00F06201">
        <w:rPr>
          <w:rFonts w:ascii="Times New Roman" w:hAnsi="Times New Roman" w:cs="Times New Roman"/>
          <w:sz w:val="24"/>
          <w:szCs w:val="24"/>
        </w:rPr>
        <w:t xml:space="preserve"> In St. Louis, he</w:t>
      </w:r>
      <w:r w:rsidR="00C85AF0">
        <w:rPr>
          <w:rFonts w:ascii="Times New Roman" w:hAnsi="Times New Roman" w:cs="Times New Roman"/>
          <w:sz w:val="24"/>
          <w:szCs w:val="24"/>
        </w:rPr>
        <w:t xml:space="preserve"> w</w:t>
      </w:r>
      <w:r w:rsidRPr="00F06201">
        <w:rPr>
          <w:rFonts w:ascii="Times New Roman" w:hAnsi="Times New Roman" w:cs="Times New Roman"/>
          <w:sz w:val="24"/>
          <w:szCs w:val="24"/>
        </w:rPr>
        <w:t>ed his wife Mary while organizing a partnership with his friends to set new fees for steamboat operators.</w:t>
      </w:r>
      <w:r w:rsidRPr="00F06201">
        <w:rPr>
          <w:rFonts w:ascii="Times New Roman" w:hAnsi="Times New Roman" w:cs="Times New Roman"/>
          <w:sz w:val="24"/>
          <w:szCs w:val="24"/>
          <w:vertAlign w:val="superscript"/>
        </w:rPr>
        <w:footnoteReference w:id="1107"/>
      </w:r>
      <w:r w:rsidRPr="00F06201">
        <w:rPr>
          <w:rFonts w:ascii="Times New Roman" w:hAnsi="Times New Roman" w:cs="Times New Roman"/>
          <w:sz w:val="24"/>
          <w:szCs w:val="24"/>
        </w:rPr>
        <w:t xml:space="preserve"> His time as a </w:t>
      </w:r>
      <w:r w:rsidR="00A14B75">
        <w:rPr>
          <w:rFonts w:ascii="Times New Roman" w:hAnsi="Times New Roman" w:cs="Times New Roman"/>
          <w:sz w:val="24"/>
          <w:szCs w:val="24"/>
        </w:rPr>
        <w:t xml:space="preserve">steamboat </w:t>
      </w:r>
      <w:r w:rsidRPr="00F06201">
        <w:rPr>
          <w:rFonts w:ascii="Times New Roman" w:hAnsi="Times New Roman" w:cs="Times New Roman"/>
          <w:sz w:val="24"/>
          <w:szCs w:val="24"/>
        </w:rPr>
        <w:t xml:space="preserve">“runner” in St. Louis </w:t>
      </w:r>
      <w:r w:rsidR="00FE3FBE">
        <w:rPr>
          <w:rFonts w:ascii="Times New Roman" w:hAnsi="Times New Roman" w:cs="Times New Roman"/>
          <w:sz w:val="24"/>
          <w:szCs w:val="24"/>
        </w:rPr>
        <w:t>instill</w:t>
      </w:r>
      <w:r w:rsidRPr="00F06201">
        <w:rPr>
          <w:rFonts w:ascii="Times New Roman" w:hAnsi="Times New Roman" w:cs="Times New Roman"/>
          <w:sz w:val="24"/>
          <w:szCs w:val="24"/>
        </w:rPr>
        <w:t>ed a desire to coordinate legitimate organizations to operate under his terms as he eventually coerced the boat owners to play by his rules in spite of such factors as his illiteracy and criminality.</w:t>
      </w:r>
      <w:r w:rsidRPr="00F06201">
        <w:rPr>
          <w:rFonts w:ascii="Times New Roman" w:hAnsi="Times New Roman" w:cs="Times New Roman"/>
          <w:sz w:val="24"/>
          <w:szCs w:val="24"/>
          <w:vertAlign w:val="superscript"/>
        </w:rPr>
        <w:footnoteReference w:id="1108"/>
      </w:r>
      <w:r w:rsidRPr="00F06201">
        <w:rPr>
          <w:rFonts w:ascii="Times New Roman" w:hAnsi="Times New Roman" w:cs="Times New Roman"/>
          <w:sz w:val="24"/>
          <w:szCs w:val="24"/>
        </w:rPr>
        <w:t xml:space="preserve"> By 1860, McDonald held partnerships in several local businesses, and his wealth and status afforded him the opportunity to impact elections through mainly illegal methods.</w:t>
      </w:r>
      <w:r w:rsidRPr="00F06201">
        <w:rPr>
          <w:rFonts w:ascii="Times New Roman" w:hAnsi="Times New Roman" w:cs="Times New Roman"/>
          <w:sz w:val="24"/>
          <w:szCs w:val="24"/>
          <w:vertAlign w:val="superscript"/>
        </w:rPr>
        <w:footnoteReference w:id="1109"/>
      </w:r>
      <w:r w:rsidRPr="00F06201">
        <w:rPr>
          <w:rFonts w:ascii="Times New Roman" w:hAnsi="Times New Roman" w:cs="Times New Roman"/>
          <w:sz w:val="24"/>
          <w:szCs w:val="24"/>
        </w:rPr>
        <w:t xml:space="preserve"> At the outbreak of the Civil War, McDonald organized a regiment of men he called the ”American Zouaves,” which consisted largely of steamboat workers, and on June 1, 1861 this group was mustered in as the </w:t>
      </w:r>
    </w:p>
    <w:p w14:paraId="4F6AEDB1" w14:textId="35DC8820" w:rsidR="00C47440" w:rsidRDefault="009543E8" w:rsidP="009543E8">
      <w:pPr>
        <w:spacing w:line="480" w:lineRule="auto"/>
        <w:jc w:val="center"/>
        <w:rPr>
          <w:rFonts w:ascii="Times New Roman" w:hAnsi="Times New Roman" w:cs="Times New Roman"/>
          <w:sz w:val="24"/>
          <w:szCs w:val="24"/>
        </w:rPr>
      </w:pPr>
      <w:r w:rsidRPr="00F06201">
        <w:rPr>
          <w:rFonts w:ascii="Times New Roman" w:hAnsi="Times New Roman" w:cs="Times New Roman"/>
          <w:noProof/>
          <w:sz w:val="24"/>
          <w:szCs w:val="24"/>
        </w:rPr>
        <w:lastRenderedPageBreak/>
        <w:drawing>
          <wp:inline distT="0" distB="0" distL="0" distR="0" wp14:anchorId="685F072B" wp14:editId="42524450">
            <wp:extent cx="1921742" cy="2286000"/>
            <wp:effectExtent l="0" t="0" r="2540" b="0"/>
            <wp:docPr id="790241505" name="Picture 2" descr="A person with a beard and mustach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41505" name="Picture 2" descr="A person with a beard and mustache&#10;&#10;AI-generated content may be incorrect."/>
                    <pic:cNvPicPr/>
                  </pic:nvPicPr>
                  <pic:blipFill rotWithShape="1">
                    <a:blip r:embed="rId27">
                      <a:extLst>
                        <a:ext uri="{28A0092B-C50C-407E-A947-70E740481C1C}">
                          <a14:useLocalDpi xmlns:a14="http://schemas.microsoft.com/office/drawing/2010/main" val="0"/>
                        </a:ext>
                      </a:extLst>
                    </a:blip>
                    <a:srcRect t="6453" b="5526"/>
                    <a:stretch>
                      <a:fillRect/>
                    </a:stretch>
                  </pic:blipFill>
                  <pic:spPr bwMode="auto">
                    <a:xfrm>
                      <a:off x="0" y="0"/>
                      <a:ext cx="1955757" cy="2326463"/>
                    </a:xfrm>
                    <a:prstGeom prst="rect">
                      <a:avLst/>
                    </a:prstGeom>
                    <a:ln>
                      <a:noFill/>
                    </a:ln>
                    <a:extLst>
                      <a:ext uri="{53640926-AAD7-44D8-BBD7-CCE9431645EC}">
                        <a14:shadowObscured xmlns:a14="http://schemas.microsoft.com/office/drawing/2010/main"/>
                      </a:ext>
                    </a:extLst>
                  </pic:spPr>
                </pic:pic>
              </a:graphicData>
            </a:graphic>
          </wp:inline>
        </w:drawing>
      </w:r>
    </w:p>
    <w:p w14:paraId="073F66E0" w14:textId="42A1505F" w:rsidR="00F06201" w:rsidRPr="00C47440" w:rsidRDefault="00ED3923" w:rsidP="006054F1">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Figure 5.2: </w:t>
      </w:r>
      <w:r w:rsidR="00F06201" w:rsidRPr="00F06201">
        <w:rPr>
          <w:rFonts w:ascii="Times New Roman" w:hAnsi="Times New Roman" w:cs="Times New Roman"/>
          <w:b/>
          <w:bCs/>
          <w:sz w:val="20"/>
          <w:szCs w:val="20"/>
        </w:rPr>
        <w:t>Gen</w:t>
      </w:r>
      <w:r w:rsidR="00C47440">
        <w:rPr>
          <w:rFonts w:ascii="Times New Roman" w:hAnsi="Times New Roman" w:cs="Times New Roman"/>
          <w:b/>
          <w:bCs/>
          <w:sz w:val="20"/>
          <w:szCs w:val="20"/>
        </w:rPr>
        <w:t>eral</w:t>
      </w:r>
      <w:r w:rsidR="00F06201" w:rsidRPr="00F06201">
        <w:rPr>
          <w:rFonts w:ascii="Times New Roman" w:hAnsi="Times New Roman" w:cs="Times New Roman"/>
          <w:b/>
          <w:bCs/>
          <w:sz w:val="20"/>
          <w:szCs w:val="20"/>
        </w:rPr>
        <w:t xml:space="preserve"> John McDonald</w:t>
      </w:r>
      <w:r w:rsidR="00C47440">
        <w:rPr>
          <w:rFonts w:ascii="Times New Roman" w:hAnsi="Times New Roman" w:cs="Times New Roman"/>
          <w:b/>
          <w:bCs/>
          <w:sz w:val="20"/>
          <w:szCs w:val="20"/>
        </w:rPr>
        <w:t xml:space="preserve">: </w:t>
      </w:r>
      <w:r w:rsidR="00C47440">
        <w:rPr>
          <w:rFonts w:ascii="Times New Roman" w:hAnsi="Times New Roman" w:cs="Times New Roman"/>
          <w:sz w:val="20"/>
          <w:szCs w:val="20"/>
        </w:rPr>
        <w:t>This sketch of McDonald, a former Army veteran turned Revenue Agent who consistently leveraged his position for private gain was published in McDonald’s personal account of his involvement in the Whiskey Ring.</w:t>
      </w:r>
      <w:r w:rsidR="00F06201" w:rsidRPr="00C47440">
        <w:rPr>
          <w:rFonts w:ascii="Times New Roman" w:hAnsi="Times New Roman" w:cs="Times New Roman"/>
          <w:sz w:val="20"/>
          <w:szCs w:val="20"/>
          <w:vertAlign w:val="superscript"/>
        </w:rPr>
        <w:footnoteReference w:id="1110"/>
      </w:r>
    </w:p>
    <w:p w14:paraId="731D154E" w14:textId="77777777" w:rsidR="006054F1" w:rsidRDefault="006054F1" w:rsidP="006054F1">
      <w:pPr>
        <w:spacing w:line="480" w:lineRule="auto"/>
        <w:rPr>
          <w:rFonts w:ascii="Times New Roman" w:hAnsi="Times New Roman" w:cs="Times New Roman"/>
          <w:sz w:val="24"/>
          <w:szCs w:val="24"/>
        </w:rPr>
      </w:pPr>
      <w:r w:rsidRPr="00F06201">
        <w:rPr>
          <w:rFonts w:ascii="Times New Roman" w:hAnsi="Times New Roman" w:cs="Times New Roman"/>
          <w:sz w:val="24"/>
          <w:szCs w:val="24"/>
        </w:rPr>
        <w:t>Eighth Missouri with McDonald appointed as the regiment’s major.</w:t>
      </w:r>
      <w:r w:rsidRPr="00F06201">
        <w:rPr>
          <w:rFonts w:ascii="Times New Roman" w:hAnsi="Times New Roman" w:cs="Times New Roman"/>
          <w:sz w:val="24"/>
          <w:szCs w:val="24"/>
          <w:vertAlign w:val="superscript"/>
        </w:rPr>
        <w:footnoteReference w:id="1111"/>
      </w:r>
      <w:r w:rsidRPr="00F06201">
        <w:rPr>
          <w:rFonts w:ascii="Times New Roman" w:hAnsi="Times New Roman" w:cs="Times New Roman"/>
          <w:sz w:val="24"/>
          <w:szCs w:val="24"/>
        </w:rPr>
        <w:t xml:space="preserve"> McDonald fought in such battles as those at Forts Henry and Donelson, and while it is unknown when initial contact was made between the two, the earliest likely meeting between McDonald and General Grant could have been during these battles.</w:t>
      </w:r>
      <w:r w:rsidRPr="00F06201">
        <w:rPr>
          <w:rFonts w:ascii="Times New Roman" w:hAnsi="Times New Roman" w:cs="Times New Roman"/>
          <w:sz w:val="24"/>
          <w:szCs w:val="24"/>
          <w:vertAlign w:val="superscript"/>
        </w:rPr>
        <w:footnoteReference w:id="1112"/>
      </w:r>
      <w:r w:rsidRPr="00F06201">
        <w:rPr>
          <w:rFonts w:ascii="Times New Roman" w:hAnsi="Times New Roman" w:cs="Times New Roman"/>
          <w:sz w:val="24"/>
          <w:szCs w:val="24"/>
        </w:rPr>
        <w:t xml:space="preserve"> </w:t>
      </w:r>
    </w:p>
    <w:p w14:paraId="265A5D91" w14:textId="7A3C3729"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McDonald proved to have a temper </w:t>
      </w:r>
      <w:r w:rsidR="00D74C3E">
        <w:rPr>
          <w:rFonts w:ascii="Times New Roman" w:hAnsi="Times New Roman" w:cs="Times New Roman"/>
          <w:sz w:val="24"/>
          <w:szCs w:val="24"/>
        </w:rPr>
        <w:t xml:space="preserve">and a profane nature </w:t>
      </w:r>
      <w:r w:rsidRPr="00F06201">
        <w:rPr>
          <w:rFonts w:ascii="Times New Roman" w:hAnsi="Times New Roman" w:cs="Times New Roman"/>
          <w:sz w:val="24"/>
          <w:szCs w:val="24"/>
        </w:rPr>
        <w:t>during his military service, getting into altercations with superiors and subordinates alike.</w:t>
      </w:r>
      <w:r w:rsidRPr="00F06201">
        <w:rPr>
          <w:rFonts w:ascii="Times New Roman" w:hAnsi="Times New Roman" w:cs="Times New Roman"/>
          <w:sz w:val="24"/>
          <w:szCs w:val="24"/>
          <w:vertAlign w:val="superscript"/>
        </w:rPr>
        <w:footnoteReference w:id="1113"/>
      </w:r>
      <w:r w:rsidRPr="00F06201">
        <w:rPr>
          <w:rFonts w:ascii="Times New Roman" w:hAnsi="Times New Roman" w:cs="Times New Roman"/>
          <w:sz w:val="24"/>
          <w:szCs w:val="24"/>
        </w:rPr>
        <w:t xml:space="preserve"> In one extreme instance, McDonald became irate with a newly-appointed superior, indicating that the man was a “son of a bitch,” and when he was ordered to consider himself under arrest, he shouted “Kiss my ass, you can’t have my sword, you or any other son of a bitch.”</w:t>
      </w:r>
      <w:r w:rsidRPr="00F06201">
        <w:rPr>
          <w:rFonts w:ascii="Times New Roman" w:hAnsi="Times New Roman" w:cs="Times New Roman"/>
          <w:sz w:val="24"/>
          <w:szCs w:val="24"/>
          <w:vertAlign w:val="superscript"/>
        </w:rPr>
        <w:footnoteReference w:id="1114"/>
      </w:r>
      <w:r w:rsidRPr="00F06201">
        <w:rPr>
          <w:rFonts w:ascii="Times New Roman" w:hAnsi="Times New Roman" w:cs="Times New Roman"/>
          <w:sz w:val="24"/>
          <w:szCs w:val="24"/>
        </w:rPr>
        <w:t xml:space="preserve"> McDonald faced court martial for his </w:t>
      </w:r>
      <w:r w:rsidRPr="00F06201">
        <w:rPr>
          <w:rFonts w:ascii="Times New Roman" w:hAnsi="Times New Roman" w:cs="Times New Roman"/>
          <w:sz w:val="24"/>
          <w:szCs w:val="24"/>
        </w:rPr>
        <w:lastRenderedPageBreak/>
        <w:t>attempts to fight a senior officer, was found guilty, and before he was summarily dismissed from military service he submitted his resignation, which was accepted.</w:t>
      </w:r>
      <w:r w:rsidRPr="00F06201">
        <w:rPr>
          <w:rFonts w:ascii="Times New Roman" w:hAnsi="Times New Roman" w:cs="Times New Roman"/>
          <w:sz w:val="24"/>
          <w:szCs w:val="24"/>
          <w:vertAlign w:val="superscript"/>
        </w:rPr>
        <w:footnoteReference w:id="1115"/>
      </w:r>
      <w:r w:rsidRPr="00F06201">
        <w:rPr>
          <w:rFonts w:ascii="Times New Roman" w:hAnsi="Times New Roman" w:cs="Times New Roman"/>
          <w:sz w:val="24"/>
          <w:szCs w:val="24"/>
        </w:rPr>
        <w:t xml:space="preserve"> McDonald then went into </w:t>
      </w:r>
      <w:r w:rsidR="001C759A">
        <w:rPr>
          <w:rFonts w:ascii="Times New Roman" w:hAnsi="Times New Roman" w:cs="Times New Roman"/>
          <w:sz w:val="24"/>
          <w:szCs w:val="24"/>
        </w:rPr>
        <w:t xml:space="preserve">land </w:t>
      </w:r>
      <w:r w:rsidRPr="00F06201">
        <w:rPr>
          <w:rFonts w:ascii="Times New Roman" w:hAnsi="Times New Roman" w:cs="Times New Roman"/>
          <w:sz w:val="24"/>
          <w:szCs w:val="24"/>
        </w:rPr>
        <w:t>speculation in Memphis, where he was assigned as a civilian in charge of abandoned property when Confederate forces fled the city.</w:t>
      </w:r>
      <w:r w:rsidRPr="00F06201">
        <w:rPr>
          <w:rFonts w:ascii="Times New Roman" w:hAnsi="Times New Roman" w:cs="Times New Roman"/>
          <w:sz w:val="24"/>
          <w:szCs w:val="24"/>
          <w:vertAlign w:val="superscript"/>
        </w:rPr>
        <w:footnoteReference w:id="1116"/>
      </w:r>
      <w:r w:rsidRPr="00F06201">
        <w:rPr>
          <w:rFonts w:ascii="Times New Roman" w:hAnsi="Times New Roman" w:cs="Times New Roman"/>
          <w:sz w:val="24"/>
          <w:szCs w:val="24"/>
        </w:rPr>
        <w:t xml:space="preserve"> McDonald allegedly used this post to turn a profit, and allegations began to swirl that he was </w:t>
      </w:r>
      <w:r w:rsidR="003E4A29">
        <w:rPr>
          <w:rFonts w:ascii="Times New Roman" w:hAnsi="Times New Roman" w:cs="Times New Roman"/>
          <w:sz w:val="24"/>
          <w:szCs w:val="24"/>
        </w:rPr>
        <w:t xml:space="preserve">also </w:t>
      </w:r>
      <w:r w:rsidRPr="00F06201">
        <w:rPr>
          <w:rFonts w:ascii="Times New Roman" w:hAnsi="Times New Roman" w:cs="Times New Roman"/>
          <w:sz w:val="24"/>
          <w:szCs w:val="24"/>
        </w:rPr>
        <w:t>engaged in cotton speculation and bribery, with some claiming he was “a thrifty soldier in the commerce of war” with “an itching palm.”</w:t>
      </w:r>
      <w:r w:rsidRPr="00F06201">
        <w:rPr>
          <w:rFonts w:ascii="Times New Roman" w:hAnsi="Times New Roman" w:cs="Times New Roman"/>
          <w:sz w:val="24"/>
          <w:szCs w:val="24"/>
          <w:vertAlign w:val="superscript"/>
        </w:rPr>
        <w:footnoteReference w:id="1117"/>
      </w:r>
      <w:r w:rsidRPr="00F06201">
        <w:rPr>
          <w:rFonts w:ascii="Times New Roman" w:hAnsi="Times New Roman" w:cs="Times New Roman"/>
          <w:sz w:val="24"/>
          <w:szCs w:val="24"/>
        </w:rPr>
        <w:t xml:space="preserve"> McDonald remained dedicated to the Union cause as it offered him opportunities to further line his pockets. </w:t>
      </w:r>
      <w:r w:rsidR="00A961ED" w:rsidRPr="00F06201">
        <w:rPr>
          <w:rFonts w:ascii="Times New Roman" w:hAnsi="Times New Roman" w:cs="Times New Roman"/>
          <w:sz w:val="24"/>
          <w:szCs w:val="24"/>
        </w:rPr>
        <w:t>Even with rumors</w:t>
      </w:r>
      <w:r w:rsidR="00A961ED">
        <w:rPr>
          <w:rFonts w:ascii="Times New Roman" w:hAnsi="Times New Roman" w:cs="Times New Roman"/>
          <w:sz w:val="24"/>
          <w:szCs w:val="24"/>
        </w:rPr>
        <w:t xml:space="preserve"> abound</w:t>
      </w:r>
      <w:r w:rsidR="00A961ED" w:rsidRPr="00F06201">
        <w:rPr>
          <w:rFonts w:ascii="Times New Roman" w:hAnsi="Times New Roman" w:cs="Times New Roman"/>
          <w:sz w:val="24"/>
          <w:szCs w:val="24"/>
        </w:rPr>
        <w:t xml:space="preserve">, </w:t>
      </w:r>
      <w:r w:rsidR="00A961ED">
        <w:rPr>
          <w:rFonts w:ascii="Times New Roman" w:hAnsi="Times New Roman" w:cs="Times New Roman"/>
          <w:sz w:val="24"/>
          <w:szCs w:val="24"/>
        </w:rPr>
        <w:t>h</w:t>
      </w:r>
      <w:r w:rsidRPr="00F06201">
        <w:rPr>
          <w:rFonts w:ascii="Times New Roman" w:hAnsi="Times New Roman" w:cs="Times New Roman"/>
          <w:sz w:val="24"/>
          <w:szCs w:val="24"/>
        </w:rPr>
        <w:t xml:space="preserve">e was asked by General William Tecumseh Sherman to raise a militia in Memphis to defend the city from Confederate incursions, and though he started as a </w:t>
      </w:r>
      <w:r w:rsidR="00A31B36">
        <w:rPr>
          <w:rFonts w:ascii="Times New Roman" w:hAnsi="Times New Roman" w:cs="Times New Roman"/>
          <w:sz w:val="24"/>
          <w:szCs w:val="24"/>
        </w:rPr>
        <w:t>c</w:t>
      </w:r>
      <w:r w:rsidRPr="00F06201">
        <w:rPr>
          <w:rFonts w:ascii="Times New Roman" w:hAnsi="Times New Roman" w:cs="Times New Roman"/>
          <w:sz w:val="24"/>
          <w:szCs w:val="24"/>
        </w:rPr>
        <w:t xml:space="preserve">olonel in this mission he was promoted to </w:t>
      </w:r>
      <w:r w:rsidR="00A31B36">
        <w:rPr>
          <w:rFonts w:ascii="Times New Roman" w:hAnsi="Times New Roman" w:cs="Times New Roman"/>
          <w:sz w:val="24"/>
          <w:szCs w:val="24"/>
        </w:rPr>
        <w:t>B</w:t>
      </w:r>
      <w:r w:rsidRPr="00F06201">
        <w:rPr>
          <w:rFonts w:ascii="Times New Roman" w:hAnsi="Times New Roman" w:cs="Times New Roman"/>
          <w:sz w:val="24"/>
          <w:szCs w:val="24"/>
        </w:rPr>
        <w:t xml:space="preserve">rigadier </w:t>
      </w:r>
      <w:r w:rsidR="00A31B36">
        <w:rPr>
          <w:rFonts w:ascii="Times New Roman" w:hAnsi="Times New Roman" w:cs="Times New Roman"/>
          <w:sz w:val="24"/>
          <w:szCs w:val="24"/>
        </w:rPr>
        <w:t>G</w:t>
      </w:r>
      <w:r w:rsidRPr="00F06201">
        <w:rPr>
          <w:rFonts w:ascii="Times New Roman" w:hAnsi="Times New Roman" w:cs="Times New Roman"/>
          <w:sz w:val="24"/>
          <w:szCs w:val="24"/>
        </w:rPr>
        <w:t>eneral by August 1864.</w:t>
      </w:r>
      <w:r w:rsidRPr="00F06201">
        <w:rPr>
          <w:rFonts w:ascii="Times New Roman" w:hAnsi="Times New Roman" w:cs="Times New Roman"/>
          <w:sz w:val="24"/>
          <w:szCs w:val="24"/>
          <w:vertAlign w:val="superscript"/>
        </w:rPr>
        <w:footnoteReference w:id="1118"/>
      </w:r>
      <w:r w:rsidRPr="00F06201">
        <w:rPr>
          <w:rFonts w:ascii="Times New Roman" w:hAnsi="Times New Roman" w:cs="Times New Roman"/>
          <w:sz w:val="24"/>
          <w:szCs w:val="24"/>
        </w:rPr>
        <w:t xml:space="preserve"> By the end of the war, McDonald not only made a small fortune for himself, but he made enough friends who would support him that he</w:t>
      </w:r>
      <w:r w:rsidR="00ED740D">
        <w:rPr>
          <w:rFonts w:ascii="Times New Roman" w:hAnsi="Times New Roman" w:cs="Times New Roman"/>
          <w:sz w:val="24"/>
          <w:szCs w:val="24"/>
        </w:rPr>
        <w:t xml:space="preserve"> could</w:t>
      </w:r>
      <w:r w:rsidRPr="00F06201">
        <w:rPr>
          <w:rFonts w:ascii="Times New Roman" w:hAnsi="Times New Roman" w:cs="Times New Roman"/>
          <w:sz w:val="24"/>
          <w:szCs w:val="24"/>
        </w:rPr>
        <w:t xml:space="preserve"> seek a government job with their endorsements.</w:t>
      </w:r>
      <w:r w:rsidRPr="00F06201">
        <w:rPr>
          <w:rFonts w:ascii="Times New Roman" w:hAnsi="Times New Roman" w:cs="Times New Roman"/>
          <w:sz w:val="24"/>
          <w:szCs w:val="24"/>
          <w:vertAlign w:val="superscript"/>
        </w:rPr>
        <w:footnoteReference w:id="1119"/>
      </w:r>
    </w:p>
    <w:p w14:paraId="73C4545F" w14:textId="5DA07635"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McDonald was appointed as a collector of </w:t>
      </w:r>
      <w:r w:rsidR="00FE630D">
        <w:rPr>
          <w:rFonts w:ascii="Times New Roman" w:hAnsi="Times New Roman" w:cs="Times New Roman"/>
          <w:sz w:val="24"/>
          <w:szCs w:val="24"/>
        </w:rPr>
        <w:t xml:space="preserve">internal </w:t>
      </w:r>
      <w:r w:rsidRPr="00F06201">
        <w:rPr>
          <w:rFonts w:ascii="Times New Roman" w:hAnsi="Times New Roman" w:cs="Times New Roman"/>
          <w:sz w:val="24"/>
          <w:szCs w:val="24"/>
        </w:rPr>
        <w:t xml:space="preserve">revenue overseeing Arkansas on October 5, </w:t>
      </w:r>
      <w:r w:rsidR="006438BD" w:rsidRPr="00F06201">
        <w:rPr>
          <w:rFonts w:ascii="Times New Roman" w:hAnsi="Times New Roman" w:cs="Times New Roman"/>
          <w:sz w:val="24"/>
          <w:szCs w:val="24"/>
        </w:rPr>
        <w:t>1869,</w:t>
      </w:r>
      <w:r w:rsidRPr="00F06201">
        <w:rPr>
          <w:rFonts w:ascii="Times New Roman" w:hAnsi="Times New Roman" w:cs="Times New Roman"/>
          <w:sz w:val="24"/>
          <w:szCs w:val="24"/>
        </w:rPr>
        <w:t xml:space="preserve"> by President Ulysses S. Grant, who soon added Missouri to his area of oversight.</w:t>
      </w:r>
      <w:r w:rsidRPr="00F06201">
        <w:rPr>
          <w:rFonts w:ascii="Times New Roman" w:hAnsi="Times New Roman" w:cs="Times New Roman"/>
          <w:sz w:val="24"/>
          <w:szCs w:val="24"/>
          <w:vertAlign w:val="superscript"/>
        </w:rPr>
        <w:footnoteReference w:id="1120"/>
      </w:r>
      <w:r w:rsidRPr="00F06201">
        <w:rPr>
          <w:rFonts w:ascii="Times New Roman" w:hAnsi="Times New Roman" w:cs="Times New Roman"/>
          <w:sz w:val="24"/>
          <w:szCs w:val="24"/>
        </w:rPr>
        <w:t xml:space="preserve"> Under McDonald, the Whiskey Ring took on new life, particularly in St. Louis, which he made his base of operations. This new iteration started sometime in McDonald’s first year as a Revenue Collector, though it is unclear exactly when because of the lack of a paper trail.</w:t>
      </w:r>
      <w:r w:rsidRPr="00F06201">
        <w:rPr>
          <w:rFonts w:ascii="Times New Roman" w:hAnsi="Times New Roman" w:cs="Times New Roman"/>
          <w:sz w:val="24"/>
          <w:szCs w:val="24"/>
          <w:vertAlign w:val="superscript"/>
        </w:rPr>
        <w:footnoteReference w:id="1121"/>
      </w:r>
      <w:r w:rsidRPr="00F06201">
        <w:rPr>
          <w:rFonts w:ascii="Times New Roman" w:hAnsi="Times New Roman" w:cs="Times New Roman"/>
          <w:sz w:val="24"/>
          <w:szCs w:val="24"/>
        </w:rPr>
        <w:t xml:space="preserve"> Still, McDonald used his new connections with whiskey distillers and other federal agents in an effort to build his own criminal network. Here, McDonald </w:t>
      </w:r>
      <w:r w:rsidR="00125F27">
        <w:rPr>
          <w:rFonts w:ascii="Times New Roman" w:hAnsi="Times New Roman" w:cs="Times New Roman"/>
          <w:sz w:val="24"/>
          <w:szCs w:val="24"/>
        </w:rPr>
        <w:t>app</w:t>
      </w:r>
      <w:r w:rsidRPr="00F06201">
        <w:rPr>
          <w:rFonts w:ascii="Times New Roman" w:hAnsi="Times New Roman" w:cs="Times New Roman"/>
          <w:sz w:val="24"/>
          <w:szCs w:val="24"/>
        </w:rPr>
        <w:t xml:space="preserve">roached </w:t>
      </w:r>
      <w:r w:rsidR="00125F27">
        <w:rPr>
          <w:rFonts w:ascii="Times New Roman" w:hAnsi="Times New Roman" w:cs="Times New Roman"/>
          <w:sz w:val="24"/>
          <w:szCs w:val="24"/>
        </w:rPr>
        <w:t xml:space="preserve">potential </w:t>
      </w:r>
      <w:r w:rsidR="00125F27">
        <w:rPr>
          <w:rFonts w:ascii="Times New Roman" w:hAnsi="Times New Roman" w:cs="Times New Roman"/>
          <w:sz w:val="24"/>
          <w:szCs w:val="24"/>
        </w:rPr>
        <w:lastRenderedPageBreak/>
        <w:t xml:space="preserve">coconspirators </w:t>
      </w:r>
      <w:r w:rsidRPr="00F06201">
        <w:rPr>
          <w:rFonts w:ascii="Times New Roman" w:hAnsi="Times New Roman" w:cs="Times New Roman"/>
          <w:sz w:val="24"/>
          <w:szCs w:val="24"/>
        </w:rPr>
        <w:t xml:space="preserve">by alleging that </w:t>
      </w:r>
      <w:r w:rsidR="00804837">
        <w:rPr>
          <w:rFonts w:ascii="Times New Roman" w:hAnsi="Times New Roman" w:cs="Times New Roman"/>
          <w:sz w:val="24"/>
          <w:szCs w:val="24"/>
        </w:rPr>
        <w:t>his plan</w:t>
      </w:r>
      <w:r w:rsidRPr="00F06201">
        <w:rPr>
          <w:rFonts w:ascii="Times New Roman" w:hAnsi="Times New Roman" w:cs="Times New Roman"/>
          <w:sz w:val="24"/>
          <w:szCs w:val="24"/>
        </w:rPr>
        <w:t xml:space="preserve"> was approved by shadowy players within the Republican Party to fundraise for their candidates, particularly for President Grant’s reelection campaign in 1872.</w:t>
      </w:r>
      <w:r w:rsidRPr="00F06201">
        <w:rPr>
          <w:rFonts w:ascii="Times New Roman" w:hAnsi="Times New Roman" w:cs="Times New Roman"/>
          <w:sz w:val="24"/>
          <w:szCs w:val="24"/>
          <w:vertAlign w:val="superscript"/>
        </w:rPr>
        <w:footnoteReference w:id="1122"/>
      </w:r>
      <w:r w:rsidRPr="00F06201">
        <w:rPr>
          <w:rFonts w:ascii="Times New Roman" w:hAnsi="Times New Roman" w:cs="Times New Roman"/>
          <w:sz w:val="24"/>
          <w:szCs w:val="24"/>
        </w:rPr>
        <w:t xml:space="preserve"> As many of the federal agents were patronage appointees given their jobs by the Republican Party that maintained control over the nation in 1871, several of those approached in this manner were able to be swayed into illegality.</w:t>
      </w:r>
      <w:r w:rsidRPr="00F06201">
        <w:rPr>
          <w:rFonts w:ascii="Times New Roman" w:hAnsi="Times New Roman" w:cs="Times New Roman"/>
          <w:sz w:val="24"/>
          <w:szCs w:val="24"/>
          <w:vertAlign w:val="superscript"/>
        </w:rPr>
        <w:footnoteReference w:id="1123"/>
      </w:r>
      <w:r w:rsidRPr="00F06201">
        <w:rPr>
          <w:rFonts w:ascii="Times New Roman" w:hAnsi="Times New Roman" w:cs="Times New Roman"/>
          <w:sz w:val="24"/>
          <w:szCs w:val="24"/>
        </w:rPr>
        <w:t xml:space="preserve"> McDonald insisted that this plan was approved by Grant, though these claims were not only </w:t>
      </w:r>
      <w:r w:rsidR="00786FC1">
        <w:rPr>
          <w:rFonts w:ascii="Times New Roman" w:hAnsi="Times New Roman" w:cs="Times New Roman"/>
          <w:sz w:val="24"/>
          <w:szCs w:val="24"/>
        </w:rPr>
        <w:t>un</w:t>
      </w:r>
      <w:r w:rsidRPr="00F06201">
        <w:rPr>
          <w:rFonts w:ascii="Times New Roman" w:hAnsi="Times New Roman" w:cs="Times New Roman"/>
          <w:sz w:val="24"/>
          <w:szCs w:val="24"/>
        </w:rPr>
        <w:t>prove</w:t>
      </w:r>
      <w:r w:rsidR="00786FC1">
        <w:rPr>
          <w:rFonts w:ascii="Times New Roman" w:hAnsi="Times New Roman" w:cs="Times New Roman"/>
          <w:sz w:val="24"/>
          <w:szCs w:val="24"/>
        </w:rPr>
        <w:t>n</w:t>
      </w:r>
      <w:r w:rsidRPr="00F06201">
        <w:rPr>
          <w:rFonts w:ascii="Times New Roman" w:hAnsi="Times New Roman" w:cs="Times New Roman"/>
          <w:sz w:val="24"/>
          <w:szCs w:val="24"/>
        </w:rPr>
        <w:t xml:space="preserve"> but were written after trials and investigations </w:t>
      </w:r>
      <w:r w:rsidR="00E53A94">
        <w:rPr>
          <w:rFonts w:ascii="Times New Roman" w:hAnsi="Times New Roman" w:cs="Times New Roman"/>
          <w:sz w:val="24"/>
          <w:szCs w:val="24"/>
        </w:rPr>
        <w:t xml:space="preserve">proved </w:t>
      </w:r>
      <w:r w:rsidRPr="00F06201">
        <w:rPr>
          <w:rFonts w:ascii="Times New Roman" w:hAnsi="Times New Roman" w:cs="Times New Roman"/>
          <w:sz w:val="24"/>
          <w:szCs w:val="24"/>
        </w:rPr>
        <w:t>McDonald</w:t>
      </w:r>
      <w:r w:rsidR="00E53A94">
        <w:rPr>
          <w:rFonts w:ascii="Times New Roman" w:hAnsi="Times New Roman" w:cs="Times New Roman"/>
          <w:sz w:val="24"/>
          <w:szCs w:val="24"/>
        </w:rPr>
        <w:t>’s</w:t>
      </w:r>
      <w:r w:rsidRPr="00F06201">
        <w:rPr>
          <w:rFonts w:ascii="Times New Roman" w:hAnsi="Times New Roman" w:cs="Times New Roman"/>
          <w:sz w:val="24"/>
          <w:szCs w:val="24"/>
        </w:rPr>
        <w:t xml:space="preserve"> reputation as a lout.</w:t>
      </w:r>
      <w:r w:rsidRPr="00F06201">
        <w:rPr>
          <w:rFonts w:ascii="Times New Roman" w:hAnsi="Times New Roman" w:cs="Times New Roman"/>
          <w:sz w:val="24"/>
          <w:szCs w:val="24"/>
          <w:vertAlign w:val="superscript"/>
        </w:rPr>
        <w:footnoteReference w:id="1124"/>
      </w:r>
    </w:p>
    <w:p w14:paraId="4DE5B267" w14:textId="300B9923"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McDonald’s plot to defraud the government was simple in retrospect, though there were multiple methods in which the Ring made its profits. In one method, the rectifier bought </w:t>
      </w:r>
      <w:r w:rsidR="000124B9">
        <w:rPr>
          <w:rFonts w:ascii="Times New Roman" w:hAnsi="Times New Roman" w:cs="Times New Roman"/>
          <w:sz w:val="24"/>
          <w:szCs w:val="24"/>
        </w:rPr>
        <w:t>one</w:t>
      </w:r>
      <w:r w:rsidRPr="00F06201">
        <w:rPr>
          <w:rFonts w:ascii="Times New Roman" w:hAnsi="Times New Roman" w:cs="Times New Roman"/>
          <w:sz w:val="24"/>
          <w:szCs w:val="24"/>
        </w:rPr>
        <w:t xml:space="preserve"> hundred barrels from the distiller on which the tax was paid and then had the gauger record that each of the eighty-gallon barrels only contained forty gallons of whiskey.</w:t>
      </w:r>
      <w:r w:rsidRPr="00F06201">
        <w:rPr>
          <w:rFonts w:ascii="Times New Roman" w:hAnsi="Times New Roman" w:cs="Times New Roman"/>
          <w:sz w:val="24"/>
          <w:szCs w:val="24"/>
          <w:vertAlign w:val="superscript"/>
        </w:rPr>
        <w:footnoteReference w:id="1125"/>
      </w:r>
      <w:r w:rsidRPr="00F06201">
        <w:rPr>
          <w:rFonts w:ascii="Times New Roman" w:hAnsi="Times New Roman" w:cs="Times New Roman"/>
          <w:sz w:val="24"/>
          <w:szCs w:val="24"/>
        </w:rPr>
        <w:t xml:space="preserve"> The revenue collector then needed to report that the four thousand gallons of whiskey were in transit to their point of sale, knowing full well that eight thousand gallons were shipped.</w:t>
      </w:r>
      <w:r w:rsidRPr="00F06201">
        <w:rPr>
          <w:rFonts w:ascii="Times New Roman" w:hAnsi="Times New Roman" w:cs="Times New Roman"/>
          <w:sz w:val="24"/>
          <w:szCs w:val="24"/>
          <w:vertAlign w:val="superscript"/>
        </w:rPr>
        <w:footnoteReference w:id="1126"/>
      </w:r>
      <w:r w:rsidRPr="00F06201">
        <w:rPr>
          <w:rFonts w:ascii="Times New Roman" w:hAnsi="Times New Roman" w:cs="Times New Roman"/>
          <w:sz w:val="24"/>
          <w:szCs w:val="24"/>
        </w:rPr>
        <w:t xml:space="preserve"> This would leave four thousand gallons of untaxed whiskey to be sold before the serial numbers on the barrels were destroyed, and at a</w:t>
      </w:r>
      <w:r w:rsidR="00014A71">
        <w:rPr>
          <w:rFonts w:ascii="Times New Roman" w:hAnsi="Times New Roman" w:cs="Times New Roman"/>
          <w:sz w:val="24"/>
          <w:szCs w:val="24"/>
        </w:rPr>
        <w:t>n existing</w:t>
      </w:r>
      <w:r w:rsidRPr="00F06201">
        <w:rPr>
          <w:rFonts w:ascii="Times New Roman" w:hAnsi="Times New Roman" w:cs="Times New Roman"/>
          <w:sz w:val="24"/>
          <w:szCs w:val="24"/>
        </w:rPr>
        <w:t xml:space="preserve"> tax rate of seventy cents per gallon, the Ring avoided $2800 each time this occurred.</w:t>
      </w:r>
      <w:r w:rsidRPr="00F06201">
        <w:rPr>
          <w:rFonts w:ascii="Times New Roman" w:hAnsi="Times New Roman" w:cs="Times New Roman"/>
          <w:sz w:val="24"/>
          <w:szCs w:val="24"/>
          <w:vertAlign w:val="superscript"/>
        </w:rPr>
        <w:footnoteReference w:id="1127"/>
      </w:r>
      <w:r w:rsidRPr="00F06201">
        <w:rPr>
          <w:rFonts w:ascii="Times New Roman" w:hAnsi="Times New Roman" w:cs="Times New Roman"/>
          <w:sz w:val="24"/>
          <w:szCs w:val="24"/>
        </w:rPr>
        <w:t xml:space="preserve"> Another method of deceit used by the Ring involved the powers at play not destroying the serialized barrels once they were emptied. In this instance, the rectifier bought one hundred barrels on which the taxes were paid with the full amount listed by the </w:t>
      </w:r>
      <w:r w:rsidRPr="00F06201">
        <w:rPr>
          <w:rFonts w:ascii="Times New Roman" w:hAnsi="Times New Roman" w:cs="Times New Roman"/>
          <w:sz w:val="24"/>
          <w:szCs w:val="24"/>
        </w:rPr>
        <w:lastRenderedPageBreak/>
        <w:t>storekeeper and gauger in their initial measurements.</w:t>
      </w:r>
      <w:r w:rsidRPr="00F06201">
        <w:rPr>
          <w:rFonts w:ascii="Times New Roman" w:hAnsi="Times New Roman" w:cs="Times New Roman"/>
          <w:sz w:val="24"/>
          <w:szCs w:val="24"/>
          <w:vertAlign w:val="superscript"/>
        </w:rPr>
        <w:footnoteReference w:id="1128"/>
      </w:r>
      <w:r w:rsidRPr="00F06201">
        <w:rPr>
          <w:rFonts w:ascii="Times New Roman" w:hAnsi="Times New Roman" w:cs="Times New Roman"/>
          <w:sz w:val="24"/>
          <w:szCs w:val="24"/>
        </w:rPr>
        <w:t xml:space="preserve"> Once the rectifier repackaged the whiskey within these barrels, though, the serial numbers were not destroyed but instead sent back to the distillers, as the storekeepers and gaugers turned a blind eye as these barrels were refilled and sent out, thereby avoiding the $5600 in taxes on an entire batch of barrels</w:t>
      </w:r>
      <w:r w:rsidR="009A5C0D">
        <w:rPr>
          <w:rFonts w:ascii="Times New Roman" w:hAnsi="Times New Roman" w:cs="Times New Roman"/>
          <w:sz w:val="24"/>
          <w:szCs w:val="24"/>
        </w:rPr>
        <w:t xml:space="preserve"> sold at full retail price.</w:t>
      </w:r>
      <w:r w:rsidRPr="00F06201">
        <w:rPr>
          <w:rFonts w:ascii="Times New Roman" w:hAnsi="Times New Roman" w:cs="Times New Roman"/>
          <w:sz w:val="24"/>
          <w:szCs w:val="24"/>
          <w:vertAlign w:val="superscript"/>
        </w:rPr>
        <w:footnoteReference w:id="1129"/>
      </w:r>
      <w:r w:rsidRPr="00F06201">
        <w:rPr>
          <w:rFonts w:ascii="Times New Roman" w:hAnsi="Times New Roman" w:cs="Times New Roman"/>
          <w:sz w:val="24"/>
          <w:szCs w:val="24"/>
        </w:rPr>
        <w:t xml:space="preserve"> McDonald’s plan was layered, but simplistic, and as a result it </w:t>
      </w:r>
      <w:r w:rsidR="006438BD">
        <w:rPr>
          <w:rFonts w:ascii="Times New Roman" w:hAnsi="Times New Roman" w:cs="Times New Roman"/>
          <w:sz w:val="24"/>
          <w:szCs w:val="24"/>
        </w:rPr>
        <w:t xml:space="preserve">began to </w:t>
      </w:r>
      <w:r w:rsidRPr="00F06201">
        <w:rPr>
          <w:rFonts w:ascii="Times New Roman" w:hAnsi="Times New Roman" w:cs="Times New Roman"/>
          <w:sz w:val="24"/>
          <w:szCs w:val="24"/>
        </w:rPr>
        <w:t>gai</w:t>
      </w:r>
      <w:r w:rsidR="006438BD">
        <w:rPr>
          <w:rFonts w:ascii="Times New Roman" w:hAnsi="Times New Roman" w:cs="Times New Roman"/>
          <w:sz w:val="24"/>
          <w:szCs w:val="24"/>
        </w:rPr>
        <w:t>n</w:t>
      </w:r>
      <w:r w:rsidRPr="00F06201">
        <w:rPr>
          <w:rFonts w:ascii="Times New Roman" w:hAnsi="Times New Roman" w:cs="Times New Roman"/>
          <w:sz w:val="24"/>
          <w:szCs w:val="24"/>
        </w:rPr>
        <w:t xml:space="preserve"> traction</w:t>
      </w:r>
      <w:r w:rsidR="006438BD">
        <w:rPr>
          <w:rFonts w:ascii="Times New Roman" w:hAnsi="Times New Roman" w:cs="Times New Roman"/>
          <w:sz w:val="24"/>
          <w:szCs w:val="24"/>
        </w:rPr>
        <w:t>.</w:t>
      </w:r>
    </w:p>
    <w:p w14:paraId="7FF9F6DA" w14:textId="4AB2233C"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Initially, there was some hesitance among the distillers to take up with McDonald. The distillers needed assurance that the government collector would be on their side, and to this point there was nothing suggesting that would be the case. The standing collector, Charles Ford, was as against McDonald as a person could be, telling President Grant that he was “a bad egg” and warning that the last thing he needed as he sought reelection was McDonald as his “special champion.”</w:t>
      </w:r>
      <w:r w:rsidRPr="00F06201">
        <w:rPr>
          <w:rFonts w:ascii="Times New Roman" w:hAnsi="Times New Roman" w:cs="Times New Roman"/>
          <w:sz w:val="24"/>
          <w:szCs w:val="24"/>
          <w:vertAlign w:val="superscript"/>
        </w:rPr>
        <w:footnoteReference w:id="1130"/>
      </w:r>
      <w:r w:rsidRPr="00F06201">
        <w:rPr>
          <w:rFonts w:ascii="Times New Roman" w:hAnsi="Times New Roman" w:cs="Times New Roman"/>
          <w:sz w:val="24"/>
          <w:szCs w:val="24"/>
        </w:rPr>
        <w:t xml:space="preserve"> Perhaps even more pressing to the distillers was McDonald’s dedication to President Grant. It was clear that President Grant sought a second term, and he had his work cut out for him in Missouri, where</w:t>
      </w:r>
      <w:r w:rsidR="0009284F">
        <w:rPr>
          <w:rFonts w:ascii="Times New Roman" w:hAnsi="Times New Roman" w:cs="Times New Roman"/>
          <w:sz w:val="24"/>
          <w:szCs w:val="24"/>
        </w:rPr>
        <w:t xml:space="preserve"> long-tenured</w:t>
      </w:r>
      <w:r w:rsidRPr="00F06201">
        <w:rPr>
          <w:rFonts w:ascii="Times New Roman" w:hAnsi="Times New Roman" w:cs="Times New Roman"/>
          <w:sz w:val="24"/>
          <w:szCs w:val="24"/>
        </w:rPr>
        <w:t xml:space="preserve"> Senator Carl Schurz continued to lambast him through his German-language newspaper </w:t>
      </w:r>
      <w:r w:rsidRPr="00F06201">
        <w:rPr>
          <w:rFonts w:ascii="Times New Roman" w:hAnsi="Times New Roman" w:cs="Times New Roman"/>
          <w:i/>
          <w:iCs/>
          <w:sz w:val="24"/>
          <w:szCs w:val="24"/>
        </w:rPr>
        <w:t>Westliche Post</w:t>
      </w:r>
      <w:r w:rsidRPr="00F06201">
        <w:rPr>
          <w:rFonts w:ascii="Times New Roman" w:hAnsi="Times New Roman" w:cs="Times New Roman"/>
          <w:sz w:val="24"/>
          <w:szCs w:val="24"/>
        </w:rPr>
        <w:t xml:space="preserve"> and its steadfast editor Joseph Pulitzer.</w:t>
      </w:r>
      <w:r w:rsidRPr="00F06201">
        <w:rPr>
          <w:rFonts w:ascii="Times New Roman" w:hAnsi="Times New Roman" w:cs="Times New Roman"/>
          <w:sz w:val="24"/>
          <w:szCs w:val="24"/>
          <w:vertAlign w:val="superscript"/>
        </w:rPr>
        <w:footnoteReference w:id="1131"/>
      </w:r>
      <w:r w:rsidRPr="00F06201">
        <w:rPr>
          <w:rFonts w:ascii="Times New Roman" w:hAnsi="Times New Roman" w:cs="Times New Roman"/>
          <w:sz w:val="24"/>
          <w:szCs w:val="24"/>
        </w:rPr>
        <w:t xml:space="preserve"> McDonald made </w:t>
      </w:r>
      <w:r w:rsidR="00436B6E">
        <w:rPr>
          <w:rFonts w:ascii="Times New Roman" w:hAnsi="Times New Roman" w:cs="Times New Roman"/>
          <w:sz w:val="24"/>
          <w:szCs w:val="24"/>
        </w:rPr>
        <w:t>inroad</w:t>
      </w:r>
      <w:r w:rsidRPr="00F06201">
        <w:rPr>
          <w:rFonts w:ascii="Times New Roman" w:hAnsi="Times New Roman" w:cs="Times New Roman"/>
          <w:sz w:val="24"/>
          <w:szCs w:val="24"/>
        </w:rPr>
        <w:t xml:space="preserve">s with other notable Missouri newspapers to support the President’s bid for a second term, but he promised too much when he </w:t>
      </w:r>
      <w:r w:rsidR="00436B6E">
        <w:rPr>
          <w:rFonts w:ascii="Times New Roman" w:hAnsi="Times New Roman" w:cs="Times New Roman"/>
          <w:sz w:val="24"/>
          <w:szCs w:val="24"/>
        </w:rPr>
        <w:t>swore</w:t>
      </w:r>
      <w:r w:rsidRPr="00F06201">
        <w:rPr>
          <w:rFonts w:ascii="Times New Roman" w:hAnsi="Times New Roman" w:cs="Times New Roman"/>
          <w:sz w:val="24"/>
          <w:szCs w:val="24"/>
        </w:rPr>
        <w:t xml:space="preserve"> he </w:t>
      </w:r>
      <w:r w:rsidR="00436B6E">
        <w:rPr>
          <w:rFonts w:ascii="Times New Roman" w:hAnsi="Times New Roman" w:cs="Times New Roman"/>
          <w:sz w:val="24"/>
          <w:szCs w:val="24"/>
        </w:rPr>
        <w:t>c</w:t>
      </w:r>
      <w:r w:rsidRPr="00F06201">
        <w:rPr>
          <w:rFonts w:ascii="Times New Roman" w:hAnsi="Times New Roman" w:cs="Times New Roman"/>
          <w:sz w:val="24"/>
          <w:szCs w:val="24"/>
        </w:rPr>
        <w:t xml:space="preserve">ould convince William McKee, the owner of the </w:t>
      </w:r>
      <w:r w:rsidRPr="00F06201">
        <w:rPr>
          <w:rFonts w:ascii="Times New Roman" w:hAnsi="Times New Roman" w:cs="Times New Roman"/>
          <w:i/>
          <w:iCs/>
          <w:sz w:val="24"/>
          <w:szCs w:val="24"/>
        </w:rPr>
        <w:t>Missouri Democrat</w:t>
      </w:r>
      <w:r w:rsidRPr="00F06201">
        <w:rPr>
          <w:rFonts w:ascii="Times New Roman" w:hAnsi="Times New Roman" w:cs="Times New Roman"/>
          <w:sz w:val="24"/>
          <w:szCs w:val="24"/>
        </w:rPr>
        <w:t>, to lend his support.</w:t>
      </w:r>
      <w:r w:rsidRPr="00F06201">
        <w:rPr>
          <w:rFonts w:ascii="Times New Roman" w:hAnsi="Times New Roman" w:cs="Times New Roman"/>
          <w:sz w:val="24"/>
          <w:szCs w:val="24"/>
          <w:vertAlign w:val="superscript"/>
        </w:rPr>
        <w:footnoteReference w:id="1132"/>
      </w:r>
      <w:r w:rsidRPr="00F06201">
        <w:rPr>
          <w:rFonts w:ascii="Times New Roman" w:hAnsi="Times New Roman" w:cs="Times New Roman"/>
          <w:sz w:val="24"/>
          <w:szCs w:val="24"/>
        </w:rPr>
        <w:t xml:space="preserve"> Even with this overpromise, McDonald recognized that he could kill two birds with one stone through McKee. McKee was able to be bought with a share of the illegal whiskey operations, a plan he had long </w:t>
      </w:r>
      <w:r w:rsidR="00474A79">
        <w:rPr>
          <w:rFonts w:ascii="Times New Roman" w:hAnsi="Times New Roman" w:cs="Times New Roman"/>
          <w:sz w:val="24"/>
          <w:szCs w:val="24"/>
        </w:rPr>
        <w:lastRenderedPageBreak/>
        <w:t>percolated</w:t>
      </w:r>
      <w:r w:rsidRPr="00F06201">
        <w:rPr>
          <w:rFonts w:ascii="Times New Roman" w:hAnsi="Times New Roman" w:cs="Times New Roman"/>
          <w:sz w:val="24"/>
          <w:szCs w:val="24"/>
        </w:rPr>
        <w:t xml:space="preserve"> of on his own, but that was thwarted when Grant appointed Ford to his post.</w:t>
      </w:r>
      <w:r w:rsidRPr="00F06201">
        <w:rPr>
          <w:rFonts w:ascii="Times New Roman" w:hAnsi="Times New Roman" w:cs="Times New Roman"/>
          <w:sz w:val="24"/>
          <w:szCs w:val="24"/>
          <w:vertAlign w:val="superscript"/>
        </w:rPr>
        <w:footnoteReference w:id="1133"/>
      </w:r>
      <w:r w:rsidRPr="00F06201">
        <w:rPr>
          <w:rFonts w:ascii="Times New Roman" w:hAnsi="Times New Roman" w:cs="Times New Roman"/>
          <w:sz w:val="24"/>
          <w:szCs w:val="24"/>
        </w:rPr>
        <w:t xml:space="preserve"> McDonald uncovered evidence that Ford ran his own small-scale fraud scheme at one local distillery, and with a quick threat to lay bare Ford’s plan should he not join the larger Whiskey Ring, Ford </w:t>
      </w:r>
      <w:r w:rsidR="008773F6">
        <w:rPr>
          <w:rFonts w:ascii="Times New Roman" w:hAnsi="Times New Roman" w:cs="Times New Roman"/>
          <w:sz w:val="24"/>
          <w:szCs w:val="24"/>
        </w:rPr>
        <w:t>fell into the Ring.</w:t>
      </w:r>
      <w:r w:rsidRPr="00F06201">
        <w:rPr>
          <w:rFonts w:ascii="Times New Roman" w:hAnsi="Times New Roman" w:cs="Times New Roman"/>
          <w:sz w:val="24"/>
          <w:szCs w:val="24"/>
          <w:vertAlign w:val="superscript"/>
        </w:rPr>
        <w:footnoteReference w:id="1134"/>
      </w:r>
      <w:r w:rsidRPr="00F06201">
        <w:rPr>
          <w:rFonts w:ascii="Times New Roman" w:hAnsi="Times New Roman" w:cs="Times New Roman"/>
          <w:sz w:val="24"/>
          <w:szCs w:val="24"/>
        </w:rPr>
        <w:t xml:space="preserve"> McKee suggested that they loop in Conduce Megrue, an old friend who was passed over by President Grant for Ford’s post, as an accomplice because he had a history of dealing with the distillers.</w:t>
      </w:r>
      <w:r w:rsidRPr="00F06201">
        <w:rPr>
          <w:rFonts w:ascii="Times New Roman" w:hAnsi="Times New Roman" w:cs="Times New Roman"/>
          <w:sz w:val="24"/>
          <w:szCs w:val="24"/>
          <w:vertAlign w:val="superscript"/>
        </w:rPr>
        <w:footnoteReference w:id="1135"/>
      </w:r>
      <w:r w:rsidRPr="00F06201">
        <w:rPr>
          <w:rFonts w:ascii="Times New Roman" w:hAnsi="Times New Roman" w:cs="Times New Roman"/>
          <w:sz w:val="24"/>
          <w:szCs w:val="24"/>
        </w:rPr>
        <w:t xml:space="preserve"> McDonald arranged a meeting and found Megrue capable, making him the bagman and de facto manager of the daily operations of the Ring.</w:t>
      </w:r>
      <w:r w:rsidRPr="00F06201">
        <w:rPr>
          <w:rFonts w:ascii="Times New Roman" w:hAnsi="Times New Roman" w:cs="Times New Roman"/>
          <w:sz w:val="24"/>
          <w:szCs w:val="24"/>
          <w:vertAlign w:val="superscript"/>
        </w:rPr>
        <w:footnoteReference w:id="1136"/>
      </w:r>
    </w:p>
    <w:p w14:paraId="337FF671" w14:textId="64ACA4BA"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With </w:t>
      </w:r>
      <w:r w:rsidR="005364C1">
        <w:rPr>
          <w:rFonts w:ascii="Times New Roman" w:hAnsi="Times New Roman" w:cs="Times New Roman"/>
          <w:sz w:val="24"/>
          <w:szCs w:val="24"/>
        </w:rPr>
        <w:t>the Ring</w:t>
      </w:r>
      <w:r w:rsidRPr="00F06201">
        <w:rPr>
          <w:rFonts w:ascii="Times New Roman" w:hAnsi="Times New Roman" w:cs="Times New Roman"/>
          <w:sz w:val="24"/>
          <w:szCs w:val="24"/>
        </w:rPr>
        <w:t xml:space="preserve"> coming together in St. Louis, McDonald’s next task was to </w:t>
      </w:r>
      <w:r w:rsidR="005364C1">
        <w:rPr>
          <w:rFonts w:ascii="Times New Roman" w:hAnsi="Times New Roman" w:cs="Times New Roman"/>
          <w:sz w:val="24"/>
          <w:szCs w:val="24"/>
        </w:rPr>
        <w:t>extend</w:t>
      </w:r>
      <w:r w:rsidRPr="00F06201">
        <w:rPr>
          <w:rFonts w:ascii="Times New Roman" w:hAnsi="Times New Roman" w:cs="Times New Roman"/>
          <w:sz w:val="24"/>
          <w:szCs w:val="24"/>
        </w:rPr>
        <w:t xml:space="preserve"> his network into Washington to ensure the Ring’s protection. Here, Orville Babcock emerged as a</w:t>
      </w:r>
      <w:r w:rsidR="00A0408C">
        <w:rPr>
          <w:rFonts w:ascii="Times New Roman" w:hAnsi="Times New Roman" w:cs="Times New Roman"/>
          <w:sz w:val="24"/>
          <w:szCs w:val="24"/>
        </w:rPr>
        <w:t xml:space="preserve"> vital</w:t>
      </w:r>
      <w:r w:rsidRPr="00F06201">
        <w:rPr>
          <w:rFonts w:ascii="Times New Roman" w:hAnsi="Times New Roman" w:cs="Times New Roman"/>
          <w:sz w:val="24"/>
          <w:szCs w:val="24"/>
        </w:rPr>
        <w:t xml:space="preserve"> ring member. McDonald organized the </w:t>
      </w:r>
      <w:r w:rsidR="00223B05">
        <w:rPr>
          <w:rFonts w:ascii="Times New Roman" w:hAnsi="Times New Roman" w:cs="Times New Roman"/>
          <w:sz w:val="24"/>
          <w:szCs w:val="24"/>
        </w:rPr>
        <w:t>R</w:t>
      </w:r>
      <w:r w:rsidRPr="00F06201">
        <w:rPr>
          <w:rFonts w:ascii="Times New Roman" w:hAnsi="Times New Roman" w:cs="Times New Roman"/>
          <w:sz w:val="24"/>
          <w:szCs w:val="24"/>
        </w:rPr>
        <w:t xml:space="preserve">ing under the </w:t>
      </w:r>
      <w:r w:rsidR="00223B05">
        <w:rPr>
          <w:rFonts w:ascii="Times New Roman" w:hAnsi="Times New Roman" w:cs="Times New Roman"/>
          <w:sz w:val="24"/>
          <w:szCs w:val="24"/>
        </w:rPr>
        <w:t>guis</w:t>
      </w:r>
      <w:r w:rsidRPr="00F06201">
        <w:rPr>
          <w:rFonts w:ascii="Times New Roman" w:hAnsi="Times New Roman" w:cs="Times New Roman"/>
          <w:sz w:val="24"/>
          <w:szCs w:val="24"/>
        </w:rPr>
        <w:t>e of serving as a fundraising effort for Grant’s reelection campaign.</w:t>
      </w:r>
      <w:r w:rsidRPr="00F06201">
        <w:rPr>
          <w:rFonts w:ascii="Times New Roman" w:hAnsi="Times New Roman" w:cs="Times New Roman"/>
          <w:sz w:val="24"/>
          <w:szCs w:val="24"/>
          <w:vertAlign w:val="superscript"/>
        </w:rPr>
        <w:footnoteReference w:id="1137"/>
      </w:r>
      <w:r w:rsidRPr="00F06201">
        <w:rPr>
          <w:rFonts w:ascii="Times New Roman" w:hAnsi="Times New Roman" w:cs="Times New Roman"/>
          <w:sz w:val="24"/>
          <w:szCs w:val="24"/>
        </w:rPr>
        <w:t xml:space="preserve"> McDonald met with President Grant to discuss plans for campaign fundraising, and Grant put McDonald in touch with Babcock, suggesting that whatever the two did to raise funds “was satisfactory all around” and that he would make personnel changes to facilitate their efforts.</w:t>
      </w:r>
      <w:r w:rsidRPr="00F06201">
        <w:rPr>
          <w:rFonts w:ascii="Times New Roman" w:hAnsi="Times New Roman" w:cs="Times New Roman"/>
          <w:sz w:val="24"/>
          <w:szCs w:val="24"/>
          <w:vertAlign w:val="superscript"/>
        </w:rPr>
        <w:footnoteReference w:id="1138"/>
      </w:r>
      <w:r w:rsidRPr="00F06201">
        <w:rPr>
          <w:rFonts w:ascii="Times New Roman" w:hAnsi="Times New Roman" w:cs="Times New Roman"/>
          <w:sz w:val="24"/>
          <w:szCs w:val="24"/>
        </w:rPr>
        <w:t xml:space="preserve"> There is no evidence other than McDonald’s account written later in anger towards President Grant that suggests he knew that McDonald and Babcock intended to skim from the campaign war chest developed through illegal means.</w:t>
      </w:r>
      <w:r w:rsidRPr="00F06201">
        <w:rPr>
          <w:rFonts w:ascii="Times New Roman" w:hAnsi="Times New Roman" w:cs="Times New Roman"/>
          <w:sz w:val="24"/>
          <w:szCs w:val="24"/>
          <w:vertAlign w:val="superscript"/>
        </w:rPr>
        <w:footnoteReference w:id="1139"/>
      </w:r>
      <w:r w:rsidRPr="00F06201">
        <w:rPr>
          <w:rFonts w:ascii="Times New Roman" w:hAnsi="Times New Roman" w:cs="Times New Roman"/>
          <w:sz w:val="24"/>
          <w:szCs w:val="24"/>
        </w:rPr>
        <w:t xml:space="preserve"> </w:t>
      </w:r>
      <w:r w:rsidRPr="00F06201">
        <w:rPr>
          <w:rFonts w:ascii="Times New Roman" w:hAnsi="Times New Roman" w:cs="Times New Roman"/>
          <w:sz w:val="24"/>
          <w:szCs w:val="24"/>
        </w:rPr>
        <w:lastRenderedPageBreak/>
        <w:t>This partnership proved to be particularly lucrative for a time before leading to the</w:t>
      </w:r>
      <w:r w:rsidR="001E1A8D">
        <w:rPr>
          <w:rFonts w:ascii="Times New Roman" w:hAnsi="Times New Roman" w:cs="Times New Roman"/>
          <w:sz w:val="24"/>
          <w:szCs w:val="24"/>
        </w:rPr>
        <w:t xml:space="preserve"> near</w:t>
      </w:r>
      <w:r w:rsidRPr="00F06201">
        <w:rPr>
          <w:rFonts w:ascii="Times New Roman" w:hAnsi="Times New Roman" w:cs="Times New Roman"/>
          <w:sz w:val="24"/>
          <w:szCs w:val="24"/>
        </w:rPr>
        <w:t xml:space="preserve"> ruination of the contemporary and historical reputations of the Grant Administration.</w:t>
      </w:r>
    </w:p>
    <w:p w14:paraId="4F1E2098" w14:textId="7311BB89"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Ford and McKee also sought to meet with President Grant to ensure he would protect them as McDonald claimed, and McDonald agreed on the condition that they spoke only of the reelection fund, not the frauds they planned to commit.</w:t>
      </w:r>
      <w:r w:rsidRPr="00F06201">
        <w:rPr>
          <w:rFonts w:ascii="Times New Roman" w:hAnsi="Times New Roman" w:cs="Times New Roman"/>
          <w:sz w:val="24"/>
          <w:szCs w:val="24"/>
          <w:vertAlign w:val="superscript"/>
        </w:rPr>
        <w:footnoteReference w:id="1140"/>
      </w:r>
      <w:r w:rsidRPr="00F06201">
        <w:rPr>
          <w:rFonts w:ascii="Times New Roman" w:hAnsi="Times New Roman" w:cs="Times New Roman"/>
          <w:sz w:val="24"/>
          <w:szCs w:val="24"/>
        </w:rPr>
        <w:t xml:space="preserve"> This way, McDonald could maintain both the lies of protection he had given to the </w:t>
      </w:r>
      <w:r w:rsidR="00101504">
        <w:rPr>
          <w:rFonts w:ascii="Times New Roman" w:hAnsi="Times New Roman" w:cs="Times New Roman"/>
          <w:sz w:val="24"/>
          <w:szCs w:val="24"/>
        </w:rPr>
        <w:t>r</w:t>
      </w:r>
      <w:r w:rsidRPr="00F06201">
        <w:rPr>
          <w:rFonts w:ascii="Times New Roman" w:hAnsi="Times New Roman" w:cs="Times New Roman"/>
          <w:sz w:val="24"/>
          <w:szCs w:val="24"/>
        </w:rPr>
        <w:t>ing members and the lies of fundraising he promise</w:t>
      </w:r>
      <w:r w:rsidR="00AB3319">
        <w:rPr>
          <w:rFonts w:ascii="Times New Roman" w:hAnsi="Times New Roman" w:cs="Times New Roman"/>
          <w:sz w:val="24"/>
          <w:szCs w:val="24"/>
        </w:rPr>
        <w:t>d</w:t>
      </w:r>
      <w:r w:rsidRPr="00F06201">
        <w:rPr>
          <w:rFonts w:ascii="Times New Roman" w:hAnsi="Times New Roman" w:cs="Times New Roman"/>
          <w:sz w:val="24"/>
          <w:szCs w:val="24"/>
        </w:rPr>
        <w:t xml:space="preserve"> to Republican Party members in Washington. McDonald still needed a contact on the inside of Washington society to maintain the stories he spread, and he found such a partner in Orville Babcock. Babcock arranged for a meeting with President Grant, where the President ensured Ford and McKee that he trusted McDonald with certain matters and that he understood those matters, a statement which was in reference to the fundraising efforts but that was in hindsight regrettable given its interpretation by those at</w:t>
      </w:r>
      <w:r w:rsidR="00EC5073">
        <w:rPr>
          <w:rFonts w:ascii="Times New Roman" w:hAnsi="Times New Roman" w:cs="Times New Roman"/>
          <w:sz w:val="24"/>
          <w:szCs w:val="24"/>
        </w:rPr>
        <w:t xml:space="preserve"> the meeting</w:t>
      </w:r>
      <w:r w:rsidRPr="00F06201">
        <w:rPr>
          <w:rFonts w:ascii="Times New Roman" w:hAnsi="Times New Roman" w:cs="Times New Roman"/>
          <w:sz w:val="24"/>
          <w:szCs w:val="24"/>
        </w:rPr>
        <w:t>.</w:t>
      </w:r>
      <w:r w:rsidRPr="00F06201">
        <w:rPr>
          <w:rFonts w:ascii="Times New Roman" w:hAnsi="Times New Roman" w:cs="Times New Roman"/>
          <w:sz w:val="24"/>
          <w:szCs w:val="24"/>
          <w:vertAlign w:val="superscript"/>
        </w:rPr>
        <w:footnoteReference w:id="1141"/>
      </w:r>
      <w:r w:rsidRPr="00F06201">
        <w:rPr>
          <w:rFonts w:ascii="Times New Roman" w:hAnsi="Times New Roman" w:cs="Times New Roman"/>
          <w:sz w:val="24"/>
          <w:szCs w:val="24"/>
        </w:rPr>
        <w:t xml:space="preserve"> McKee then encouraged President Grant to consider replacing the </w:t>
      </w:r>
      <w:r w:rsidR="00F10BD3">
        <w:rPr>
          <w:rFonts w:ascii="Times New Roman" w:hAnsi="Times New Roman" w:cs="Times New Roman"/>
          <w:sz w:val="24"/>
          <w:szCs w:val="24"/>
        </w:rPr>
        <w:t>A</w:t>
      </w:r>
      <w:r w:rsidRPr="00F06201">
        <w:rPr>
          <w:rFonts w:ascii="Times New Roman" w:hAnsi="Times New Roman" w:cs="Times New Roman"/>
          <w:sz w:val="24"/>
          <w:szCs w:val="24"/>
        </w:rPr>
        <w:t xml:space="preserve">rmy </w:t>
      </w:r>
      <w:r w:rsidR="00F10BD3">
        <w:rPr>
          <w:rFonts w:ascii="Times New Roman" w:hAnsi="Times New Roman" w:cs="Times New Roman"/>
          <w:sz w:val="24"/>
          <w:szCs w:val="24"/>
        </w:rPr>
        <w:t>Q</w:t>
      </w:r>
      <w:r w:rsidRPr="00F06201">
        <w:rPr>
          <w:rFonts w:ascii="Times New Roman" w:hAnsi="Times New Roman" w:cs="Times New Roman"/>
          <w:sz w:val="24"/>
          <w:szCs w:val="24"/>
        </w:rPr>
        <w:t>uartermaster in St. Louis with a more influential Republican, offering forth Major Edward Grimes, a friend of Babcock’s since the early Civil War, as an option, and Grimes was subsequently transferred.</w:t>
      </w:r>
      <w:r w:rsidRPr="00F06201">
        <w:rPr>
          <w:rFonts w:ascii="Times New Roman" w:hAnsi="Times New Roman" w:cs="Times New Roman"/>
          <w:sz w:val="24"/>
          <w:szCs w:val="24"/>
          <w:vertAlign w:val="superscript"/>
        </w:rPr>
        <w:footnoteReference w:id="1142"/>
      </w:r>
      <w:r w:rsidRPr="00F06201">
        <w:rPr>
          <w:rFonts w:ascii="Times New Roman" w:hAnsi="Times New Roman" w:cs="Times New Roman"/>
          <w:sz w:val="24"/>
          <w:szCs w:val="24"/>
        </w:rPr>
        <w:t xml:space="preserve"> </w:t>
      </w:r>
    </w:p>
    <w:p w14:paraId="51D5555D" w14:textId="77777777"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Other ring members sought further assurances that they would receive advanced notice before Internal Revenue agents came to inspect their properties.</w:t>
      </w:r>
      <w:r w:rsidRPr="00F06201">
        <w:rPr>
          <w:rFonts w:ascii="Times New Roman" w:hAnsi="Times New Roman" w:cs="Times New Roman"/>
          <w:sz w:val="24"/>
          <w:szCs w:val="24"/>
          <w:vertAlign w:val="superscript"/>
        </w:rPr>
        <w:footnoteReference w:id="1143"/>
      </w:r>
      <w:r w:rsidRPr="00F06201">
        <w:rPr>
          <w:rFonts w:ascii="Times New Roman" w:hAnsi="Times New Roman" w:cs="Times New Roman"/>
          <w:sz w:val="24"/>
          <w:szCs w:val="24"/>
        </w:rPr>
        <w:t xml:space="preserve"> McDonald entrusted this task to his assistant John Joyce because he used to work in the Internal Revenue office in Washington.</w:t>
      </w:r>
      <w:r w:rsidRPr="00F06201">
        <w:rPr>
          <w:rFonts w:ascii="Times New Roman" w:hAnsi="Times New Roman" w:cs="Times New Roman"/>
          <w:sz w:val="24"/>
          <w:szCs w:val="24"/>
          <w:vertAlign w:val="superscript"/>
        </w:rPr>
        <w:footnoteReference w:id="1144"/>
      </w:r>
      <w:r w:rsidRPr="00F06201">
        <w:rPr>
          <w:rFonts w:ascii="Times New Roman" w:hAnsi="Times New Roman" w:cs="Times New Roman"/>
          <w:sz w:val="24"/>
          <w:szCs w:val="24"/>
        </w:rPr>
        <w:t xml:space="preserve"> Joyce found the perfect person in his friend William Avery, the chief clerk of the Washington Bureau, and he drummed up a story that, because McDonald became enraged </w:t>
      </w:r>
      <w:r w:rsidRPr="00F06201">
        <w:rPr>
          <w:rFonts w:ascii="Times New Roman" w:hAnsi="Times New Roman" w:cs="Times New Roman"/>
          <w:sz w:val="24"/>
          <w:szCs w:val="24"/>
        </w:rPr>
        <w:lastRenderedPageBreak/>
        <w:t>when his authority was questioned, he would appreciate a heads up if agents were coming for checks in St. Louis.</w:t>
      </w:r>
      <w:r w:rsidRPr="00F06201">
        <w:rPr>
          <w:rFonts w:ascii="Times New Roman" w:hAnsi="Times New Roman" w:cs="Times New Roman"/>
          <w:sz w:val="24"/>
          <w:szCs w:val="24"/>
          <w:vertAlign w:val="superscript"/>
        </w:rPr>
        <w:footnoteReference w:id="1145"/>
      </w:r>
      <w:r w:rsidRPr="00F06201">
        <w:rPr>
          <w:rFonts w:ascii="Times New Roman" w:hAnsi="Times New Roman" w:cs="Times New Roman"/>
          <w:sz w:val="24"/>
          <w:szCs w:val="24"/>
        </w:rPr>
        <w:t xml:space="preserve"> Avery agreed to assist his friend, and Joyce brought him into the payroll of the Whiskey Ring as thanks for his help.</w:t>
      </w:r>
      <w:r w:rsidRPr="00F06201">
        <w:rPr>
          <w:rFonts w:ascii="Times New Roman" w:hAnsi="Times New Roman" w:cs="Times New Roman"/>
          <w:sz w:val="24"/>
          <w:szCs w:val="24"/>
          <w:vertAlign w:val="superscript"/>
        </w:rPr>
        <w:footnoteReference w:id="1146"/>
      </w:r>
      <w:r w:rsidRPr="00F06201">
        <w:rPr>
          <w:rFonts w:ascii="Times New Roman" w:hAnsi="Times New Roman" w:cs="Times New Roman"/>
          <w:sz w:val="24"/>
          <w:szCs w:val="24"/>
        </w:rPr>
        <w:t xml:space="preserve"> At this point, Megrue contacted the distillers to inform them that they had the desired protections from Washington and set the financial terms of the Ring accordingly: 50% of the money made would be given to the distillers to split with the rectifiers, with the remaining 50% given to him to distribute to ring members, with attached financial reports delivered to him to ensure that there was indeed honor among thieves.</w:t>
      </w:r>
      <w:r w:rsidRPr="00F06201">
        <w:rPr>
          <w:rFonts w:ascii="Times New Roman" w:hAnsi="Times New Roman" w:cs="Times New Roman"/>
          <w:sz w:val="24"/>
          <w:szCs w:val="24"/>
          <w:vertAlign w:val="superscript"/>
        </w:rPr>
        <w:footnoteReference w:id="1147"/>
      </w:r>
    </w:p>
    <w:p w14:paraId="0038AB14" w14:textId="21012D7B"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Although McDonald and Babcock established the Whiskey Ring as an effective shadow network, McDonald’s reputation began to catch up with him</w:t>
      </w:r>
      <w:r w:rsidR="00411DFF">
        <w:rPr>
          <w:rFonts w:ascii="Times New Roman" w:hAnsi="Times New Roman" w:cs="Times New Roman"/>
          <w:sz w:val="24"/>
          <w:szCs w:val="24"/>
        </w:rPr>
        <w:t xml:space="preserve"> in August 1872</w:t>
      </w:r>
      <w:r w:rsidRPr="00F06201">
        <w:rPr>
          <w:rFonts w:ascii="Times New Roman" w:hAnsi="Times New Roman" w:cs="Times New Roman"/>
          <w:sz w:val="24"/>
          <w:szCs w:val="24"/>
        </w:rPr>
        <w:t xml:space="preserve">. McDonald was tasked with traveling to the American Southwest </w:t>
      </w:r>
      <w:r w:rsidR="00220465">
        <w:rPr>
          <w:rFonts w:ascii="Times New Roman" w:hAnsi="Times New Roman" w:cs="Times New Roman"/>
          <w:sz w:val="24"/>
          <w:szCs w:val="24"/>
        </w:rPr>
        <w:t>to</w:t>
      </w:r>
      <w:r w:rsidRPr="00F06201">
        <w:rPr>
          <w:rFonts w:ascii="Times New Roman" w:hAnsi="Times New Roman" w:cs="Times New Roman"/>
          <w:sz w:val="24"/>
          <w:szCs w:val="24"/>
        </w:rPr>
        <w:t xml:space="preserve"> resolv</w:t>
      </w:r>
      <w:r w:rsidR="00220465">
        <w:rPr>
          <w:rFonts w:ascii="Times New Roman" w:hAnsi="Times New Roman" w:cs="Times New Roman"/>
          <w:sz w:val="24"/>
          <w:szCs w:val="24"/>
        </w:rPr>
        <w:t>e</w:t>
      </w:r>
      <w:r w:rsidRPr="00F06201">
        <w:rPr>
          <w:rFonts w:ascii="Times New Roman" w:hAnsi="Times New Roman" w:cs="Times New Roman"/>
          <w:sz w:val="24"/>
          <w:szCs w:val="24"/>
        </w:rPr>
        <w:t xml:space="preserve"> a dispute between the United States government and the Utes who lived in the region, forcing him away from his home </w:t>
      </w:r>
      <w:r w:rsidR="003F6350">
        <w:rPr>
          <w:rFonts w:ascii="Times New Roman" w:hAnsi="Times New Roman" w:cs="Times New Roman"/>
          <w:sz w:val="24"/>
          <w:szCs w:val="24"/>
        </w:rPr>
        <w:t xml:space="preserve">and criminal oversight </w:t>
      </w:r>
      <w:r w:rsidRPr="00F06201">
        <w:rPr>
          <w:rFonts w:ascii="Times New Roman" w:hAnsi="Times New Roman" w:cs="Times New Roman"/>
          <w:sz w:val="24"/>
          <w:szCs w:val="24"/>
        </w:rPr>
        <w:t>amid a crucial point for the Ring.</w:t>
      </w:r>
      <w:r w:rsidRPr="00F06201">
        <w:rPr>
          <w:rFonts w:ascii="Times New Roman" w:hAnsi="Times New Roman" w:cs="Times New Roman"/>
          <w:sz w:val="24"/>
          <w:szCs w:val="24"/>
          <w:vertAlign w:val="superscript"/>
        </w:rPr>
        <w:footnoteReference w:id="1148"/>
      </w:r>
      <w:r w:rsidRPr="00F06201">
        <w:rPr>
          <w:rFonts w:ascii="Times New Roman" w:hAnsi="Times New Roman" w:cs="Times New Roman"/>
          <w:sz w:val="24"/>
          <w:szCs w:val="24"/>
        </w:rPr>
        <w:t xml:space="preserve"> </w:t>
      </w:r>
      <w:r w:rsidR="00BC37ED">
        <w:rPr>
          <w:rFonts w:ascii="Times New Roman" w:hAnsi="Times New Roman" w:cs="Times New Roman"/>
          <w:sz w:val="24"/>
          <w:szCs w:val="24"/>
        </w:rPr>
        <w:t xml:space="preserve">The end of </w:t>
      </w:r>
      <w:r w:rsidRPr="00F06201">
        <w:rPr>
          <w:rFonts w:ascii="Times New Roman" w:hAnsi="Times New Roman" w:cs="Times New Roman"/>
          <w:sz w:val="24"/>
          <w:szCs w:val="24"/>
        </w:rPr>
        <w:t>McDonald’s te</w:t>
      </w:r>
      <w:r w:rsidR="00BC37ED">
        <w:rPr>
          <w:rFonts w:ascii="Times New Roman" w:hAnsi="Times New Roman" w:cs="Times New Roman"/>
          <w:sz w:val="24"/>
          <w:szCs w:val="24"/>
        </w:rPr>
        <w:t>rm</w:t>
      </w:r>
      <w:r w:rsidRPr="00F06201">
        <w:rPr>
          <w:rFonts w:ascii="Times New Roman" w:hAnsi="Times New Roman" w:cs="Times New Roman"/>
          <w:sz w:val="24"/>
          <w:szCs w:val="24"/>
        </w:rPr>
        <w:t xml:space="preserve"> from his initial</w:t>
      </w:r>
      <w:r w:rsidR="002013B8">
        <w:rPr>
          <w:rFonts w:ascii="Times New Roman" w:hAnsi="Times New Roman" w:cs="Times New Roman"/>
          <w:sz w:val="24"/>
          <w:szCs w:val="24"/>
        </w:rPr>
        <w:t xml:space="preserve"> </w:t>
      </w:r>
      <w:r w:rsidRPr="00F06201">
        <w:rPr>
          <w:rFonts w:ascii="Times New Roman" w:hAnsi="Times New Roman" w:cs="Times New Roman"/>
          <w:sz w:val="24"/>
          <w:szCs w:val="24"/>
        </w:rPr>
        <w:t xml:space="preserve">appointment in St. Louis was approaching, and McKee and Ford </w:t>
      </w:r>
      <w:r w:rsidR="009623A0">
        <w:rPr>
          <w:rFonts w:ascii="Times New Roman" w:hAnsi="Times New Roman" w:cs="Times New Roman"/>
          <w:sz w:val="24"/>
          <w:szCs w:val="24"/>
        </w:rPr>
        <w:t>commenced</w:t>
      </w:r>
      <w:r w:rsidRPr="00F06201">
        <w:rPr>
          <w:rFonts w:ascii="Times New Roman" w:hAnsi="Times New Roman" w:cs="Times New Roman"/>
          <w:sz w:val="24"/>
          <w:szCs w:val="24"/>
        </w:rPr>
        <w:t xml:space="preserve"> a campaign of letter writing to President Grant to express their support for McDonald, claiming that he should be retained as </w:t>
      </w:r>
      <w:r w:rsidR="009623A0">
        <w:rPr>
          <w:rFonts w:ascii="Times New Roman" w:hAnsi="Times New Roman" w:cs="Times New Roman"/>
          <w:sz w:val="24"/>
          <w:szCs w:val="24"/>
        </w:rPr>
        <w:t>S</w:t>
      </w:r>
      <w:r w:rsidRPr="00F06201">
        <w:rPr>
          <w:rFonts w:ascii="Times New Roman" w:hAnsi="Times New Roman" w:cs="Times New Roman"/>
          <w:sz w:val="24"/>
          <w:szCs w:val="24"/>
        </w:rPr>
        <w:t>upervisor</w:t>
      </w:r>
      <w:r w:rsidR="002013B8">
        <w:rPr>
          <w:rFonts w:ascii="Times New Roman" w:hAnsi="Times New Roman" w:cs="Times New Roman"/>
          <w:sz w:val="24"/>
          <w:szCs w:val="24"/>
        </w:rPr>
        <w:t xml:space="preserve"> of Internal Revenue</w:t>
      </w:r>
      <w:r w:rsidRPr="00F06201">
        <w:rPr>
          <w:rFonts w:ascii="Times New Roman" w:hAnsi="Times New Roman" w:cs="Times New Roman"/>
          <w:sz w:val="24"/>
          <w:szCs w:val="24"/>
        </w:rPr>
        <w:t xml:space="preserve"> in Missouri.</w:t>
      </w:r>
      <w:r w:rsidRPr="00F06201">
        <w:rPr>
          <w:rFonts w:ascii="Times New Roman" w:hAnsi="Times New Roman" w:cs="Times New Roman"/>
          <w:sz w:val="24"/>
          <w:szCs w:val="24"/>
          <w:vertAlign w:val="superscript"/>
        </w:rPr>
        <w:footnoteReference w:id="1149"/>
      </w:r>
      <w:r w:rsidRPr="00F06201">
        <w:rPr>
          <w:rFonts w:ascii="Times New Roman" w:hAnsi="Times New Roman" w:cs="Times New Roman"/>
          <w:sz w:val="24"/>
          <w:szCs w:val="24"/>
        </w:rPr>
        <w:t xml:space="preserve"> Among the letters were reminders to the president that McDonald had valuable connections to Missouri’s Republican Party that could aid efforts for reelection in the upcoming presidential campaign.</w:t>
      </w:r>
      <w:r w:rsidRPr="00F06201">
        <w:rPr>
          <w:rFonts w:ascii="Times New Roman" w:hAnsi="Times New Roman" w:cs="Times New Roman"/>
          <w:sz w:val="24"/>
          <w:szCs w:val="24"/>
          <w:vertAlign w:val="superscript"/>
        </w:rPr>
        <w:footnoteReference w:id="1150"/>
      </w:r>
      <w:r w:rsidRPr="00F06201">
        <w:rPr>
          <w:rFonts w:ascii="Times New Roman" w:hAnsi="Times New Roman" w:cs="Times New Roman"/>
          <w:sz w:val="24"/>
          <w:szCs w:val="24"/>
        </w:rPr>
        <w:t xml:space="preserve"> President Grant remarked that “the dispatches and letters received in favor of Sup’r McDonald are so numerous, and from people of such standing and responsibility” that he was compelled to appoint </w:t>
      </w:r>
      <w:r w:rsidRPr="00F06201">
        <w:rPr>
          <w:rFonts w:ascii="Times New Roman" w:hAnsi="Times New Roman" w:cs="Times New Roman"/>
          <w:sz w:val="24"/>
          <w:szCs w:val="24"/>
        </w:rPr>
        <w:lastRenderedPageBreak/>
        <w:t xml:space="preserve">McDonald to </w:t>
      </w:r>
      <w:r w:rsidR="00FB6510">
        <w:rPr>
          <w:rFonts w:ascii="Times New Roman" w:hAnsi="Times New Roman" w:cs="Times New Roman"/>
          <w:sz w:val="24"/>
          <w:szCs w:val="24"/>
        </w:rPr>
        <w:t>the</w:t>
      </w:r>
      <w:r w:rsidRPr="00F06201">
        <w:rPr>
          <w:rFonts w:ascii="Times New Roman" w:hAnsi="Times New Roman" w:cs="Times New Roman"/>
          <w:sz w:val="24"/>
          <w:szCs w:val="24"/>
        </w:rPr>
        <w:t xml:space="preserve"> open post.</w:t>
      </w:r>
      <w:r w:rsidRPr="00F06201">
        <w:rPr>
          <w:rFonts w:ascii="Times New Roman" w:hAnsi="Times New Roman" w:cs="Times New Roman"/>
          <w:sz w:val="24"/>
          <w:szCs w:val="24"/>
          <w:vertAlign w:val="superscript"/>
        </w:rPr>
        <w:footnoteReference w:id="1151"/>
      </w:r>
      <w:r w:rsidRPr="00F06201">
        <w:rPr>
          <w:rFonts w:ascii="Times New Roman" w:hAnsi="Times New Roman" w:cs="Times New Roman"/>
          <w:sz w:val="24"/>
          <w:szCs w:val="24"/>
        </w:rPr>
        <w:t xml:space="preserve"> Joyce kept McDonald apprised of the ongoing situation during his mission with the Utes, and as soon as Babcock messaged Joyce that </w:t>
      </w:r>
      <w:r w:rsidR="00F057CA">
        <w:rPr>
          <w:rFonts w:ascii="Times New Roman" w:hAnsi="Times New Roman" w:cs="Times New Roman"/>
          <w:sz w:val="24"/>
          <w:szCs w:val="24"/>
        </w:rPr>
        <w:t>the</w:t>
      </w:r>
      <w:r w:rsidRPr="00F06201">
        <w:rPr>
          <w:rFonts w:ascii="Times New Roman" w:hAnsi="Times New Roman" w:cs="Times New Roman"/>
          <w:sz w:val="24"/>
          <w:szCs w:val="24"/>
        </w:rPr>
        <w:t xml:space="preserve"> commission was signed, Joyce messaged McDonald, </w:t>
      </w:r>
      <w:r w:rsidR="00F057CA">
        <w:rPr>
          <w:rFonts w:ascii="Times New Roman" w:hAnsi="Times New Roman" w:cs="Times New Roman"/>
          <w:sz w:val="24"/>
          <w:szCs w:val="24"/>
        </w:rPr>
        <w:t>intimat</w:t>
      </w:r>
      <w:r w:rsidRPr="00F06201">
        <w:rPr>
          <w:rFonts w:ascii="Times New Roman" w:hAnsi="Times New Roman" w:cs="Times New Roman"/>
          <w:sz w:val="24"/>
          <w:szCs w:val="24"/>
        </w:rPr>
        <w:t>ing the riches their illicit future held together: “I received yours of the 17</w:t>
      </w:r>
      <w:r w:rsidRPr="00F06201">
        <w:rPr>
          <w:rFonts w:ascii="Times New Roman" w:hAnsi="Times New Roman" w:cs="Times New Roman"/>
          <w:sz w:val="24"/>
          <w:szCs w:val="24"/>
          <w:vertAlign w:val="superscript"/>
        </w:rPr>
        <w:t>th</w:t>
      </w:r>
      <w:r w:rsidRPr="00F06201">
        <w:rPr>
          <w:rFonts w:ascii="Times New Roman" w:hAnsi="Times New Roman" w:cs="Times New Roman"/>
          <w:sz w:val="24"/>
          <w:szCs w:val="24"/>
        </w:rPr>
        <w:t xml:space="preserve"> inst., wherein you give glowing ideas of what we may be worth in the future. Put me down for a gold mine, a silver gulch and a diamond quarry.”</w:t>
      </w:r>
      <w:r w:rsidRPr="00F06201">
        <w:rPr>
          <w:rFonts w:ascii="Times New Roman" w:hAnsi="Times New Roman" w:cs="Times New Roman"/>
          <w:sz w:val="24"/>
          <w:szCs w:val="24"/>
          <w:vertAlign w:val="superscript"/>
        </w:rPr>
        <w:footnoteReference w:id="1152"/>
      </w:r>
    </w:p>
    <w:p w14:paraId="1907CD06" w14:textId="38818C12"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McDonald’s return to St. Louis heralded a new day for the Whiskey Ring. Megrue began to collect from the distillers in September 1871 per their original plan, and each Saturday he collected and distributed money for the Ring.</w:t>
      </w:r>
      <w:r w:rsidRPr="00F06201">
        <w:rPr>
          <w:rFonts w:ascii="Times New Roman" w:hAnsi="Times New Roman" w:cs="Times New Roman"/>
          <w:sz w:val="24"/>
          <w:szCs w:val="24"/>
          <w:vertAlign w:val="superscript"/>
        </w:rPr>
        <w:footnoteReference w:id="1153"/>
      </w:r>
      <w:r w:rsidRPr="00F06201">
        <w:rPr>
          <w:rFonts w:ascii="Times New Roman" w:hAnsi="Times New Roman" w:cs="Times New Roman"/>
          <w:sz w:val="24"/>
          <w:szCs w:val="24"/>
        </w:rPr>
        <w:t xml:space="preserve"> Money was set aside for their Washington accomplices Avery and Babcock, and during visits or when given advance notice of impending investigations, they were given special gifts </w:t>
      </w:r>
      <w:r w:rsidR="007F4BE4">
        <w:rPr>
          <w:rFonts w:ascii="Times New Roman" w:hAnsi="Times New Roman" w:cs="Times New Roman"/>
          <w:sz w:val="24"/>
          <w:szCs w:val="24"/>
        </w:rPr>
        <w:t>of</w:t>
      </w:r>
      <w:r w:rsidRPr="00F06201">
        <w:rPr>
          <w:rFonts w:ascii="Times New Roman" w:hAnsi="Times New Roman" w:cs="Times New Roman"/>
          <w:sz w:val="24"/>
          <w:szCs w:val="24"/>
        </w:rPr>
        <w:t xml:space="preserve"> money and diamonds.</w:t>
      </w:r>
      <w:r w:rsidRPr="00F06201">
        <w:rPr>
          <w:rFonts w:ascii="Times New Roman" w:hAnsi="Times New Roman" w:cs="Times New Roman"/>
          <w:sz w:val="24"/>
          <w:szCs w:val="24"/>
          <w:vertAlign w:val="superscript"/>
        </w:rPr>
        <w:footnoteReference w:id="1154"/>
      </w:r>
      <w:r w:rsidRPr="00F06201">
        <w:rPr>
          <w:rFonts w:ascii="Times New Roman" w:hAnsi="Times New Roman" w:cs="Times New Roman"/>
          <w:sz w:val="24"/>
          <w:szCs w:val="24"/>
        </w:rPr>
        <w:t xml:space="preserve"> By November 1872, each of the ring members made between $50,000-$60,000, reaching a </w:t>
      </w:r>
      <w:r w:rsidR="007F4BE4">
        <w:rPr>
          <w:rFonts w:ascii="Times New Roman" w:hAnsi="Times New Roman" w:cs="Times New Roman"/>
          <w:sz w:val="24"/>
          <w:szCs w:val="24"/>
        </w:rPr>
        <w:t xml:space="preserve">sobering </w:t>
      </w:r>
      <w:r w:rsidRPr="00F06201">
        <w:rPr>
          <w:rFonts w:ascii="Times New Roman" w:hAnsi="Times New Roman" w:cs="Times New Roman"/>
          <w:sz w:val="24"/>
          <w:szCs w:val="24"/>
        </w:rPr>
        <w:t xml:space="preserve">point where more than a half-million dollars was stolen from the federal </w:t>
      </w:r>
      <w:r w:rsidR="007F4BE4">
        <w:rPr>
          <w:rFonts w:ascii="Times New Roman" w:hAnsi="Times New Roman" w:cs="Times New Roman"/>
          <w:sz w:val="24"/>
          <w:szCs w:val="24"/>
        </w:rPr>
        <w:t>coffers</w:t>
      </w:r>
      <w:r w:rsidRPr="00F06201">
        <w:rPr>
          <w:rFonts w:ascii="Times New Roman" w:hAnsi="Times New Roman" w:cs="Times New Roman"/>
          <w:sz w:val="24"/>
          <w:szCs w:val="24"/>
        </w:rPr>
        <w:t>.</w:t>
      </w:r>
      <w:r w:rsidRPr="00F06201">
        <w:rPr>
          <w:rFonts w:ascii="Times New Roman" w:hAnsi="Times New Roman" w:cs="Times New Roman"/>
          <w:sz w:val="24"/>
          <w:szCs w:val="24"/>
          <w:vertAlign w:val="superscript"/>
        </w:rPr>
        <w:footnoteReference w:id="1155"/>
      </w:r>
      <w:r w:rsidRPr="00F06201">
        <w:rPr>
          <w:rFonts w:ascii="Times New Roman" w:hAnsi="Times New Roman" w:cs="Times New Roman"/>
          <w:sz w:val="24"/>
          <w:szCs w:val="24"/>
        </w:rPr>
        <w:t xml:space="preserve"> Still, </w:t>
      </w:r>
      <w:r w:rsidR="007F4BE4">
        <w:rPr>
          <w:rFonts w:ascii="Times New Roman" w:hAnsi="Times New Roman" w:cs="Times New Roman"/>
          <w:sz w:val="24"/>
          <w:szCs w:val="24"/>
        </w:rPr>
        <w:t xml:space="preserve">there seemed no temperance to </w:t>
      </w:r>
      <w:r w:rsidRPr="00F06201">
        <w:rPr>
          <w:rFonts w:ascii="Times New Roman" w:hAnsi="Times New Roman" w:cs="Times New Roman"/>
          <w:sz w:val="24"/>
          <w:szCs w:val="24"/>
        </w:rPr>
        <w:t>McDonald’s greed</w:t>
      </w:r>
      <w:r w:rsidR="007F4BE4">
        <w:rPr>
          <w:rFonts w:ascii="Times New Roman" w:hAnsi="Times New Roman" w:cs="Times New Roman"/>
          <w:sz w:val="24"/>
          <w:szCs w:val="24"/>
        </w:rPr>
        <w:t>,</w:t>
      </w:r>
      <w:r w:rsidRPr="00F06201">
        <w:rPr>
          <w:rFonts w:ascii="Times New Roman" w:hAnsi="Times New Roman" w:cs="Times New Roman"/>
          <w:sz w:val="24"/>
          <w:szCs w:val="24"/>
        </w:rPr>
        <w:t xml:space="preserve"> as he </w:t>
      </w:r>
      <w:r w:rsidR="00483088">
        <w:rPr>
          <w:rFonts w:ascii="Times New Roman" w:hAnsi="Times New Roman" w:cs="Times New Roman"/>
          <w:sz w:val="24"/>
          <w:szCs w:val="24"/>
        </w:rPr>
        <w:t>pressed</w:t>
      </w:r>
      <w:r w:rsidRPr="00F06201">
        <w:rPr>
          <w:rFonts w:ascii="Times New Roman" w:hAnsi="Times New Roman" w:cs="Times New Roman"/>
          <w:sz w:val="24"/>
          <w:szCs w:val="24"/>
        </w:rPr>
        <w:t xml:space="preserve"> distillers “why in hell don’t you manufacture more” as “the thing must pan out better.”</w:t>
      </w:r>
      <w:r w:rsidRPr="00F06201">
        <w:rPr>
          <w:rFonts w:ascii="Times New Roman" w:hAnsi="Times New Roman" w:cs="Times New Roman"/>
          <w:sz w:val="24"/>
          <w:szCs w:val="24"/>
          <w:vertAlign w:val="superscript"/>
        </w:rPr>
        <w:footnoteReference w:id="1156"/>
      </w:r>
      <w:r w:rsidRPr="00F06201">
        <w:rPr>
          <w:rFonts w:ascii="Times New Roman" w:hAnsi="Times New Roman" w:cs="Times New Roman"/>
          <w:sz w:val="24"/>
          <w:szCs w:val="24"/>
        </w:rPr>
        <w:t xml:space="preserve"> His tactics went so far as to </w:t>
      </w:r>
      <w:r w:rsidR="00782F8C">
        <w:rPr>
          <w:rFonts w:ascii="Times New Roman" w:hAnsi="Times New Roman" w:cs="Times New Roman"/>
          <w:sz w:val="24"/>
          <w:szCs w:val="24"/>
        </w:rPr>
        <w:t>make</w:t>
      </w:r>
      <w:r w:rsidRPr="00F06201">
        <w:rPr>
          <w:rFonts w:ascii="Times New Roman" w:hAnsi="Times New Roman" w:cs="Times New Roman"/>
          <w:sz w:val="24"/>
          <w:szCs w:val="24"/>
        </w:rPr>
        <w:t xml:space="preserve"> threats. At one point, one of the distillers got cold feet and tried to back out, but McDonald confronted him on the street, asking “Ain’t you going to the office this morning? You had better go, the boys are waiting for you there.”</w:t>
      </w:r>
      <w:r w:rsidRPr="00F06201">
        <w:rPr>
          <w:rFonts w:ascii="Times New Roman" w:hAnsi="Times New Roman" w:cs="Times New Roman"/>
          <w:sz w:val="24"/>
          <w:szCs w:val="24"/>
          <w:vertAlign w:val="superscript"/>
        </w:rPr>
        <w:footnoteReference w:id="1157"/>
      </w:r>
      <w:r w:rsidRPr="00F06201">
        <w:rPr>
          <w:rFonts w:ascii="Times New Roman" w:hAnsi="Times New Roman" w:cs="Times New Roman"/>
          <w:sz w:val="24"/>
          <w:szCs w:val="24"/>
        </w:rPr>
        <w:t xml:space="preserve"> The distiller had a remarkable change of heart and returned as a dedicated piece of the Whiskey Ring.</w:t>
      </w:r>
    </w:p>
    <w:p w14:paraId="5B511FD8" w14:textId="7EF801E9"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lastRenderedPageBreak/>
        <w:t xml:space="preserve">The Whiskey Ring </w:t>
      </w:r>
      <w:r w:rsidR="008A2445">
        <w:rPr>
          <w:rFonts w:ascii="Times New Roman" w:hAnsi="Times New Roman" w:cs="Times New Roman"/>
          <w:sz w:val="24"/>
          <w:szCs w:val="24"/>
        </w:rPr>
        <w:t xml:space="preserve">was </w:t>
      </w:r>
      <w:r w:rsidRPr="00F06201">
        <w:rPr>
          <w:rFonts w:ascii="Times New Roman" w:hAnsi="Times New Roman" w:cs="Times New Roman"/>
          <w:sz w:val="24"/>
          <w:szCs w:val="24"/>
        </w:rPr>
        <w:t xml:space="preserve">a large-scale operation, and while its members made </w:t>
      </w:r>
      <w:r w:rsidR="008A2445">
        <w:rPr>
          <w:rFonts w:ascii="Times New Roman" w:hAnsi="Times New Roman" w:cs="Times New Roman"/>
          <w:sz w:val="24"/>
          <w:szCs w:val="24"/>
        </w:rPr>
        <w:t>some</w:t>
      </w:r>
      <w:r w:rsidRPr="00F06201">
        <w:rPr>
          <w:rFonts w:ascii="Times New Roman" w:hAnsi="Times New Roman" w:cs="Times New Roman"/>
          <w:sz w:val="24"/>
          <w:szCs w:val="24"/>
        </w:rPr>
        <w:t xml:space="preserve"> effort to hide their misdeeds, many outsiders</w:t>
      </w:r>
      <w:r w:rsidR="008A2445">
        <w:rPr>
          <w:rFonts w:ascii="Times New Roman" w:hAnsi="Times New Roman" w:cs="Times New Roman"/>
          <w:sz w:val="24"/>
          <w:szCs w:val="24"/>
        </w:rPr>
        <w:t xml:space="preserve"> aware of the brewing schemes</w:t>
      </w:r>
      <w:r w:rsidRPr="00F06201">
        <w:rPr>
          <w:rFonts w:ascii="Times New Roman" w:hAnsi="Times New Roman" w:cs="Times New Roman"/>
          <w:sz w:val="24"/>
          <w:szCs w:val="24"/>
        </w:rPr>
        <w:t xml:space="preserve"> simply felt that complaining would bring them undue attention</w:t>
      </w:r>
      <w:r w:rsidR="008A2445">
        <w:rPr>
          <w:rFonts w:ascii="Times New Roman" w:hAnsi="Times New Roman" w:cs="Times New Roman"/>
          <w:sz w:val="24"/>
          <w:szCs w:val="24"/>
        </w:rPr>
        <w:t xml:space="preserve"> and possible harm</w:t>
      </w:r>
      <w:r w:rsidRPr="00F06201">
        <w:rPr>
          <w:rFonts w:ascii="Times New Roman" w:hAnsi="Times New Roman" w:cs="Times New Roman"/>
          <w:sz w:val="24"/>
          <w:szCs w:val="24"/>
        </w:rPr>
        <w:t>, as they assumed the Ring had institutional protection. McDonald was appointed to his post by Commissioner of Internal Revenue Columbus Delano, and when Delano was promoted to Secretary of the Interior, McDonald claimed that his replacement, John Douglass, was appointed in part because of the Ring.</w:t>
      </w:r>
      <w:r w:rsidRPr="00F06201">
        <w:rPr>
          <w:rFonts w:ascii="Times New Roman" w:hAnsi="Times New Roman" w:cs="Times New Roman"/>
          <w:sz w:val="24"/>
          <w:szCs w:val="24"/>
          <w:vertAlign w:val="superscript"/>
        </w:rPr>
        <w:footnoteReference w:id="1158"/>
      </w:r>
      <w:r w:rsidRPr="00F06201">
        <w:rPr>
          <w:rFonts w:ascii="Times New Roman" w:hAnsi="Times New Roman" w:cs="Times New Roman"/>
          <w:sz w:val="24"/>
          <w:szCs w:val="24"/>
        </w:rPr>
        <w:t xml:space="preserve"> It is unclear if Douglass was ever brought into the Ring, but he was certainly incompetent. Rumors circulated the local press, but nothing was ever substantiated.</w:t>
      </w:r>
      <w:r w:rsidRPr="00F06201">
        <w:rPr>
          <w:rFonts w:ascii="Times New Roman" w:hAnsi="Times New Roman" w:cs="Times New Roman"/>
          <w:sz w:val="24"/>
          <w:szCs w:val="24"/>
          <w:vertAlign w:val="superscript"/>
        </w:rPr>
        <w:footnoteReference w:id="1159"/>
      </w:r>
    </w:p>
    <w:p w14:paraId="523F804F" w14:textId="542E6A03" w:rsidR="00F06201" w:rsidRPr="00F06201" w:rsidRDefault="00D865F8" w:rsidP="00F06201">
      <w:pPr>
        <w:spacing w:line="480" w:lineRule="auto"/>
        <w:ind w:firstLine="720"/>
        <w:rPr>
          <w:rFonts w:ascii="Times New Roman" w:hAnsi="Times New Roman" w:cs="Times New Roman"/>
          <w:sz w:val="24"/>
          <w:szCs w:val="24"/>
        </w:rPr>
      </w:pPr>
      <w:r>
        <w:rPr>
          <w:rFonts w:ascii="Times New Roman" w:hAnsi="Times New Roman" w:cs="Times New Roman"/>
          <w:sz w:val="24"/>
          <w:szCs w:val="24"/>
        </w:rPr>
        <w:t>Eventually</w:t>
      </w:r>
      <w:r w:rsidR="00F06201" w:rsidRPr="00F06201">
        <w:rPr>
          <w:rFonts w:ascii="Times New Roman" w:hAnsi="Times New Roman" w:cs="Times New Roman"/>
          <w:sz w:val="24"/>
          <w:szCs w:val="24"/>
        </w:rPr>
        <w:t xml:space="preserve"> the rumors spread surrounding the impropriety amongst government agents and whiskey distributors in St. Louis</w:t>
      </w:r>
      <w:r>
        <w:rPr>
          <w:rFonts w:ascii="Times New Roman" w:hAnsi="Times New Roman" w:cs="Times New Roman"/>
          <w:sz w:val="24"/>
          <w:szCs w:val="24"/>
        </w:rPr>
        <w:t xml:space="preserve"> to the attention of others in Washington. Secretary</w:t>
      </w:r>
      <w:r w:rsidR="00F06201" w:rsidRPr="00F06201">
        <w:rPr>
          <w:rFonts w:ascii="Times New Roman" w:hAnsi="Times New Roman" w:cs="Times New Roman"/>
          <w:sz w:val="24"/>
          <w:szCs w:val="24"/>
        </w:rPr>
        <w:t xml:space="preserve"> Bristow prepared for investigations into the alleged misdeeds alongside his </w:t>
      </w:r>
      <w:r w:rsidR="00414053">
        <w:rPr>
          <w:rFonts w:ascii="Times New Roman" w:hAnsi="Times New Roman" w:cs="Times New Roman"/>
          <w:sz w:val="24"/>
          <w:szCs w:val="24"/>
        </w:rPr>
        <w:t>S</w:t>
      </w:r>
      <w:r w:rsidR="00F06201" w:rsidRPr="00F06201">
        <w:rPr>
          <w:rFonts w:ascii="Times New Roman" w:hAnsi="Times New Roman" w:cs="Times New Roman"/>
          <w:sz w:val="24"/>
          <w:szCs w:val="24"/>
        </w:rPr>
        <w:t xml:space="preserve">olicitor in the </w:t>
      </w:r>
      <w:r w:rsidR="00414053">
        <w:rPr>
          <w:rFonts w:ascii="Times New Roman" w:hAnsi="Times New Roman" w:cs="Times New Roman"/>
          <w:sz w:val="24"/>
          <w:szCs w:val="24"/>
        </w:rPr>
        <w:t>T</w:t>
      </w:r>
      <w:r w:rsidR="00F06201" w:rsidRPr="00F06201">
        <w:rPr>
          <w:rFonts w:ascii="Times New Roman" w:hAnsi="Times New Roman" w:cs="Times New Roman"/>
          <w:sz w:val="24"/>
          <w:szCs w:val="24"/>
        </w:rPr>
        <w:t xml:space="preserve">reasury </w:t>
      </w:r>
      <w:r w:rsidR="00414053">
        <w:rPr>
          <w:rFonts w:ascii="Times New Roman" w:hAnsi="Times New Roman" w:cs="Times New Roman"/>
          <w:sz w:val="24"/>
          <w:szCs w:val="24"/>
        </w:rPr>
        <w:t>D</w:t>
      </w:r>
      <w:r w:rsidR="00F06201" w:rsidRPr="00F06201">
        <w:rPr>
          <w:rFonts w:ascii="Times New Roman" w:hAnsi="Times New Roman" w:cs="Times New Roman"/>
          <w:sz w:val="24"/>
          <w:szCs w:val="24"/>
        </w:rPr>
        <w:t xml:space="preserve">epartment, Bluford Wilson. The secretary worried about the effectiveness of Douglass in his post, but had no definitive proof </w:t>
      </w:r>
      <w:r w:rsidR="005A130A">
        <w:rPr>
          <w:rFonts w:ascii="Times New Roman" w:hAnsi="Times New Roman" w:cs="Times New Roman"/>
          <w:sz w:val="24"/>
          <w:szCs w:val="24"/>
        </w:rPr>
        <w:t>justifying his</w:t>
      </w:r>
      <w:r w:rsidR="00F06201" w:rsidRPr="00F06201">
        <w:rPr>
          <w:rFonts w:ascii="Times New Roman" w:hAnsi="Times New Roman" w:cs="Times New Roman"/>
          <w:sz w:val="24"/>
          <w:szCs w:val="24"/>
        </w:rPr>
        <w:t xml:space="preserve"> remov</w:t>
      </w:r>
      <w:r w:rsidR="005A130A">
        <w:rPr>
          <w:rFonts w:ascii="Times New Roman" w:hAnsi="Times New Roman" w:cs="Times New Roman"/>
          <w:sz w:val="24"/>
          <w:szCs w:val="24"/>
        </w:rPr>
        <w:t>al</w:t>
      </w:r>
      <w:r w:rsidR="00F06201" w:rsidRPr="00F06201">
        <w:rPr>
          <w:rFonts w:ascii="Times New Roman" w:hAnsi="Times New Roman" w:cs="Times New Roman"/>
          <w:sz w:val="24"/>
          <w:szCs w:val="24"/>
        </w:rPr>
        <w:t xml:space="preserve"> him from his post, so he instead launched a tiered investigation in which Douglass oversaw only a section of the inquest.</w:t>
      </w:r>
      <w:r w:rsidR="00F06201" w:rsidRPr="00F06201">
        <w:rPr>
          <w:rFonts w:ascii="Times New Roman" w:hAnsi="Times New Roman" w:cs="Times New Roman"/>
          <w:sz w:val="24"/>
          <w:szCs w:val="24"/>
          <w:vertAlign w:val="superscript"/>
        </w:rPr>
        <w:footnoteReference w:id="1160"/>
      </w:r>
      <w:r w:rsidR="00F06201" w:rsidRPr="00F06201">
        <w:rPr>
          <w:rFonts w:ascii="Times New Roman" w:hAnsi="Times New Roman" w:cs="Times New Roman"/>
          <w:sz w:val="24"/>
          <w:szCs w:val="24"/>
        </w:rPr>
        <w:t xml:space="preserve"> Part of the reason that Douglass was not removed was that the top nominee for his replacement was Harry Wilson, Bluford’s brother, and President Grant balked at having two brothers in such high-ranking posts in the same department.</w:t>
      </w:r>
      <w:r w:rsidR="00F06201" w:rsidRPr="00F06201">
        <w:rPr>
          <w:rFonts w:ascii="Times New Roman" w:hAnsi="Times New Roman" w:cs="Times New Roman"/>
          <w:sz w:val="24"/>
          <w:szCs w:val="24"/>
          <w:vertAlign w:val="superscript"/>
        </w:rPr>
        <w:footnoteReference w:id="1161"/>
      </w:r>
      <w:r w:rsidR="00F06201" w:rsidRPr="00F06201">
        <w:rPr>
          <w:rFonts w:ascii="Times New Roman" w:hAnsi="Times New Roman" w:cs="Times New Roman"/>
          <w:sz w:val="24"/>
          <w:szCs w:val="24"/>
        </w:rPr>
        <w:t xml:space="preserve"> This halted one avenue of investigation for the time being, but both Bluford Wilson and Bristow were intrigued by the possibility of uncovering Babcock as the alleged mole in the White House for the Whiskey Ring.</w:t>
      </w:r>
      <w:r w:rsidR="00F06201" w:rsidRPr="00F06201">
        <w:rPr>
          <w:rFonts w:ascii="Times New Roman" w:hAnsi="Times New Roman" w:cs="Times New Roman"/>
          <w:sz w:val="24"/>
          <w:szCs w:val="24"/>
          <w:vertAlign w:val="superscript"/>
        </w:rPr>
        <w:footnoteReference w:id="1162"/>
      </w:r>
    </w:p>
    <w:p w14:paraId="692A36C1" w14:textId="014E9C6C"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lastRenderedPageBreak/>
        <w:t xml:space="preserve">Bristow continued his investigation by sending revenue agents from Washington to ascertain the legitimacy of the rumors. An in-person investigation was spurred on when </w:t>
      </w:r>
      <w:r w:rsidR="009B683D">
        <w:rPr>
          <w:rFonts w:ascii="Times New Roman" w:hAnsi="Times New Roman" w:cs="Times New Roman"/>
          <w:sz w:val="24"/>
          <w:szCs w:val="24"/>
        </w:rPr>
        <w:t>R</w:t>
      </w:r>
      <w:r w:rsidRPr="00F06201">
        <w:rPr>
          <w:rFonts w:ascii="Times New Roman" w:hAnsi="Times New Roman" w:cs="Times New Roman"/>
          <w:sz w:val="24"/>
          <w:szCs w:val="24"/>
        </w:rPr>
        <w:t xml:space="preserve">evenue </w:t>
      </w:r>
      <w:r w:rsidR="009B683D">
        <w:rPr>
          <w:rFonts w:ascii="Times New Roman" w:hAnsi="Times New Roman" w:cs="Times New Roman"/>
          <w:sz w:val="24"/>
          <w:szCs w:val="24"/>
        </w:rPr>
        <w:t>A</w:t>
      </w:r>
      <w:r w:rsidRPr="00F06201">
        <w:rPr>
          <w:rFonts w:ascii="Times New Roman" w:hAnsi="Times New Roman" w:cs="Times New Roman"/>
          <w:sz w:val="24"/>
          <w:szCs w:val="24"/>
        </w:rPr>
        <w:t>gent B.P. Brasher reported to Douglass that something was amiss in the distilleries in St. Louis, and Douglass responded by having two more revenue agents join Brasher for</w:t>
      </w:r>
      <w:r w:rsidR="009B683D">
        <w:rPr>
          <w:rFonts w:ascii="Times New Roman" w:hAnsi="Times New Roman" w:cs="Times New Roman"/>
          <w:sz w:val="24"/>
          <w:szCs w:val="24"/>
        </w:rPr>
        <w:t xml:space="preserve"> the</w:t>
      </w:r>
      <w:r w:rsidRPr="00F06201">
        <w:rPr>
          <w:rFonts w:ascii="Times New Roman" w:hAnsi="Times New Roman" w:cs="Times New Roman"/>
          <w:sz w:val="24"/>
          <w:szCs w:val="24"/>
        </w:rPr>
        <w:t xml:space="preserve"> investigation.</w:t>
      </w:r>
      <w:r w:rsidRPr="00F06201">
        <w:rPr>
          <w:rFonts w:ascii="Times New Roman" w:hAnsi="Times New Roman" w:cs="Times New Roman"/>
          <w:sz w:val="24"/>
          <w:szCs w:val="24"/>
          <w:vertAlign w:val="superscript"/>
        </w:rPr>
        <w:footnoteReference w:id="1163"/>
      </w:r>
      <w:r w:rsidRPr="00F06201">
        <w:rPr>
          <w:rFonts w:ascii="Times New Roman" w:hAnsi="Times New Roman" w:cs="Times New Roman"/>
          <w:sz w:val="24"/>
          <w:szCs w:val="24"/>
        </w:rPr>
        <w:t xml:space="preserve"> Douglass’s incompetence was </w:t>
      </w:r>
      <w:r w:rsidR="00FA159C">
        <w:rPr>
          <w:rFonts w:ascii="Times New Roman" w:hAnsi="Times New Roman" w:cs="Times New Roman"/>
          <w:sz w:val="24"/>
          <w:szCs w:val="24"/>
        </w:rPr>
        <w:t>exposed</w:t>
      </w:r>
      <w:r w:rsidRPr="00F06201">
        <w:rPr>
          <w:rFonts w:ascii="Times New Roman" w:hAnsi="Times New Roman" w:cs="Times New Roman"/>
          <w:sz w:val="24"/>
          <w:szCs w:val="24"/>
        </w:rPr>
        <w:t xml:space="preserve"> by </w:t>
      </w:r>
      <w:r w:rsidR="00FA159C">
        <w:rPr>
          <w:rFonts w:ascii="Times New Roman" w:hAnsi="Times New Roman" w:cs="Times New Roman"/>
          <w:sz w:val="24"/>
          <w:szCs w:val="24"/>
        </w:rPr>
        <w:t>his omission of</w:t>
      </w:r>
      <w:r w:rsidRPr="00F06201">
        <w:rPr>
          <w:rFonts w:ascii="Times New Roman" w:hAnsi="Times New Roman" w:cs="Times New Roman"/>
          <w:sz w:val="24"/>
          <w:szCs w:val="24"/>
        </w:rPr>
        <w:t xml:space="preserve"> copies of the written orders on file, meaning that neither Babcock nor Avery could warn McDonald of the incoming visitors.</w:t>
      </w:r>
      <w:r w:rsidRPr="00F06201">
        <w:rPr>
          <w:rFonts w:ascii="Times New Roman" w:hAnsi="Times New Roman" w:cs="Times New Roman"/>
          <w:sz w:val="24"/>
          <w:szCs w:val="24"/>
          <w:vertAlign w:val="superscript"/>
        </w:rPr>
        <w:footnoteReference w:id="1164"/>
      </w:r>
      <w:r w:rsidRPr="00F06201">
        <w:rPr>
          <w:rFonts w:ascii="Times New Roman" w:hAnsi="Times New Roman" w:cs="Times New Roman"/>
          <w:sz w:val="24"/>
          <w:szCs w:val="24"/>
        </w:rPr>
        <w:t xml:space="preserve"> The three revenue agents arrived in St. Louis in mid-November and went to one of the local distilleries where they were quickly met by McDonald, Joyce, and an unknown large man who was seemingly an enforcer of the Ring.</w:t>
      </w:r>
      <w:r w:rsidRPr="00F06201">
        <w:rPr>
          <w:rFonts w:ascii="Times New Roman" w:hAnsi="Times New Roman" w:cs="Times New Roman"/>
          <w:sz w:val="24"/>
          <w:szCs w:val="24"/>
          <w:vertAlign w:val="superscript"/>
        </w:rPr>
        <w:footnoteReference w:id="1165"/>
      </w:r>
      <w:r w:rsidRPr="00F06201">
        <w:rPr>
          <w:rFonts w:ascii="Times New Roman" w:hAnsi="Times New Roman" w:cs="Times New Roman"/>
          <w:sz w:val="24"/>
          <w:szCs w:val="24"/>
        </w:rPr>
        <w:t xml:space="preserve"> McDonald and the investigators got into an argument when he asked for their orders and they refused, claiming they were confidential orders, and McDonald angrily followed the men during their investigation.</w:t>
      </w:r>
      <w:r w:rsidRPr="00F06201">
        <w:rPr>
          <w:rFonts w:ascii="Times New Roman" w:hAnsi="Times New Roman" w:cs="Times New Roman"/>
          <w:sz w:val="24"/>
          <w:szCs w:val="24"/>
          <w:vertAlign w:val="superscript"/>
        </w:rPr>
        <w:footnoteReference w:id="1166"/>
      </w:r>
      <w:r w:rsidRPr="00F06201">
        <w:rPr>
          <w:rFonts w:ascii="Times New Roman" w:hAnsi="Times New Roman" w:cs="Times New Roman"/>
          <w:sz w:val="24"/>
          <w:szCs w:val="24"/>
        </w:rPr>
        <w:t xml:space="preserve"> One of the investigators later reported that they “did not regard his authority to forbid [our investigation], yet he either followed along with us wherever we went, or retarded our movements…by his constant presence…he kept himself in our way.”</w:t>
      </w:r>
      <w:r w:rsidRPr="00F06201">
        <w:rPr>
          <w:rFonts w:ascii="Times New Roman" w:hAnsi="Times New Roman" w:cs="Times New Roman"/>
          <w:sz w:val="24"/>
          <w:szCs w:val="24"/>
          <w:vertAlign w:val="superscript"/>
        </w:rPr>
        <w:footnoteReference w:id="1167"/>
      </w:r>
      <w:r w:rsidRPr="00F06201">
        <w:rPr>
          <w:rFonts w:ascii="Times New Roman" w:hAnsi="Times New Roman" w:cs="Times New Roman"/>
          <w:sz w:val="24"/>
          <w:szCs w:val="24"/>
        </w:rPr>
        <w:t xml:space="preserve"> McDonald’s attempts were </w:t>
      </w:r>
      <w:r w:rsidR="00912F7B">
        <w:rPr>
          <w:rFonts w:ascii="Times New Roman" w:hAnsi="Times New Roman" w:cs="Times New Roman"/>
          <w:sz w:val="24"/>
          <w:szCs w:val="24"/>
        </w:rPr>
        <w:t>fruitless</w:t>
      </w:r>
      <w:r w:rsidRPr="00F06201">
        <w:rPr>
          <w:rFonts w:ascii="Times New Roman" w:hAnsi="Times New Roman" w:cs="Times New Roman"/>
          <w:sz w:val="24"/>
          <w:szCs w:val="24"/>
        </w:rPr>
        <w:t>, as the investigators easily uncovered enough evidence over three days to write a full report detailing the malfeasances.</w:t>
      </w:r>
      <w:r w:rsidRPr="00F06201">
        <w:rPr>
          <w:rFonts w:ascii="Times New Roman" w:hAnsi="Times New Roman" w:cs="Times New Roman"/>
          <w:sz w:val="24"/>
          <w:szCs w:val="24"/>
          <w:vertAlign w:val="superscript"/>
        </w:rPr>
        <w:footnoteReference w:id="1168"/>
      </w:r>
      <w:r w:rsidRPr="00F06201">
        <w:rPr>
          <w:rFonts w:ascii="Times New Roman" w:hAnsi="Times New Roman" w:cs="Times New Roman"/>
          <w:sz w:val="24"/>
          <w:szCs w:val="24"/>
        </w:rPr>
        <w:t xml:space="preserve"> They omitted that McDonald was the head of the Ring in St. Louis for fear of retaliation, though they planned to report as much verbally when reporting to Douglass.</w:t>
      </w:r>
      <w:r w:rsidRPr="00F06201">
        <w:rPr>
          <w:rFonts w:ascii="Times New Roman" w:hAnsi="Times New Roman" w:cs="Times New Roman"/>
          <w:sz w:val="24"/>
          <w:szCs w:val="24"/>
          <w:vertAlign w:val="superscript"/>
        </w:rPr>
        <w:footnoteReference w:id="1169"/>
      </w:r>
    </w:p>
    <w:p w14:paraId="13838513" w14:textId="52BA2103"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Even with a detailed report filled with implications, McDonald and his compatriots escaped further penalties thanks to friends in high, and low, places. Brasher, the agent who </w:t>
      </w:r>
      <w:r w:rsidRPr="00F06201">
        <w:rPr>
          <w:rFonts w:ascii="Times New Roman" w:hAnsi="Times New Roman" w:cs="Times New Roman"/>
          <w:sz w:val="24"/>
          <w:szCs w:val="24"/>
        </w:rPr>
        <w:lastRenderedPageBreak/>
        <w:t>initiated the investigation in the first place, had no interest in submitting the report they compiled, instead using it to b</w:t>
      </w:r>
      <w:r w:rsidR="0084078B">
        <w:rPr>
          <w:rFonts w:ascii="Times New Roman" w:hAnsi="Times New Roman" w:cs="Times New Roman"/>
          <w:sz w:val="24"/>
          <w:szCs w:val="24"/>
        </w:rPr>
        <w:t>lackmail</w:t>
      </w:r>
      <w:r w:rsidRPr="00F06201">
        <w:rPr>
          <w:rFonts w:ascii="Times New Roman" w:hAnsi="Times New Roman" w:cs="Times New Roman"/>
          <w:sz w:val="24"/>
          <w:szCs w:val="24"/>
        </w:rPr>
        <w:t xml:space="preserve"> some of the distillers in the Ring for $10,000.</w:t>
      </w:r>
      <w:r w:rsidRPr="00F06201">
        <w:rPr>
          <w:rFonts w:ascii="Times New Roman" w:hAnsi="Times New Roman" w:cs="Times New Roman"/>
          <w:sz w:val="24"/>
          <w:szCs w:val="24"/>
          <w:vertAlign w:val="superscript"/>
        </w:rPr>
        <w:footnoteReference w:id="1170"/>
      </w:r>
      <w:r w:rsidRPr="00F06201">
        <w:rPr>
          <w:rFonts w:ascii="Times New Roman" w:hAnsi="Times New Roman" w:cs="Times New Roman"/>
          <w:sz w:val="24"/>
          <w:szCs w:val="24"/>
        </w:rPr>
        <w:t xml:space="preserve"> Once he received his hush money, Brasher returned to Washington and reported to Douglass that the investigation turned up only technical violations which were duly corrected.</w:t>
      </w:r>
      <w:r w:rsidRPr="00F06201">
        <w:rPr>
          <w:rFonts w:ascii="Times New Roman" w:hAnsi="Times New Roman" w:cs="Times New Roman"/>
          <w:sz w:val="24"/>
          <w:szCs w:val="24"/>
          <w:vertAlign w:val="superscript"/>
        </w:rPr>
        <w:footnoteReference w:id="1171"/>
      </w:r>
      <w:r w:rsidRPr="00F06201">
        <w:rPr>
          <w:rFonts w:ascii="Times New Roman" w:hAnsi="Times New Roman" w:cs="Times New Roman"/>
          <w:sz w:val="24"/>
          <w:szCs w:val="24"/>
        </w:rPr>
        <w:t xml:space="preserve"> The other investigators assumed Douglass buried their report, and rumors continued to plague Douglass that illegality was ongoing in St. Louis.</w:t>
      </w:r>
      <w:r w:rsidRPr="00F06201">
        <w:rPr>
          <w:rFonts w:ascii="Times New Roman" w:hAnsi="Times New Roman" w:cs="Times New Roman"/>
          <w:sz w:val="24"/>
          <w:szCs w:val="24"/>
          <w:vertAlign w:val="superscript"/>
        </w:rPr>
        <w:footnoteReference w:id="1172"/>
      </w:r>
      <w:r w:rsidRPr="00F06201">
        <w:rPr>
          <w:rFonts w:ascii="Times New Roman" w:hAnsi="Times New Roman" w:cs="Times New Roman"/>
          <w:sz w:val="24"/>
          <w:szCs w:val="24"/>
        </w:rPr>
        <w:t xml:space="preserve"> Douglass asked McDonald to investigate and find if there was any truth to the allegations, and McDonald assured him that Brasher’s work was correct and that he himself looked into it “but I have not been able to procure any evidence of fraud,” leaving Douglass satisfied.</w:t>
      </w:r>
      <w:r w:rsidRPr="00F06201">
        <w:rPr>
          <w:rFonts w:ascii="Times New Roman" w:hAnsi="Times New Roman" w:cs="Times New Roman"/>
          <w:sz w:val="24"/>
          <w:szCs w:val="24"/>
          <w:vertAlign w:val="superscript"/>
        </w:rPr>
        <w:footnoteReference w:id="1173"/>
      </w:r>
      <w:r w:rsidRPr="00F06201">
        <w:rPr>
          <w:rFonts w:ascii="Times New Roman" w:hAnsi="Times New Roman" w:cs="Times New Roman"/>
          <w:sz w:val="24"/>
          <w:szCs w:val="24"/>
        </w:rPr>
        <w:t xml:space="preserve"> Amid these ongoing whispers, Megrue grew concerned that the Ring would be uncovered and left his post as bagman, and the Ring replaced him with Joseph Fitzroy, a deputy </w:t>
      </w:r>
      <w:r w:rsidR="0007603D">
        <w:rPr>
          <w:rFonts w:ascii="Times New Roman" w:hAnsi="Times New Roman" w:cs="Times New Roman"/>
          <w:sz w:val="24"/>
          <w:szCs w:val="24"/>
        </w:rPr>
        <w:t xml:space="preserve">revenue </w:t>
      </w:r>
      <w:r w:rsidRPr="00F06201">
        <w:rPr>
          <w:rFonts w:ascii="Times New Roman" w:hAnsi="Times New Roman" w:cs="Times New Roman"/>
          <w:sz w:val="24"/>
          <w:szCs w:val="24"/>
        </w:rPr>
        <w:t>collector.</w:t>
      </w:r>
    </w:p>
    <w:p w14:paraId="3794E027" w14:textId="171AAD6F"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Megrue’s departure was </w:t>
      </w:r>
      <w:r w:rsidR="009F3086">
        <w:rPr>
          <w:rFonts w:ascii="Times New Roman" w:hAnsi="Times New Roman" w:cs="Times New Roman"/>
          <w:sz w:val="24"/>
          <w:szCs w:val="24"/>
        </w:rPr>
        <w:t xml:space="preserve">problematic, but a more significant wrench was </w:t>
      </w:r>
      <w:r w:rsidRPr="00F06201">
        <w:rPr>
          <w:rFonts w:ascii="Times New Roman" w:hAnsi="Times New Roman" w:cs="Times New Roman"/>
          <w:sz w:val="24"/>
          <w:szCs w:val="24"/>
        </w:rPr>
        <w:t xml:space="preserve">thrown into the </w:t>
      </w:r>
      <w:r w:rsidR="009F3086">
        <w:rPr>
          <w:rFonts w:ascii="Times New Roman" w:hAnsi="Times New Roman" w:cs="Times New Roman"/>
          <w:sz w:val="24"/>
          <w:szCs w:val="24"/>
        </w:rPr>
        <w:t>works</w:t>
      </w:r>
      <w:r w:rsidRPr="00F06201">
        <w:rPr>
          <w:rFonts w:ascii="Times New Roman" w:hAnsi="Times New Roman" w:cs="Times New Roman"/>
          <w:sz w:val="24"/>
          <w:szCs w:val="24"/>
        </w:rPr>
        <w:t xml:space="preserve"> when Revenue Collector Charles Ford unexpectedly died after a meeting with both McDonald and President Grant in Memphis, TN in October 1873.</w:t>
      </w:r>
      <w:r w:rsidRPr="00F06201">
        <w:rPr>
          <w:rFonts w:ascii="Times New Roman" w:hAnsi="Times New Roman" w:cs="Times New Roman"/>
          <w:sz w:val="24"/>
          <w:szCs w:val="24"/>
          <w:vertAlign w:val="superscript"/>
        </w:rPr>
        <w:footnoteReference w:id="1174"/>
      </w:r>
      <w:r w:rsidRPr="00F06201">
        <w:rPr>
          <w:rFonts w:ascii="Times New Roman" w:hAnsi="Times New Roman" w:cs="Times New Roman"/>
          <w:sz w:val="24"/>
          <w:szCs w:val="24"/>
        </w:rPr>
        <w:t xml:space="preserve"> The day after their meeting, which occurred during a reunion of the Army of the Tennessee honoring both Grant and Sherman, McDonald and Ford began their return to St. Louis when Ford</w:t>
      </w:r>
      <w:r w:rsidR="0020298D">
        <w:rPr>
          <w:rFonts w:ascii="Times New Roman" w:hAnsi="Times New Roman" w:cs="Times New Roman"/>
          <w:sz w:val="24"/>
          <w:szCs w:val="24"/>
        </w:rPr>
        <w:t xml:space="preserve"> suddenly</w:t>
      </w:r>
      <w:r w:rsidRPr="00F06201">
        <w:rPr>
          <w:rFonts w:ascii="Times New Roman" w:hAnsi="Times New Roman" w:cs="Times New Roman"/>
          <w:sz w:val="24"/>
          <w:szCs w:val="24"/>
        </w:rPr>
        <w:t xml:space="preserve"> fell ill and died.</w:t>
      </w:r>
      <w:r w:rsidRPr="00F06201">
        <w:rPr>
          <w:rFonts w:ascii="Times New Roman" w:hAnsi="Times New Roman" w:cs="Times New Roman"/>
          <w:sz w:val="24"/>
          <w:szCs w:val="24"/>
          <w:vertAlign w:val="superscript"/>
        </w:rPr>
        <w:footnoteReference w:id="1175"/>
      </w:r>
      <w:r w:rsidRPr="00F06201">
        <w:rPr>
          <w:rFonts w:ascii="Times New Roman" w:hAnsi="Times New Roman" w:cs="Times New Roman"/>
          <w:sz w:val="24"/>
          <w:szCs w:val="24"/>
        </w:rPr>
        <w:t xml:space="preserve"> McDonald reported the death to Grant as Joyce informed Babcock, telling his co-conspirator “Poor Ford is dead. McDonald is with his body. Let President act cautiously in his </w:t>
      </w:r>
      <w:r w:rsidRPr="00F06201">
        <w:rPr>
          <w:rFonts w:ascii="Times New Roman" w:hAnsi="Times New Roman" w:cs="Times New Roman"/>
          <w:sz w:val="24"/>
          <w:szCs w:val="24"/>
        </w:rPr>
        <w:lastRenderedPageBreak/>
        <w:t>successorship.”</w:t>
      </w:r>
      <w:r w:rsidRPr="00F06201">
        <w:rPr>
          <w:rFonts w:ascii="Times New Roman" w:hAnsi="Times New Roman" w:cs="Times New Roman"/>
          <w:sz w:val="24"/>
          <w:szCs w:val="24"/>
          <w:vertAlign w:val="superscript"/>
        </w:rPr>
        <w:footnoteReference w:id="1176"/>
      </w:r>
      <w:r w:rsidRPr="00F06201">
        <w:rPr>
          <w:rFonts w:ascii="Times New Roman" w:hAnsi="Times New Roman" w:cs="Times New Roman"/>
          <w:sz w:val="24"/>
          <w:szCs w:val="24"/>
        </w:rPr>
        <w:t xml:space="preserve"> McDonald discussed the situation with McKee, who suggested that he only trusted a man named Constantine Maguire in the post for the Ring’s success.</w:t>
      </w:r>
      <w:r w:rsidRPr="00F06201">
        <w:rPr>
          <w:rFonts w:ascii="Times New Roman" w:hAnsi="Times New Roman" w:cs="Times New Roman"/>
          <w:sz w:val="24"/>
          <w:szCs w:val="24"/>
          <w:vertAlign w:val="superscript"/>
        </w:rPr>
        <w:footnoteReference w:id="1177"/>
      </w:r>
      <w:r w:rsidRPr="00F06201">
        <w:rPr>
          <w:rFonts w:ascii="Times New Roman" w:hAnsi="Times New Roman" w:cs="Times New Roman"/>
          <w:sz w:val="24"/>
          <w:szCs w:val="24"/>
        </w:rPr>
        <w:t xml:space="preserve"> McKee, McDonald, and Maguire met once McDonald returned to St. Louis and Maguire, who agreed to do as he was told by ring members should he receive the appointment.</w:t>
      </w:r>
      <w:r w:rsidRPr="00F06201">
        <w:rPr>
          <w:rFonts w:ascii="Times New Roman" w:hAnsi="Times New Roman" w:cs="Times New Roman"/>
          <w:sz w:val="24"/>
          <w:szCs w:val="24"/>
          <w:vertAlign w:val="superscript"/>
        </w:rPr>
        <w:footnoteReference w:id="1178"/>
      </w:r>
      <w:r w:rsidRPr="00F06201">
        <w:rPr>
          <w:rFonts w:ascii="Times New Roman" w:hAnsi="Times New Roman" w:cs="Times New Roman"/>
          <w:sz w:val="24"/>
          <w:szCs w:val="24"/>
        </w:rPr>
        <w:t xml:space="preserve"> Joyce messaged Babcock while McKee messaged Grant, both indicating their preferences for Maguire’s appointment to revenue collector.</w:t>
      </w:r>
      <w:r w:rsidRPr="00F06201">
        <w:rPr>
          <w:rFonts w:ascii="Times New Roman" w:hAnsi="Times New Roman" w:cs="Times New Roman"/>
          <w:sz w:val="24"/>
          <w:szCs w:val="24"/>
          <w:vertAlign w:val="superscript"/>
        </w:rPr>
        <w:footnoteReference w:id="1179"/>
      </w:r>
      <w:r w:rsidRPr="00F06201">
        <w:rPr>
          <w:rFonts w:ascii="Times New Roman" w:hAnsi="Times New Roman" w:cs="Times New Roman"/>
          <w:sz w:val="24"/>
          <w:szCs w:val="24"/>
        </w:rPr>
        <w:t xml:space="preserve"> Meanwhile the Ring continued its business in St. Louis, dividing the weekly payments with one fewer cut given Ford’s death, and two days later President Grant appointed Maguire as Ford’s successor.</w:t>
      </w:r>
      <w:r w:rsidRPr="00F06201">
        <w:rPr>
          <w:rFonts w:ascii="Times New Roman" w:hAnsi="Times New Roman" w:cs="Times New Roman"/>
          <w:sz w:val="24"/>
          <w:szCs w:val="24"/>
          <w:vertAlign w:val="superscript"/>
        </w:rPr>
        <w:footnoteReference w:id="1180"/>
      </w:r>
      <w:r w:rsidRPr="00F06201">
        <w:rPr>
          <w:rFonts w:ascii="Times New Roman" w:hAnsi="Times New Roman" w:cs="Times New Roman"/>
          <w:sz w:val="24"/>
          <w:szCs w:val="24"/>
        </w:rPr>
        <w:t xml:space="preserve"> Around the same time, Joyce was given a promotion from law clerk to revenue agent, and he was allowed to remain in McDonald’s district, serving as his confidential secretary.</w:t>
      </w:r>
      <w:r w:rsidRPr="00F06201">
        <w:rPr>
          <w:rFonts w:ascii="Times New Roman" w:hAnsi="Times New Roman" w:cs="Times New Roman"/>
          <w:sz w:val="24"/>
          <w:szCs w:val="24"/>
          <w:vertAlign w:val="superscript"/>
        </w:rPr>
        <w:footnoteReference w:id="1181"/>
      </w:r>
      <w:r w:rsidRPr="00F06201">
        <w:rPr>
          <w:rFonts w:ascii="Times New Roman" w:hAnsi="Times New Roman" w:cs="Times New Roman"/>
          <w:sz w:val="24"/>
          <w:szCs w:val="24"/>
        </w:rPr>
        <w:t xml:space="preserve"> As thanks for aiding with the appointment, McDonald sent Babcock a box of game meat with instructions to “please share with President Grant with my compliments.”</w:t>
      </w:r>
      <w:r w:rsidRPr="00F06201">
        <w:rPr>
          <w:rFonts w:ascii="Times New Roman" w:hAnsi="Times New Roman" w:cs="Times New Roman"/>
          <w:sz w:val="24"/>
          <w:szCs w:val="24"/>
          <w:vertAlign w:val="superscript"/>
        </w:rPr>
        <w:footnoteReference w:id="1182"/>
      </w:r>
    </w:p>
    <w:p w14:paraId="6567FF20" w14:textId="7A198E94"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By the time President Grant appointed Maguire as the new Revenue Collector, Douglass had become determined to </w:t>
      </w:r>
      <w:r w:rsidR="00AE06FA">
        <w:rPr>
          <w:rFonts w:ascii="Times New Roman" w:hAnsi="Times New Roman" w:cs="Times New Roman"/>
          <w:sz w:val="24"/>
          <w:szCs w:val="24"/>
        </w:rPr>
        <w:t>find proof of</w:t>
      </w:r>
      <w:r w:rsidRPr="00F06201">
        <w:rPr>
          <w:rFonts w:ascii="Times New Roman" w:hAnsi="Times New Roman" w:cs="Times New Roman"/>
          <w:sz w:val="24"/>
          <w:szCs w:val="24"/>
        </w:rPr>
        <w:t xml:space="preserve"> the illegal whiskey dealings in St. Louis. He attempted to break up the Ring’s actions by ordering Joyce to San Francisco for two months on March 7, 1874, a decision Joyce protested but was rebuffed.</w:t>
      </w:r>
      <w:r w:rsidRPr="00F06201">
        <w:rPr>
          <w:rFonts w:ascii="Times New Roman" w:hAnsi="Times New Roman" w:cs="Times New Roman"/>
          <w:sz w:val="24"/>
          <w:szCs w:val="24"/>
          <w:vertAlign w:val="superscript"/>
        </w:rPr>
        <w:footnoteReference w:id="1183"/>
      </w:r>
      <w:r w:rsidRPr="00F06201">
        <w:rPr>
          <w:rFonts w:ascii="Times New Roman" w:hAnsi="Times New Roman" w:cs="Times New Roman"/>
          <w:sz w:val="24"/>
          <w:szCs w:val="24"/>
        </w:rPr>
        <w:t xml:space="preserve"> Two days later Douglass sent agents to again investigate the distilleries in St. Louis.</w:t>
      </w:r>
      <w:r w:rsidRPr="00F06201">
        <w:rPr>
          <w:rFonts w:ascii="Times New Roman" w:hAnsi="Times New Roman" w:cs="Times New Roman"/>
          <w:sz w:val="24"/>
          <w:szCs w:val="24"/>
          <w:vertAlign w:val="superscript"/>
        </w:rPr>
        <w:footnoteReference w:id="1184"/>
      </w:r>
      <w:r w:rsidRPr="00F06201">
        <w:rPr>
          <w:rFonts w:ascii="Times New Roman" w:hAnsi="Times New Roman" w:cs="Times New Roman"/>
          <w:sz w:val="24"/>
          <w:szCs w:val="24"/>
        </w:rPr>
        <w:t xml:space="preserve"> Avery informed McDonald </w:t>
      </w:r>
      <w:r w:rsidR="00CC3A4E">
        <w:rPr>
          <w:rFonts w:ascii="Times New Roman" w:hAnsi="Times New Roman" w:cs="Times New Roman"/>
          <w:sz w:val="24"/>
          <w:szCs w:val="24"/>
        </w:rPr>
        <w:t>of</w:t>
      </w:r>
      <w:r w:rsidRPr="00F06201">
        <w:rPr>
          <w:rFonts w:ascii="Times New Roman" w:hAnsi="Times New Roman" w:cs="Times New Roman"/>
          <w:sz w:val="24"/>
          <w:szCs w:val="24"/>
        </w:rPr>
        <w:t xml:space="preserve"> the impending searches, and McDonald had Joyce cease all illegal distilling while destroying incriminating </w:t>
      </w:r>
      <w:r w:rsidRPr="00F06201">
        <w:rPr>
          <w:rFonts w:ascii="Times New Roman" w:hAnsi="Times New Roman" w:cs="Times New Roman"/>
          <w:sz w:val="24"/>
          <w:szCs w:val="24"/>
        </w:rPr>
        <w:lastRenderedPageBreak/>
        <w:t>evidence before he left for California.</w:t>
      </w:r>
      <w:r w:rsidRPr="00F06201">
        <w:rPr>
          <w:rFonts w:ascii="Times New Roman" w:hAnsi="Times New Roman" w:cs="Times New Roman"/>
          <w:sz w:val="24"/>
          <w:szCs w:val="24"/>
          <w:vertAlign w:val="superscript"/>
        </w:rPr>
        <w:footnoteReference w:id="1185"/>
      </w:r>
      <w:r w:rsidRPr="00F06201">
        <w:rPr>
          <w:rFonts w:ascii="Times New Roman" w:hAnsi="Times New Roman" w:cs="Times New Roman"/>
          <w:sz w:val="24"/>
          <w:szCs w:val="24"/>
        </w:rPr>
        <w:t xml:space="preserve"> As a result, the investigators sent to St. Louis found nothing at the distilleries of note, fining two of them for incomplete records (caused by book burning when news of the investigations spread).</w:t>
      </w:r>
      <w:r w:rsidRPr="00F06201">
        <w:rPr>
          <w:rFonts w:ascii="Times New Roman" w:hAnsi="Times New Roman" w:cs="Times New Roman"/>
          <w:sz w:val="24"/>
          <w:szCs w:val="24"/>
          <w:vertAlign w:val="superscript"/>
        </w:rPr>
        <w:footnoteReference w:id="1186"/>
      </w:r>
      <w:r w:rsidRPr="00F06201">
        <w:rPr>
          <w:rFonts w:ascii="Times New Roman" w:hAnsi="Times New Roman" w:cs="Times New Roman"/>
          <w:sz w:val="24"/>
          <w:szCs w:val="24"/>
        </w:rPr>
        <w:t xml:space="preserve"> However, one of the investigators seemingly received a hush money payment from the Ring for his silence and for future information regarding investigations.</w:t>
      </w:r>
      <w:r w:rsidRPr="00F06201">
        <w:rPr>
          <w:rFonts w:ascii="Times New Roman" w:hAnsi="Times New Roman" w:cs="Times New Roman"/>
          <w:sz w:val="24"/>
          <w:szCs w:val="24"/>
          <w:vertAlign w:val="superscript"/>
        </w:rPr>
        <w:footnoteReference w:id="1187"/>
      </w:r>
      <w:r w:rsidR="00834A98">
        <w:rPr>
          <w:rFonts w:ascii="Times New Roman" w:hAnsi="Times New Roman" w:cs="Times New Roman"/>
          <w:sz w:val="24"/>
          <w:szCs w:val="24"/>
        </w:rPr>
        <w:t xml:space="preserve"> </w:t>
      </w:r>
      <w:r w:rsidRPr="00F06201">
        <w:rPr>
          <w:rFonts w:ascii="Times New Roman" w:hAnsi="Times New Roman" w:cs="Times New Roman"/>
          <w:sz w:val="24"/>
          <w:szCs w:val="24"/>
        </w:rPr>
        <w:t>Joyce also telegraphed Babcock to get Douglass to “call off his scandalhounds,” and after meeting with Douglass, Babcock assured his partners in St. Louis that “there are no charges against any official out there.”</w:t>
      </w:r>
      <w:r w:rsidRPr="00F06201">
        <w:rPr>
          <w:rFonts w:ascii="Times New Roman" w:hAnsi="Times New Roman" w:cs="Times New Roman"/>
          <w:sz w:val="24"/>
          <w:szCs w:val="24"/>
          <w:vertAlign w:val="superscript"/>
        </w:rPr>
        <w:footnoteReference w:id="1188"/>
      </w:r>
      <w:r w:rsidRPr="00F06201">
        <w:rPr>
          <w:rFonts w:ascii="Times New Roman" w:hAnsi="Times New Roman" w:cs="Times New Roman"/>
          <w:sz w:val="24"/>
          <w:szCs w:val="24"/>
        </w:rPr>
        <w:t xml:space="preserve"> </w:t>
      </w:r>
    </w:p>
    <w:p w14:paraId="61B348FD" w14:textId="2503FDB6"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Once the Whiskey Ring began to outright bribe investigators for their silence, it again fell to Joyce to determine if additional investigations would be opened into the proceedings in St. Louis. Upon Joyce’s return from California, he began to wade through the muck surrounding the Whiskey Ring, and his first stop was Washington to inquire to the status of events in St. Louis.</w:t>
      </w:r>
      <w:r w:rsidRPr="00F06201">
        <w:rPr>
          <w:rFonts w:ascii="Times New Roman" w:hAnsi="Times New Roman" w:cs="Times New Roman"/>
          <w:sz w:val="24"/>
          <w:szCs w:val="24"/>
          <w:vertAlign w:val="superscript"/>
        </w:rPr>
        <w:footnoteReference w:id="1189"/>
      </w:r>
      <w:r w:rsidRPr="00F06201">
        <w:rPr>
          <w:rFonts w:ascii="Times New Roman" w:hAnsi="Times New Roman" w:cs="Times New Roman"/>
          <w:sz w:val="24"/>
          <w:szCs w:val="24"/>
        </w:rPr>
        <w:t xml:space="preserve"> Joyce found that Avery was promoted to a new post as </w:t>
      </w:r>
      <w:r w:rsidR="00BD6372">
        <w:rPr>
          <w:rFonts w:ascii="Times New Roman" w:hAnsi="Times New Roman" w:cs="Times New Roman"/>
          <w:sz w:val="24"/>
          <w:szCs w:val="24"/>
        </w:rPr>
        <w:t>C</w:t>
      </w:r>
      <w:r w:rsidRPr="00F06201">
        <w:rPr>
          <w:rFonts w:ascii="Times New Roman" w:hAnsi="Times New Roman" w:cs="Times New Roman"/>
          <w:sz w:val="24"/>
          <w:szCs w:val="24"/>
        </w:rPr>
        <w:t xml:space="preserve">hief </w:t>
      </w:r>
      <w:r w:rsidR="00BD6372">
        <w:rPr>
          <w:rFonts w:ascii="Times New Roman" w:hAnsi="Times New Roman" w:cs="Times New Roman"/>
          <w:sz w:val="24"/>
          <w:szCs w:val="24"/>
        </w:rPr>
        <w:t>C</w:t>
      </w:r>
      <w:r w:rsidRPr="00F06201">
        <w:rPr>
          <w:rFonts w:ascii="Times New Roman" w:hAnsi="Times New Roman" w:cs="Times New Roman"/>
          <w:sz w:val="24"/>
          <w:szCs w:val="24"/>
        </w:rPr>
        <w:t>lerk of the Treasury Department, and with another friend in a lofty position, he messaged McDonald that “Matters are hunkey, Go it lively” and to “Let the machine go.”</w:t>
      </w:r>
      <w:r w:rsidRPr="00F06201">
        <w:rPr>
          <w:rFonts w:ascii="Times New Roman" w:hAnsi="Times New Roman" w:cs="Times New Roman"/>
          <w:sz w:val="24"/>
          <w:szCs w:val="24"/>
          <w:vertAlign w:val="superscript"/>
        </w:rPr>
        <w:footnoteReference w:id="1190"/>
      </w:r>
      <w:r w:rsidRPr="00F06201">
        <w:rPr>
          <w:rFonts w:ascii="Times New Roman" w:hAnsi="Times New Roman" w:cs="Times New Roman"/>
          <w:sz w:val="24"/>
          <w:szCs w:val="24"/>
        </w:rPr>
        <w:t xml:space="preserve"> Joyce resolved an issue with Babcock where a diamond shirt stud given to him as a gift by the Ring was found to be a fraud, and McDonald had this issue resolved with haste to avoid angering his cover artist in Washington.</w:t>
      </w:r>
      <w:r w:rsidRPr="00F06201">
        <w:rPr>
          <w:rFonts w:ascii="Times New Roman" w:hAnsi="Times New Roman" w:cs="Times New Roman"/>
          <w:sz w:val="24"/>
          <w:szCs w:val="24"/>
          <w:vertAlign w:val="superscript"/>
        </w:rPr>
        <w:footnoteReference w:id="1191"/>
      </w:r>
      <w:r w:rsidRPr="00F06201">
        <w:rPr>
          <w:rFonts w:ascii="Times New Roman" w:hAnsi="Times New Roman" w:cs="Times New Roman"/>
          <w:sz w:val="24"/>
          <w:szCs w:val="24"/>
        </w:rPr>
        <w:t xml:space="preserve"> There was an attempt at an investigation during Joyce’s time away that amounted to very little. One unidentified man wrote to Douglass through his lawyer that, in exchange for immunity, he could provide details on those involved in the Ring and specifics for how much was stolen from </w:t>
      </w:r>
      <w:r w:rsidRPr="00F06201">
        <w:rPr>
          <w:rFonts w:ascii="Times New Roman" w:hAnsi="Times New Roman" w:cs="Times New Roman"/>
          <w:sz w:val="24"/>
          <w:szCs w:val="24"/>
        </w:rPr>
        <w:lastRenderedPageBreak/>
        <w:t>the government.</w:t>
      </w:r>
      <w:r w:rsidRPr="00F06201">
        <w:rPr>
          <w:rFonts w:ascii="Times New Roman" w:hAnsi="Times New Roman" w:cs="Times New Roman"/>
          <w:sz w:val="24"/>
          <w:szCs w:val="24"/>
          <w:vertAlign w:val="superscript"/>
        </w:rPr>
        <w:footnoteReference w:id="1192"/>
      </w:r>
      <w:r w:rsidRPr="00F06201">
        <w:rPr>
          <w:rFonts w:ascii="Times New Roman" w:hAnsi="Times New Roman" w:cs="Times New Roman"/>
          <w:sz w:val="24"/>
          <w:szCs w:val="24"/>
        </w:rPr>
        <w:t xml:space="preserve"> Douglass met with the lawyer and began the proper procedures for finding the information, but he soon found that the lawyer in question had a hidden agenda and dropped the matter.</w:t>
      </w:r>
      <w:r w:rsidRPr="00F06201">
        <w:rPr>
          <w:rFonts w:ascii="Times New Roman" w:hAnsi="Times New Roman" w:cs="Times New Roman"/>
          <w:sz w:val="24"/>
          <w:szCs w:val="24"/>
          <w:vertAlign w:val="superscript"/>
        </w:rPr>
        <w:footnoteReference w:id="1193"/>
      </w:r>
      <w:r w:rsidRPr="00F06201">
        <w:rPr>
          <w:rFonts w:ascii="Times New Roman" w:hAnsi="Times New Roman" w:cs="Times New Roman"/>
          <w:sz w:val="24"/>
          <w:szCs w:val="24"/>
        </w:rPr>
        <w:t xml:space="preserve"> A report by the </w:t>
      </w:r>
      <w:r w:rsidRPr="00F06201">
        <w:rPr>
          <w:rFonts w:ascii="Times New Roman" w:hAnsi="Times New Roman" w:cs="Times New Roman"/>
          <w:i/>
          <w:iCs/>
          <w:sz w:val="24"/>
          <w:szCs w:val="24"/>
        </w:rPr>
        <w:t xml:space="preserve">New York Sun </w:t>
      </w:r>
      <w:r w:rsidRPr="00F06201">
        <w:rPr>
          <w:rFonts w:ascii="Times New Roman" w:hAnsi="Times New Roman" w:cs="Times New Roman"/>
          <w:sz w:val="24"/>
          <w:szCs w:val="24"/>
        </w:rPr>
        <w:t>around this time implicated McDonald as the head of the Ring, insinuating that “every time illegal operations involving whiskey are discovered the facts are quickly buried.”</w:t>
      </w:r>
      <w:r w:rsidRPr="00F06201">
        <w:rPr>
          <w:rFonts w:ascii="Times New Roman" w:hAnsi="Times New Roman" w:cs="Times New Roman"/>
          <w:sz w:val="24"/>
          <w:szCs w:val="24"/>
          <w:vertAlign w:val="superscript"/>
        </w:rPr>
        <w:footnoteReference w:id="1194"/>
      </w:r>
      <w:r w:rsidRPr="00F06201">
        <w:rPr>
          <w:rFonts w:ascii="Times New Roman" w:hAnsi="Times New Roman" w:cs="Times New Roman"/>
          <w:sz w:val="24"/>
          <w:szCs w:val="24"/>
        </w:rPr>
        <w:t xml:space="preserve"> McDonald wrote a letter to Douglass insisting that these accusations were “false and damnable insinuations” and that the actions in question were the work of “sneak-thieves” who continually attempted to blackmail St. Louis’s honest distillers.</w:t>
      </w:r>
      <w:r w:rsidRPr="00F06201">
        <w:rPr>
          <w:rFonts w:ascii="Times New Roman" w:hAnsi="Times New Roman" w:cs="Times New Roman"/>
          <w:sz w:val="24"/>
          <w:szCs w:val="24"/>
          <w:vertAlign w:val="superscript"/>
        </w:rPr>
        <w:footnoteReference w:id="1195"/>
      </w:r>
    </w:p>
    <w:p w14:paraId="3603EDFF" w14:textId="131ADB9E"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While this occurred, McDonald continued to ingratiate himself </w:t>
      </w:r>
      <w:r w:rsidR="00C16C3B">
        <w:rPr>
          <w:rFonts w:ascii="Times New Roman" w:hAnsi="Times New Roman" w:cs="Times New Roman"/>
          <w:sz w:val="24"/>
          <w:szCs w:val="24"/>
        </w:rPr>
        <w:t>to</w:t>
      </w:r>
      <w:r w:rsidRPr="00F06201">
        <w:rPr>
          <w:rFonts w:ascii="Times New Roman" w:hAnsi="Times New Roman" w:cs="Times New Roman"/>
          <w:sz w:val="24"/>
          <w:szCs w:val="24"/>
        </w:rPr>
        <w:t xml:space="preserve"> both President Grant and General Babcock in an effort to maintain his post. In October 1874, President Grant visited St. Louis, where McDonald arranged the most luxurious room at a nearby hotel free of charge.</w:t>
      </w:r>
      <w:r w:rsidRPr="00F06201">
        <w:rPr>
          <w:rFonts w:ascii="Times New Roman" w:hAnsi="Times New Roman" w:cs="Times New Roman"/>
          <w:sz w:val="24"/>
          <w:szCs w:val="24"/>
          <w:vertAlign w:val="superscript"/>
        </w:rPr>
        <w:footnoteReference w:id="1196"/>
      </w:r>
      <w:r w:rsidRPr="00F06201">
        <w:rPr>
          <w:rFonts w:ascii="Times New Roman" w:hAnsi="Times New Roman" w:cs="Times New Roman"/>
          <w:sz w:val="24"/>
          <w:szCs w:val="24"/>
        </w:rPr>
        <w:t xml:space="preserve"> While in town, Grant entered some of his horses into the St. Louis Fair’s blue-ribbon competition, though he was discouraged as his horses had a penchant for losing in such competitions.</w:t>
      </w:r>
      <w:r w:rsidRPr="00F06201">
        <w:rPr>
          <w:rFonts w:ascii="Times New Roman" w:hAnsi="Times New Roman" w:cs="Times New Roman"/>
          <w:sz w:val="24"/>
          <w:szCs w:val="24"/>
          <w:vertAlign w:val="superscript"/>
        </w:rPr>
        <w:footnoteReference w:id="1197"/>
      </w:r>
      <w:r w:rsidRPr="00F06201">
        <w:rPr>
          <w:rFonts w:ascii="Times New Roman" w:hAnsi="Times New Roman" w:cs="Times New Roman"/>
          <w:sz w:val="24"/>
          <w:szCs w:val="24"/>
        </w:rPr>
        <w:t xml:space="preserve"> McDonald spoke with the </w:t>
      </w:r>
      <w:r w:rsidR="00441536">
        <w:rPr>
          <w:rFonts w:ascii="Times New Roman" w:hAnsi="Times New Roman" w:cs="Times New Roman"/>
          <w:sz w:val="24"/>
          <w:szCs w:val="24"/>
        </w:rPr>
        <w:t>P</w:t>
      </w:r>
      <w:r w:rsidRPr="00F06201">
        <w:rPr>
          <w:rFonts w:ascii="Times New Roman" w:hAnsi="Times New Roman" w:cs="Times New Roman"/>
          <w:sz w:val="24"/>
          <w:szCs w:val="24"/>
        </w:rPr>
        <w:t>resident of the Fair Association and suggested that the prize be given to President Grant, and after some debate, it was declared that McDonald would decide the winner, at which point he named Grant’s horse Claymore as the victor.</w:t>
      </w:r>
      <w:r w:rsidRPr="00F06201">
        <w:rPr>
          <w:rFonts w:ascii="Times New Roman" w:hAnsi="Times New Roman" w:cs="Times New Roman"/>
          <w:sz w:val="24"/>
          <w:szCs w:val="24"/>
          <w:vertAlign w:val="superscript"/>
        </w:rPr>
        <w:footnoteReference w:id="1198"/>
      </w:r>
      <w:r w:rsidRPr="00F06201">
        <w:rPr>
          <w:rFonts w:ascii="Times New Roman" w:hAnsi="Times New Roman" w:cs="Times New Roman"/>
          <w:sz w:val="24"/>
          <w:szCs w:val="24"/>
        </w:rPr>
        <w:t xml:space="preserve"> A local newspaper reporter wrote an article suggesting that “the ribbon was given as a compliment to the President and not to the animal,” and while McDonald complained openly about the report, Grant later met with the newspaper’s editor and thanked the printer for reporting so fairly on the event.</w:t>
      </w:r>
      <w:r w:rsidRPr="00F06201">
        <w:rPr>
          <w:rFonts w:ascii="Times New Roman" w:hAnsi="Times New Roman" w:cs="Times New Roman"/>
          <w:sz w:val="24"/>
          <w:szCs w:val="24"/>
          <w:vertAlign w:val="superscript"/>
        </w:rPr>
        <w:footnoteReference w:id="1199"/>
      </w:r>
      <w:r w:rsidRPr="00F06201">
        <w:rPr>
          <w:rFonts w:ascii="Times New Roman" w:hAnsi="Times New Roman" w:cs="Times New Roman"/>
          <w:sz w:val="24"/>
          <w:szCs w:val="24"/>
        </w:rPr>
        <w:t xml:space="preserve"> </w:t>
      </w:r>
      <w:r w:rsidR="008D14B0">
        <w:rPr>
          <w:rFonts w:ascii="Times New Roman" w:hAnsi="Times New Roman" w:cs="Times New Roman"/>
          <w:sz w:val="24"/>
          <w:szCs w:val="24"/>
        </w:rPr>
        <w:t>During</w:t>
      </w:r>
      <w:r w:rsidRPr="00F06201">
        <w:rPr>
          <w:rFonts w:ascii="Times New Roman" w:hAnsi="Times New Roman" w:cs="Times New Roman"/>
          <w:sz w:val="24"/>
          <w:szCs w:val="24"/>
        </w:rPr>
        <w:t xml:space="preserve"> his trip to St. Louis, President Grant mentioned that he loved driving a </w:t>
      </w:r>
      <w:r w:rsidRPr="00F06201">
        <w:rPr>
          <w:rFonts w:ascii="Times New Roman" w:hAnsi="Times New Roman" w:cs="Times New Roman"/>
          <w:sz w:val="24"/>
          <w:szCs w:val="24"/>
        </w:rPr>
        <w:lastRenderedPageBreak/>
        <w:t>particular team of horses and a carriage that belonged to McDonald and offered him $1000 for the team.</w:t>
      </w:r>
      <w:r w:rsidRPr="00F06201">
        <w:rPr>
          <w:rFonts w:ascii="Times New Roman" w:hAnsi="Times New Roman" w:cs="Times New Roman"/>
          <w:sz w:val="24"/>
          <w:szCs w:val="24"/>
          <w:vertAlign w:val="superscript"/>
        </w:rPr>
        <w:footnoteReference w:id="1200"/>
      </w:r>
      <w:r w:rsidRPr="00F06201">
        <w:rPr>
          <w:rFonts w:ascii="Times New Roman" w:hAnsi="Times New Roman" w:cs="Times New Roman"/>
          <w:sz w:val="24"/>
          <w:szCs w:val="24"/>
        </w:rPr>
        <w:t xml:space="preserve"> McDonald rebuffed the president, insisting that he planned to give them to him as a gift.</w:t>
      </w:r>
      <w:r w:rsidRPr="00F06201">
        <w:rPr>
          <w:rFonts w:ascii="Times New Roman" w:hAnsi="Times New Roman" w:cs="Times New Roman"/>
          <w:sz w:val="24"/>
          <w:szCs w:val="24"/>
          <w:vertAlign w:val="superscript"/>
        </w:rPr>
        <w:footnoteReference w:id="1201"/>
      </w:r>
      <w:r w:rsidRPr="00F06201">
        <w:rPr>
          <w:rFonts w:ascii="Times New Roman" w:hAnsi="Times New Roman" w:cs="Times New Roman"/>
          <w:sz w:val="24"/>
          <w:szCs w:val="24"/>
        </w:rPr>
        <w:t xml:space="preserve"> McDonald took things a step further by having gold breastplates made for each horse engraved with Grant’s name, and he turned over the receipts to the president while making a copy for his own records should he need leverage over Grant someday.</w:t>
      </w:r>
      <w:r w:rsidRPr="00F06201">
        <w:rPr>
          <w:rFonts w:ascii="Times New Roman" w:hAnsi="Times New Roman" w:cs="Times New Roman"/>
          <w:sz w:val="24"/>
          <w:szCs w:val="24"/>
          <w:vertAlign w:val="superscript"/>
        </w:rPr>
        <w:footnoteReference w:id="1202"/>
      </w:r>
      <w:r w:rsidRPr="00F06201">
        <w:rPr>
          <w:rFonts w:ascii="Times New Roman" w:hAnsi="Times New Roman" w:cs="Times New Roman"/>
          <w:sz w:val="24"/>
          <w:szCs w:val="24"/>
        </w:rPr>
        <w:t xml:space="preserve"> McDonald delivered the horses to the White House that December, and Grant insisted on paying for them; later McDonald attested that Grant “gave me a $10 note and I returned him $7 in change, leaving me with the sum of $3 for a $6,000 outfit.”</w:t>
      </w:r>
      <w:r w:rsidRPr="00F06201">
        <w:rPr>
          <w:rFonts w:ascii="Times New Roman" w:hAnsi="Times New Roman" w:cs="Times New Roman"/>
          <w:sz w:val="24"/>
          <w:szCs w:val="24"/>
          <w:vertAlign w:val="superscript"/>
        </w:rPr>
        <w:footnoteReference w:id="1203"/>
      </w:r>
      <w:r w:rsidRPr="00F06201">
        <w:rPr>
          <w:rFonts w:ascii="Times New Roman" w:hAnsi="Times New Roman" w:cs="Times New Roman"/>
          <w:sz w:val="24"/>
          <w:szCs w:val="24"/>
        </w:rPr>
        <w:t xml:space="preserve"> McDonald continued his efforts to flatter Grant during the entirety of his tenure, but these moments represent the most blatant attempts to gain the president’s favor.</w:t>
      </w:r>
    </w:p>
    <w:p w14:paraId="4FCE328B" w14:textId="07F4F45C"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McDonald left his meeting with President Grant head</w:t>
      </w:r>
      <w:r w:rsidR="00961842">
        <w:rPr>
          <w:rFonts w:ascii="Times New Roman" w:hAnsi="Times New Roman" w:cs="Times New Roman"/>
          <w:sz w:val="24"/>
          <w:szCs w:val="24"/>
        </w:rPr>
        <w:t>ing</w:t>
      </w:r>
      <w:r w:rsidRPr="00F06201">
        <w:rPr>
          <w:rFonts w:ascii="Times New Roman" w:hAnsi="Times New Roman" w:cs="Times New Roman"/>
          <w:sz w:val="24"/>
          <w:szCs w:val="24"/>
        </w:rPr>
        <w:t xml:space="preserve"> to see Babcock to determine why new investigations were being conducted into the whiskey trade in St. Louis.</w:t>
      </w:r>
      <w:r w:rsidRPr="00F06201">
        <w:rPr>
          <w:rFonts w:ascii="Times New Roman" w:hAnsi="Times New Roman" w:cs="Times New Roman"/>
          <w:sz w:val="24"/>
          <w:szCs w:val="24"/>
          <w:vertAlign w:val="superscript"/>
        </w:rPr>
        <w:footnoteReference w:id="1204"/>
      </w:r>
      <w:r w:rsidRPr="00F06201">
        <w:rPr>
          <w:rFonts w:ascii="Times New Roman" w:hAnsi="Times New Roman" w:cs="Times New Roman"/>
          <w:sz w:val="24"/>
          <w:szCs w:val="24"/>
        </w:rPr>
        <w:t xml:space="preserve"> Babcock assured McDonald he neither knew why men were being sent nor would he allow them to again blackmail the distillers in the Ring.</w:t>
      </w:r>
      <w:r w:rsidRPr="00F06201">
        <w:rPr>
          <w:rFonts w:ascii="Times New Roman" w:hAnsi="Times New Roman" w:cs="Times New Roman"/>
          <w:sz w:val="24"/>
          <w:szCs w:val="24"/>
          <w:vertAlign w:val="superscript"/>
        </w:rPr>
        <w:footnoteReference w:id="1205"/>
      </w:r>
      <w:r w:rsidRPr="00F06201">
        <w:rPr>
          <w:rFonts w:ascii="Times New Roman" w:hAnsi="Times New Roman" w:cs="Times New Roman"/>
          <w:sz w:val="24"/>
          <w:szCs w:val="24"/>
        </w:rPr>
        <w:t xml:space="preserve"> Babcock took McDonald to meet with Douglass the next day to warn him off from sending agents to St. Louis.</w:t>
      </w:r>
      <w:r w:rsidRPr="00F06201">
        <w:rPr>
          <w:rFonts w:ascii="Times New Roman" w:hAnsi="Times New Roman" w:cs="Times New Roman"/>
          <w:sz w:val="24"/>
          <w:szCs w:val="24"/>
          <w:vertAlign w:val="superscript"/>
        </w:rPr>
        <w:footnoteReference w:id="1206"/>
      </w:r>
      <w:r w:rsidRPr="00F06201">
        <w:rPr>
          <w:rFonts w:ascii="Times New Roman" w:hAnsi="Times New Roman" w:cs="Times New Roman"/>
          <w:sz w:val="24"/>
          <w:szCs w:val="24"/>
        </w:rPr>
        <w:t xml:space="preserve"> McDonald went further, accusing Douglass of being in cahoots with the agents in the blackmailing scheme, </w:t>
      </w:r>
      <w:r w:rsidR="002A1BEC">
        <w:rPr>
          <w:rFonts w:ascii="Times New Roman" w:hAnsi="Times New Roman" w:cs="Times New Roman"/>
          <w:sz w:val="24"/>
          <w:szCs w:val="24"/>
        </w:rPr>
        <w:t>threateni</w:t>
      </w:r>
      <w:r w:rsidRPr="00F06201">
        <w:rPr>
          <w:rFonts w:ascii="Times New Roman" w:hAnsi="Times New Roman" w:cs="Times New Roman"/>
          <w:sz w:val="24"/>
          <w:szCs w:val="24"/>
        </w:rPr>
        <w:t>ng them that he would report them to President Grant if the agents were sent.</w:t>
      </w:r>
      <w:r w:rsidRPr="00F06201">
        <w:rPr>
          <w:rFonts w:ascii="Times New Roman" w:hAnsi="Times New Roman" w:cs="Times New Roman"/>
          <w:sz w:val="24"/>
          <w:szCs w:val="24"/>
          <w:vertAlign w:val="superscript"/>
        </w:rPr>
        <w:footnoteReference w:id="1207"/>
      </w:r>
      <w:r w:rsidRPr="00F06201">
        <w:rPr>
          <w:rFonts w:ascii="Times New Roman" w:hAnsi="Times New Roman" w:cs="Times New Roman"/>
          <w:sz w:val="24"/>
          <w:szCs w:val="24"/>
        </w:rPr>
        <w:t xml:space="preserve"> Douglass was rattled by McDonald’s outburst and assured him that no agents would be sent to St. Louis as there were no </w:t>
      </w:r>
      <w:r w:rsidRPr="00F06201">
        <w:rPr>
          <w:rFonts w:ascii="Times New Roman" w:hAnsi="Times New Roman" w:cs="Times New Roman"/>
          <w:sz w:val="24"/>
          <w:szCs w:val="24"/>
        </w:rPr>
        <w:lastRenderedPageBreak/>
        <w:t>grounds for suspicion.</w:t>
      </w:r>
      <w:r w:rsidRPr="00F06201">
        <w:rPr>
          <w:rFonts w:ascii="Times New Roman" w:hAnsi="Times New Roman" w:cs="Times New Roman"/>
          <w:sz w:val="24"/>
          <w:szCs w:val="24"/>
          <w:vertAlign w:val="superscript"/>
        </w:rPr>
        <w:footnoteReference w:id="1208"/>
      </w:r>
      <w:r w:rsidRPr="00F06201">
        <w:rPr>
          <w:rFonts w:ascii="Times New Roman" w:hAnsi="Times New Roman" w:cs="Times New Roman"/>
          <w:sz w:val="24"/>
          <w:szCs w:val="24"/>
        </w:rPr>
        <w:t xml:space="preserve"> Satisfied with the parts in play in Washington, McDonald returned to St. Louis, but not before telling Babcock to follow up with the agents and ensure they knew their orders to go to St. Louis were cancelled.</w:t>
      </w:r>
      <w:r w:rsidRPr="00F06201">
        <w:rPr>
          <w:rFonts w:ascii="Times New Roman" w:hAnsi="Times New Roman" w:cs="Times New Roman"/>
          <w:sz w:val="24"/>
          <w:szCs w:val="24"/>
          <w:vertAlign w:val="superscript"/>
        </w:rPr>
        <w:footnoteReference w:id="1209"/>
      </w:r>
      <w:r w:rsidRPr="00F06201">
        <w:rPr>
          <w:rFonts w:ascii="Times New Roman" w:hAnsi="Times New Roman" w:cs="Times New Roman"/>
          <w:sz w:val="24"/>
          <w:szCs w:val="24"/>
        </w:rPr>
        <w:t xml:space="preserve"> Babcock responded via telegram on December 13</w:t>
      </w:r>
      <w:r w:rsidRPr="00F06201">
        <w:rPr>
          <w:rFonts w:ascii="Times New Roman" w:hAnsi="Times New Roman" w:cs="Times New Roman"/>
          <w:sz w:val="24"/>
          <w:szCs w:val="24"/>
          <w:vertAlign w:val="superscript"/>
        </w:rPr>
        <w:t>th</w:t>
      </w:r>
      <w:r w:rsidRPr="00F06201">
        <w:rPr>
          <w:rFonts w:ascii="Times New Roman" w:hAnsi="Times New Roman" w:cs="Times New Roman"/>
          <w:sz w:val="24"/>
          <w:szCs w:val="24"/>
        </w:rPr>
        <w:t xml:space="preserve"> “I succeeded. They will not go. Will write you. </w:t>
      </w:r>
      <w:r w:rsidRPr="00F06201">
        <w:rPr>
          <w:rFonts w:ascii="Times New Roman" w:hAnsi="Times New Roman" w:cs="Times New Roman"/>
          <w:i/>
          <w:iCs/>
          <w:sz w:val="24"/>
          <w:szCs w:val="24"/>
        </w:rPr>
        <w:t>Sylph,</w:t>
      </w:r>
      <w:r w:rsidRPr="00F06201">
        <w:rPr>
          <w:rFonts w:ascii="Times New Roman" w:hAnsi="Times New Roman" w:cs="Times New Roman"/>
          <w:sz w:val="24"/>
          <w:szCs w:val="24"/>
        </w:rPr>
        <w:t>” ending the message with an inside joke between the old friends.</w:t>
      </w:r>
      <w:r w:rsidRPr="00F06201">
        <w:rPr>
          <w:rFonts w:ascii="Times New Roman" w:hAnsi="Times New Roman" w:cs="Times New Roman"/>
          <w:sz w:val="24"/>
          <w:szCs w:val="24"/>
          <w:vertAlign w:val="superscript"/>
        </w:rPr>
        <w:footnoteReference w:id="1210"/>
      </w:r>
      <w:r w:rsidRPr="00F06201">
        <w:rPr>
          <w:rFonts w:ascii="Times New Roman" w:hAnsi="Times New Roman" w:cs="Times New Roman"/>
          <w:sz w:val="24"/>
          <w:szCs w:val="24"/>
        </w:rPr>
        <w:t xml:space="preserve"> On his return to St. Louis, McDonald made sure Joyce thanked Babcock for his efforts, sending him a box of the best cigars they could find with a $1000 bill enclosed.</w:t>
      </w:r>
      <w:r w:rsidRPr="00F06201">
        <w:rPr>
          <w:rFonts w:ascii="Times New Roman" w:hAnsi="Times New Roman" w:cs="Times New Roman"/>
          <w:sz w:val="24"/>
          <w:szCs w:val="24"/>
          <w:vertAlign w:val="superscript"/>
        </w:rPr>
        <w:footnoteReference w:id="1211"/>
      </w:r>
      <w:r w:rsidRPr="00F06201">
        <w:rPr>
          <w:rFonts w:ascii="Times New Roman" w:hAnsi="Times New Roman" w:cs="Times New Roman"/>
          <w:sz w:val="24"/>
          <w:szCs w:val="24"/>
        </w:rPr>
        <w:t xml:space="preserve"> Babcock thanked them in a letter, adding that he and the president were pleased with “the excellent flavor of those cigars.”</w:t>
      </w:r>
      <w:r w:rsidRPr="00F06201">
        <w:rPr>
          <w:rFonts w:ascii="Times New Roman" w:hAnsi="Times New Roman" w:cs="Times New Roman"/>
          <w:sz w:val="24"/>
          <w:szCs w:val="24"/>
          <w:vertAlign w:val="superscript"/>
        </w:rPr>
        <w:footnoteReference w:id="1212"/>
      </w:r>
    </w:p>
    <w:p w14:paraId="3475CF58" w14:textId="77777777"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By this point, Commissioner Douglass was extremely frustrated by his lack of success uncovering the Whiskey Ring. His efforts to investigate the Ring were continuously rebuffed, so Douglass decided to break up the organization by transferring McDonald and Joyce to Philadelphia.</w:t>
      </w:r>
      <w:r w:rsidRPr="00F06201">
        <w:rPr>
          <w:rFonts w:ascii="Times New Roman" w:hAnsi="Times New Roman" w:cs="Times New Roman"/>
          <w:sz w:val="24"/>
          <w:szCs w:val="24"/>
          <w:vertAlign w:val="superscript"/>
        </w:rPr>
        <w:footnoteReference w:id="1213"/>
      </w:r>
      <w:r w:rsidRPr="00F06201">
        <w:rPr>
          <w:rFonts w:ascii="Times New Roman" w:hAnsi="Times New Roman" w:cs="Times New Roman"/>
          <w:sz w:val="24"/>
          <w:szCs w:val="24"/>
        </w:rPr>
        <w:t xml:space="preserve"> This plan required the approval of Secretary of the Treasury Benjamin Bristow, who approved the plans effective February 15, 1875.</w:t>
      </w:r>
      <w:r w:rsidRPr="00F06201">
        <w:rPr>
          <w:rFonts w:ascii="Times New Roman" w:hAnsi="Times New Roman" w:cs="Times New Roman"/>
          <w:sz w:val="24"/>
          <w:szCs w:val="24"/>
          <w:vertAlign w:val="superscript"/>
        </w:rPr>
        <w:footnoteReference w:id="1214"/>
      </w:r>
      <w:r w:rsidRPr="00F06201">
        <w:rPr>
          <w:rFonts w:ascii="Times New Roman" w:hAnsi="Times New Roman" w:cs="Times New Roman"/>
          <w:sz w:val="24"/>
          <w:szCs w:val="24"/>
        </w:rPr>
        <w:t xml:space="preserve"> When he heard of his impending transfer, McDonald messaged Douglass in a panic, and Douglass responded that this was only a temporary measure.</w:t>
      </w:r>
      <w:r w:rsidRPr="00F06201">
        <w:rPr>
          <w:rFonts w:ascii="Times New Roman" w:hAnsi="Times New Roman" w:cs="Times New Roman"/>
          <w:sz w:val="24"/>
          <w:szCs w:val="24"/>
          <w:vertAlign w:val="superscript"/>
        </w:rPr>
        <w:footnoteReference w:id="1215"/>
      </w:r>
      <w:r w:rsidRPr="00F06201">
        <w:rPr>
          <w:rFonts w:ascii="Times New Roman" w:hAnsi="Times New Roman" w:cs="Times New Roman"/>
          <w:sz w:val="24"/>
          <w:szCs w:val="24"/>
        </w:rPr>
        <w:t xml:space="preserve"> McDonald was unhappy with any reassignment, regardless of how temporary, and he had Babcock insist the order be withdrawn as bad policy that would bring undue attention to President Grant, and Douglass refused, insisting that only Grant could revoke the orders.</w:t>
      </w:r>
      <w:r w:rsidRPr="00F06201">
        <w:rPr>
          <w:rFonts w:ascii="Times New Roman" w:hAnsi="Times New Roman" w:cs="Times New Roman"/>
          <w:sz w:val="24"/>
          <w:szCs w:val="24"/>
          <w:vertAlign w:val="superscript"/>
        </w:rPr>
        <w:footnoteReference w:id="1216"/>
      </w:r>
      <w:r w:rsidRPr="00F06201">
        <w:rPr>
          <w:rFonts w:ascii="Times New Roman" w:hAnsi="Times New Roman" w:cs="Times New Roman"/>
          <w:sz w:val="24"/>
          <w:szCs w:val="24"/>
        </w:rPr>
        <w:t xml:space="preserve"> Grant had the orders overturned to the delight of ring members, as well as the </w:t>
      </w:r>
      <w:r w:rsidRPr="00F06201">
        <w:rPr>
          <w:rFonts w:ascii="Times New Roman" w:hAnsi="Times New Roman" w:cs="Times New Roman"/>
          <w:sz w:val="24"/>
          <w:szCs w:val="24"/>
        </w:rPr>
        <w:lastRenderedPageBreak/>
        <w:t>disdain of Douglass and Bristow, and he assured them that Babcock had not tried to influence his decision on the matter whatsoever, but that he did so because of pressure from “prominent men” of whom he would not reveal the names.</w:t>
      </w:r>
      <w:r w:rsidRPr="00F06201">
        <w:rPr>
          <w:rFonts w:ascii="Times New Roman" w:hAnsi="Times New Roman" w:cs="Times New Roman"/>
          <w:sz w:val="24"/>
          <w:szCs w:val="24"/>
          <w:vertAlign w:val="superscript"/>
        </w:rPr>
        <w:footnoteReference w:id="1217"/>
      </w:r>
    </w:p>
    <w:p w14:paraId="6C3B4384" w14:textId="19AA8EB5" w:rsidR="00F06201" w:rsidRPr="00F06201" w:rsidRDefault="00F06201" w:rsidP="008D428B">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Joyce returned from St. Louis and continued his dastardly acts under the assumption that the Whiskey Ring was safe. His first action when he returned was to thank both Babcock and Avery for their roles in putting down the order.</w:t>
      </w:r>
      <w:r w:rsidRPr="00F06201">
        <w:rPr>
          <w:rFonts w:ascii="Times New Roman" w:hAnsi="Times New Roman" w:cs="Times New Roman"/>
          <w:sz w:val="24"/>
          <w:szCs w:val="24"/>
          <w:vertAlign w:val="superscript"/>
        </w:rPr>
        <w:footnoteReference w:id="1218"/>
      </w:r>
      <w:r w:rsidRPr="00F06201">
        <w:rPr>
          <w:rFonts w:ascii="Times New Roman" w:hAnsi="Times New Roman" w:cs="Times New Roman"/>
          <w:sz w:val="24"/>
          <w:szCs w:val="24"/>
        </w:rPr>
        <w:t xml:space="preserve"> He and the Ring had to replace Fitzroy, their bagman, when he fell ill and had to leave St. Louis.</w:t>
      </w:r>
      <w:r w:rsidRPr="00F06201">
        <w:rPr>
          <w:rFonts w:ascii="Times New Roman" w:hAnsi="Times New Roman" w:cs="Times New Roman"/>
          <w:sz w:val="24"/>
          <w:szCs w:val="24"/>
          <w:vertAlign w:val="superscript"/>
        </w:rPr>
        <w:footnoteReference w:id="1219"/>
      </w:r>
      <w:r w:rsidRPr="00F06201">
        <w:rPr>
          <w:rFonts w:ascii="Times New Roman" w:hAnsi="Times New Roman" w:cs="Times New Roman"/>
          <w:sz w:val="24"/>
          <w:szCs w:val="24"/>
        </w:rPr>
        <w:t xml:space="preserve"> His replacement was chosen to be Abijah Everest, who was quickly put to work by Joyce delivering repayment to Babcock and Avery.</w:t>
      </w:r>
      <w:r w:rsidRPr="00F06201">
        <w:rPr>
          <w:rFonts w:ascii="Times New Roman" w:hAnsi="Times New Roman" w:cs="Times New Roman"/>
          <w:sz w:val="24"/>
          <w:szCs w:val="24"/>
          <w:vertAlign w:val="superscript"/>
        </w:rPr>
        <w:footnoteReference w:id="1220"/>
      </w:r>
      <w:r w:rsidRPr="00F06201">
        <w:rPr>
          <w:rFonts w:ascii="Times New Roman" w:hAnsi="Times New Roman" w:cs="Times New Roman"/>
          <w:sz w:val="24"/>
          <w:szCs w:val="24"/>
        </w:rPr>
        <w:t xml:space="preserve"> His first act was to convert $1000 in small bills into two $500 bills and send one to each of the two men, assuring that they knew the Ring was grateful for their assistance. The Whiskey Ring was stronger than ever, even with a few members having been rotated out, and their successes in hiding their misdeeds ensconced them as a </w:t>
      </w:r>
      <w:r w:rsidR="003832F6">
        <w:rPr>
          <w:rFonts w:ascii="Times New Roman" w:hAnsi="Times New Roman" w:cs="Times New Roman"/>
          <w:sz w:val="24"/>
          <w:szCs w:val="24"/>
        </w:rPr>
        <w:t>force</w:t>
      </w:r>
      <w:r w:rsidRPr="00F06201">
        <w:rPr>
          <w:rFonts w:ascii="Times New Roman" w:hAnsi="Times New Roman" w:cs="Times New Roman"/>
          <w:sz w:val="24"/>
          <w:szCs w:val="24"/>
        </w:rPr>
        <w:t xml:space="preserve"> to be reckoned with in St. Louis.</w:t>
      </w:r>
    </w:p>
    <w:p w14:paraId="389A0CF3" w14:textId="77777777" w:rsidR="00F06201" w:rsidRPr="00F06201" w:rsidRDefault="00F06201" w:rsidP="00F06201">
      <w:pPr>
        <w:jc w:val="center"/>
        <w:rPr>
          <w:rFonts w:ascii="Times New Roman" w:hAnsi="Times New Roman" w:cs="Times New Roman"/>
          <w:sz w:val="24"/>
          <w:szCs w:val="24"/>
        </w:rPr>
      </w:pPr>
      <w:r w:rsidRPr="00F06201">
        <w:rPr>
          <w:rFonts w:ascii="Times New Roman" w:hAnsi="Times New Roman" w:cs="Times New Roman"/>
          <w:sz w:val="24"/>
          <w:szCs w:val="24"/>
        </w:rPr>
        <w:t>Breaking the Ring</w:t>
      </w:r>
    </w:p>
    <w:p w14:paraId="08EF92A2" w14:textId="4ECECADC" w:rsidR="00F06201" w:rsidRPr="00F06201" w:rsidRDefault="00F06201" w:rsidP="00F1079B">
      <w:pPr>
        <w:spacing w:before="240"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Though the Whiskey Ring subverted the majority of investigations brought forth by the IRS, it was</w:t>
      </w:r>
      <w:r w:rsidR="000D2E02">
        <w:rPr>
          <w:rFonts w:ascii="Times New Roman" w:hAnsi="Times New Roman" w:cs="Times New Roman"/>
          <w:sz w:val="24"/>
          <w:szCs w:val="24"/>
        </w:rPr>
        <w:t xml:space="preserve"> ultimately</w:t>
      </w:r>
      <w:r w:rsidRPr="00F06201">
        <w:rPr>
          <w:rFonts w:ascii="Times New Roman" w:hAnsi="Times New Roman" w:cs="Times New Roman"/>
          <w:sz w:val="24"/>
          <w:szCs w:val="24"/>
        </w:rPr>
        <w:t xml:space="preserve"> a feud between local newspapermen that led to its downfall. William McKee, the owner of the </w:t>
      </w:r>
      <w:r w:rsidRPr="00F06201">
        <w:rPr>
          <w:rFonts w:ascii="Times New Roman" w:hAnsi="Times New Roman" w:cs="Times New Roman"/>
          <w:i/>
          <w:iCs/>
          <w:sz w:val="24"/>
          <w:szCs w:val="24"/>
        </w:rPr>
        <w:t>Missouri Democrat</w:t>
      </w:r>
      <w:r w:rsidRPr="00F06201">
        <w:rPr>
          <w:rFonts w:ascii="Times New Roman" w:hAnsi="Times New Roman" w:cs="Times New Roman"/>
          <w:sz w:val="24"/>
          <w:szCs w:val="24"/>
        </w:rPr>
        <w:t xml:space="preserve"> who was an early member of the Whiskey Ring, was in the midst of a bitter fight with his partner in the paper, George Fishback.</w:t>
      </w:r>
      <w:r w:rsidRPr="00F06201">
        <w:rPr>
          <w:rFonts w:ascii="Times New Roman" w:hAnsi="Times New Roman" w:cs="Times New Roman"/>
          <w:sz w:val="24"/>
          <w:szCs w:val="24"/>
          <w:vertAlign w:val="superscript"/>
        </w:rPr>
        <w:footnoteReference w:id="1221"/>
      </w:r>
      <w:r w:rsidRPr="00F06201">
        <w:rPr>
          <w:rFonts w:ascii="Times New Roman" w:hAnsi="Times New Roman" w:cs="Times New Roman"/>
          <w:sz w:val="24"/>
          <w:szCs w:val="24"/>
        </w:rPr>
        <w:t xml:space="preserve"> Growing differences over the paper’s operations forced the two to resolve their problems in court with McKee selling his shares to Fishback.</w:t>
      </w:r>
      <w:r w:rsidRPr="00F06201">
        <w:rPr>
          <w:rFonts w:ascii="Times New Roman" w:hAnsi="Times New Roman" w:cs="Times New Roman"/>
          <w:sz w:val="24"/>
          <w:szCs w:val="24"/>
          <w:vertAlign w:val="superscript"/>
        </w:rPr>
        <w:footnoteReference w:id="1222"/>
      </w:r>
      <w:r w:rsidRPr="00F06201">
        <w:rPr>
          <w:rFonts w:ascii="Times New Roman" w:hAnsi="Times New Roman" w:cs="Times New Roman"/>
          <w:sz w:val="24"/>
          <w:szCs w:val="24"/>
        </w:rPr>
        <w:t xml:space="preserve"> McKee then launched his own competing newspaper, </w:t>
      </w:r>
      <w:r w:rsidRPr="00F06201">
        <w:rPr>
          <w:rFonts w:ascii="Times New Roman" w:hAnsi="Times New Roman" w:cs="Times New Roman"/>
          <w:sz w:val="24"/>
          <w:szCs w:val="24"/>
        </w:rPr>
        <w:lastRenderedPageBreak/>
        <w:t xml:space="preserve">the </w:t>
      </w:r>
      <w:r w:rsidRPr="00F06201">
        <w:rPr>
          <w:rFonts w:ascii="Times New Roman" w:hAnsi="Times New Roman" w:cs="Times New Roman"/>
          <w:i/>
          <w:iCs/>
          <w:sz w:val="24"/>
          <w:szCs w:val="24"/>
        </w:rPr>
        <w:t>St. Louis Globe</w:t>
      </w:r>
      <w:r w:rsidRPr="00F06201">
        <w:rPr>
          <w:rFonts w:ascii="Times New Roman" w:hAnsi="Times New Roman" w:cs="Times New Roman"/>
          <w:sz w:val="24"/>
          <w:szCs w:val="24"/>
        </w:rPr>
        <w:t>, and a battle broke out between the two as McKee stole Fishback’s editor for his new startup.</w:t>
      </w:r>
      <w:r w:rsidRPr="00F06201">
        <w:rPr>
          <w:rFonts w:ascii="Times New Roman" w:hAnsi="Times New Roman" w:cs="Times New Roman"/>
          <w:sz w:val="24"/>
          <w:szCs w:val="24"/>
          <w:vertAlign w:val="superscript"/>
        </w:rPr>
        <w:footnoteReference w:id="1223"/>
      </w:r>
      <w:r w:rsidRPr="00F06201">
        <w:rPr>
          <w:rFonts w:ascii="Times New Roman" w:hAnsi="Times New Roman" w:cs="Times New Roman"/>
          <w:sz w:val="24"/>
          <w:szCs w:val="24"/>
        </w:rPr>
        <w:t xml:space="preserve"> McKee had the added benefit of being funded partially by the Whiskey Ring, while Fishback was in desperate need of funding and turned to McDonald to ask for a loan of $5000.</w:t>
      </w:r>
      <w:r w:rsidRPr="00F06201">
        <w:rPr>
          <w:rFonts w:ascii="Times New Roman" w:hAnsi="Times New Roman" w:cs="Times New Roman"/>
          <w:sz w:val="24"/>
          <w:szCs w:val="24"/>
          <w:vertAlign w:val="superscript"/>
        </w:rPr>
        <w:footnoteReference w:id="1224"/>
      </w:r>
      <w:r w:rsidRPr="00F06201">
        <w:rPr>
          <w:rFonts w:ascii="Times New Roman" w:hAnsi="Times New Roman" w:cs="Times New Roman"/>
          <w:sz w:val="24"/>
          <w:szCs w:val="24"/>
        </w:rPr>
        <w:t xml:space="preserve"> He played on McDonald’s ego by presenting him with an editorial praising him for his role as an influential Republican, but he was not swayed.</w:t>
      </w:r>
      <w:r w:rsidRPr="00F06201">
        <w:rPr>
          <w:rFonts w:ascii="Times New Roman" w:hAnsi="Times New Roman" w:cs="Times New Roman"/>
          <w:sz w:val="24"/>
          <w:szCs w:val="24"/>
          <w:vertAlign w:val="superscript"/>
        </w:rPr>
        <w:footnoteReference w:id="1225"/>
      </w:r>
      <w:r w:rsidRPr="00F06201">
        <w:rPr>
          <w:rFonts w:ascii="Times New Roman" w:hAnsi="Times New Roman" w:cs="Times New Roman"/>
          <w:sz w:val="24"/>
          <w:szCs w:val="24"/>
        </w:rPr>
        <w:t xml:space="preserve"> McDonald, in perhaps his greatest mistake, turned down Fishback’s offer even though he knew Fishback was aware of the Ring’s efforts in the city.</w:t>
      </w:r>
    </w:p>
    <w:p w14:paraId="69D907D9" w14:textId="57F85DB2" w:rsidR="00F06201" w:rsidRPr="00F06201" w:rsidRDefault="00F06201" w:rsidP="009543E8">
      <w:pPr>
        <w:spacing w:after="0"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In February 1875, furious over McDonald’s unwillingness to pay </w:t>
      </w:r>
      <w:r w:rsidR="00E544E7">
        <w:rPr>
          <w:rFonts w:ascii="Times New Roman" w:hAnsi="Times New Roman" w:cs="Times New Roman"/>
          <w:sz w:val="24"/>
          <w:szCs w:val="24"/>
        </w:rPr>
        <w:t>the $5000</w:t>
      </w:r>
      <w:r w:rsidRPr="00F06201">
        <w:rPr>
          <w:rFonts w:ascii="Times New Roman" w:hAnsi="Times New Roman" w:cs="Times New Roman"/>
          <w:sz w:val="24"/>
          <w:szCs w:val="24"/>
        </w:rPr>
        <w:t xml:space="preserve"> loan/hush money, Fishback wrote a seething letter to his Washington correspondent with instructions to show its contents to Secretary of the Treasury Benjamin Bristow</w:t>
      </w:r>
      <w:r w:rsidR="009543E8">
        <w:rPr>
          <w:rFonts w:ascii="Times New Roman" w:hAnsi="Times New Roman" w:cs="Times New Roman"/>
          <w:sz w:val="24"/>
          <w:szCs w:val="24"/>
        </w:rPr>
        <w:t xml:space="preserve"> (</w:t>
      </w:r>
      <w:r w:rsidR="009543E8">
        <w:rPr>
          <w:rFonts w:ascii="Times New Roman" w:hAnsi="Times New Roman" w:cs="Times New Roman"/>
          <w:b/>
          <w:bCs/>
          <w:sz w:val="24"/>
          <w:szCs w:val="24"/>
        </w:rPr>
        <w:t>Figure 5.3</w:t>
      </w:r>
      <w:r w:rsidR="009543E8">
        <w:rPr>
          <w:rFonts w:ascii="Times New Roman" w:hAnsi="Times New Roman" w:cs="Times New Roman"/>
          <w:sz w:val="24"/>
          <w:szCs w:val="24"/>
        </w:rPr>
        <w:t>)</w:t>
      </w:r>
      <w:r w:rsidRPr="00F06201">
        <w:rPr>
          <w:rFonts w:ascii="Times New Roman" w:hAnsi="Times New Roman" w:cs="Times New Roman"/>
          <w:sz w:val="24"/>
          <w:szCs w:val="24"/>
        </w:rPr>
        <w:t>.</w:t>
      </w:r>
      <w:r w:rsidRPr="00F06201">
        <w:rPr>
          <w:rFonts w:ascii="Times New Roman" w:hAnsi="Times New Roman" w:cs="Times New Roman"/>
          <w:sz w:val="24"/>
          <w:szCs w:val="24"/>
          <w:vertAlign w:val="superscript"/>
        </w:rPr>
        <w:footnoteReference w:id="1226"/>
      </w:r>
      <w:r w:rsidRPr="00F06201">
        <w:rPr>
          <w:rFonts w:ascii="Times New Roman" w:hAnsi="Times New Roman" w:cs="Times New Roman"/>
          <w:sz w:val="24"/>
          <w:szCs w:val="24"/>
        </w:rPr>
        <w:t xml:space="preserve"> Fishback assured Bristow that it was possible to break the Ring if he could appoint an individual with absolute authority to be named by Fishback and assure complete secrecy on the matter.</w:t>
      </w:r>
      <w:r w:rsidRPr="00F06201">
        <w:rPr>
          <w:rFonts w:ascii="Times New Roman" w:hAnsi="Times New Roman" w:cs="Times New Roman"/>
          <w:sz w:val="24"/>
          <w:szCs w:val="24"/>
          <w:vertAlign w:val="superscript"/>
        </w:rPr>
        <w:footnoteReference w:id="1227"/>
      </w:r>
      <w:r w:rsidRPr="00F06201">
        <w:rPr>
          <w:rFonts w:ascii="Times New Roman" w:hAnsi="Times New Roman" w:cs="Times New Roman"/>
          <w:sz w:val="24"/>
          <w:szCs w:val="24"/>
        </w:rPr>
        <w:t xml:space="preserve"> Bristow quickly set up a meeting with Fishback and Solicitor of the Treasury Bluford Wilson where Fishback provided the facts as he knew them, and Wilson and Bristow were convinced that everyone associated with whiskey distilling and its oversight was complicit in defrauding the government.</w:t>
      </w:r>
      <w:r w:rsidRPr="00F06201">
        <w:rPr>
          <w:rFonts w:ascii="Times New Roman" w:hAnsi="Times New Roman" w:cs="Times New Roman"/>
          <w:sz w:val="24"/>
          <w:szCs w:val="24"/>
          <w:vertAlign w:val="superscript"/>
        </w:rPr>
        <w:footnoteReference w:id="1228"/>
      </w:r>
      <w:r w:rsidRPr="00F06201">
        <w:rPr>
          <w:rFonts w:ascii="Times New Roman" w:hAnsi="Times New Roman" w:cs="Times New Roman"/>
          <w:sz w:val="24"/>
          <w:szCs w:val="24"/>
        </w:rPr>
        <w:t xml:space="preserve"> Fishback offered the name of Myron Colony, the commercial editor of the </w:t>
      </w:r>
      <w:r w:rsidRPr="00F06201">
        <w:rPr>
          <w:rFonts w:ascii="Times New Roman" w:hAnsi="Times New Roman" w:cs="Times New Roman"/>
          <w:i/>
          <w:iCs/>
          <w:sz w:val="24"/>
          <w:szCs w:val="24"/>
        </w:rPr>
        <w:t>Democrat</w:t>
      </w:r>
      <w:r w:rsidRPr="00F06201">
        <w:rPr>
          <w:rFonts w:ascii="Times New Roman" w:hAnsi="Times New Roman" w:cs="Times New Roman"/>
          <w:sz w:val="24"/>
          <w:szCs w:val="24"/>
        </w:rPr>
        <w:t>, as a potential investigator, as his position offered him cover to gather evidence into the crimes being committed and Bristow agreed, deputizing Colony as a Secret Service agent.</w:t>
      </w:r>
      <w:r w:rsidRPr="00F06201">
        <w:rPr>
          <w:rFonts w:ascii="Times New Roman" w:hAnsi="Times New Roman" w:cs="Times New Roman"/>
          <w:sz w:val="24"/>
          <w:szCs w:val="24"/>
          <w:vertAlign w:val="superscript"/>
        </w:rPr>
        <w:footnoteReference w:id="1229"/>
      </w:r>
      <w:r w:rsidRPr="00F06201">
        <w:rPr>
          <w:rFonts w:ascii="Times New Roman" w:hAnsi="Times New Roman" w:cs="Times New Roman"/>
          <w:sz w:val="24"/>
          <w:szCs w:val="24"/>
        </w:rPr>
        <w:t xml:space="preserve"> McDonald learned that Fishback traveled to Washington and telegraphed Babcock to inquire </w:t>
      </w:r>
      <w:r w:rsidR="00F24B35">
        <w:rPr>
          <w:rFonts w:ascii="Times New Roman" w:hAnsi="Times New Roman" w:cs="Times New Roman"/>
          <w:sz w:val="24"/>
          <w:szCs w:val="24"/>
        </w:rPr>
        <w:t xml:space="preserve">into </w:t>
      </w:r>
    </w:p>
    <w:p w14:paraId="460EF61C" w14:textId="77777777" w:rsidR="00F06201" w:rsidRPr="00F06201" w:rsidRDefault="00F06201" w:rsidP="00F06201">
      <w:pPr>
        <w:jc w:val="center"/>
        <w:rPr>
          <w:rFonts w:ascii="Times New Roman" w:hAnsi="Times New Roman" w:cs="Times New Roman"/>
          <w:sz w:val="24"/>
          <w:szCs w:val="24"/>
        </w:rPr>
      </w:pPr>
      <w:r w:rsidRPr="00F06201">
        <w:rPr>
          <w:rFonts w:ascii="Times New Roman" w:hAnsi="Times New Roman" w:cs="Times New Roman"/>
          <w:noProof/>
          <w:sz w:val="24"/>
          <w:szCs w:val="24"/>
        </w:rPr>
        <w:lastRenderedPageBreak/>
        <w:drawing>
          <wp:inline distT="0" distB="0" distL="0" distR="0" wp14:anchorId="08E97A4D" wp14:editId="4EB5B2F4">
            <wp:extent cx="1722120" cy="2367916"/>
            <wp:effectExtent l="0" t="0" r="0" b="0"/>
            <wp:docPr id="1042769808" name="Picture 3" descr="A person in a suit and bow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69808" name="Picture 3" descr="A person in a suit and bow tie&#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27319" cy="2375064"/>
                    </a:xfrm>
                    <a:prstGeom prst="rect">
                      <a:avLst/>
                    </a:prstGeom>
                  </pic:spPr>
                </pic:pic>
              </a:graphicData>
            </a:graphic>
          </wp:inline>
        </w:drawing>
      </w:r>
    </w:p>
    <w:p w14:paraId="470467B0" w14:textId="7912565B" w:rsidR="00F06201" w:rsidRPr="00F06201" w:rsidRDefault="0066482A" w:rsidP="00FC6E97">
      <w:pPr>
        <w:spacing w:line="240" w:lineRule="auto"/>
        <w:rPr>
          <w:rFonts w:ascii="Times New Roman" w:hAnsi="Times New Roman" w:cs="Times New Roman"/>
          <w:b/>
          <w:bCs/>
          <w:sz w:val="20"/>
          <w:szCs w:val="20"/>
        </w:rPr>
      </w:pPr>
      <w:r>
        <w:rPr>
          <w:rFonts w:ascii="Times New Roman" w:hAnsi="Times New Roman" w:cs="Times New Roman"/>
          <w:b/>
          <w:bCs/>
          <w:sz w:val="20"/>
          <w:szCs w:val="20"/>
        </w:rPr>
        <w:t xml:space="preserve">Figure 5.3: </w:t>
      </w:r>
      <w:r w:rsidR="00F06201" w:rsidRPr="00F06201">
        <w:rPr>
          <w:rFonts w:ascii="Times New Roman" w:hAnsi="Times New Roman" w:cs="Times New Roman"/>
          <w:b/>
          <w:bCs/>
          <w:sz w:val="20"/>
          <w:szCs w:val="20"/>
        </w:rPr>
        <w:t>Benjamin H. Bristow</w:t>
      </w:r>
      <w:r w:rsidR="0098522E">
        <w:rPr>
          <w:rFonts w:ascii="Times New Roman" w:hAnsi="Times New Roman" w:cs="Times New Roman"/>
          <w:b/>
          <w:bCs/>
          <w:sz w:val="20"/>
          <w:szCs w:val="20"/>
        </w:rPr>
        <w:t xml:space="preserve">: </w:t>
      </w:r>
      <w:r w:rsidR="0098522E">
        <w:rPr>
          <w:rFonts w:ascii="Times New Roman" w:hAnsi="Times New Roman" w:cs="Times New Roman"/>
          <w:sz w:val="20"/>
          <w:szCs w:val="20"/>
        </w:rPr>
        <w:t>Bristow was a rising star in the Republican Party, a man who was seen as a reformer and a future presidential candidate whose chances at a nomination were made even more likely when President Grant appointed him his Secretary of the Treasury in 1874.</w:t>
      </w:r>
      <w:r w:rsidR="00F06201" w:rsidRPr="0098522E">
        <w:rPr>
          <w:rFonts w:ascii="Times New Roman" w:hAnsi="Times New Roman" w:cs="Times New Roman"/>
          <w:sz w:val="20"/>
          <w:szCs w:val="20"/>
          <w:vertAlign w:val="superscript"/>
        </w:rPr>
        <w:footnoteReference w:id="1230"/>
      </w:r>
    </w:p>
    <w:p w14:paraId="635A35E9" w14:textId="77777777" w:rsidR="00FC6E97" w:rsidRDefault="00FC6E97" w:rsidP="00FC6E97">
      <w:pPr>
        <w:spacing w:line="480" w:lineRule="auto"/>
        <w:rPr>
          <w:rFonts w:ascii="Times New Roman" w:hAnsi="Times New Roman" w:cs="Times New Roman"/>
          <w:sz w:val="24"/>
          <w:szCs w:val="24"/>
        </w:rPr>
      </w:pPr>
      <w:r>
        <w:rPr>
          <w:rFonts w:ascii="Times New Roman" w:hAnsi="Times New Roman" w:cs="Times New Roman"/>
          <w:sz w:val="24"/>
          <w:szCs w:val="24"/>
        </w:rPr>
        <w:t>the reason for this trip</w:t>
      </w:r>
      <w:r w:rsidRPr="00F06201">
        <w:rPr>
          <w:rFonts w:ascii="Times New Roman" w:hAnsi="Times New Roman" w:cs="Times New Roman"/>
          <w:sz w:val="24"/>
          <w:szCs w:val="24"/>
        </w:rPr>
        <w:t>, to which Babcock incorrectly responded “Have seen the gentleman [Fishback] and he seemed very friendly. He is here looking after the improvement of the rivers.”</w:t>
      </w:r>
      <w:r w:rsidRPr="00F06201">
        <w:rPr>
          <w:rFonts w:ascii="Times New Roman" w:hAnsi="Times New Roman" w:cs="Times New Roman"/>
          <w:sz w:val="24"/>
          <w:szCs w:val="24"/>
          <w:vertAlign w:val="superscript"/>
        </w:rPr>
        <w:footnoteReference w:id="1231"/>
      </w:r>
    </w:p>
    <w:p w14:paraId="0F0AAAC6" w14:textId="0AB52BB3"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The undercover operations carried out by Colony were a critical missing piece for the </w:t>
      </w:r>
      <w:r w:rsidR="00121ECA">
        <w:rPr>
          <w:rFonts w:ascii="Times New Roman" w:hAnsi="Times New Roman" w:cs="Times New Roman"/>
          <w:sz w:val="24"/>
          <w:szCs w:val="24"/>
        </w:rPr>
        <w:t xml:space="preserve">earlier </w:t>
      </w:r>
      <w:r w:rsidRPr="00F06201">
        <w:rPr>
          <w:rFonts w:ascii="Times New Roman" w:hAnsi="Times New Roman" w:cs="Times New Roman"/>
          <w:sz w:val="24"/>
          <w:szCs w:val="24"/>
        </w:rPr>
        <w:t>investigations into the Whiskey Ring. Colony made it known around St. Louis that he was conducting a survey of the business activity in the city, and he placed men at each freight and landing depot to copy cargo records.</w:t>
      </w:r>
      <w:r w:rsidRPr="00F06201">
        <w:rPr>
          <w:rFonts w:ascii="Times New Roman" w:hAnsi="Times New Roman" w:cs="Times New Roman"/>
          <w:sz w:val="24"/>
          <w:szCs w:val="24"/>
          <w:vertAlign w:val="superscript"/>
        </w:rPr>
        <w:footnoteReference w:id="1232"/>
      </w:r>
      <w:r w:rsidRPr="00F06201">
        <w:rPr>
          <w:rFonts w:ascii="Times New Roman" w:hAnsi="Times New Roman" w:cs="Times New Roman"/>
          <w:sz w:val="24"/>
          <w:szCs w:val="24"/>
        </w:rPr>
        <w:t xml:space="preserve"> These men, unaware they were working for the Secret Service, kept record of staple articles, including whiskey.</w:t>
      </w:r>
      <w:r w:rsidRPr="00F06201">
        <w:rPr>
          <w:rFonts w:ascii="Times New Roman" w:hAnsi="Times New Roman" w:cs="Times New Roman"/>
          <w:sz w:val="24"/>
          <w:szCs w:val="24"/>
          <w:vertAlign w:val="superscript"/>
        </w:rPr>
        <w:footnoteReference w:id="1233"/>
      </w:r>
      <w:r w:rsidRPr="00F06201">
        <w:rPr>
          <w:rFonts w:ascii="Times New Roman" w:hAnsi="Times New Roman" w:cs="Times New Roman"/>
          <w:sz w:val="24"/>
          <w:szCs w:val="24"/>
        </w:rPr>
        <w:t xml:space="preserve"> Meanwhile Bristow and Bluford Wilson arranged to send investigator Homer Yaryan to St. Louis without notifying Commissioner of Internal Revenue John Douglass, who they did not trust.</w:t>
      </w:r>
      <w:r w:rsidRPr="00F06201">
        <w:rPr>
          <w:rFonts w:ascii="Times New Roman" w:hAnsi="Times New Roman" w:cs="Times New Roman"/>
          <w:sz w:val="24"/>
          <w:szCs w:val="24"/>
          <w:vertAlign w:val="superscript"/>
        </w:rPr>
        <w:footnoteReference w:id="1234"/>
      </w:r>
      <w:r w:rsidRPr="00F06201">
        <w:rPr>
          <w:rFonts w:ascii="Times New Roman" w:hAnsi="Times New Roman" w:cs="Times New Roman"/>
          <w:sz w:val="24"/>
          <w:szCs w:val="24"/>
        </w:rPr>
        <w:t xml:space="preserve"> On his trip, Yaryan, who was already associated with McDonald, informed him that he was there to </w:t>
      </w:r>
      <w:r w:rsidRPr="00F06201">
        <w:rPr>
          <w:rFonts w:ascii="Times New Roman" w:hAnsi="Times New Roman" w:cs="Times New Roman"/>
          <w:sz w:val="24"/>
          <w:szCs w:val="24"/>
        </w:rPr>
        <w:lastRenderedPageBreak/>
        <w:t>investigate back taxes for the railroads, while his real purpose was meeting with Fishback and Colony to assess their progress.</w:t>
      </w:r>
      <w:r w:rsidRPr="00F06201">
        <w:rPr>
          <w:rFonts w:ascii="Times New Roman" w:hAnsi="Times New Roman" w:cs="Times New Roman"/>
          <w:sz w:val="24"/>
          <w:szCs w:val="24"/>
          <w:vertAlign w:val="superscript"/>
        </w:rPr>
        <w:footnoteReference w:id="1235"/>
      </w:r>
      <w:r w:rsidRPr="00F06201">
        <w:rPr>
          <w:rFonts w:ascii="Times New Roman" w:hAnsi="Times New Roman" w:cs="Times New Roman"/>
          <w:sz w:val="24"/>
          <w:szCs w:val="24"/>
        </w:rPr>
        <w:t xml:space="preserve"> Fishback and Colony, wary of a revenue collector from Washington, remained “distant and apparently afraid” of Yaryan.</w:t>
      </w:r>
      <w:r w:rsidRPr="00F06201">
        <w:rPr>
          <w:rFonts w:ascii="Times New Roman" w:hAnsi="Times New Roman" w:cs="Times New Roman"/>
          <w:sz w:val="24"/>
          <w:szCs w:val="24"/>
          <w:vertAlign w:val="superscript"/>
        </w:rPr>
        <w:footnoteReference w:id="1236"/>
      </w:r>
      <w:r w:rsidRPr="00F06201">
        <w:rPr>
          <w:rFonts w:ascii="Times New Roman" w:hAnsi="Times New Roman" w:cs="Times New Roman"/>
          <w:sz w:val="24"/>
          <w:szCs w:val="24"/>
        </w:rPr>
        <w:t xml:space="preserve"> They were correct to view him in this manner, as he met multiple times with McDonald and Joyce on this trip. At one such meeting, Joyce showed him “a pile of letters – from General Babcock, written to him, and in one of the letters…he allowed me to read a portion where there was a very cordial invitation to go to Long Branch and stay a month, or all summer if he wanted to,” bragging of his close relationship to such a powerful figure.</w:t>
      </w:r>
      <w:r w:rsidRPr="00F06201">
        <w:rPr>
          <w:rFonts w:ascii="Times New Roman" w:hAnsi="Times New Roman" w:cs="Times New Roman"/>
          <w:sz w:val="24"/>
          <w:szCs w:val="24"/>
          <w:vertAlign w:val="superscript"/>
        </w:rPr>
        <w:footnoteReference w:id="1237"/>
      </w:r>
    </w:p>
    <w:p w14:paraId="27462D9F" w14:textId="04D76059"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McDonald was quick to recognize what Colony and his agents were doing in St. Louis,</w:t>
      </w:r>
      <w:r w:rsidR="00A16203">
        <w:rPr>
          <w:rFonts w:ascii="Times New Roman" w:hAnsi="Times New Roman" w:cs="Times New Roman"/>
          <w:sz w:val="24"/>
          <w:szCs w:val="24"/>
        </w:rPr>
        <w:t xml:space="preserve"> and</w:t>
      </w:r>
      <w:r w:rsidRPr="00F06201">
        <w:rPr>
          <w:rFonts w:ascii="Times New Roman" w:hAnsi="Times New Roman" w:cs="Times New Roman"/>
          <w:sz w:val="24"/>
          <w:szCs w:val="24"/>
        </w:rPr>
        <w:t xml:space="preserve"> it was too late to take any meaningful action. He was not aware of this situation, though, </w:t>
      </w:r>
      <w:r w:rsidR="00B70E4C">
        <w:rPr>
          <w:rFonts w:ascii="Times New Roman" w:hAnsi="Times New Roman" w:cs="Times New Roman"/>
          <w:sz w:val="24"/>
          <w:szCs w:val="24"/>
        </w:rPr>
        <w:t>so</w:t>
      </w:r>
      <w:r w:rsidRPr="00F06201">
        <w:rPr>
          <w:rFonts w:ascii="Times New Roman" w:hAnsi="Times New Roman" w:cs="Times New Roman"/>
          <w:sz w:val="24"/>
          <w:szCs w:val="24"/>
        </w:rPr>
        <w:t xml:space="preserve"> he still made an attempt to ensure his Ring’s secrecy. McDonald sent some low-level thugs to harass and </w:t>
      </w:r>
      <w:r w:rsidR="004D7EDA">
        <w:rPr>
          <w:rFonts w:ascii="Times New Roman" w:hAnsi="Times New Roman" w:cs="Times New Roman"/>
          <w:sz w:val="24"/>
          <w:szCs w:val="24"/>
        </w:rPr>
        <w:t xml:space="preserve">physically </w:t>
      </w:r>
      <w:r w:rsidRPr="00F06201">
        <w:rPr>
          <w:rFonts w:ascii="Times New Roman" w:hAnsi="Times New Roman" w:cs="Times New Roman"/>
          <w:sz w:val="24"/>
          <w:szCs w:val="24"/>
        </w:rPr>
        <w:t>beat Colony’s investigators, but by that point, Colony’s men had collected enough information.</w:t>
      </w:r>
      <w:r w:rsidRPr="00F06201">
        <w:rPr>
          <w:rFonts w:ascii="Times New Roman" w:hAnsi="Times New Roman" w:cs="Times New Roman"/>
          <w:sz w:val="24"/>
          <w:szCs w:val="24"/>
          <w:vertAlign w:val="superscript"/>
        </w:rPr>
        <w:footnoteReference w:id="1238"/>
      </w:r>
      <w:r w:rsidRPr="00F06201">
        <w:rPr>
          <w:rFonts w:ascii="Times New Roman" w:hAnsi="Times New Roman" w:cs="Times New Roman"/>
          <w:sz w:val="24"/>
          <w:szCs w:val="24"/>
        </w:rPr>
        <w:t xml:space="preserve"> Colony discarded all information except those related to distilling, and in doing so he developed an understanding of the entirety of the St. Louis whiskey shipping processes that by mid-April fully exposed the racket.</w:t>
      </w:r>
      <w:r w:rsidRPr="00F06201">
        <w:rPr>
          <w:rFonts w:ascii="Times New Roman" w:hAnsi="Times New Roman" w:cs="Times New Roman"/>
          <w:sz w:val="24"/>
          <w:szCs w:val="24"/>
          <w:vertAlign w:val="superscript"/>
        </w:rPr>
        <w:footnoteReference w:id="1239"/>
      </w:r>
      <w:r w:rsidRPr="00F06201">
        <w:rPr>
          <w:rFonts w:ascii="Times New Roman" w:hAnsi="Times New Roman" w:cs="Times New Roman"/>
          <w:sz w:val="24"/>
          <w:szCs w:val="24"/>
        </w:rPr>
        <w:t xml:space="preserve"> He presented his information to Solicitor Bluford Wilson, who in turn presented the information to Bristow. The two then began to plan a series of raids across the Midwest to catch the tax evaders with special focus on McDonald’s operation in St. Louis.</w:t>
      </w:r>
    </w:p>
    <w:p w14:paraId="4A50EF5F" w14:textId="77777777"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McDonald, continuing to do what he could to protect the Whiskey Ring, traveled to Washington once again to meet with Secretary Bristow, General Babcock, and President Grant. </w:t>
      </w:r>
      <w:r w:rsidRPr="00F06201">
        <w:rPr>
          <w:rFonts w:ascii="Times New Roman" w:hAnsi="Times New Roman" w:cs="Times New Roman"/>
          <w:sz w:val="24"/>
          <w:szCs w:val="24"/>
        </w:rPr>
        <w:lastRenderedPageBreak/>
        <w:t>He first met with Bristow in a meeting where he attempted to find out what the Secretary knew, and Bristow said that “I can’t exactly tell you that but I have got a barrel of [evidence].”</w:t>
      </w:r>
      <w:r w:rsidRPr="00F06201">
        <w:rPr>
          <w:rFonts w:ascii="Times New Roman" w:hAnsi="Times New Roman" w:cs="Times New Roman"/>
          <w:sz w:val="24"/>
          <w:szCs w:val="24"/>
          <w:vertAlign w:val="superscript"/>
        </w:rPr>
        <w:footnoteReference w:id="1240"/>
      </w:r>
      <w:r w:rsidRPr="00F06201">
        <w:rPr>
          <w:rFonts w:ascii="Times New Roman" w:hAnsi="Times New Roman" w:cs="Times New Roman"/>
          <w:sz w:val="24"/>
          <w:szCs w:val="24"/>
        </w:rPr>
        <w:t xml:space="preserve"> Bristow further suggested that “it would be more gratifying to him to have the officers [of the Ring] resign than to be compelled to remove them” before McDonald hurried off to meet with Grant and Babcock.</w:t>
      </w:r>
      <w:r w:rsidRPr="00F06201">
        <w:rPr>
          <w:rFonts w:ascii="Times New Roman" w:hAnsi="Times New Roman" w:cs="Times New Roman"/>
          <w:sz w:val="24"/>
          <w:szCs w:val="24"/>
          <w:vertAlign w:val="superscript"/>
        </w:rPr>
        <w:footnoteReference w:id="1241"/>
      </w:r>
      <w:r w:rsidRPr="00F06201">
        <w:rPr>
          <w:rFonts w:ascii="Times New Roman" w:hAnsi="Times New Roman" w:cs="Times New Roman"/>
          <w:sz w:val="24"/>
          <w:szCs w:val="24"/>
        </w:rPr>
        <w:t xml:space="preserve"> At this meeting, McDonald realized that stopping Bristow was impossible and, after a brief attempt to make a deal with Bristow, he handed President Grant his letter of resignation.</w:t>
      </w:r>
      <w:r w:rsidRPr="00F06201">
        <w:rPr>
          <w:rFonts w:ascii="Times New Roman" w:hAnsi="Times New Roman" w:cs="Times New Roman"/>
          <w:sz w:val="24"/>
          <w:szCs w:val="24"/>
          <w:vertAlign w:val="superscript"/>
        </w:rPr>
        <w:footnoteReference w:id="1242"/>
      </w:r>
      <w:r w:rsidRPr="00F06201">
        <w:rPr>
          <w:rFonts w:ascii="Times New Roman" w:hAnsi="Times New Roman" w:cs="Times New Roman"/>
          <w:sz w:val="24"/>
          <w:szCs w:val="24"/>
        </w:rPr>
        <w:t xml:space="preserve"> McDonald returned to St. Louis and informed his fellow ring members of his meetings and the evidence against them, at which point they also submitted their resignations.</w:t>
      </w:r>
      <w:r w:rsidRPr="00F06201">
        <w:rPr>
          <w:rFonts w:ascii="Times New Roman" w:hAnsi="Times New Roman" w:cs="Times New Roman"/>
          <w:sz w:val="24"/>
          <w:szCs w:val="24"/>
          <w:vertAlign w:val="superscript"/>
        </w:rPr>
        <w:footnoteReference w:id="1243"/>
      </w:r>
      <w:r w:rsidRPr="00F06201">
        <w:rPr>
          <w:rFonts w:ascii="Times New Roman" w:hAnsi="Times New Roman" w:cs="Times New Roman"/>
          <w:sz w:val="24"/>
          <w:szCs w:val="24"/>
        </w:rPr>
        <w:t xml:space="preserve"> McDonald continued to receive updates from Babcock, who falsely assured him that no deals would be made with the distillers in exchange for immunity, entirely unaware that the prosecution would turn his way soon enough.</w:t>
      </w:r>
      <w:r w:rsidRPr="00F06201">
        <w:rPr>
          <w:rFonts w:ascii="Times New Roman" w:hAnsi="Times New Roman" w:cs="Times New Roman"/>
          <w:sz w:val="24"/>
          <w:szCs w:val="24"/>
          <w:vertAlign w:val="superscript"/>
        </w:rPr>
        <w:footnoteReference w:id="1244"/>
      </w:r>
      <w:r w:rsidRPr="00F06201">
        <w:rPr>
          <w:rFonts w:ascii="Times New Roman" w:hAnsi="Times New Roman" w:cs="Times New Roman"/>
          <w:sz w:val="24"/>
          <w:szCs w:val="24"/>
        </w:rPr>
        <w:t xml:space="preserve"> </w:t>
      </w:r>
    </w:p>
    <w:p w14:paraId="1DFBFBB6" w14:textId="05E1553E"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Bristow and Wilson met again in early May 1875 and agreed to carry out their plans to raid St. Louis. Bristow wanted to hurry to uncover these crimes so he could take the credit for reforming the system himself.</w:t>
      </w:r>
      <w:r w:rsidRPr="00F06201">
        <w:rPr>
          <w:rFonts w:ascii="Times New Roman" w:hAnsi="Times New Roman" w:cs="Times New Roman"/>
          <w:sz w:val="24"/>
          <w:szCs w:val="24"/>
          <w:vertAlign w:val="superscript"/>
        </w:rPr>
        <w:footnoteReference w:id="1245"/>
      </w:r>
      <w:r w:rsidRPr="00F06201">
        <w:rPr>
          <w:rFonts w:ascii="Times New Roman" w:hAnsi="Times New Roman" w:cs="Times New Roman"/>
          <w:sz w:val="24"/>
          <w:szCs w:val="24"/>
        </w:rPr>
        <w:t xml:space="preserve"> Wilson sent men to St. Louis to raid the distilleries on May 10</w:t>
      </w:r>
      <w:r w:rsidRPr="00F06201">
        <w:rPr>
          <w:rFonts w:ascii="Times New Roman" w:hAnsi="Times New Roman" w:cs="Times New Roman"/>
          <w:sz w:val="24"/>
          <w:szCs w:val="24"/>
          <w:vertAlign w:val="superscript"/>
        </w:rPr>
        <w:t>th</w:t>
      </w:r>
      <w:r w:rsidRPr="00F06201">
        <w:rPr>
          <w:rFonts w:ascii="Times New Roman" w:hAnsi="Times New Roman" w:cs="Times New Roman"/>
          <w:sz w:val="24"/>
          <w:szCs w:val="24"/>
        </w:rPr>
        <w:t>, and Myron Colony met them outside of town with carriages that took the agents directly to the distilleries.</w:t>
      </w:r>
      <w:r w:rsidRPr="00F06201">
        <w:rPr>
          <w:rFonts w:ascii="Times New Roman" w:hAnsi="Times New Roman" w:cs="Times New Roman"/>
          <w:sz w:val="24"/>
          <w:szCs w:val="24"/>
          <w:vertAlign w:val="superscript"/>
        </w:rPr>
        <w:footnoteReference w:id="1246"/>
      </w:r>
      <w:r w:rsidRPr="00F06201">
        <w:rPr>
          <w:rFonts w:ascii="Times New Roman" w:hAnsi="Times New Roman" w:cs="Times New Roman"/>
          <w:sz w:val="24"/>
          <w:szCs w:val="24"/>
        </w:rPr>
        <w:t xml:space="preserve"> These raids were coordinated to also eliminate similar rings in Chicago, Milwaukee, and other cities across the American Midwest to prevent any destruction of evidence should word spread.</w:t>
      </w:r>
      <w:r w:rsidRPr="00F06201">
        <w:rPr>
          <w:rFonts w:ascii="Times New Roman" w:hAnsi="Times New Roman" w:cs="Times New Roman"/>
          <w:sz w:val="24"/>
          <w:szCs w:val="24"/>
          <w:vertAlign w:val="superscript"/>
        </w:rPr>
        <w:footnoteReference w:id="1247"/>
      </w:r>
      <w:r w:rsidRPr="00F06201">
        <w:rPr>
          <w:rFonts w:ascii="Times New Roman" w:hAnsi="Times New Roman" w:cs="Times New Roman"/>
          <w:sz w:val="24"/>
          <w:szCs w:val="24"/>
        </w:rPr>
        <w:t xml:space="preserve"> The seizures carried out in St. Louis rivalled “anything that the real or </w:t>
      </w:r>
      <w:r w:rsidRPr="00F06201">
        <w:rPr>
          <w:rFonts w:ascii="Times New Roman" w:hAnsi="Times New Roman" w:cs="Times New Roman"/>
          <w:sz w:val="24"/>
          <w:szCs w:val="24"/>
        </w:rPr>
        <w:lastRenderedPageBreak/>
        <w:t>fictional Elliot Ness and his ‘Untouchables’ ever accomplished during the prohibition era in America,” according to author and researcher Edward S. Cooper.</w:t>
      </w:r>
      <w:r w:rsidRPr="00F06201">
        <w:rPr>
          <w:rFonts w:ascii="Times New Roman" w:hAnsi="Times New Roman" w:cs="Times New Roman"/>
          <w:sz w:val="24"/>
          <w:szCs w:val="24"/>
          <w:vertAlign w:val="superscript"/>
        </w:rPr>
        <w:footnoteReference w:id="1248"/>
      </w:r>
      <w:r w:rsidRPr="00F06201">
        <w:rPr>
          <w:rFonts w:ascii="Times New Roman" w:hAnsi="Times New Roman" w:cs="Times New Roman"/>
          <w:sz w:val="24"/>
          <w:szCs w:val="24"/>
        </w:rPr>
        <w:t xml:space="preserve"> On the day of the raids, McDonald worked to prevent the complete overhaul of his Whiskey Ring. He wired Douglass to inform him of the distilleries and rectifying houses that were seized by government agents and complain that this was done without his knowledge.</w:t>
      </w:r>
      <w:r w:rsidRPr="00F06201">
        <w:rPr>
          <w:rFonts w:ascii="Times New Roman" w:hAnsi="Times New Roman" w:cs="Times New Roman"/>
          <w:sz w:val="24"/>
          <w:szCs w:val="24"/>
          <w:vertAlign w:val="superscript"/>
        </w:rPr>
        <w:footnoteReference w:id="1249"/>
      </w:r>
      <w:r w:rsidRPr="00F06201">
        <w:rPr>
          <w:rFonts w:ascii="Times New Roman" w:hAnsi="Times New Roman" w:cs="Times New Roman"/>
          <w:sz w:val="24"/>
          <w:szCs w:val="24"/>
        </w:rPr>
        <w:t xml:space="preserve"> He asked for orders, unaware that Douglass was replaced, and Douglass responded that his orders would come from someone else.</w:t>
      </w:r>
      <w:r w:rsidRPr="00F06201">
        <w:rPr>
          <w:rFonts w:ascii="Times New Roman" w:hAnsi="Times New Roman" w:cs="Times New Roman"/>
          <w:sz w:val="24"/>
          <w:szCs w:val="24"/>
          <w:vertAlign w:val="superscript"/>
        </w:rPr>
        <w:footnoteReference w:id="1250"/>
      </w:r>
      <w:r w:rsidRPr="00F06201">
        <w:rPr>
          <w:rFonts w:ascii="Times New Roman" w:hAnsi="Times New Roman" w:cs="Times New Roman"/>
          <w:sz w:val="24"/>
          <w:szCs w:val="24"/>
        </w:rPr>
        <w:t xml:space="preserve"> Desiring to reform the system in St. Louis, Grant</w:t>
      </w:r>
      <w:r w:rsidR="00224389">
        <w:rPr>
          <w:rFonts w:ascii="Times New Roman" w:hAnsi="Times New Roman" w:cs="Times New Roman"/>
          <w:sz w:val="24"/>
          <w:szCs w:val="24"/>
        </w:rPr>
        <w:t xml:space="preserve"> sought</w:t>
      </w:r>
      <w:r w:rsidRPr="00F06201">
        <w:rPr>
          <w:rFonts w:ascii="Times New Roman" w:hAnsi="Times New Roman" w:cs="Times New Roman"/>
          <w:sz w:val="24"/>
          <w:szCs w:val="24"/>
        </w:rPr>
        <w:t xml:space="preserve"> new blood in the federal attorney’s office, and Bristow recommended David Dyer, who was nominated</w:t>
      </w:r>
      <w:r w:rsidR="005076C5">
        <w:rPr>
          <w:rFonts w:ascii="Times New Roman" w:hAnsi="Times New Roman" w:cs="Times New Roman"/>
          <w:sz w:val="24"/>
          <w:szCs w:val="24"/>
        </w:rPr>
        <w:t>, approved,</w:t>
      </w:r>
      <w:r w:rsidRPr="00F06201">
        <w:rPr>
          <w:rFonts w:ascii="Times New Roman" w:hAnsi="Times New Roman" w:cs="Times New Roman"/>
          <w:sz w:val="24"/>
          <w:szCs w:val="24"/>
        </w:rPr>
        <w:t xml:space="preserve"> and immediately went to work gathering evidence and securing indictments.</w:t>
      </w:r>
      <w:r w:rsidRPr="00F06201">
        <w:rPr>
          <w:rFonts w:ascii="Times New Roman" w:hAnsi="Times New Roman" w:cs="Times New Roman"/>
          <w:sz w:val="24"/>
          <w:szCs w:val="24"/>
          <w:vertAlign w:val="superscript"/>
        </w:rPr>
        <w:footnoteReference w:id="1251"/>
      </w:r>
      <w:r w:rsidRPr="00F06201">
        <w:rPr>
          <w:rFonts w:ascii="Times New Roman" w:hAnsi="Times New Roman" w:cs="Times New Roman"/>
          <w:sz w:val="24"/>
          <w:szCs w:val="24"/>
        </w:rPr>
        <w:t xml:space="preserve"> Continuing their reform efforts, Bristow and Grant </w:t>
      </w:r>
      <w:r w:rsidR="00A00693">
        <w:rPr>
          <w:rFonts w:ascii="Times New Roman" w:hAnsi="Times New Roman" w:cs="Times New Roman"/>
          <w:sz w:val="24"/>
          <w:szCs w:val="24"/>
        </w:rPr>
        <w:t>received</w:t>
      </w:r>
      <w:r w:rsidRPr="00F06201">
        <w:rPr>
          <w:rFonts w:ascii="Times New Roman" w:hAnsi="Times New Roman" w:cs="Times New Roman"/>
          <w:sz w:val="24"/>
          <w:szCs w:val="24"/>
        </w:rPr>
        <w:t xml:space="preserve"> a report that “the most outrageous frauds” lay “under the Commissioner’s nose unexamined” for months and </w:t>
      </w:r>
      <w:r w:rsidR="00A00693">
        <w:rPr>
          <w:rFonts w:ascii="Times New Roman" w:hAnsi="Times New Roman" w:cs="Times New Roman"/>
          <w:sz w:val="24"/>
          <w:szCs w:val="24"/>
        </w:rPr>
        <w:t xml:space="preserve">they </w:t>
      </w:r>
      <w:r w:rsidRPr="00F06201">
        <w:rPr>
          <w:rFonts w:ascii="Times New Roman" w:hAnsi="Times New Roman" w:cs="Times New Roman"/>
          <w:sz w:val="24"/>
          <w:szCs w:val="24"/>
        </w:rPr>
        <w:t>immediately fired Commissioner Douglass.</w:t>
      </w:r>
      <w:r w:rsidRPr="00F06201">
        <w:rPr>
          <w:rFonts w:ascii="Times New Roman" w:hAnsi="Times New Roman" w:cs="Times New Roman"/>
          <w:sz w:val="24"/>
          <w:szCs w:val="24"/>
          <w:vertAlign w:val="superscript"/>
        </w:rPr>
        <w:footnoteReference w:id="1252"/>
      </w:r>
      <w:r w:rsidRPr="00F06201">
        <w:rPr>
          <w:rFonts w:ascii="Times New Roman" w:hAnsi="Times New Roman" w:cs="Times New Roman"/>
          <w:sz w:val="24"/>
          <w:szCs w:val="24"/>
        </w:rPr>
        <w:t xml:space="preserve"> These raids served as a wake-up call for both the criminal and the criminally negligent</w:t>
      </w:r>
      <w:r w:rsidR="00371A71">
        <w:rPr>
          <w:rFonts w:ascii="Times New Roman" w:hAnsi="Times New Roman" w:cs="Times New Roman"/>
          <w:sz w:val="24"/>
          <w:szCs w:val="24"/>
        </w:rPr>
        <w:t xml:space="preserve"> as</w:t>
      </w:r>
      <w:r w:rsidRPr="00F06201">
        <w:rPr>
          <w:rFonts w:ascii="Times New Roman" w:hAnsi="Times New Roman" w:cs="Times New Roman"/>
          <w:sz w:val="24"/>
          <w:szCs w:val="24"/>
        </w:rPr>
        <w:t xml:space="preserve"> they signaled that changes lay on the horizon.</w:t>
      </w:r>
    </w:p>
    <w:p w14:paraId="66F433AE" w14:textId="043C5972"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After the raids, the investigations into the Whiskey Ring proceeded at a lightning pace. McDonald was introduced to Supervisor of Internal Revenue Lucien Hawley, who informed him that he was assigned to “special duty in the State of Missouri” by Bristow.</w:t>
      </w:r>
      <w:r w:rsidRPr="00F06201">
        <w:rPr>
          <w:rFonts w:ascii="Times New Roman" w:hAnsi="Times New Roman" w:cs="Times New Roman"/>
          <w:sz w:val="24"/>
          <w:szCs w:val="24"/>
          <w:vertAlign w:val="superscript"/>
        </w:rPr>
        <w:footnoteReference w:id="1253"/>
      </w:r>
      <w:r w:rsidRPr="00F06201">
        <w:rPr>
          <w:rFonts w:ascii="Times New Roman" w:hAnsi="Times New Roman" w:cs="Times New Roman"/>
          <w:sz w:val="24"/>
          <w:szCs w:val="24"/>
        </w:rPr>
        <w:t xml:space="preserve"> McDonald attempted to keep this new player under his thumb by offering Hawley space to work in his office, but Hawley declined, setting up his home base in a nearby hotel.</w:t>
      </w:r>
      <w:r w:rsidRPr="00F06201">
        <w:rPr>
          <w:rFonts w:ascii="Times New Roman" w:hAnsi="Times New Roman" w:cs="Times New Roman"/>
          <w:sz w:val="24"/>
          <w:szCs w:val="24"/>
          <w:vertAlign w:val="superscript"/>
        </w:rPr>
        <w:footnoteReference w:id="1254"/>
      </w:r>
      <w:r w:rsidRPr="00F06201">
        <w:rPr>
          <w:rFonts w:ascii="Times New Roman" w:hAnsi="Times New Roman" w:cs="Times New Roman"/>
          <w:sz w:val="24"/>
          <w:szCs w:val="24"/>
        </w:rPr>
        <w:t xml:space="preserve"> From the Lindell </w:t>
      </w:r>
      <w:r w:rsidRPr="00F06201">
        <w:rPr>
          <w:rFonts w:ascii="Times New Roman" w:hAnsi="Times New Roman" w:cs="Times New Roman"/>
          <w:sz w:val="24"/>
          <w:szCs w:val="24"/>
        </w:rPr>
        <w:lastRenderedPageBreak/>
        <w:t>Hotel, Hawley brought in many workers from the seized businesses, examining them under oath to determine the extent of the Ring’s power.</w:t>
      </w:r>
      <w:r w:rsidRPr="00F06201">
        <w:rPr>
          <w:rFonts w:ascii="Times New Roman" w:hAnsi="Times New Roman" w:cs="Times New Roman"/>
          <w:sz w:val="24"/>
          <w:szCs w:val="24"/>
          <w:vertAlign w:val="superscript"/>
        </w:rPr>
        <w:footnoteReference w:id="1255"/>
      </w:r>
      <w:r w:rsidRPr="00F06201">
        <w:rPr>
          <w:rFonts w:ascii="Times New Roman" w:hAnsi="Times New Roman" w:cs="Times New Roman"/>
          <w:sz w:val="24"/>
          <w:szCs w:val="24"/>
        </w:rPr>
        <w:t xml:space="preserve"> They obtained such evidence as a memoranda book from a bookkeeper, Joseph Gross, who kept record of dates and payments to specific agents.</w:t>
      </w:r>
      <w:r w:rsidRPr="00F06201">
        <w:rPr>
          <w:rFonts w:ascii="Times New Roman" w:hAnsi="Times New Roman" w:cs="Times New Roman"/>
          <w:sz w:val="24"/>
          <w:szCs w:val="24"/>
          <w:vertAlign w:val="superscript"/>
        </w:rPr>
        <w:footnoteReference w:id="1256"/>
      </w:r>
      <w:r w:rsidRPr="00F06201">
        <w:rPr>
          <w:rFonts w:ascii="Times New Roman" w:hAnsi="Times New Roman" w:cs="Times New Roman"/>
          <w:sz w:val="24"/>
          <w:szCs w:val="24"/>
        </w:rPr>
        <w:t xml:space="preserve"> Hawley continued to dig in spite of rumors that aimed to stop the investigation, particularly one orchestrated by McDonald that Bristow’s investigations were nothing but an attempt to discredit President Grant so he could win the Republican presidential nomination in the next election.</w:t>
      </w:r>
      <w:r w:rsidRPr="00F06201">
        <w:rPr>
          <w:rFonts w:ascii="Times New Roman" w:hAnsi="Times New Roman" w:cs="Times New Roman"/>
          <w:sz w:val="24"/>
          <w:szCs w:val="24"/>
          <w:vertAlign w:val="superscript"/>
        </w:rPr>
        <w:footnoteReference w:id="1257"/>
      </w:r>
      <w:r w:rsidRPr="00F06201">
        <w:rPr>
          <w:rFonts w:ascii="Times New Roman" w:hAnsi="Times New Roman" w:cs="Times New Roman"/>
          <w:sz w:val="24"/>
          <w:szCs w:val="24"/>
        </w:rPr>
        <w:t xml:space="preserve"> Perhaps this rumor resulted from Babcock’s informing McDonald of the prosecution’s testimony-for-immunity </w:t>
      </w:r>
      <w:r w:rsidR="0073073B">
        <w:rPr>
          <w:rFonts w:ascii="Times New Roman" w:hAnsi="Times New Roman" w:cs="Times New Roman"/>
          <w:sz w:val="24"/>
          <w:szCs w:val="24"/>
        </w:rPr>
        <w:t>arrangement</w:t>
      </w:r>
      <w:r w:rsidRPr="00F06201">
        <w:rPr>
          <w:rFonts w:ascii="Times New Roman" w:hAnsi="Times New Roman" w:cs="Times New Roman"/>
          <w:sz w:val="24"/>
          <w:szCs w:val="24"/>
        </w:rPr>
        <w:t>, and Babcock warned McDonald “keep your head level and undertake nothing you cannot carry out for certain – and beware of skunks – who profess to be friends.”</w:t>
      </w:r>
      <w:r w:rsidRPr="00F06201">
        <w:rPr>
          <w:rFonts w:ascii="Times New Roman" w:hAnsi="Times New Roman" w:cs="Times New Roman"/>
          <w:sz w:val="24"/>
          <w:szCs w:val="24"/>
          <w:vertAlign w:val="superscript"/>
        </w:rPr>
        <w:footnoteReference w:id="1258"/>
      </w:r>
      <w:r w:rsidRPr="00F06201">
        <w:rPr>
          <w:rFonts w:ascii="Times New Roman" w:hAnsi="Times New Roman" w:cs="Times New Roman"/>
          <w:sz w:val="24"/>
          <w:szCs w:val="24"/>
        </w:rPr>
        <w:t xml:space="preserve"> Babcock himself started to receive letters from “A Friend Who Knows” in St. Louis, who McDonald later proved through handwriting to be former bagman Joseph Fitzroy, indicating that “If you don’t protect the subordinate officers in St. Louis who are now in trouble, lightning will strike in Washington.”</w:t>
      </w:r>
      <w:r w:rsidRPr="00F06201">
        <w:rPr>
          <w:rFonts w:ascii="Times New Roman" w:hAnsi="Times New Roman" w:cs="Times New Roman"/>
          <w:sz w:val="24"/>
          <w:szCs w:val="24"/>
          <w:vertAlign w:val="superscript"/>
        </w:rPr>
        <w:footnoteReference w:id="1259"/>
      </w:r>
      <w:r w:rsidRPr="00F06201">
        <w:rPr>
          <w:rFonts w:ascii="Times New Roman" w:hAnsi="Times New Roman" w:cs="Times New Roman"/>
          <w:sz w:val="24"/>
          <w:szCs w:val="24"/>
        </w:rPr>
        <w:t xml:space="preserve"> Amid the growing concerns in St. Louis, President Grant was forced to comment that “McDonald had been a friend of his, and had grievously betrayed, not only that friendship, but the public” through his actions, and on May 22, he accepted McDonald’s resignation.</w:t>
      </w:r>
      <w:r w:rsidRPr="00F06201">
        <w:rPr>
          <w:rFonts w:ascii="Times New Roman" w:hAnsi="Times New Roman" w:cs="Times New Roman"/>
          <w:sz w:val="24"/>
          <w:szCs w:val="24"/>
          <w:vertAlign w:val="superscript"/>
        </w:rPr>
        <w:footnoteReference w:id="1260"/>
      </w:r>
    </w:p>
    <w:p w14:paraId="416F8DC0" w14:textId="77777777"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On June 14, 1875, newly-appointed District Attorney David Dyer informed Benjamin Bristow that a grand jury indicted five men, including McDonald and Joyce, for their roles in the Whiskey Ring.</w:t>
      </w:r>
      <w:r w:rsidRPr="00F06201">
        <w:rPr>
          <w:rFonts w:ascii="Times New Roman" w:hAnsi="Times New Roman" w:cs="Times New Roman"/>
          <w:sz w:val="24"/>
          <w:szCs w:val="24"/>
          <w:vertAlign w:val="superscript"/>
        </w:rPr>
        <w:footnoteReference w:id="1261"/>
      </w:r>
      <w:r w:rsidRPr="00F06201">
        <w:rPr>
          <w:rFonts w:ascii="Times New Roman" w:hAnsi="Times New Roman" w:cs="Times New Roman"/>
          <w:sz w:val="24"/>
          <w:szCs w:val="24"/>
        </w:rPr>
        <w:t xml:space="preserve"> Dyer was determined to uncover each individual associated with the Whiskey </w:t>
      </w:r>
      <w:r w:rsidRPr="00F06201">
        <w:rPr>
          <w:rFonts w:ascii="Times New Roman" w:hAnsi="Times New Roman" w:cs="Times New Roman"/>
          <w:sz w:val="24"/>
          <w:szCs w:val="24"/>
        </w:rPr>
        <w:lastRenderedPageBreak/>
        <w:t>Ring, assuring Bristow that he would “have the whole gang before they adjourn.”</w:t>
      </w:r>
      <w:r w:rsidRPr="00F06201">
        <w:rPr>
          <w:rFonts w:ascii="Times New Roman" w:hAnsi="Times New Roman" w:cs="Times New Roman"/>
          <w:sz w:val="24"/>
          <w:szCs w:val="24"/>
          <w:vertAlign w:val="superscript"/>
        </w:rPr>
        <w:footnoteReference w:id="1262"/>
      </w:r>
      <w:r w:rsidRPr="00F06201">
        <w:rPr>
          <w:rFonts w:ascii="Times New Roman" w:hAnsi="Times New Roman" w:cs="Times New Roman"/>
          <w:sz w:val="24"/>
          <w:szCs w:val="24"/>
        </w:rPr>
        <w:t xml:space="preserve"> McDonald was released after posting a $5,000 bail, but his situation looked dire.</w:t>
      </w:r>
      <w:r w:rsidRPr="00F06201">
        <w:rPr>
          <w:rFonts w:ascii="Times New Roman" w:hAnsi="Times New Roman" w:cs="Times New Roman"/>
          <w:sz w:val="24"/>
          <w:szCs w:val="24"/>
          <w:vertAlign w:val="superscript"/>
        </w:rPr>
        <w:footnoteReference w:id="1263"/>
      </w:r>
      <w:r w:rsidRPr="00F06201">
        <w:rPr>
          <w:rFonts w:ascii="Times New Roman" w:hAnsi="Times New Roman" w:cs="Times New Roman"/>
          <w:sz w:val="24"/>
          <w:szCs w:val="24"/>
        </w:rPr>
        <w:t xml:space="preserve"> He did not let this situation get the best of him, though. Amid Dyer’s continued investigations and presentations of information before the grand jury, McDonald took Joyce on a vacation to his estate, Sunnyside, in Wisconsin.</w:t>
      </w:r>
      <w:r w:rsidRPr="00F06201">
        <w:rPr>
          <w:rFonts w:ascii="Times New Roman" w:hAnsi="Times New Roman" w:cs="Times New Roman"/>
          <w:sz w:val="24"/>
          <w:szCs w:val="24"/>
          <w:vertAlign w:val="superscript"/>
        </w:rPr>
        <w:footnoteReference w:id="1264"/>
      </w:r>
      <w:r w:rsidRPr="00F06201">
        <w:rPr>
          <w:rFonts w:ascii="Times New Roman" w:hAnsi="Times New Roman" w:cs="Times New Roman"/>
          <w:sz w:val="24"/>
          <w:szCs w:val="24"/>
        </w:rPr>
        <w:t xml:space="preserve"> Joyce later remarked “if the newspaper puritans knew how happy I was, and the real indifference I felt at their efforts to put me in prison, a hardware factory would not be sufficient to furnish files for their biting.”</w:t>
      </w:r>
      <w:r w:rsidRPr="00F06201">
        <w:rPr>
          <w:rFonts w:ascii="Times New Roman" w:hAnsi="Times New Roman" w:cs="Times New Roman"/>
          <w:sz w:val="24"/>
          <w:szCs w:val="24"/>
          <w:vertAlign w:val="superscript"/>
        </w:rPr>
        <w:footnoteReference w:id="1265"/>
      </w:r>
      <w:r w:rsidRPr="00F06201">
        <w:rPr>
          <w:rFonts w:ascii="Times New Roman" w:hAnsi="Times New Roman" w:cs="Times New Roman"/>
          <w:sz w:val="24"/>
          <w:szCs w:val="24"/>
        </w:rPr>
        <w:t xml:space="preserve"> These newspapermen did comment on Joyce and McDonald’s gallivant through Sunnyside, though they erred in asserting that Joyce served as “the brains, the energetic, active agent” of the Ring while McDonald was labeled “a nobody.”</w:t>
      </w:r>
      <w:r w:rsidRPr="00F06201">
        <w:rPr>
          <w:rFonts w:ascii="Times New Roman" w:hAnsi="Times New Roman" w:cs="Times New Roman"/>
          <w:sz w:val="24"/>
          <w:szCs w:val="24"/>
          <w:vertAlign w:val="superscript"/>
        </w:rPr>
        <w:footnoteReference w:id="1266"/>
      </w:r>
    </w:p>
    <w:p w14:paraId="6F9DDC08" w14:textId="44509BFE"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With key Ring members beginning to receive more attention in the press, other members began to worry about their futures with some afraid that the investigations would lead all the way up the </w:t>
      </w:r>
      <w:r w:rsidR="00665CCB">
        <w:rPr>
          <w:rFonts w:ascii="Times New Roman" w:hAnsi="Times New Roman" w:cs="Times New Roman"/>
          <w:sz w:val="24"/>
          <w:szCs w:val="24"/>
        </w:rPr>
        <w:t>hierarchy</w:t>
      </w:r>
      <w:r w:rsidRPr="00F06201">
        <w:rPr>
          <w:rFonts w:ascii="Times New Roman" w:hAnsi="Times New Roman" w:cs="Times New Roman"/>
          <w:sz w:val="24"/>
          <w:szCs w:val="24"/>
        </w:rPr>
        <w:t xml:space="preserve"> to Washington, reaching such accomplices as Orville Babcock. Babcock himself began to worry that McDonald might agree to a plea deal with Bristow and strategized to prevent McDonald from talking. Babcock could not communicate openly with McDonald during his indictment, so he arranged for the quartermaster in St. Louis, Major Edward Grimes, to oversee events in St. Louis in his stead.</w:t>
      </w:r>
      <w:r w:rsidRPr="00F06201">
        <w:rPr>
          <w:rFonts w:ascii="Times New Roman" w:hAnsi="Times New Roman" w:cs="Times New Roman"/>
          <w:sz w:val="24"/>
          <w:szCs w:val="24"/>
          <w:vertAlign w:val="superscript"/>
        </w:rPr>
        <w:footnoteReference w:id="1267"/>
      </w:r>
      <w:r w:rsidRPr="00F06201">
        <w:rPr>
          <w:rFonts w:ascii="Times New Roman" w:hAnsi="Times New Roman" w:cs="Times New Roman"/>
          <w:sz w:val="24"/>
          <w:szCs w:val="24"/>
        </w:rPr>
        <w:t xml:space="preserve"> Grimes served as an intermediary between Babcock and McDonald, and he was</w:t>
      </w:r>
      <w:r w:rsidR="00D75477">
        <w:rPr>
          <w:rFonts w:ascii="Times New Roman" w:hAnsi="Times New Roman" w:cs="Times New Roman"/>
          <w:sz w:val="24"/>
          <w:szCs w:val="24"/>
        </w:rPr>
        <w:t xml:space="preserve"> also</w:t>
      </w:r>
      <w:r w:rsidRPr="00F06201">
        <w:rPr>
          <w:rFonts w:ascii="Times New Roman" w:hAnsi="Times New Roman" w:cs="Times New Roman"/>
          <w:sz w:val="24"/>
          <w:szCs w:val="24"/>
        </w:rPr>
        <w:t xml:space="preserve"> charged with determining if Dyer’s investigation might extend beyond St. Louis to Washington.</w:t>
      </w:r>
      <w:r w:rsidRPr="00F06201">
        <w:rPr>
          <w:rFonts w:ascii="Times New Roman" w:hAnsi="Times New Roman" w:cs="Times New Roman"/>
          <w:sz w:val="24"/>
          <w:szCs w:val="24"/>
          <w:vertAlign w:val="superscript"/>
        </w:rPr>
        <w:footnoteReference w:id="1268"/>
      </w:r>
      <w:r w:rsidRPr="00F06201">
        <w:rPr>
          <w:rFonts w:ascii="Times New Roman" w:hAnsi="Times New Roman" w:cs="Times New Roman"/>
          <w:sz w:val="24"/>
          <w:szCs w:val="24"/>
        </w:rPr>
        <w:t xml:space="preserve"> Grimes met with both Dyer and McDonald, then reported back to Babcock that Dyer “would be governed by his instructions from Washington” and at that </w:t>
      </w:r>
      <w:r w:rsidRPr="00F06201">
        <w:rPr>
          <w:rFonts w:ascii="Times New Roman" w:hAnsi="Times New Roman" w:cs="Times New Roman"/>
          <w:sz w:val="24"/>
          <w:szCs w:val="24"/>
        </w:rPr>
        <w:lastRenderedPageBreak/>
        <w:t>point did not seem intent on looking beyond the Midwest.</w:t>
      </w:r>
      <w:r w:rsidRPr="00F06201">
        <w:rPr>
          <w:rFonts w:ascii="Times New Roman" w:hAnsi="Times New Roman" w:cs="Times New Roman"/>
          <w:sz w:val="24"/>
          <w:szCs w:val="24"/>
          <w:vertAlign w:val="superscript"/>
        </w:rPr>
        <w:footnoteReference w:id="1269"/>
      </w:r>
      <w:r w:rsidRPr="00F06201">
        <w:rPr>
          <w:rFonts w:ascii="Times New Roman" w:hAnsi="Times New Roman" w:cs="Times New Roman"/>
          <w:sz w:val="24"/>
          <w:szCs w:val="24"/>
        </w:rPr>
        <w:t xml:space="preserve"> Grimes mentioned that if any connection to Washington was uncovered, then it would be overlooked, and in a worst case scenario, any indictments would be withdrawn by the prosecution.</w:t>
      </w:r>
      <w:r w:rsidRPr="00F06201">
        <w:rPr>
          <w:rFonts w:ascii="Times New Roman" w:hAnsi="Times New Roman" w:cs="Times New Roman"/>
          <w:sz w:val="24"/>
          <w:szCs w:val="24"/>
          <w:vertAlign w:val="superscript"/>
        </w:rPr>
        <w:footnoteReference w:id="1270"/>
      </w:r>
      <w:r w:rsidRPr="00F06201">
        <w:rPr>
          <w:rFonts w:ascii="Times New Roman" w:hAnsi="Times New Roman" w:cs="Times New Roman"/>
          <w:sz w:val="24"/>
          <w:szCs w:val="24"/>
        </w:rPr>
        <w:t xml:space="preserve"> This worried Babcock, who knew Dyer to be an honest man, making Grimes’s report dubious.</w:t>
      </w:r>
      <w:r w:rsidRPr="00F06201">
        <w:rPr>
          <w:rFonts w:ascii="Times New Roman" w:hAnsi="Times New Roman" w:cs="Times New Roman"/>
          <w:sz w:val="24"/>
          <w:szCs w:val="24"/>
          <w:vertAlign w:val="superscript"/>
        </w:rPr>
        <w:footnoteReference w:id="1271"/>
      </w:r>
      <w:r w:rsidRPr="00F06201">
        <w:rPr>
          <w:rFonts w:ascii="Times New Roman" w:hAnsi="Times New Roman" w:cs="Times New Roman"/>
          <w:sz w:val="24"/>
          <w:szCs w:val="24"/>
        </w:rPr>
        <w:t xml:space="preserve"> Babcock tasked Grimes with questioning Dyer once again with more direct questions, and he returned with information that better aligned with Babcock’s assumptions: Dyer was determined to </w:t>
      </w:r>
      <w:r w:rsidR="0066486A">
        <w:rPr>
          <w:rFonts w:ascii="Times New Roman" w:hAnsi="Times New Roman" w:cs="Times New Roman"/>
          <w:sz w:val="24"/>
          <w:szCs w:val="24"/>
        </w:rPr>
        <w:t>expose and dismantle</w:t>
      </w:r>
      <w:r w:rsidRPr="00F06201">
        <w:rPr>
          <w:rFonts w:ascii="Times New Roman" w:hAnsi="Times New Roman" w:cs="Times New Roman"/>
          <w:sz w:val="24"/>
          <w:szCs w:val="24"/>
        </w:rPr>
        <w:t xml:space="preserve"> the Ring even if the charges went so high as the President.</w:t>
      </w:r>
      <w:r w:rsidRPr="00F06201">
        <w:rPr>
          <w:rFonts w:ascii="Times New Roman" w:hAnsi="Times New Roman" w:cs="Times New Roman"/>
          <w:sz w:val="24"/>
          <w:szCs w:val="24"/>
          <w:vertAlign w:val="superscript"/>
        </w:rPr>
        <w:footnoteReference w:id="1272"/>
      </w:r>
      <w:r w:rsidRPr="00F06201">
        <w:rPr>
          <w:rFonts w:ascii="Times New Roman" w:hAnsi="Times New Roman" w:cs="Times New Roman"/>
          <w:sz w:val="24"/>
          <w:szCs w:val="24"/>
        </w:rPr>
        <w:t xml:space="preserve"> He told McDonald that he had “done all I can with him” and that “if he persists in covering the entire White House with disgrace, my suggestion would be to have him dismissed.”</w:t>
      </w:r>
      <w:r w:rsidRPr="00F06201">
        <w:rPr>
          <w:rFonts w:ascii="Times New Roman" w:hAnsi="Times New Roman" w:cs="Times New Roman"/>
          <w:sz w:val="24"/>
          <w:szCs w:val="24"/>
          <w:vertAlign w:val="superscript"/>
        </w:rPr>
        <w:footnoteReference w:id="1273"/>
      </w:r>
    </w:p>
    <w:p w14:paraId="160F2495" w14:textId="2E78865F"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During pretrial investigations, Dyer continued to uncover pieces of evidence that tied specific individuals indelibly to the Whiskey Ring. Dyer discovered a gauger who swore he knew a man named Conduce Megrue who once collected money for the Ring, and he subsequently indicted Megrue, seeking his return to St. Louis.</w:t>
      </w:r>
      <w:r w:rsidRPr="00F06201">
        <w:rPr>
          <w:rFonts w:ascii="Times New Roman" w:hAnsi="Times New Roman" w:cs="Times New Roman"/>
          <w:sz w:val="24"/>
          <w:szCs w:val="24"/>
          <w:vertAlign w:val="superscript"/>
        </w:rPr>
        <w:footnoteReference w:id="1274"/>
      </w:r>
      <w:r w:rsidRPr="00F06201">
        <w:rPr>
          <w:rFonts w:ascii="Times New Roman" w:hAnsi="Times New Roman" w:cs="Times New Roman"/>
          <w:sz w:val="24"/>
          <w:szCs w:val="24"/>
        </w:rPr>
        <w:t xml:space="preserve"> </w:t>
      </w:r>
      <w:r w:rsidR="00F6550D">
        <w:rPr>
          <w:rFonts w:ascii="Times New Roman" w:hAnsi="Times New Roman" w:cs="Times New Roman"/>
          <w:sz w:val="24"/>
          <w:szCs w:val="24"/>
        </w:rPr>
        <w:t>Prior to appearing</w:t>
      </w:r>
      <w:r w:rsidR="00217A5B">
        <w:rPr>
          <w:rFonts w:ascii="Times New Roman" w:hAnsi="Times New Roman" w:cs="Times New Roman"/>
          <w:sz w:val="24"/>
          <w:szCs w:val="24"/>
        </w:rPr>
        <w:t xml:space="preserve"> </w:t>
      </w:r>
      <w:r w:rsidRPr="00F06201">
        <w:rPr>
          <w:rFonts w:ascii="Times New Roman" w:hAnsi="Times New Roman" w:cs="Times New Roman"/>
          <w:sz w:val="24"/>
          <w:szCs w:val="24"/>
        </w:rPr>
        <w:t>before the grand jury, Megrue made a deal with Dyer to implicate McDonald, Joyce, Ford, and McKee in his testimony.</w:t>
      </w:r>
      <w:r w:rsidRPr="00F06201">
        <w:rPr>
          <w:rFonts w:ascii="Times New Roman" w:hAnsi="Times New Roman" w:cs="Times New Roman"/>
          <w:sz w:val="24"/>
          <w:szCs w:val="24"/>
          <w:vertAlign w:val="superscript"/>
        </w:rPr>
        <w:footnoteReference w:id="1275"/>
      </w:r>
      <w:r w:rsidRPr="00F06201">
        <w:rPr>
          <w:rFonts w:ascii="Times New Roman" w:hAnsi="Times New Roman" w:cs="Times New Roman"/>
          <w:sz w:val="24"/>
          <w:szCs w:val="24"/>
        </w:rPr>
        <w:t xml:space="preserve"> Dyer also made deals with two of the distillers to implicate William Avery as an accomplice.</w:t>
      </w:r>
      <w:r w:rsidRPr="00F06201">
        <w:rPr>
          <w:rFonts w:ascii="Times New Roman" w:hAnsi="Times New Roman" w:cs="Times New Roman"/>
          <w:sz w:val="24"/>
          <w:szCs w:val="24"/>
          <w:vertAlign w:val="superscript"/>
        </w:rPr>
        <w:footnoteReference w:id="1276"/>
      </w:r>
      <w:r w:rsidRPr="00F06201">
        <w:rPr>
          <w:rFonts w:ascii="Times New Roman" w:hAnsi="Times New Roman" w:cs="Times New Roman"/>
          <w:sz w:val="24"/>
          <w:szCs w:val="24"/>
        </w:rPr>
        <w:t xml:space="preserve"> By making these deals, Dyer uncovered some of the most </w:t>
      </w:r>
      <w:r w:rsidR="00920D8A">
        <w:rPr>
          <w:rFonts w:ascii="Times New Roman" w:hAnsi="Times New Roman" w:cs="Times New Roman"/>
          <w:sz w:val="24"/>
          <w:szCs w:val="24"/>
        </w:rPr>
        <w:t>damning</w:t>
      </w:r>
      <w:r w:rsidRPr="00F06201">
        <w:rPr>
          <w:rFonts w:ascii="Times New Roman" w:hAnsi="Times New Roman" w:cs="Times New Roman"/>
          <w:sz w:val="24"/>
          <w:szCs w:val="24"/>
        </w:rPr>
        <w:t xml:space="preserve"> evidence in his quest to bring the Ring to justice.</w:t>
      </w:r>
    </w:p>
    <w:p w14:paraId="5DFB1D67" w14:textId="4CDC496F"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 xml:space="preserve">In preparation for his defense, McDonald hired attorney Chester Krum to maintain the protections of a well-reputed lawyer. Krum was a former U.S. </w:t>
      </w:r>
      <w:r w:rsidR="001B335A">
        <w:rPr>
          <w:rFonts w:ascii="Times New Roman" w:hAnsi="Times New Roman" w:cs="Times New Roman"/>
          <w:sz w:val="24"/>
          <w:szCs w:val="24"/>
        </w:rPr>
        <w:t>A</w:t>
      </w:r>
      <w:r w:rsidRPr="00F06201">
        <w:rPr>
          <w:rFonts w:ascii="Times New Roman" w:hAnsi="Times New Roman" w:cs="Times New Roman"/>
          <w:sz w:val="24"/>
          <w:szCs w:val="24"/>
        </w:rPr>
        <w:t xml:space="preserve">ttorney for the district at the </w:t>
      </w:r>
      <w:r w:rsidRPr="00F06201">
        <w:rPr>
          <w:rFonts w:ascii="Times New Roman" w:hAnsi="Times New Roman" w:cs="Times New Roman"/>
          <w:sz w:val="24"/>
          <w:szCs w:val="24"/>
        </w:rPr>
        <w:lastRenderedPageBreak/>
        <w:t>outset of the Ring’s operations under McDonald who resigned in Fall 1872 to run for circuit judge.</w:t>
      </w:r>
      <w:r w:rsidRPr="00F06201">
        <w:rPr>
          <w:rFonts w:ascii="Times New Roman" w:hAnsi="Times New Roman" w:cs="Times New Roman"/>
          <w:sz w:val="24"/>
          <w:szCs w:val="24"/>
          <w:vertAlign w:val="superscript"/>
        </w:rPr>
        <w:footnoteReference w:id="1277"/>
      </w:r>
      <w:r w:rsidRPr="00F06201">
        <w:rPr>
          <w:rFonts w:ascii="Times New Roman" w:hAnsi="Times New Roman" w:cs="Times New Roman"/>
          <w:sz w:val="24"/>
          <w:szCs w:val="24"/>
        </w:rPr>
        <w:t xml:space="preserve"> Krum was an enemy turned ally of McDonald, as he initially opposed his placement in St. Louis but reconsidered his statements and joined the August 1872 letter-writing campaign to ensure the extension of McDonald’s tenure as </w:t>
      </w:r>
      <w:r w:rsidR="001B335A">
        <w:rPr>
          <w:rFonts w:ascii="Times New Roman" w:hAnsi="Times New Roman" w:cs="Times New Roman"/>
          <w:sz w:val="24"/>
          <w:szCs w:val="24"/>
        </w:rPr>
        <w:t>Internal Revenue S</w:t>
      </w:r>
      <w:r w:rsidRPr="00F06201">
        <w:rPr>
          <w:rFonts w:ascii="Times New Roman" w:hAnsi="Times New Roman" w:cs="Times New Roman"/>
          <w:sz w:val="24"/>
          <w:szCs w:val="24"/>
        </w:rPr>
        <w:t>upervisor due to his prominent connections in the Republican Party.</w:t>
      </w:r>
      <w:r w:rsidRPr="00F06201">
        <w:rPr>
          <w:rFonts w:ascii="Times New Roman" w:hAnsi="Times New Roman" w:cs="Times New Roman"/>
          <w:sz w:val="24"/>
          <w:szCs w:val="24"/>
          <w:vertAlign w:val="superscript"/>
        </w:rPr>
        <w:footnoteReference w:id="1278"/>
      </w:r>
      <w:r w:rsidRPr="00F06201">
        <w:rPr>
          <w:rFonts w:ascii="Times New Roman" w:hAnsi="Times New Roman" w:cs="Times New Roman"/>
          <w:sz w:val="24"/>
          <w:szCs w:val="24"/>
        </w:rPr>
        <w:t xml:space="preserve"> This change of heart is likely attributed to a $600 campaign contribution from McDonald in Krum’s attempt at a judgeship, which he won.</w:t>
      </w:r>
      <w:r w:rsidRPr="00F06201">
        <w:rPr>
          <w:rFonts w:ascii="Times New Roman" w:hAnsi="Times New Roman" w:cs="Times New Roman"/>
          <w:sz w:val="24"/>
          <w:szCs w:val="24"/>
          <w:vertAlign w:val="superscript"/>
        </w:rPr>
        <w:footnoteReference w:id="1279"/>
      </w:r>
      <w:r w:rsidRPr="00F06201">
        <w:rPr>
          <w:rFonts w:ascii="Times New Roman" w:hAnsi="Times New Roman" w:cs="Times New Roman"/>
          <w:sz w:val="24"/>
          <w:szCs w:val="24"/>
        </w:rPr>
        <w:t xml:space="preserve"> McDonald made it clear that this money was from the Whiskey Ring, and upon McDonald’s indictment Krum resigned so he could defend the Ring rather than prosecute it.</w:t>
      </w:r>
      <w:r w:rsidRPr="00F06201">
        <w:rPr>
          <w:rFonts w:ascii="Times New Roman" w:hAnsi="Times New Roman" w:cs="Times New Roman"/>
          <w:sz w:val="24"/>
          <w:szCs w:val="24"/>
          <w:vertAlign w:val="superscript"/>
        </w:rPr>
        <w:footnoteReference w:id="1280"/>
      </w:r>
      <w:r w:rsidRPr="00F06201">
        <w:rPr>
          <w:rFonts w:ascii="Times New Roman" w:hAnsi="Times New Roman" w:cs="Times New Roman"/>
          <w:sz w:val="24"/>
          <w:szCs w:val="24"/>
        </w:rPr>
        <w:t xml:space="preserve"> Krum proved to be a valuable asset in McDonald’s </w:t>
      </w:r>
      <w:r w:rsidR="00CB7697">
        <w:rPr>
          <w:rFonts w:ascii="Times New Roman" w:hAnsi="Times New Roman" w:cs="Times New Roman"/>
          <w:sz w:val="24"/>
          <w:szCs w:val="24"/>
        </w:rPr>
        <w:t>quest</w:t>
      </w:r>
      <w:r w:rsidRPr="00F06201">
        <w:rPr>
          <w:rFonts w:ascii="Times New Roman" w:hAnsi="Times New Roman" w:cs="Times New Roman"/>
          <w:sz w:val="24"/>
          <w:szCs w:val="24"/>
        </w:rPr>
        <w:t xml:space="preserve"> to avoid jail time, though McDonald did not always heed his lawyer’s advice.</w:t>
      </w:r>
    </w:p>
    <w:p w14:paraId="05A3D7E1" w14:textId="2AB1160D"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Babcock</w:t>
      </w:r>
      <w:r w:rsidR="00197776">
        <w:rPr>
          <w:rFonts w:ascii="Times New Roman" w:hAnsi="Times New Roman" w:cs="Times New Roman"/>
          <w:sz w:val="24"/>
          <w:szCs w:val="24"/>
        </w:rPr>
        <w:t xml:space="preserve"> soon</w:t>
      </w:r>
      <w:r w:rsidRPr="00F06201">
        <w:rPr>
          <w:rFonts w:ascii="Times New Roman" w:hAnsi="Times New Roman" w:cs="Times New Roman"/>
          <w:sz w:val="24"/>
          <w:szCs w:val="24"/>
        </w:rPr>
        <w:t xml:space="preserve"> began to worry about being uncovered as a member of the Whiskey Ring. He wrote to McDonald, afraid his cohort would make a deal with Dyer to turn him in, assuring him that he was “not aware that I have ever received anything but kindness at the hands of you or Joyce.”</w:t>
      </w:r>
      <w:r w:rsidRPr="00F06201">
        <w:rPr>
          <w:rFonts w:ascii="Times New Roman" w:hAnsi="Times New Roman" w:cs="Times New Roman"/>
          <w:sz w:val="24"/>
          <w:szCs w:val="24"/>
          <w:vertAlign w:val="superscript"/>
        </w:rPr>
        <w:footnoteReference w:id="1281"/>
      </w:r>
      <w:r w:rsidRPr="00F06201">
        <w:rPr>
          <w:rFonts w:ascii="Times New Roman" w:hAnsi="Times New Roman" w:cs="Times New Roman"/>
          <w:sz w:val="24"/>
          <w:szCs w:val="24"/>
        </w:rPr>
        <w:t xml:space="preserve"> He also wrote to Avery, who was concerned about his involvement being uncovered via the distillers’ testimony.</w:t>
      </w:r>
      <w:r w:rsidRPr="00F06201">
        <w:rPr>
          <w:rFonts w:ascii="Times New Roman" w:hAnsi="Times New Roman" w:cs="Times New Roman"/>
          <w:sz w:val="24"/>
          <w:szCs w:val="24"/>
          <w:vertAlign w:val="superscript"/>
        </w:rPr>
        <w:footnoteReference w:id="1282"/>
      </w:r>
      <w:r w:rsidRPr="00F06201">
        <w:rPr>
          <w:rFonts w:ascii="Times New Roman" w:hAnsi="Times New Roman" w:cs="Times New Roman"/>
          <w:sz w:val="24"/>
          <w:szCs w:val="24"/>
        </w:rPr>
        <w:t xml:space="preserve"> He </w:t>
      </w:r>
      <w:r w:rsidR="00197776">
        <w:rPr>
          <w:rFonts w:ascii="Times New Roman" w:hAnsi="Times New Roman" w:cs="Times New Roman"/>
          <w:sz w:val="24"/>
          <w:szCs w:val="24"/>
        </w:rPr>
        <w:t xml:space="preserve">incorrectly </w:t>
      </w:r>
      <w:r w:rsidRPr="00F06201">
        <w:rPr>
          <w:rFonts w:ascii="Times New Roman" w:hAnsi="Times New Roman" w:cs="Times New Roman"/>
          <w:sz w:val="24"/>
          <w:szCs w:val="24"/>
        </w:rPr>
        <w:t>informed Avery that the distillers would not be allowed to turn state’s evidence while asking Avery to find out if they would be called as witnesses.</w:t>
      </w:r>
      <w:r w:rsidRPr="00F06201">
        <w:rPr>
          <w:rFonts w:ascii="Times New Roman" w:hAnsi="Times New Roman" w:cs="Times New Roman"/>
          <w:sz w:val="24"/>
          <w:szCs w:val="24"/>
          <w:vertAlign w:val="superscript"/>
        </w:rPr>
        <w:footnoteReference w:id="1283"/>
      </w:r>
      <w:r w:rsidRPr="00F06201">
        <w:rPr>
          <w:rFonts w:ascii="Times New Roman" w:hAnsi="Times New Roman" w:cs="Times New Roman"/>
          <w:sz w:val="24"/>
          <w:szCs w:val="24"/>
        </w:rPr>
        <w:t xml:space="preserve"> He also told him that he had a middleman in St. Louis through whom Avery should communicate with McDonald should </w:t>
      </w:r>
      <w:r w:rsidR="00197776">
        <w:rPr>
          <w:rFonts w:ascii="Times New Roman" w:hAnsi="Times New Roman" w:cs="Times New Roman"/>
          <w:sz w:val="24"/>
          <w:szCs w:val="24"/>
        </w:rPr>
        <w:t>t</w:t>
      </w:r>
      <w:r w:rsidRPr="00F06201">
        <w:rPr>
          <w:rFonts w:ascii="Times New Roman" w:hAnsi="Times New Roman" w:cs="Times New Roman"/>
          <w:sz w:val="24"/>
          <w:szCs w:val="24"/>
        </w:rPr>
        <w:t>he need</w:t>
      </w:r>
      <w:r w:rsidR="00197776">
        <w:rPr>
          <w:rFonts w:ascii="Times New Roman" w:hAnsi="Times New Roman" w:cs="Times New Roman"/>
          <w:sz w:val="24"/>
          <w:szCs w:val="24"/>
        </w:rPr>
        <w:t xml:space="preserve"> arise</w:t>
      </w:r>
      <w:r w:rsidRPr="00F06201">
        <w:rPr>
          <w:rFonts w:ascii="Times New Roman" w:hAnsi="Times New Roman" w:cs="Times New Roman"/>
          <w:sz w:val="24"/>
          <w:szCs w:val="24"/>
        </w:rPr>
        <w:t>.</w:t>
      </w:r>
      <w:r w:rsidRPr="00F06201">
        <w:rPr>
          <w:rFonts w:ascii="Times New Roman" w:hAnsi="Times New Roman" w:cs="Times New Roman"/>
          <w:sz w:val="24"/>
          <w:szCs w:val="24"/>
          <w:vertAlign w:val="superscript"/>
        </w:rPr>
        <w:footnoteReference w:id="1284"/>
      </w:r>
      <w:r w:rsidRPr="00F06201">
        <w:rPr>
          <w:rFonts w:ascii="Times New Roman" w:hAnsi="Times New Roman" w:cs="Times New Roman"/>
          <w:sz w:val="24"/>
          <w:szCs w:val="24"/>
        </w:rPr>
        <w:t xml:space="preserve"> As the days passed, Babcock </w:t>
      </w:r>
      <w:r w:rsidRPr="00F06201">
        <w:rPr>
          <w:rFonts w:ascii="Times New Roman" w:hAnsi="Times New Roman" w:cs="Times New Roman"/>
          <w:sz w:val="24"/>
          <w:szCs w:val="24"/>
        </w:rPr>
        <w:lastRenderedPageBreak/>
        <w:t>grew more worried about McDonald due to silence between the two, and he spoke with President Grant about potentially meeting with McDonald on their upcoming visit to St. Louis.</w:t>
      </w:r>
      <w:r w:rsidRPr="00F06201">
        <w:rPr>
          <w:rFonts w:ascii="Times New Roman" w:hAnsi="Times New Roman" w:cs="Times New Roman"/>
          <w:sz w:val="24"/>
          <w:szCs w:val="24"/>
          <w:vertAlign w:val="superscript"/>
        </w:rPr>
        <w:footnoteReference w:id="1285"/>
      </w:r>
    </w:p>
    <w:p w14:paraId="799D95F2" w14:textId="7B32783C"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Babcock journeyed to St. Louis with President Grant in late September 1875 for a preplanned stop in a national tour. Upon his arrival, Babcock messaged McDonald to meet him at a nearby restaurant, ensuring that he was not followed en route.</w:t>
      </w:r>
      <w:r w:rsidRPr="00F06201">
        <w:rPr>
          <w:rFonts w:ascii="Times New Roman" w:hAnsi="Times New Roman" w:cs="Times New Roman"/>
          <w:sz w:val="24"/>
          <w:szCs w:val="24"/>
          <w:vertAlign w:val="superscript"/>
        </w:rPr>
        <w:footnoteReference w:id="1286"/>
      </w:r>
      <w:r w:rsidRPr="00F06201">
        <w:rPr>
          <w:rFonts w:ascii="Times New Roman" w:hAnsi="Times New Roman" w:cs="Times New Roman"/>
          <w:sz w:val="24"/>
          <w:szCs w:val="24"/>
        </w:rPr>
        <w:t xml:space="preserve"> He was wise to encourage these precautions, as on the same day that Grant’s party arrived in St. Louis, Dyer’s assistant was given a letter from Solicitor Bluford Wilson instructing him to place McDonald and Joyce “under strict surveillance for the next ten days or two weeks” for fear they might flee the country.</w:t>
      </w:r>
      <w:r w:rsidRPr="00F06201">
        <w:rPr>
          <w:rFonts w:ascii="Times New Roman" w:hAnsi="Times New Roman" w:cs="Times New Roman"/>
          <w:sz w:val="24"/>
          <w:szCs w:val="24"/>
          <w:vertAlign w:val="superscript"/>
        </w:rPr>
        <w:footnoteReference w:id="1287"/>
      </w:r>
      <w:r w:rsidRPr="00F06201">
        <w:rPr>
          <w:rFonts w:ascii="Times New Roman" w:hAnsi="Times New Roman" w:cs="Times New Roman"/>
          <w:sz w:val="24"/>
          <w:szCs w:val="24"/>
        </w:rPr>
        <w:t xml:space="preserve"> At their meeting, Babcock ensured McDonald that he was on his side, but that McDonald must suggest that President Grant fire Bristow, Wilson, </w:t>
      </w:r>
      <w:r w:rsidR="00E5071E">
        <w:rPr>
          <w:rFonts w:ascii="Times New Roman" w:hAnsi="Times New Roman" w:cs="Times New Roman"/>
          <w:sz w:val="24"/>
          <w:szCs w:val="24"/>
        </w:rPr>
        <w:t>and Dyer</w:t>
      </w:r>
      <w:r w:rsidRPr="00F06201">
        <w:rPr>
          <w:rFonts w:ascii="Times New Roman" w:hAnsi="Times New Roman" w:cs="Times New Roman"/>
          <w:sz w:val="24"/>
          <w:szCs w:val="24"/>
        </w:rPr>
        <w:t>.</w:t>
      </w:r>
      <w:r w:rsidRPr="00F06201">
        <w:rPr>
          <w:rFonts w:ascii="Times New Roman" w:hAnsi="Times New Roman" w:cs="Times New Roman"/>
          <w:sz w:val="24"/>
          <w:szCs w:val="24"/>
          <w:vertAlign w:val="superscript"/>
        </w:rPr>
        <w:footnoteReference w:id="1288"/>
      </w:r>
      <w:r w:rsidRPr="00F06201">
        <w:rPr>
          <w:rFonts w:ascii="Times New Roman" w:hAnsi="Times New Roman" w:cs="Times New Roman"/>
          <w:sz w:val="24"/>
          <w:szCs w:val="24"/>
        </w:rPr>
        <w:t xml:space="preserve"> McDonald, aware of the detectives assigned to follow him and Joyce, made an effort to inconspicuously bump into President Grant in a public room of the hotel in which the President was staying, while Babcock served as an intermediary between the two, and the brief meeting went off without a hitch.</w:t>
      </w:r>
      <w:r w:rsidRPr="00F06201">
        <w:rPr>
          <w:rFonts w:ascii="Times New Roman" w:hAnsi="Times New Roman" w:cs="Times New Roman"/>
          <w:sz w:val="24"/>
          <w:szCs w:val="24"/>
          <w:vertAlign w:val="superscript"/>
        </w:rPr>
        <w:footnoteReference w:id="1289"/>
      </w:r>
    </w:p>
    <w:p w14:paraId="2D8E627F" w14:textId="1A9FDFEF"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 xml:space="preserve">Here Babcock takes on a particularly important role in the story of the Whiskey Ring. Babcock was known as the mouthpiece of the president, so McDonald trusted him, to an extent, that the words he relayed on behalf of the president were truly </w:t>
      </w:r>
      <w:r w:rsidR="00D82123">
        <w:rPr>
          <w:rFonts w:ascii="Times New Roman" w:hAnsi="Times New Roman" w:cs="Times New Roman"/>
          <w:sz w:val="24"/>
          <w:szCs w:val="24"/>
        </w:rPr>
        <w:t>the president’s</w:t>
      </w:r>
      <w:r w:rsidRPr="00F06201">
        <w:rPr>
          <w:rFonts w:ascii="Times New Roman" w:hAnsi="Times New Roman" w:cs="Times New Roman"/>
          <w:sz w:val="24"/>
          <w:szCs w:val="24"/>
        </w:rPr>
        <w:t xml:space="preserve">. However, to this point Babcock handled nearly everything between Washington and McDonald, and President Grant had no knowledge of the work McDonald was doing behind the scenes allegedly for Grant’s benefit. Babcock presented information to McDonald that Grant hoped McDonald could </w:t>
      </w:r>
      <w:r w:rsidRPr="00F06201">
        <w:rPr>
          <w:rFonts w:ascii="Times New Roman" w:hAnsi="Times New Roman" w:cs="Times New Roman"/>
          <w:sz w:val="24"/>
          <w:szCs w:val="24"/>
        </w:rPr>
        <w:lastRenderedPageBreak/>
        <w:t>dig up some evidence that would allow him to have Bristow, Wilson, and Dyer removed from their posts. He also informed his coconspirator that the president assured him if a jury were to convict, a pardon would be issued the very moment a verdict was announced.</w:t>
      </w:r>
      <w:r w:rsidRPr="00F06201">
        <w:rPr>
          <w:rFonts w:ascii="Times New Roman" w:hAnsi="Times New Roman" w:cs="Times New Roman"/>
          <w:sz w:val="24"/>
          <w:szCs w:val="24"/>
          <w:vertAlign w:val="superscript"/>
        </w:rPr>
        <w:footnoteReference w:id="1290"/>
      </w:r>
      <w:r w:rsidRPr="00F06201">
        <w:rPr>
          <w:rFonts w:ascii="Times New Roman" w:hAnsi="Times New Roman" w:cs="Times New Roman"/>
          <w:sz w:val="24"/>
          <w:szCs w:val="24"/>
        </w:rPr>
        <w:t xml:space="preserve"> Yet the evidence shows that this was not something Grant ever suggested but was entirely the creation of Babcock in an effort to conceal his misdeeds.</w:t>
      </w:r>
      <w:r w:rsidRPr="00F06201">
        <w:rPr>
          <w:rFonts w:ascii="Times New Roman" w:hAnsi="Times New Roman" w:cs="Times New Roman"/>
          <w:sz w:val="24"/>
          <w:szCs w:val="24"/>
          <w:vertAlign w:val="superscript"/>
        </w:rPr>
        <w:footnoteReference w:id="1291"/>
      </w:r>
      <w:r w:rsidRPr="00F06201">
        <w:rPr>
          <w:rFonts w:ascii="Times New Roman" w:hAnsi="Times New Roman" w:cs="Times New Roman"/>
          <w:sz w:val="24"/>
          <w:szCs w:val="24"/>
        </w:rPr>
        <w:t xml:space="preserve"> This worked, as McDonald informed Babcock that the only way he would allow a trial to happen without making a deal with the investigators was the expectation of a pardon.</w:t>
      </w:r>
      <w:r w:rsidRPr="00F06201">
        <w:rPr>
          <w:rFonts w:ascii="Times New Roman" w:hAnsi="Times New Roman" w:cs="Times New Roman"/>
          <w:sz w:val="24"/>
          <w:szCs w:val="24"/>
          <w:vertAlign w:val="superscript"/>
        </w:rPr>
        <w:footnoteReference w:id="1292"/>
      </w:r>
      <w:r w:rsidRPr="00F06201">
        <w:rPr>
          <w:rFonts w:ascii="Times New Roman" w:hAnsi="Times New Roman" w:cs="Times New Roman"/>
          <w:sz w:val="24"/>
          <w:szCs w:val="24"/>
        </w:rPr>
        <w:t xml:space="preserve"> Babcock’s efforts prove that he was a step ahead of McDonald in the </w:t>
      </w:r>
      <w:r w:rsidR="0005096F">
        <w:rPr>
          <w:rFonts w:ascii="Times New Roman" w:hAnsi="Times New Roman" w:cs="Times New Roman"/>
          <w:sz w:val="24"/>
          <w:szCs w:val="24"/>
        </w:rPr>
        <w:t>dynamic runaround</w:t>
      </w:r>
      <w:r w:rsidRPr="00F06201">
        <w:rPr>
          <w:rFonts w:ascii="Times New Roman" w:hAnsi="Times New Roman" w:cs="Times New Roman"/>
          <w:sz w:val="24"/>
          <w:szCs w:val="24"/>
        </w:rPr>
        <w:t xml:space="preserve"> of the Whiskey Ring.</w:t>
      </w:r>
    </w:p>
    <w:p w14:paraId="4A656619"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McDonald, perhaps proving there was no honor amongst thieves, was hesitant to outright trust Babcock’s words, and as such he began to prepare a counternarrative for the investigation. McDonald, either by his own hand or through a subordinate, stole Wilson’s letter ordering surveillance of the Ring.</w:t>
      </w:r>
      <w:r w:rsidRPr="00F06201">
        <w:rPr>
          <w:rFonts w:ascii="Times New Roman" w:hAnsi="Times New Roman" w:cs="Times New Roman"/>
          <w:sz w:val="24"/>
          <w:szCs w:val="24"/>
          <w:vertAlign w:val="superscript"/>
        </w:rPr>
        <w:footnoteReference w:id="1293"/>
      </w:r>
      <w:r w:rsidRPr="00F06201">
        <w:rPr>
          <w:rFonts w:ascii="Times New Roman" w:hAnsi="Times New Roman" w:cs="Times New Roman"/>
          <w:sz w:val="24"/>
          <w:szCs w:val="24"/>
        </w:rPr>
        <w:t xml:space="preserve"> He then took that letter and amended a critical line; in a section stating “You should neglect no fair precaution to reach the very bottom or top of the conspiracy,” McDonald added the letters “W.H.” after the word “top,” suggesting an investigation into the White House was warranted.</w:t>
      </w:r>
      <w:r w:rsidRPr="00F06201">
        <w:rPr>
          <w:rFonts w:ascii="Times New Roman" w:hAnsi="Times New Roman" w:cs="Times New Roman"/>
          <w:sz w:val="24"/>
          <w:szCs w:val="24"/>
          <w:vertAlign w:val="superscript"/>
        </w:rPr>
        <w:footnoteReference w:id="1294"/>
      </w:r>
      <w:r w:rsidRPr="00F06201">
        <w:rPr>
          <w:rFonts w:ascii="Times New Roman" w:hAnsi="Times New Roman" w:cs="Times New Roman"/>
          <w:sz w:val="24"/>
          <w:szCs w:val="24"/>
        </w:rPr>
        <w:t xml:space="preserve"> He then presented the letter to Babcock to implicate the investigators in going beyond the scope of their inquiry, hopefully convincing Grant that Bristow et al were after him, providing the needed pretext for their removal.</w:t>
      </w:r>
      <w:r w:rsidRPr="00F06201">
        <w:rPr>
          <w:rFonts w:ascii="Times New Roman" w:hAnsi="Times New Roman" w:cs="Times New Roman"/>
          <w:sz w:val="24"/>
          <w:szCs w:val="24"/>
          <w:vertAlign w:val="superscript"/>
        </w:rPr>
        <w:footnoteReference w:id="1295"/>
      </w:r>
      <w:r w:rsidRPr="00F06201">
        <w:rPr>
          <w:rFonts w:ascii="Times New Roman" w:hAnsi="Times New Roman" w:cs="Times New Roman"/>
          <w:sz w:val="24"/>
          <w:szCs w:val="24"/>
        </w:rPr>
        <w:t xml:space="preserve"> Babcock presented both Bristow and Pierrepont with this forged evidence, which was quickly discredited as a fake.</w:t>
      </w:r>
      <w:r w:rsidRPr="00F06201">
        <w:rPr>
          <w:rFonts w:ascii="Times New Roman" w:hAnsi="Times New Roman" w:cs="Times New Roman"/>
          <w:sz w:val="24"/>
          <w:szCs w:val="24"/>
          <w:vertAlign w:val="superscript"/>
        </w:rPr>
        <w:footnoteReference w:id="1296"/>
      </w:r>
      <w:r w:rsidRPr="00F06201">
        <w:rPr>
          <w:rFonts w:ascii="Times New Roman" w:hAnsi="Times New Roman" w:cs="Times New Roman"/>
          <w:sz w:val="24"/>
          <w:szCs w:val="24"/>
        </w:rPr>
        <w:t xml:space="preserve"> Babcock, dissatisfied with how easily Pierrepont and Bristow saw through McDonald’s ruse, </w:t>
      </w:r>
      <w:r w:rsidRPr="00F06201">
        <w:rPr>
          <w:rFonts w:ascii="Times New Roman" w:hAnsi="Times New Roman" w:cs="Times New Roman"/>
          <w:sz w:val="24"/>
          <w:szCs w:val="24"/>
        </w:rPr>
        <w:lastRenderedPageBreak/>
        <w:t>involved his patron, President Grant, in matters concerning the investigation. He informed the president of Wilson’s letter that went after the commander in chief, and Grant responded by summoning Wilson, demanding an explanation of the letter.</w:t>
      </w:r>
      <w:r w:rsidRPr="00F06201">
        <w:rPr>
          <w:rFonts w:ascii="Times New Roman" w:hAnsi="Times New Roman" w:cs="Times New Roman"/>
          <w:sz w:val="24"/>
          <w:szCs w:val="24"/>
          <w:vertAlign w:val="superscript"/>
        </w:rPr>
        <w:footnoteReference w:id="1297"/>
      </w:r>
      <w:r w:rsidRPr="00F06201">
        <w:rPr>
          <w:rFonts w:ascii="Times New Roman" w:hAnsi="Times New Roman" w:cs="Times New Roman"/>
          <w:sz w:val="24"/>
          <w:szCs w:val="24"/>
        </w:rPr>
        <w:t xml:space="preserve"> He impressed upon Wilson that Babcock was his most trusted ally and that Dyer seemed to be among his greatest enemies before Wilson showed the president proof that this letter contained a forged “W.H.”</w:t>
      </w:r>
      <w:r w:rsidRPr="00F06201">
        <w:rPr>
          <w:rFonts w:ascii="Times New Roman" w:hAnsi="Times New Roman" w:cs="Times New Roman"/>
          <w:sz w:val="24"/>
          <w:szCs w:val="24"/>
          <w:vertAlign w:val="superscript"/>
        </w:rPr>
        <w:footnoteReference w:id="1298"/>
      </w:r>
      <w:r w:rsidRPr="00F06201">
        <w:rPr>
          <w:rFonts w:ascii="Times New Roman" w:hAnsi="Times New Roman" w:cs="Times New Roman"/>
          <w:sz w:val="24"/>
          <w:szCs w:val="24"/>
        </w:rPr>
        <w:t xml:space="preserve"> He insisted that even if the investigations reached the White House, the “top” referred to in the original letter referred to Babcock, not to the President.</w:t>
      </w:r>
      <w:r w:rsidRPr="00F06201">
        <w:rPr>
          <w:rFonts w:ascii="Times New Roman" w:hAnsi="Times New Roman" w:cs="Times New Roman"/>
          <w:sz w:val="24"/>
          <w:szCs w:val="24"/>
          <w:vertAlign w:val="superscript"/>
        </w:rPr>
        <w:footnoteReference w:id="1299"/>
      </w:r>
      <w:r w:rsidRPr="00F06201">
        <w:rPr>
          <w:rFonts w:ascii="Times New Roman" w:hAnsi="Times New Roman" w:cs="Times New Roman"/>
          <w:sz w:val="24"/>
          <w:szCs w:val="24"/>
        </w:rPr>
        <w:t xml:space="preserve"> Wilson stated later that the president was “entirely satisfied with my explanation,” clearly misreading Grant given the events to come.</w:t>
      </w:r>
      <w:r w:rsidRPr="00F06201">
        <w:rPr>
          <w:rFonts w:ascii="Times New Roman" w:hAnsi="Times New Roman" w:cs="Times New Roman"/>
          <w:sz w:val="24"/>
          <w:szCs w:val="24"/>
          <w:vertAlign w:val="superscript"/>
        </w:rPr>
        <w:footnoteReference w:id="1300"/>
      </w:r>
    </w:p>
    <w:p w14:paraId="2F0A9D42" w14:textId="3F53B6A1"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While this internal division was s</w:t>
      </w:r>
      <w:r w:rsidR="00777A0F">
        <w:rPr>
          <w:rFonts w:ascii="Times New Roman" w:hAnsi="Times New Roman" w:cs="Times New Roman"/>
          <w:sz w:val="24"/>
          <w:szCs w:val="24"/>
        </w:rPr>
        <w:t>o</w:t>
      </w:r>
      <w:r w:rsidRPr="00F06201">
        <w:rPr>
          <w:rFonts w:ascii="Times New Roman" w:hAnsi="Times New Roman" w:cs="Times New Roman"/>
          <w:sz w:val="24"/>
          <w:szCs w:val="24"/>
        </w:rPr>
        <w:t xml:space="preserve">wn in Washington, Joyce was forced to confront the upcoming trials against him, and he and his legal team began to </w:t>
      </w:r>
      <w:r w:rsidR="00777A0F">
        <w:rPr>
          <w:rFonts w:ascii="Times New Roman" w:hAnsi="Times New Roman" w:cs="Times New Roman"/>
          <w:sz w:val="24"/>
          <w:szCs w:val="24"/>
        </w:rPr>
        <w:t>reap</w:t>
      </w:r>
      <w:r w:rsidRPr="00F06201">
        <w:rPr>
          <w:rFonts w:ascii="Times New Roman" w:hAnsi="Times New Roman" w:cs="Times New Roman"/>
          <w:sz w:val="24"/>
          <w:szCs w:val="24"/>
        </w:rPr>
        <w:t xml:space="preserve"> favorable circumstances within the legal </w:t>
      </w:r>
      <w:r w:rsidR="00FC0065">
        <w:rPr>
          <w:rFonts w:ascii="Times New Roman" w:hAnsi="Times New Roman" w:cs="Times New Roman"/>
          <w:sz w:val="24"/>
          <w:szCs w:val="24"/>
        </w:rPr>
        <w:t>field</w:t>
      </w:r>
      <w:r w:rsidRPr="00F06201">
        <w:rPr>
          <w:rFonts w:ascii="Times New Roman" w:hAnsi="Times New Roman" w:cs="Times New Roman"/>
          <w:sz w:val="24"/>
          <w:szCs w:val="24"/>
        </w:rPr>
        <w:t>. While visiting Sunnyside, Joyce learned that the grand jury in Jefferson City also indicted him as a part of a book-clearing scheme in Kansas City.</w:t>
      </w:r>
      <w:r w:rsidRPr="00F06201">
        <w:rPr>
          <w:rFonts w:ascii="Times New Roman" w:hAnsi="Times New Roman" w:cs="Times New Roman"/>
          <w:sz w:val="24"/>
          <w:szCs w:val="24"/>
          <w:vertAlign w:val="superscript"/>
        </w:rPr>
        <w:footnoteReference w:id="1301"/>
      </w:r>
      <w:r w:rsidRPr="00F06201">
        <w:rPr>
          <w:rFonts w:ascii="Times New Roman" w:hAnsi="Times New Roman" w:cs="Times New Roman"/>
          <w:sz w:val="24"/>
          <w:szCs w:val="24"/>
        </w:rPr>
        <w:t xml:space="preserve"> Joyce worried that the smaller-scale thefts in Kansas City would lead to the uncovering of the St. Louis Ring, and he orchestrated a </w:t>
      </w:r>
      <w:r w:rsidR="00163224">
        <w:rPr>
          <w:rFonts w:ascii="Times New Roman" w:hAnsi="Times New Roman" w:cs="Times New Roman"/>
          <w:sz w:val="24"/>
          <w:szCs w:val="24"/>
        </w:rPr>
        <w:t xml:space="preserve">legal maneuver claiming that </w:t>
      </w:r>
      <w:r w:rsidRPr="00F06201">
        <w:rPr>
          <w:rFonts w:ascii="Times New Roman" w:hAnsi="Times New Roman" w:cs="Times New Roman"/>
          <w:sz w:val="24"/>
          <w:szCs w:val="24"/>
        </w:rPr>
        <w:t>the Jefferson City indictment now charged him with failing to inform superiors of a conspiracy to produce illegal whiskey.</w:t>
      </w:r>
      <w:r w:rsidRPr="00F06201">
        <w:rPr>
          <w:rFonts w:ascii="Times New Roman" w:hAnsi="Times New Roman" w:cs="Times New Roman"/>
          <w:sz w:val="24"/>
          <w:szCs w:val="24"/>
          <w:vertAlign w:val="superscript"/>
        </w:rPr>
        <w:footnoteReference w:id="1302"/>
      </w:r>
      <w:r w:rsidRPr="00F06201">
        <w:rPr>
          <w:rFonts w:ascii="Times New Roman" w:hAnsi="Times New Roman" w:cs="Times New Roman"/>
          <w:sz w:val="24"/>
          <w:szCs w:val="24"/>
        </w:rPr>
        <w:t xml:space="preserve"> As the two locales bickered over who had jurisdiction indicting Joyce, he and his legal team recognized that the charges in Jefferson City were less significant than those in St. Louis, so they hoped for Jefferson City as the official trial spot.</w:t>
      </w:r>
      <w:r w:rsidRPr="00F06201">
        <w:rPr>
          <w:rFonts w:ascii="Times New Roman" w:hAnsi="Times New Roman" w:cs="Times New Roman"/>
          <w:sz w:val="24"/>
          <w:szCs w:val="24"/>
          <w:vertAlign w:val="superscript"/>
        </w:rPr>
        <w:footnoteReference w:id="1303"/>
      </w:r>
      <w:r w:rsidRPr="00F06201">
        <w:rPr>
          <w:rFonts w:ascii="Times New Roman" w:hAnsi="Times New Roman" w:cs="Times New Roman"/>
          <w:sz w:val="24"/>
          <w:szCs w:val="24"/>
        </w:rPr>
        <w:t xml:space="preserve"> Joyce’s luck had not yet run out, as </w:t>
      </w:r>
      <w:r w:rsidR="00E75FC2">
        <w:rPr>
          <w:rFonts w:ascii="Times New Roman" w:hAnsi="Times New Roman" w:cs="Times New Roman"/>
          <w:sz w:val="24"/>
          <w:szCs w:val="24"/>
        </w:rPr>
        <w:t>his</w:t>
      </w:r>
      <w:r w:rsidRPr="00F06201">
        <w:rPr>
          <w:rFonts w:ascii="Times New Roman" w:hAnsi="Times New Roman" w:cs="Times New Roman"/>
          <w:sz w:val="24"/>
          <w:szCs w:val="24"/>
        </w:rPr>
        <w:t xml:space="preserve"> trial was set for Jefferson </w:t>
      </w:r>
      <w:r w:rsidRPr="00F06201">
        <w:rPr>
          <w:rFonts w:ascii="Times New Roman" w:hAnsi="Times New Roman" w:cs="Times New Roman"/>
          <w:sz w:val="24"/>
          <w:szCs w:val="24"/>
        </w:rPr>
        <w:lastRenderedPageBreak/>
        <w:t xml:space="preserve">City, </w:t>
      </w:r>
      <w:r w:rsidR="00E75FC2">
        <w:rPr>
          <w:rFonts w:ascii="Times New Roman" w:hAnsi="Times New Roman" w:cs="Times New Roman"/>
          <w:sz w:val="24"/>
          <w:szCs w:val="24"/>
        </w:rPr>
        <w:t>where</w:t>
      </w:r>
      <w:r w:rsidRPr="00F06201">
        <w:rPr>
          <w:rFonts w:ascii="Times New Roman" w:hAnsi="Times New Roman" w:cs="Times New Roman"/>
          <w:sz w:val="24"/>
          <w:szCs w:val="24"/>
        </w:rPr>
        <w:t xml:space="preserve"> Joyce hoped to rebuff the “political enemies of President Grant” on the grand jury and effectively defend his actions.</w:t>
      </w:r>
      <w:r w:rsidRPr="00F06201">
        <w:rPr>
          <w:rFonts w:ascii="Times New Roman" w:hAnsi="Times New Roman" w:cs="Times New Roman"/>
          <w:sz w:val="24"/>
          <w:szCs w:val="24"/>
          <w:vertAlign w:val="superscript"/>
        </w:rPr>
        <w:footnoteReference w:id="1304"/>
      </w:r>
    </w:p>
    <w:p w14:paraId="453FAE17" w14:textId="413F4AF9"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 xml:space="preserve">Joyce’s trial, set for October 20, 1875, in Jefferson City, Missouri, kicked off </w:t>
      </w:r>
      <w:r w:rsidR="00CE28F6">
        <w:rPr>
          <w:rFonts w:ascii="Times New Roman" w:hAnsi="Times New Roman" w:cs="Times New Roman"/>
          <w:sz w:val="24"/>
          <w:szCs w:val="24"/>
        </w:rPr>
        <w:t>a</w:t>
      </w:r>
      <w:r w:rsidRPr="00F06201">
        <w:rPr>
          <w:rFonts w:ascii="Times New Roman" w:hAnsi="Times New Roman" w:cs="Times New Roman"/>
          <w:sz w:val="24"/>
          <w:szCs w:val="24"/>
        </w:rPr>
        <w:t xml:space="preserve"> series of </w:t>
      </w:r>
      <w:r w:rsidR="00CE28F6">
        <w:rPr>
          <w:rFonts w:ascii="Times New Roman" w:hAnsi="Times New Roman" w:cs="Times New Roman"/>
          <w:sz w:val="24"/>
          <w:szCs w:val="24"/>
        </w:rPr>
        <w:t xml:space="preserve">separate </w:t>
      </w:r>
      <w:r w:rsidRPr="00F06201">
        <w:rPr>
          <w:rFonts w:ascii="Times New Roman" w:hAnsi="Times New Roman" w:cs="Times New Roman"/>
          <w:sz w:val="24"/>
          <w:szCs w:val="24"/>
        </w:rPr>
        <w:t xml:space="preserve">trials </w:t>
      </w:r>
      <w:r w:rsidR="00CE28F6">
        <w:rPr>
          <w:rFonts w:ascii="Times New Roman" w:hAnsi="Times New Roman" w:cs="Times New Roman"/>
          <w:sz w:val="24"/>
          <w:szCs w:val="24"/>
        </w:rPr>
        <w:t xml:space="preserve">for members of </w:t>
      </w:r>
      <w:r w:rsidRPr="00F06201">
        <w:rPr>
          <w:rFonts w:ascii="Times New Roman" w:hAnsi="Times New Roman" w:cs="Times New Roman"/>
          <w:sz w:val="24"/>
          <w:szCs w:val="24"/>
        </w:rPr>
        <w:t>the St. Louis Whiskey Ring. During the pre-trial period, Joyce went to Washington to attain documents to aid in his defense proceedings.</w:t>
      </w:r>
      <w:r w:rsidRPr="00F06201">
        <w:rPr>
          <w:rFonts w:ascii="Times New Roman" w:hAnsi="Times New Roman" w:cs="Times New Roman"/>
          <w:sz w:val="24"/>
          <w:szCs w:val="24"/>
          <w:vertAlign w:val="superscript"/>
        </w:rPr>
        <w:footnoteReference w:id="1305"/>
      </w:r>
      <w:r w:rsidRPr="00F06201">
        <w:rPr>
          <w:rFonts w:ascii="Times New Roman" w:hAnsi="Times New Roman" w:cs="Times New Roman"/>
          <w:sz w:val="24"/>
          <w:szCs w:val="24"/>
        </w:rPr>
        <w:t xml:space="preserve">  Here he met with Secretary Bristow, who had the authority to release the needed documents, but before doing so he attempted to turn Joyce to the prosecution’s side.</w:t>
      </w:r>
      <w:r w:rsidRPr="00F06201">
        <w:rPr>
          <w:rFonts w:ascii="Times New Roman" w:hAnsi="Times New Roman" w:cs="Times New Roman"/>
          <w:sz w:val="24"/>
          <w:szCs w:val="24"/>
          <w:vertAlign w:val="superscript"/>
        </w:rPr>
        <w:footnoteReference w:id="1306"/>
      </w:r>
      <w:r w:rsidRPr="00F06201">
        <w:rPr>
          <w:rFonts w:ascii="Times New Roman" w:hAnsi="Times New Roman" w:cs="Times New Roman"/>
          <w:sz w:val="24"/>
          <w:szCs w:val="24"/>
        </w:rPr>
        <w:t xml:space="preserve"> Joyce reiterated that he had no knowledge of whiskey frauds in Missouri, but Bristow leaned on sympathies for Joyce’s military service before inadvertently presenting a key description of the prosecution’s strategy in the Whiskey Ring cases: “I have no disposition to pursue you to prison, as you were a mere subordinate; but I feel that these parties over the way (pointing to the White House) were the responsible heads of the whole whiskey conspiracy.”</w:t>
      </w:r>
      <w:r w:rsidRPr="00F06201">
        <w:rPr>
          <w:rFonts w:ascii="Times New Roman" w:hAnsi="Times New Roman" w:cs="Times New Roman"/>
          <w:sz w:val="24"/>
          <w:szCs w:val="24"/>
          <w:vertAlign w:val="superscript"/>
        </w:rPr>
        <w:footnoteReference w:id="1307"/>
      </w:r>
      <w:r w:rsidRPr="00F06201">
        <w:rPr>
          <w:rFonts w:ascii="Times New Roman" w:hAnsi="Times New Roman" w:cs="Times New Roman"/>
          <w:sz w:val="24"/>
          <w:szCs w:val="24"/>
        </w:rPr>
        <w:t xml:space="preserve"> As Joyce once again told Bristow he had no knowledge of these alleged crimes, Bristow responded “Well, if you want to go to prison for other people, it is none of my business.”</w:t>
      </w:r>
      <w:r w:rsidRPr="00F06201">
        <w:rPr>
          <w:rFonts w:ascii="Times New Roman" w:hAnsi="Times New Roman" w:cs="Times New Roman"/>
          <w:sz w:val="24"/>
          <w:szCs w:val="24"/>
          <w:vertAlign w:val="superscript"/>
        </w:rPr>
        <w:footnoteReference w:id="1308"/>
      </w:r>
    </w:p>
    <w:p w14:paraId="37067C47" w14:textId="272D1EFC"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Joyce returned to Jefferson City for his trial, where he found that other ring members took the prosecution’s offer to turn state’s witness.</w:t>
      </w:r>
      <w:r w:rsidRPr="00F06201">
        <w:rPr>
          <w:rFonts w:ascii="Times New Roman" w:hAnsi="Times New Roman" w:cs="Times New Roman"/>
          <w:sz w:val="24"/>
          <w:szCs w:val="24"/>
          <w:vertAlign w:val="superscript"/>
        </w:rPr>
        <w:footnoteReference w:id="1309"/>
      </w:r>
      <w:r w:rsidRPr="00F06201">
        <w:rPr>
          <w:rFonts w:ascii="Times New Roman" w:hAnsi="Times New Roman" w:cs="Times New Roman"/>
          <w:sz w:val="24"/>
          <w:szCs w:val="24"/>
        </w:rPr>
        <w:t xml:space="preserve"> Several of the gaugers and shopkeepers at multiple distilleries involved in the Ring pled guilty and agreed to testify against Joyce.</w:t>
      </w:r>
      <w:r w:rsidRPr="00F06201">
        <w:rPr>
          <w:rFonts w:ascii="Times New Roman" w:hAnsi="Times New Roman" w:cs="Times New Roman"/>
          <w:sz w:val="24"/>
          <w:szCs w:val="24"/>
          <w:vertAlign w:val="superscript"/>
        </w:rPr>
        <w:footnoteReference w:id="1310"/>
      </w:r>
      <w:r w:rsidRPr="00F06201">
        <w:rPr>
          <w:rFonts w:ascii="Times New Roman" w:hAnsi="Times New Roman" w:cs="Times New Roman"/>
          <w:sz w:val="24"/>
          <w:szCs w:val="24"/>
        </w:rPr>
        <w:t xml:space="preserve"> His trial lasted three days, and the jury deliberated for four hours before returning a verdict of guilty </w:t>
      </w:r>
      <w:r w:rsidRPr="00F06201">
        <w:rPr>
          <w:rFonts w:ascii="Times New Roman" w:hAnsi="Times New Roman" w:cs="Times New Roman"/>
          <w:sz w:val="24"/>
          <w:szCs w:val="24"/>
        </w:rPr>
        <w:lastRenderedPageBreak/>
        <w:t>for the crime of failure to notify superiors of illegal activity.</w:t>
      </w:r>
      <w:r w:rsidRPr="00F06201">
        <w:rPr>
          <w:rFonts w:ascii="Times New Roman" w:hAnsi="Times New Roman" w:cs="Times New Roman"/>
          <w:sz w:val="24"/>
          <w:szCs w:val="24"/>
          <w:vertAlign w:val="superscript"/>
        </w:rPr>
        <w:footnoteReference w:id="1311"/>
      </w:r>
      <w:r w:rsidRPr="00F06201">
        <w:rPr>
          <w:rFonts w:ascii="Times New Roman" w:hAnsi="Times New Roman" w:cs="Times New Roman"/>
          <w:sz w:val="24"/>
          <w:szCs w:val="24"/>
        </w:rPr>
        <w:t xml:space="preserve"> Joyce was remanded to the Jefferson City jail awaiting a motion for a new trial.</w:t>
      </w:r>
      <w:r w:rsidRPr="00F06201">
        <w:rPr>
          <w:rFonts w:ascii="Times New Roman" w:hAnsi="Times New Roman" w:cs="Times New Roman"/>
          <w:sz w:val="24"/>
          <w:szCs w:val="24"/>
          <w:vertAlign w:val="superscript"/>
        </w:rPr>
        <w:footnoteReference w:id="1312"/>
      </w:r>
      <w:r w:rsidRPr="00F06201">
        <w:rPr>
          <w:rFonts w:ascii="Times New Roman" w:hAnsi="Times New Roman" w:cs="Times New Roman"/>
          <w:sz w:val="24"/>
          <w:szCs w:val="24"/>
        </w:rPr>
        <w:t xml:space="preserve"> As he waited in the jail, a deputy marshal from St. Louis arrived with a warrant to bring him to St. Louis as a witness in trials into other ring members.</w:t>
      </w:r>
      <w:r w:rsidRPr="00F06201">
        <w:rPr>
          <w:rFonts w:ascii="Times New Roman" w:hAnsi="Times New Roman" w:cs="Times New Roman"/>
          <w:sz w:val="24"/>
          <w:szCs w:val="24"/>
          <w:vertAlign w:val="superscript"/>
        </w:rPr>
        <w:footnoteReference w:id="1313"/>
      </w:r>
      <w:r w:rsidRPr="00F06201">
        <w:rPr>
          <w:rFonts w:ascii="Times New Roman" w:hAnsi="Times New Roman" w:cs="Times New Roman"/>
          <w:sz w:val="24"/>
          <w:szCs w:val="24"/>
        </w:rPr>
        <w:t xml:space="preserve"> Joyce was aware that if he went to St. Louis he would be tried and likely charged with far greater crimes than those </w:t>
      </w:r>
      <w:r w:rsidR="00EE04B3">
        <w:rPr>
          <w:rFonts w:ascii="Times New Roman" w:hAnsi="Times New Roman" w:cs="Times New Roman"/>
          <w:sz w:val="24"/>
          <w:szCs w:val="24"/>
        </w:rPr>
        <w:t xml:space="preserve">of which </w:t>
      </w:r>
      <w:r w:rsidRPr="00F06201">
        <w:rPr>
          <w:rFonts w:ascii="Times New Roman" w:hAnsi="Times New Roman" w:cs="Times New Roman"/>
          <w:sz w:val="24"/>
          <w:szCs w:val="24"/>
        </w:rPr>
        <w:t>he was</w:t>
      </w:r>
      <w:r w:rsidR="00EE04B3">
        <w:rPr>
          <w:rFonts w:ascii="Times New Roman" w:hAnsi="Times New Roman" w:cs="Times New Roman"/>
          <w:sz w:val="24"/>
          <w:szCs w:val="24"/>
        </w:rPr>
        <w:t xml:space="preserve"> just</w:t>
      </w:r>
      <w:r w:rsidRPr="00F06201">
        <w:rPr>
          <w:rFonts w:ascii="Times New Roman" w:hAnsi="Times New Roman" w:cs="Times New Roman"/>
          <w:sz w:val="24"/>
          <w:szCs w:val="24"/>
        </w:rPr>
        <w:t xml:space="preserve"> convicted </w:t>
      </w:r>
      <w:r w:rsidR="00EE04B3">
        <w:rPr>
          <w:rFonts w:ascii="Times New Roman" w:hAnsi="Times New Roman" w:cs="Times New Roman"/>
          <w:sz w:val="24"/>
          <w:szCs w:val="24"/>
        </w:rPr>
        <w:t>i</w:t>
      </w:r>
      <w:r w:rsidRPr="00F06201">
        <w:rPr>
          <w:rFonts w:ascii="Times New Roman" w:hAnsi="Times New Roman" w:cs="Times New Roman"/>
          <w:sz w:val="24"/>
          <w:szCs w:val="24"/>
        </w:rPr>
        <w:t>n Jefferson City and accordingly withdrew his motion for a new trial, seeking immediate sentencing in Jefferson City, expecting a fairly lenient sentence.</w:t>
      </w:r>
      <w:r w:rsidRPr="00F06201">
        <w:rPr>
          <w:rFonts w:ascii="Times New Roman" w:hAnsi="Times New Roman" w:cs="Times New Roman"/>
          <w:sz w:val="24"/>
          <w:szCs w:val="24"/>
          <w:vertAlign w:val="superscript"/>
        </w:rPr>
        <w:footnoteReference w:id="1314"/>
      </w:r>
      <w:r w:rsidRPr="00F06201">
        <w:rPr>
          <w:rFonts w:ascii="Times New Roman" w:hAnsi="Times New Roman" w:cs="Times New Roman"/>
          <w:sz w:val="24"/>
          <w:szCs w:val="24"/>
        </w:rPr>
        <w:t xml:space="preserve"> Joyce was stunned when the judge sentenced him to a $2,000 fine and a three and a half year stay in the Missouri State Penitentiary.</w:t>
      </w:r>
      <w:r w:rsidRPr="00F06201">
        <w:rPr>
          <w:rFonts w:ascii="Times New Roman" w:hAnsi="Times New Roman" w:cs="Times New Roman"/>
          <w:sz w:val="24"/>
          <w:szCs w:val="24"/>
          <w:vertAlign w:val="superscript"/>
        </w:rPr>
        <w:footnoteReference w:id="1315"/>
      </w:r>
    </w:p>
    <w:p w14:paraId="6DA302C4" w14:textId="1A45B389" w:rsidR="00F06201" w:rsidRPr="00F06201" w:rsidRDefault="00F06201" w:rsidP="00A6302D">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In November, just days after the close of the election cycle, the grand jury s</w:t>
      </w:r>
      <w:r w:rsidR="007C64AF">
        <w:rPr>
          <w:rFonts w:ascii="Times New Roman" w:hAnsi="Times New Roman" w:cs="Times New Roman"/>
          <w:sz w:val="24"/>
          <w:szCs w:val="24"/>
        </w:rPr>
        <w:t>erv</w:t>
      </w:r>
      <w:r w:rsidRPr="00F06201">
        <w:rPr>
          <w:rFonts w:ascii="Times New Roman" w:hAnsi="Times New Roman" w:cs="Times New Roman"/>
          <w:sz w:val="24"/>
          <w:szCs w:val="24"/>
        </w:rPr>
        <w:t>ing the Whiskey Ring investigation sat and proceeded to dole out indictments for the accused.</w:t>
      </w:r>
      <w:r w:rsidRPr="00F06201">
        <w:rPr>
          <w:rFonts w:ascii="Times New Roman" w:hAnsi="Times New Roman" w:cs="Times New Roman"/>
          <w:sz w:val="24"/>
          <w:szCs w:val="24"/>
          <w:vertAlign w:val="superscript"/>
        </w:rPr>
        <w:footnoteReference w:id="1316"/>
      </w:r>
      <w:r w:rsidRPr="00F06201">
        <w:rPr>
          <w:rFonts w:ascii="Times New Roman" w:hAnsi="Times New Roman" w:cs="Times New Roman"/>
          <w:sz w:val="24"/>
          <w:szCs w:val="24"/>
        </w:rPr>
        <w:t xml:space="preserve"> John McDonald and William Avery were the two main suspects, with additional indictments offered for men like Megrue and McKee.</w:t>
      </w:r>
      <w:r w:rsidRPr="00F06201">
        <w:rPr>
          <w:rFonts w:ascii="Times New Roman" w:hAnsi="Times New Roman" w:cs="Times New Roman"/>
          <w:sz w:val="24"/>
          <w:szCs w:val="24"/>
          <w:vertAlign w:val="superscript"/>
        </w:rPr>
        <w:footnoteReference w:id="1317"/>
      </w:r>
      <w:r w:rsidRPr="00F06201">
        <w:rPr>
          <w:rFonts w:ascii="Times New Roman" w:hAnsi="Times New Roman" w:cs="Times New Roman"/>
          <w:sz w:val="24"/>
          <w:szCs w:val="24"/>
        </w:rPr>
        <w:t xml:space="preserve"> By early December, reports circulated through the media that additional indictments were ordered for Orvil Grant, President Grant’s brother, and Orville Babcock, among others.</w:t>
      </w:r>
      <w:r w:rsidRPr="00F06201">
        <w:rPr>
          <w:rFonts w:ascii="Times New Roman" w:hAnsi="Times New Roman" w:cs="Times New Roman"/>
          <w:sz w:val="24"/>
          <w:szCs w:val="24"/>
          <w:vertAlign w:val="superscript"/>
        </w:rPr>
        <w:footnoteReference w:id="1318"/>
      </w:r>
      <w:r w:rsidRPr="00F06201">
        <w:rPr>
          <w:rFonts w:ascii="Times New Roman" w:hAnsi="Times New Roman" w:cs="Times New Roman"/>
          <w:sz w:val="24"/>
          <w:szCs w:val="24"/>
        </w:rPr>
        <w:t xml:space="preserve"> The prosecution was quick to quash these rumors, namely those involving President Grant’s brother, but their investigations into Babcock remained viable, just not provable given the existing evidence.</w:t>
      </w:r>
      <w:r w:rsidRPr="00F06201">
        <w:rPr>
          <w:rFonts w:ascii="Times New Roman" w:hAnsi="Times New Roman" w:cs="Times New Roman"/>
          <w:sz w:val="24"/>
          <w:szCs w:val="24"/>
          <w:vertAlign w:val="superscript"/>
        </w:rPr>
        <w:footnoteReference w:id="1319"/>
      </w:r>
      <w:r w:rsidRPr="00F06201">
        <w:rPr>
          <w:rFonts w:ascii="Times New Roman" w:hAnsi="Times New Roman" w:cs="Times New Roman"/>
          <w:sz w:val="24"/>
          <w:szCs w:val="24"/>
        </w:rPr>
        <w:t xml:space="preserve"> Bristow wrote about the situation with Babcock that “so far as I am advised, there is no </w:t>
      </w:r>
      <w:r w:rsidRPr="00F06201">
        <w:rPr>
          <w:rFonts w:ascii="Times New Roman" w:hAnsi="Times New Roman" w:cs="Times New Roman"/>
          <w:i/>
          <w:iCs/>
          <w:sz w:val="24"/>
          <w:szCs w:val="24"/>
        </w:rPr>
        <w:t>sufficient</w:t>
      </w:r>
      <w:r w:rsidRPr="00F06201">
        <w:rPr>
          <w:rFonts w:ascii="Times New Roman" w:hAnsi="Times New Roman" w:cs="Times New Roman"/>
          <w:sz w:val="24"/>
          <w:szCs w:val="24"/>
        </w:rPr>
        <w:t xml:space="preserve"> proof before the grand jury to convict him, though there is enough to cast grave suspicions on him, and whether indicted or not the next House of </w:t>
      </w:r>
      <w:r w:rsidRPr="00F06201">
        <w:rPr>
          <w:rFonts w:ascii="Times New Roman" w:hAnsi="Times New Roman" w:cs="Times New Roman"/>
          <w:sz w:val="24"/>
          <w:szCs w:val="24"/>
        </w:rPr>
        <w:lastRenderedPageBreak/>
        <w:t>Representatives through an investigating committee can &amp; will make a great deal of it.”</w:t>
      </w:r>
      <w:r w:rsidRPr="00F06201">
        <w:rPr>
          <w:rFonts w:ascii="Times New Roman" w:hAnsi="Times New Roman" w:cs="Times New Roman"/>
          <w:sz w:val="24"/>
          <w:szCs w:val="24"/>
          <w:vertAlign w:val="superscript"/>
        </w:rPr>
        <w:footnoteReference w:id="1320"/>
      </w:r>
      <w:r w:rsidRPr="00F06201">
        <w:rPr>
          <w:rFonts w:ascii="Times New Roman" w:hAnsi="Times New Roman" w:cs="Times New Roman"/>
          <w:sz w:val="24"/>
          <w:szCs w:val="24"/>
        </w:rPr>
        <w:t xml:space="preserve"> The stakes were extremely high, particularly since the newly elected Congress saw a massive influx of Democrats waiting to make hay of the Republican administration’s alleged malfeasances.</w:t>
      </w:r>
      <w:r w:rsidRPr="00F06201">
        <w:rPr>
          <w:rFonts w:ascii="Times New Roman" w:hAnsi="Times New Roman" w:cs="Times New Roman"/>
          <w:sz w:val="24"/>
          <w:szCs w:val="24"/>
          <w:vertAlign w:val="superscript"/>
        </w:rPr>
        <w:footnoteReference w:id="1321"/>
      </w:r>
      <w:r w:rsidRPr="00F06201">
        <w:rPr>
          <w:rFonts w:ascii="Times New Roman" w:hAnsi="Times New Roman" w:cs="Times New Roman"/>
          <w:sz w:val="24"/>
          <w:szCs w:val="24"/>
        </w:rPr>
        <w:t xml:space="preserve"> The imminent trials into the Whiskey Ring became noteworthy news for anyone interested in the political realm.</w:t>
      </w:r>
    </w:p>
    <w:p w14:paraId="21AE168F" w14:textId="05D6295C" w:rsidR="00F06201" w:rsidRPr="00F06201" w:rsidRDefault="00B32A9D" w:rsidP="0003302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The </w:t>
      </w:r>
      <w:r w:rsidR="00DA0A41">
        <w:rPr>
          <w:rFonts w:ascii="Times New Roman" w:hAnsi="Times New Roman" w:cs="Times New Roman"/>
          <w:sz w:val="24"/>
          <w:szCs w:val="24"/>
        </w:rPr>
        <w:t xml:space="preserve">Whiskey Fraud </w:t>
      </w:r>
      <w:r w:rsidR="00F06201" w:rsidRPr="00F06201">
        <w:rPr>
          <w:rFonts w:ascii="Times New Roman" w:hAnsi="Times New Roman" w:cs="Times New Roman"/>
          <w:sz w:val="24"/>
          <w:szCs w:val="24"/>
        </w:rPr>
        <w:t>Trials</w:t>
      </w:r>
    </w:p>
    <w:p w14:paraId="2EA44172" w14:textId="3AFDA255" w:rsidR="00F06201" w:rsidRPr="00F06201" w:rsidRDefault="00F06201" w:rsidP="00A6302D">
      <w:pPr>
        <w:spacing w:before="240" w:line="480" w:lineRule="auto"/>
        <w:rPr>
          <w:rFonts w:ascii="Times New Roman" w:hAnsi="Times New Roman" w:cs="Times New Roman"/>
          <w:sz w:val="24"/>
          <w:szCs w:val="24"/>
        </w:rPr>
      </w:pPr>
      <w:r w:rsidRPr="00F06201">
        <w:rPr>
          <w:rFonts w:ascii="Times New Roman" w:hAnsi="Times New Roman" w:cs="Times New Roman"/>
          <w:sz w:val="24"/>
          <w:szCs w:val="24"/>
        </w:rPr>
        <w:tab/>
        <w:t>McDonald’s trial began on November 15, 1875, with the deck stacked against him, as he had to contend with those in the Whiskey Ring who turned states’ witnesses in order to lessen their own charges. The witness list for the prosecution included bagmen, distillers, shopkeepers, and gaugers, each of whom already pled guilty.</w:t>
      </w:r>
      <w:r w:rsidRPr="00F06201">
        <w:rPr>
          <w:rFonts w:ascii="Times New Roman" w:hAnsi="Times New Roman" w:cs="Times New Roman"/>
          <w:sz w:val="24"/>
          <w:szCs w:val="24"/>
          <w:vertAlign w:val="superscript"/>
        </w:rPr>
        <w:footnoteReference w:id="1322"/>
      </w:r>
      <w:r w:rsidRPr="00F06201">
        <w:rPr>
          <w:rFonts w:ascii="Times New Roman" w:hAnsi="Times New Roman" w:cs="Times New Roman"/>
          <w:sz w:val="24"/>
          <w:szCs w:val="24"/>
        </w:rPr>
        <w:t xml:space="preserve"> Meanwhile the defense planned to rely on character witnesses for McDonald, including one by General William Tecumseh Sherman.</w:t>
      </w:r>
      <w:r w:rsidRPr="00F06201">
        <w:rPr>
          <w:rFonts w:ascii="Times New Roman" w:hAnsi="Times New Roman" w:cs="Times New Roman"/>
          <w:sz w:val="24"/>
          <w:szCs w:val="24"/>
          <w:vertAlign w:val="superscript"/>
        </w:rPr>
        <w:footnoteReference w:id="1323"/>
      </w:r>
      <w:r w:rsidRPr="00F06201">
        <w:rPr>
          <w:rFonts w:ascii="Times New Roman" w:hAnsi="Times New Roman" w:cs="Times New Roman"/>
          <w:sz w:val="24"/>
          <w:szCs w:val="24"/>
        </w:rPr>
        <w:t xml:space="preserve"> Krum sought Babcock as a character witness, which Babcock outright refused, perhaps worried that his involvement would lead to suspicion of him as a member of the Ring.</w:t>
      </w:r>
      <w:r w:rsidRPr="00F06201">
        <w:rPr>
          <w:rFonts w:ascii="Times New Roman" w:hAnsi="Times New Roman" w:cs="Times New Roman"/>
          <w:sz w:val="24"/>
          <w:szCs w:val="24"/>
          <w:vertAlign w:val="superscript"/>
        </w:rPr>
        <w:footnoteReference w:id="1324"/>
      </w:r>
      <w:r w:rsidRPr="00F06201">
        <w:rPr>
          <w:rFonts w:ascii="Times New Roman" w:hAnsi="Times New Roman" w:cs="Times New Roman"/>
          <w:sz w:val="24"/>
          <w:szCs w:val="24"/>
        </w:rPr>
        <w:t xml:space="preserve"> One reporter noted that “McDonald is the most courageous man in the Ring, and will fight to the last,” a prescient declaration given the events which followed.</w:t>
      </w:r>
      <w:r w:rsidRPr="00F06201">
        <w:rPr>
          <w:rFonts w:ascii="Times New Roman" w:hAnsi="Times New Roman" w:cs="Times New Roman"/>
          <w:sz w:val="24"/>
          <w:szCs w:val="24"/>
          <w:vertAlign w:val="superscript"/>
        </w:rPr>
        <w:footnoteReference w:id="1325"/>
      </w:r>
    </w:p>
    <w:p w14:paraId="6E6F6F8E"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Perhaps the chief witness against McDonald was Conduce Megrue, the former bagman for the ring. The previous June, Dyer messaged Bristow that Megrue “holds the key to the Ring,” and his time on the stand proved this to be the case.</w:t>
      </w:r>
      <w:r w:rsidRPr="00F06201">
        <w:rPr>
          <w:rFonts w:ascii="Times New Roman" w:hAnsi="Times New Roman" w:cs="Times New Roman"/>
          <w:sz w:val="24"/>
          <w:szCs w:val="24"/>
          <w:vertAlign w:val="superscript"/>
        </w:rPr>
        <w:footnoteReference w:id="1326"/>
      </w:r>
      <w:r w:rsidRPr="00F06201">
        <w:rPr>
          <w:rFonts w:ascii="Times New Roman" w:hAnsi="Times New Roman" w:cs="Times New Roman"/>
          <w:sz w:val="24"/>
          <w:szCs w:val="24"/>
        </w:rPr>
        <w:t xml:space="preserve"> Megrue testified that in 1871 he received </w:t>
      </w:r>
      <w:r w:rsidRPr="00F06201">
        <w:rPr>
          <w:rFonts w:ascii="Times New Roman" w:hAnsi="Times New Roman" w:cs="Times New Roman"/>
          <w:sz w:val="24"/>
          <w:szCs w:val="24"/>
        </w:rPr>
        <w:lastRenderedPageBreak/>
        <w:t>a letter from McDonald, asking him to transfer from Cincinnati to St. Louis where money could be made.</w:t>
      </w:r>
      <w:r w:rsidRPr="00F06201">
        <w:rPr>
          <w:rFonts w:ascii="Times New Roman" w:hAnsi="Times New Roman" w:cs="Times New Roman"/>
          <w:sz w:val="24"/>
          <w:szCs w:val="24"/>
          <w:vertAlign w:val="superscript"/>
        </w:rPr>
        <w:footnoteReference w:id="1327"/>
      </w:r>
      <w:r w:rsidRPr="00F06201">
        <w:rPr>
          <w:rFonts w:ascii="Times New Roman" w:hAnsi="Times New Roman" w:cs="Times New Roman"/>
          <w:sz w:val="24"/>
          <w:szCs w:val="24"/>
        </w:rPr>
        <w:t xml:space="preserve"> He explained that he met with McDonald and Joyce as they discussed organizing a Ring to evade taxes and line their own pockets, and he outlined the strategies they developed between distillers and government agents.</w:t>
      </w:r>
      <w:r w:rsidRPr="00F06201">
        <w:rPr>
          <w:rFonts w:ascii="Times New Roman" w:hAnsi="Times New Roman" w:cs="Times New Roman"/>
          <w:sz w:val="24"/>
          <w:szCs w:val="24"/>
          <w:vertAlign w:val="superscript"/>
        </w:rPr>
        <w:footnoteReference w:id="1328"/>
      </w:r>
      <w:r w:rsidRPr="00F06201">
        <w:rPr>
          <w:rFonts w:ascii="Times New Roman" w:hAnsi="Times New Roman" w:cs="Times New Roman"/>
          <w:sz w:val="24"/>
          <w:szCs w:val="24"/>
        </w:rPr>
        <w:t xml:space="preserve"> He told the jury he collected an average of $8500 per week, which he divided at McDonald’s office to go to McDonald, Joyce, McKee, Ford, and himself.</w:t>
      </w:r>
      <w:r w:rsidRPr="00F06201">
        <w:rPr>
          <w:rFonts w:ascii="Times New Roman" w:hAnsi="Times New Roman" w:cs="Times New Roman"/>
          <w:sz w:val="24"/>
          <w:szCs w:val="24"/>
          <w:vertAlign w:val="superscript"/>
        </w:rPr>
        <w:footnoteReference w:id="1329"/>
      </w:r>
      <w:r w:rsidRPr="00F06201">
        <w:rPr>
          <w:rFonts w:ascii="Times New Roman" w:hAnsi="Times New Roman" w:cs="Times New Roman"/>
          <w:sz w:val="24"/>
          <w:szCs w:val="24"/>
        </w:rPr>
        <w:t xml:space="preserve"> He stated that he earned between $50-60,000 as a part of the Ring, all of which he lost in the stock market.</w:t>
      </w:r>
      <w:r w:rsidRPr="00F06201">
        <w:rPr>
          <w:rFonts w:ascii="Times New Roman" w:hAnsi="Times New Roman" w:cs="Times New Roman"/>
          <w:sz w:val="24"/>
          <w:szCs w:val="24"/>
          <w:vertAlign w:val="superscript"/>
        </w:rPr>
        <w:footnoteReference w:id="1330"/>
      </w:r>
      <w:r w:rsidRPr="00F06201">
        <w:rPr>
          <w:rFonts w:ascii="Times New Roman" w:hAnsi="Times New Roman" w:cs="Times New Roman"/>
          <w:sz w:val="24"/>
          <w:szCs w:val="24"/>
        </w:rPr>
        <w:t xml:space="preserve"> </w:t>
      </w:r>
    </w:p>
    <w:p w14:paraId="44177CD1" w14:textId="42F8C818"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 xml:space="preserve">Krum, McDonald’s attorney, had his work cut out for him when it came to Megrue’s damning testimony. His strategy rested on attempting to impeach Megrue’s credibility. Krum elicited testimony from </w:t>
      </w:r>
      <w:r w:rsidR="00AE3266">
        <w:rPr>
          <w:rFonts w:ascii="Times New Roman" w:hAnsi="Times New Roman" w:cs="Times New Roman"/>
          <w:sz w:val="24"/>
          <w:szCs w:val="24"/>
        </w:rPr>
        <w:t>Megrue</w:t>
      </w:r>
      <w:r w:rsidRPr="00F06201">
        <w:rPr>
          <w:rFonts w:ascii="Times New Roman" w:hAnsi="Times New Roman" w:cs="Times New Roman"/>
          <w:sz w:val="24"/>
          <w:szCs w:val="24"/>
        </w:rPr>
        <w:t xml:space="preserve"> that he was a married man with children that moved to New York after leaving the Ring in November 1872.</w:t>
      </w:r>
      <w:r w:rsidRPr="00F06201">
        <w:rPr>
          <w:rFonts w:ascii="Times New Roman" w:hAnsi="Times New Roman" w:cs="Times New Roman"/>
          <w:sz w:val="24"/>
          <w:szCs w:val="24"/>
          <w:vertAlign w:val="superscript"/>
        </w:rPr>
        <w:footnoteReference w:id="1331"/>
      </w:r>
      <w:r w:rsidRPr="00F06201">
        <w:rPr>
          <w:rFonts w:ascii="Times New Roman" w:hAnsi="Times New Roman" w:cs="Times New Roman"/>
          <w:sz w:val="24"/>
          <w:szCs w:val="24"/>
        </w:rPr>
        <w:t xml:space="preserve"> Krum pushed Megrue about his relationship with Kate Chase, a known prostitute, and Megrue admitted to using her services in St. Louis, and that he “knew her in New York as I knew her here,” finally getting him to reveal that he paid her $100 on different occasions for her services.</w:t>
      </w:r>
      <w:r w:rsidRPr="00F06201">
        <w:rPr>
          <w:rFonts w:ascii="Times New Roman" w:hAnsi="Times New Roman" w:cs="Times New Roman"/>
          <w:sz w:val="24"/>
          <w:szCs w:val="24"/>
          <w:vertAlign w:val="superscript"/>
        </w:rPr>
        <w:footnoteReference w:id="1332"/>
      </w:r>
      <w:r w:rsidRPr="00F06201">
        <w:rPr>
          <w:rFonts w:ascii="Times New Roman" w:hAnsi="Times New Roman" w:cs="Times New Roman"/>
          <w:sz w:val="24"/>
          <w:szCs w:val="24"/>
        </w:rPr>
        <w:t xml:space="preserve"> Krum further introduced evidence that Megrue was under indictment for bribery, and he reminded the jury that this man made more than $50,000 as a member of the Ring.</w:t>
      </w:r>
      <w:r w:rsidRPr="00F06201">
        <w:rPr>
          <w:rFonts w:ascii="Times New Roman" w:hAnsi="Times New Roman" w:cs="Times New Roman"/>
          <w:sz w:val="24"/>
          <w:szCs w:val="24"/>
          <w:vertAlign w:val="superscript"/>
        </w:rPr>
        <w:footnoteReference w:id="1333"/>
      </w:r>
      <w:r w:rsidRPr="00F06201">
        <w:rPr>
          <w:rFonts w:ascii="Times New Roman" w:hAnsi="Times New Roman" w:cs="Times New Roman"/>
          <w:sz w:val="24"/>
          <w:szCs w:val="24"/>
        </w:rPr>
        <w:t xml:space="preserve"> Though Megrue was a successful witness for the prosecution, Krum’s defense strategy was clear: show that those claiming McDonald was a criminal were criminals themselves.</w:t>
      </w:r>
    </w:p>
    <w:p w14:paraId="541C3CDC" w14:textId="6C67F509"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lastRenderedPageBreak/>
        <w:tab/>
        <w:t>Though Megrue was seen as the lynchpin of the prosecution’s efforts, several others took to the stand and assailed McDonald as the leader of the criminal enterprise. Macklot Thompson of the Thompson Distillery; Andrew McGrew, Alfred Bevis and Edward Frazer of the Bevis and Frazer Distillery; rectifier Barnet Engleke; shopkeeper Selvin Thorpe; bookkeeper Joseph Gross; and collector Joseph Fitzroy were all brought forth to reveal details of the Ring.</w:t>
      </w:r>
      <w:r w:rsidRPr="00F06201">
        <w:rPr>
          <w:rFonts w:ascii="Times New Roman" w:hAnsi="Times New Roman" w:cs="Times New Roman"/>
          <w:sz w:val="24"/>
          <w:szCs w:val="24"/>
          <w:vertAlign w:val="superscript"/>
        </w:rPr>
        <w:footnoteReference w:id="1334"/>
      </w:r>
      <w:r w:rsidRPr="00F06201">
        <w:rPr>
          <w:rFonts w:ascii="Times New Roman" w:hAnsi="Times New Roman" w:cs="Times New Roman"/>
          <w:sz w:val="24"/>
          <w:szCs w:val="24"/>
        </w:rPr>
        <w:t xml:space="preserve"> They revealed that they were convinced to join the plan to produce illegal whiskey and that they would be paid handsomely for their contributions.</w:t>
      </w:r>
      <w:r w:rsidRPr="00F06201">
        <w:rPr>
          <w:rFonts w:ascii="Times New Roman" w:hAnsi="Times New Roman" w:cs="Times New Roman"/>
          <w:sz w:val="24"/>
          <w:szCs w:val="24"/>
          <w:vertAlign w:val="superscript"/>
        </w:rPr>
        <w:footnoteReference w:id="1335"/>
      </w:r>
      <w:r w:rsidRPr="00F06201">
        <w:rPr>
          <w:rFonts w:ascii="Times New Roman" w:hAnsi="Times New Roman" w:cs="Times New Roman"/>
          <w:sz w:val="24"/>
          <w:szCs w:val="24"/>
        </w:rPr>
        <w:t xml:space="preserve"> They also revealed the bribery and coverups that McDonald undertook to prevent discovery by investigators.</w:t>
      </w:r>
      <w:r w:rsidRPr="00F06201">
        <w:rPr>
          <w:rFonts w:ascii="Times New Roman" w:hAnsi="Times New Roman" w:cs="Times New Roman"/>
          <w:sz w:val="24"/>
          <w:szCs w:val="24"/>
          <w:vertAlign w:val="superscript"/>
        </w:rPr>
        <w:footnoteReference w:id="1336"/>
      </w:r>
      <w:r w:rsidRPr="00F06201">
        <w:rPr>
          <w:rFonts w:ascii="Times New Roman" w:hAnsi="Times New Roman" w:cs="Times New Roman"/>
          <w:sz w:val="24"/>
          <w:szCs w:val="24"/>
        </w:rPr>
        <w:t xml:space="preserve"> The stories told by each of these individuals were so similar that it suggested the information given was the whole truth, and the prosecution rested its case confident that they proved McDonald’s guilt beyond a reasonable doubt.</w:t>
      </w:r>
      <w:r w:rsidRPr="00F06201">
        <w:rPr>
          <w:rFonts w:ascii="Times New Roman" w:hAnsi="Times New Roman" w:cs="Times New Roman"/>
          <w:sz w:val="24"/>
          <w:szCs w:val="24"/>
          <w:vertAlign w:val="superscript"/>
        </w:rPr>
        <w:footnoteReference w:id="1337"/>
      </w:r>
    </w:p>
    <w:p w14:paraId="5A57A314"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It was during the testimony given during the prosecution’s case in McDonald’s trial that Babcock was implicated as a member of the Whiskey Ring. Multiple figures mentioned General Babcock as a figure lurking in the shadows to support the Ring. Bevis stated that he was assured of protection from Washington and that Joyce showed him a letter signed “Bab,” understanding it to reference the president’s private secretary.</w:t>
      </w:r>
      <w:r w:rsidRPr="00F06201">
        <w:rPr>
          <w:rFonts w:ascii="Times New Roman" w:hAnsi="Times New Roman" w:cs="Times New Roman"/>
          <w:sz w:val="24"/>
          <w:szCs w:val="24"/>
          <w:vertAlign w:val="superscript"/>
        </w:rPr>
        <w:footnoteReference w:id="1338"/>
      </w:r>
      <w:r w:rsidRPr="00F06201">
        <w:rPr>
          <w:rFonts w:ascii="Times New Roman" w:hAnsi="Times New Roman" w:cs="Times New Roman"/>
          <w:sz w:val="24"/>
          <w:szCs w:val="24"/>
        </w:rPr>
        <w:t xml:space="preserve"> Thorpe testified that Joyce informed him that, alongside McDonald, Babcock received money from the Ring for assistance from Washington.</w:t>
      </w:r>
      <w:r w:rsidRPr="00F06201">
        <w:rPr>
          <w:rFonts w:ascii="Times New Roman" w:hAnsi="Times New Roman" w:cs="Times New Roman"/>
          <w:sz w:val="24"/>
          <w:szCs w:val="24"/>
          <w:vertAlign w:val="superscript"/>
        </w:rPr>
        <w:footnoteReference w:id="1339"/>
      </w:r>
      <w:r w:rsidRPr="00F06201">
        <w:rPr>
          <w:rFonts w:ascii="Times New Roman" w:hAnsi="Times New Roman" w:cs="Times New Roman"/>
          <w:sz w:val="24"/>
          <w:szCs w:val="24"/>
        </w:rPr>
        <w:t xml:space="preserve"> This testimony was sensationalized by headlines reporting “Testimony </w:t>
      </w:r>
      <w:r w:rsidRPr="00F06201">
        <w:rPr>
          <w:rFonts w:ascii="Times New Roman" w:hAnsi="Times New Roman" w:cs="Times New Roman"/>
          <w:sz w:val="24"/>
          <w:szCs w:val="24"/>
        </w:rPr>
        <w:lastRenderedPageBreak/>
        <w:t>Implicating General Babcock” that spread through major publications.</w:t>
      </w:r>
      <w:r w:rsidRPr="00F06201">
        <w:rPr>
          <w:rFonts w:ascii="Times New Roman" w:hAnsi="Times New Roman" w:cs="Times New Roman"/>
          <w:sz w:val="24"/>
          <w:szCs w:val="24"/>
          <w:vertAlign w:val="superscript"/>
        </w:rPr>
        <w:footnoteReference w:id="1340"/>
      </w:r>
      <w:r w:rsidRPr="00F06201">
        <w:rPr>
          <w:rFonts w:ascii="Times New Roman" w:hAnsi="Times New Roman" w:cs="Times New Roman"/>
          <w:sz w:val="24"/>
          <w:szCs w:val="24"/>
        </w:rPr>
        <w:t xml:space="preserve"> McDonald claimed later that, as these ideas circulated, a member of the prosecution approached him to offer him one last attempt to plead guilty if he were able to name names of higher ups like Babcock who were involved in the conspiracy.</w:t>
      </w:r>
      <w:r w:rsidRPr="00F06201">
        <w:rPr>
          <w:rFonts w:ascii="Times New Roman" w:hAnsi="Times New Roman" w:cs="Times New Roman"/>
          <w:sz w:val="24"/>
          <w:szCs w:val="24"/>
          <w:vertAlign w:val="superscript"/>
        </w:rPr>
        <w:footnoteReference w:id="1341"/>
      </w:r>
      <w:r w:rsidRPr="00F06201">
        <w:rPr>
          <w:rFonts w:ascii="Times New Roman" w:hAnsi="Times New Roman" w:cs="Times New Roman"/>
          <w:sz w:val="24"/>
          <w:szCs w:val="24"/>
        </w:rPr>
        <w:t xml:space="preserve"> McDonald stood firm though, replying that he “would accept all consequences” that resulted from the trial, hoping that his defense case would exonerate him.</w:t>
      </w:r>
      <w:r w:rsidRPr="00F06201">
        <w:rPr>
          <w:rFonts w:ascii="Times New Roman" w:hAnsi="Times New Roman" w:cs="Times New Roman"/>
          <w:sz w:val="24"/>
          <w:szCs w:val="24"/>
          <w:vertAlign w:val="superscript"/>
        </w:rPr>
        <w:footnoteReference w:id="1342"/>
      </w:r>
    </w:p>
    <w:p w14:paraId="6F182A54"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Once it was the defense’s time to make their case, Krum made several attempts to clear McDonald of his culpability. He called General Sherman to the stand, and Sherman attested that he knew McDonald since 1861 and he knew “his character for honesty and upright conduct up to the time he was indicted. My knowledge of him was confined to his position as major of the Eighth Missouri, and his reputation there was good.”</w:t>
      </w:r>
      <w:r w:rsidRPr="00F06201">
        <w:rPr>
          <w:rFonts w:ascii="Times New Roman" w:hAnsi="Times New Roman" w:cs="Times New Roman"/>
          <w:sz w:val="24"/>
          <w:szCs w:val="24"/>
          <w:vertAlign w:val="superscript"/>
        </w:rPr>
        <w:footnoteReference w:id="1343"/>
      </w:r>
      <w:r w:rsidRPr="00F06201">
        <w:rPr>
          <w:rFonts w:ascii="Times New Roman" w:hAnsi="Times New Roman" w:cs="Times New Roman"/>
          <w:sz w:val="24"/>
          <w:szCs w:val="24"/>
        </w:rPr>
        <w:t xml:space="preserve"> However, he admitted that he knew little of McDonald’s affairs since the war, leaving his actions in the time since up to interpretation.</w:t>
      </w:r>
      <w:r w:rsidRPr="00F06201">
        <w:rPr>
          <w:rFonts w:ascii="Times New Roman" w:hAnsi="Times New Roman" w:cs="Times New Roman"/>
          <w:sz w:val="24"/>
          <w:szCs w:val="24"/>
          <w:vertAlign w:val="superscript"/>
        </w:rPr>
        <w:footnoteReference w:id="1344"/>
      </w:r>
      <w:r w:rsidRPr="00F06201">
        <w:rPr>
          <w:rFonts w:ascii="Times New Roman" w:hAnsi="Times New Roman" w:cs="Times New Roman"/>
          <w:sz w:val="24"/>
          <w:szCs w:val="24"/>
        </w:rPr>
        <w:t xml:space="preserve"> Krum followed Sherman’s testimony with other character witnesses who, when probed, admitted they had little contact with him in recent years.</w:t>
      </w:r>
      <w:r w:rsidRPr="00F06201">
        <w:rPr>
          <w:rFonts w:ascii="Times New Roman" w:hAnsi="Times New Roman" w:cs="Times New Roman"/>
          <w:sz w:val="24"/>
          <w:szCs w:val="24"/>
          <w:vertAlign w:val="superscript"/>
        </w:rPr>
        <w:footnoteReference w:id="1345"/>
      </w:r>
      <w:r w:rsidRPr="00F06201">
        <w:rPr>
          <w:rFonts w:ascii="Times New Roman" w:hAnsi="Times New Roman" w:cs="Times New Roman"/>
          <w:sz w:val="24"/>
          <w:szCs w:val="24"/>
        </w:rPr>
        <w:t xml:space="preserve"> Krum continued to enter evidence meant to impeach the reputations of the prosecution’s witnesses before calling William McKee to the stand, where he swore he neither had any knowledge of or any contact with McDonald regarding the Whiskey Ring.</w:t>
      </w:r>
      <w:r w:rsidRPr="00F06201">
        <w:rPr>
          <w:rFonts w:ascii="Times New Roman" w:hAnsi="Times New Roman" w:cs="Times New Roman"/>
          <w:sz w:val="24"/>
          <w:szCs w:val="24"/>
          <w:vertAlign w:val="superscript"/>
        </w:rPr>
        <w:footnoteReference w:id="1346"/>
      </w:r>
      <w:r w:rsidRPr="00F06201">
        <w:rPr>
          <w:rFonts w:ascii="Times New Roman" w:hAnsi="Times New Roman" w:cs="Times New Roman"/>
          <w:sz w:val="24"/>
          <w:szCs w:val="24"/>
        </w:rPr>
        <w:t xml:space="preserve"> He continued to call members of the Whiskey Ring to the stand, where they also testified they had no knowledge of any misdeeds associated with a Ring.</w:t>
      </w:r>
      <w:r w:rsidRPr="00F06201">
        <w:rPr>
          <w:rFonts w:ascii="Times New Roman" w:hAnsi="Times New Roman" w:cs="Times New Roman"/>
          <w:sz w:val="24"/>
          <w:szCs w:val="24"/>
          <w:vertAlign w:val="superscript"/>
        </w:rPr>
        <w:footnoteReference w:id="1347"/>
      </w:r>
    </w:p>
    <w:p w14:paraId="0D1CC038"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lastRenderedPageBreak/>
        <w:tab/>
        <w:t>On Monday, November 22, the trial came to a close.</w:t>
      </w:r>
      <w:r w:rsidRPr="00F06201">
        <w:rPr>
          <w:rFonts w:ascii="Times New Roman" w:hAnsi="Times New Roman" w:cs="Times New Roman"/>
          <w:sz w:val="24"/>
          <w:szCs w:val="24"/>
          <w:vertAlign w:val="superscript"/>
        </w:rPr>
        <w:footnoteReference w:id="1348"/>
      </w:r>
      <w:r w:rsidRPr="00F06201">
        <w:rPr>
          <w:rFonts w:ascii="Times New Roman" w:hAnsi="Times New Roman" w:cs="Times New Roman"/>
          <w:sz w:val="24"/>
          <w:szCs w:val="24"/>
        </w:rPr>
        <w:t xml:space="preserve"> Both Krum and Dyer gave their closing arguments, and the jury left to deliberate. After less than four hours, the jury reached a verdict, and the court reconvened for the results.</w:t>
      </w:r>
      <w:r w:rsidRPr="00F06201">
        <w:rPr>
          <w:rFonts w:ascii="Times New Roman" w:hAnsi="Times New Roman" w:cs="Times New Roman"/>
          <w:sz w:val="24"/>
          <w:szCs w:val="24"/>
          <w:vertAlign w:val="superscript"/>
        </w:rPr>
        <w:footnoteReference w:id="1349"/>
      </w:r>
      <w:r w:rsidRPr="00F06201">
        <w:rPr>
          <w:rFonts w:ascii="Times New Roman" w:hAnsi="Times New Roman" w:cs="Times New Roman"/>
          <w:sz w:val="24"/>
          <w:szCs w:val="24"/>
        </w:rPr>
        <w:t xml:space="preserve"> The jury announced that they found McDonald guilty on all counts, and Dyer asked that the judge either immediately pass sentence or take McDonald into custody.</w:t>
      </w:r>
      <w:r w:rsidRPr="00F06201">
        <w:rPr>
          <w:rFonts w:ascii="Times New Roman" w:hAnsi="Times New Roman" w:cs="Times New Roman"/>
          <w:sz w:val="24"/>
          <w:szCs w:val="24"/>
          <w:vertAlign w:val="superscript"/>
        </w:rPr>
        <w:footnoteReference w:id="1350"/>
      </w:r>
      <w:r w:rsidRPr="00F06201">
        <w:rPr>
          <w:rFonts w:ascii="Times New Roman" w:hAnsi="Times New Roman" w:cs="Times New Roman"/>
          <w:sz w:val="24"/>
          <w:szCs w:val="24"/>
        </w:rPr>
        <w:t xml:space="preserve"> The judge decided it would be best to wait until the other Whiskey Ring trials were complete to pass sentence and accordingly ordered McDonald to be held in the St. Louis jail until he could post a $50,000 bail.</w:t>
      </w:r>
      <w:r w:rsidRPr="00F06201">
        <w:rPr>
          <w:rFonts w:ascii="Times New Roman" w:hAnsi="Times New Roman" w:cs="Times New Roman"/>
          <w:sz w:val="24"/>
          <w:szCs w:val="24"/>
          <w:vertAlign w:val="superscript"/>
        </w:rPr>
        <w:footnoteReference w:id="1351"/>
      </w:r>
    </w:p>
    <w:p w14:paraId="2306E6CF"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After his conviction, McDonald was left in a tenuous situation. He had no intention of posting the obscenely high bail.</w:t>
      </w:r>
      <w:r w:rsidRPr="00F06201">
        <w:rPr>
          <w:rFonts w:ascii="Times New Roman" w:hAnsi="Times New Roman" w:cs="Times New Roman"/>
          <w:sz w:val="24"/>
          <w:szCs w:val="24"/>
          <w:vertAlign w:val="superscript"/>
        </w:rPr>
        <w:footnoteReference w:id="1352"/>
      </w:r>
      <w:r w:rsidRPr="00F06201">
        <w:rPr>
          <w:rFonts w:ascii="Times New Roman" w:hAnsi="Times New Roman" w:cs="Times New Roman"/>
          <w:sz w:val="24"/>
          <w:szCs w:val="24"/>
        </w:rPr>
        <w:t xml:space="preserve"> He believed that, regardless of his legal troubles, that he remained a favorite agent of Babcock and a friend of President Grant, so he hoped that the pardon Babcock previously promised would be on its way as soon as his sentence was passed.</w:t>
      </w:r>
      <w:r w:rsidRPr="00F06201">
        <w:rPr>
          <w:rFonts w:ascii="Times New Roman" w:hAnsi="Times New Roman" w:cs="Times New Roman"/>
          <w:sz w:val="24"/>
          <w:szCs w:val="24"/>
          <w:vertAlign w:val="superscript"/>
        </w:rPr>
        <w:footnoteReference w:id="1353"/>
      </w:r>
      <w:r w:rsidRPr="00F06201">
        <w:rPr>
          <w:rFonts w:ascii="Times New Roman" w:hAnsi="Times New Roman" w:cs="Times New Roman"/>
          <w:sz w:val="24"/>
          <w:szCs w:val="24"/>
        </w:rPr>
        <w:t xml:space="preserve"> He believed that his going to jail would prove his loyalty to the higher-ups in Washington.</w:t>
      </w:r>
      <w:r w:rsidRPr="00F06201">
        <w:rPr>
          <w:rFonts w:ascii="Times New Roman" w:hAnsi="Times New Roman" w:cs="Times New Roman"/>
          <w:sz w:val="24"/>
          <w:szCs w:val="24"/>
          <w:vertAlign w:val="superscript"/>
        </w:rPr>
        <w:footnoteReference w:id="1354"/>
      </w:r>
      <w:r w:rsidRPr="00F06201">
        <w:rPr>
          <w:rFonts w:ascii="Times New Roman" w:hAnsi="Times New Roman" w:cs="Times New Roman"/>
          <w:sz w:val="24"/>
          <w:szCs w:val="24"/>
        </w:rPr>
        <w:t xml:space="preserve"> Before reporting to the jail, McDonald went to Krum’s office, where Krum encouraged him to ask for an immediate pardon.</w:t>
      </w:r>
      <w:r w:rsidRPr="00F06201">
        <w:rPr>
          <w:rFonts w:ascii="Times New Roman" w:hAnsi="Times New Roman" w:cs="Times New Roman"/>
          <w:sz w:val="24"/>
          <w:szCs w:val="24"/>
          <w:vertAlign w:val="superscript"/>
        </w:rPr>
        <w:footnoteReference w:id="1355"/>
      </w:r>
      <w:r w:rsidRPr="00F06201">
        <w:rPr>
          <w:rFonts w:ascii="Times New Roman" w:hAnsi="Times New Roman" w:cs="Times New Roman"/>
          <w:sz w:val="24"/>
          <w:szCs w:val="24"/>
        </w:rPr>
        <w:t xml:space="preserve"> He was much more concerned about McDonald’s future than he was about those in Washington, so he tried to present his best case for his client. McDonald received a letter from Babcock earlier that day reassuring him that Grant would offer a pardon, Babcock’s own attempt to prevent McDonald from turning on him.</w:t>
      </w:r>
      <w:r w:rsidRPr="00F06201">
        <w:rPr>
          <w:rFonts w:ascii="Times New Roman" w:hAnsi="Times New Roman" w:cs="Times New Roman"/>
          <w:sz w:val="24"/>
          <w:szCs w:val="24"/>
          <w:vertAlign w:val="superscript"/>
        </w:rPr>
        <w:footnoteReference w:id="1356"/>
      </w:r>
      <w:r w:rsidRPr="00F06201">
        <w:rPr>
          <w:rFonts w:ascii="Times New Roman" w:hAnsi="Times New Roman" w:cs="Times New Roman"/>
          <w:sz w:val="24"/>
          <w:szCs w:val="24"/>
        </w:rPr>
        <w:t xml:space="preserve"> Yet Babcock did not need to worry, as McDonald remained steadfast, sure that his asking for a pardon would jeopardize his </w:t>
      </w:r>
      <w:r w:rsidRPr="00F06201">
        <w:rPr>
          <w:rFonts w:ascii="Times New Roman" w:hAnsi="Times New Roman" w:cs="Times New Roman"/>
          <w:sz w:val="24"/>
          <w:szCs w:val="24"/>
        </w:rPr>
        <w:lastRenderedPageBreak/>
        <w:t>friends in Washington.</w:t>
      </w:r>
      <w:r w:rsidRPr="00F06201">
        <w:rPr>
          <w:rFonts w:ascii="Times New Roman" w:hAnsi="Times New Roman" w:cs="Times New Roman"/>
          <w:sz w:val="24"/>
          <w:szCs w:val="24"/>
          <w:vertAlign w:val="superscript"/>
        </w:rPr>
        <w:footnoteReference w:id="1357"/>
      </w:r>
      <w:r w:rsidRPr="00F06201">
        <w:rPr>
          <w:rFonts w:ascii="Times New Roman" w:hAnsi="Times New Roman" w:cs="Times New Roman"/>
          <w:sz w:val="24"/>
          <w:szCs w:val="24"/>
        </w:rPr>
        <w:t xml:space="preserve"> He later wrote “My position, serious as it was, did not make me forget my duty. I had avowed my determination to protect…Gen. Babcock even at the sacrifice of my own feelings and humiliation.”</w:t>
      </w:r>
      <w:r w:rsidRPr="00F06201">
        <w:rPr>
          <w:rFonts w:ascii="Times New Roman" w:hAnsi="Times New Roman" w:cs="Times New Roman"/>
          <w:sz w:val="24"/>
          <w:szCs w:val="24"/>
          <w:vertAlign w:val="superscript"/>
        </w:rPr>
        <w:footnoteReference w:id="1358"/>
      </w:r>
      <w:r w:rsidRPr="00F06201">
        <w:rPr>
          <w:rFonts w:ascii="Times New Roman" w:hAnsi="Times New Roman" w:cs="Times New Roman"/>
          <w:sz w:val="24"/>
          <w:szCs w:val="24"/>
        </w:rPr>
        <w:t xml:space="preserve"> After leaving Krum’s office, McDonald was escorted to jail and assigned to a cell.</w:t>
      </w:r>
      <w:r w:rsidRPr="00F06201">
        <w:rPr>
          <w:rFonts w:ascii="Times New Roman" w:hAnsi="Times New Roman" w:cs="Times New Roman"/>
          <w:sz w:val="24"/>
          <w:szCs w:val="24"/>
          <w:vertAlign w:val="superscript"/>
        </w:rPr>
        <w:footnoteReference w:id="1359"/>
      </w:r>
    </w:p>
    <w:p w14:paraId="5AD14B18"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To say that McDonald’s time in jail was a punishment would be an outright lie. Upon his arrival, a guard recognized him and took him out of his small cell and left him in the hallway until the jailer returned while ordering dinner and champagne for him from a nearby restaurant.</w:t>
      </w:r>
      <w:r w:rsidRPr="00F06201">
        <w:rPr>
          <w:rFonts w:ascii="Times New Roman" w:hAnsi="Times New Roman" w:cs="Times New Roman"/>
          <w:sz w:val="24"/>
          <w:szCs w:val="24"/>
          <w:vertAlign w:val="superscript"/>
        </w:rPr>
        <w:footnoteReference w:id="1360"/>
      </w:r>
      <w:r w:rsidRPr="00F06201">
        <w:rPr>
          <w:rFonts w:ascii="Times New Roman" w:hAnsi="Times New Roman" w:cs="Times New Roman"/>
          <w:sz w:val="24"/>
          <w:szCs w:val="24"/>
        </w:rPr>
        <w:t xml:space="preserve"> The jailer worked to ensure McDonald’s comfort, ordering special bedding, painting his cell and decorating with oil paintings, and allowing meals cooked to order alongside cigars and fine drinks.</w:t>
      </w:r>
      <w:r w:rsidRPr="00F06201">
        <w:rPr>
          <w:rFonts w:ascii="Times New Roman" w:hAnsi="Times New Roman" w:cs="Times New Roman"/>
          <w:sz w:val="24"/>
          <w:szCs w:val="24"/>
          <w:vertAlign w:val="superscript"/>
        </w:rPr>
        <w:footnoteReference w:id="1361"/>
      </w:r>
      <w:r w:rsidRPr="00F06201">
        <w:rPr>
          <w:rFonts w:ascii="Times New Roman" w:hAnsi="Times New Roman" w:cs="Times New Roman"/>
          <w:sz w:val="24"/>
          <w:szCs w:val="24"/>
        </w:rPr>
        <w:t xml:space="preserve"> He allowed McDonald visitors, including reporters for interviews, and conjugal visits with his mistress.</w:t>
      </w:r>
      <w:r w:rsidRPr="00F06201">
        <w:rPr>
          <w:rFonts w:ascii="Times New Roman" w:hAnsi="Times New Roman" w:cs="Times New Roman"/>
          <w:sz w:val="24"/>
          <w:szCs w:val="24"/>
          <w:vertAlign w:val="superscript"/>
        </w:rPr>
        <w:footnoteReference w:id="1362"/>
      </w:r>
      <w:r w:rsidRPr="00F06201">
        <w:rPr>
          <w:rFonts w:ascii="Times New Roman" w:hAnsi="Times New Roman" w:cs="Times New Roman"/>
          <w:sz w:val="24"/>
          <w:szCs w:val="24"/>
        </w:rPr>
        <w:t xml:space="preserve"> He hosted parties for his friends and the jail officers alike, offering delicacies that have no place in jail.</w:t>
      </w:r>
      <w:r w:rsidRPr="00F06201">
        <w:rPr>
          <w:rFonts w:ascii="Times New Roman" w:hAnsi="Times New Roman" w:cs="Times New Roman"/>
          <w:sz w:val="24"/>
          <w:szCs w:val="24"/>
          <w:vertAlign w:val="superscript"/>
        </w:rPr>
        <w:footnoteReference w:id="1363"/>
      </w:r>
      <w:r w:rsidRPr="00F06201">
        <w:rPr>
          <w:rFonts w:ascii="Times New Roman" w:hAnsi="Times New Roman" w:cs="Times New Roman"/>
          <w:sz w:val="24"/>
          <w:szCs w:val="24"/>
        </w:rPr>
        <w:t xml:space="preserve"> He was even allowed to leave the jail on certain occasions as long as he was accompanied by the jailer or one of his deputies.</w:t>
      </w:r>
      <w:r w:rsidRPr="00F06201">
        <w:rPr>
          <w:rFonts w:ascii="Times New Roman" w:hAnsi="Times New Roman" w:cs="Times New Roman"/>
          <w:sz w:val="24"/>
          <w:szCs w:val="24"/>
          <w:vertAlign w:val="superscript"/>
        </w:rPr>
        <w:footnoteReference w:id="1364"/>
      </w:r>
      <w:r w:rsidRPr="00F06201">
        <w:rPr>
          <w:rFonts w:ascii="Times New Roman" w:hAnsi="Times New Roman" w:cs="Times New Roman"/>
          <w:sz w:val="24"/>
          <w:szCs w:val="24"/>
        </w:rPr>
        <w:t xml:space="preserve"> In this capacity, he was allowed nightly passes to attend parties thrown by friends or to visit his mistress either in the nearby home he set up for her or in a nearby hotel.</w:t>
      </w:r>
      <w:r w:rsidRPr="00F06201">
        <w:rPr>
          <w:rFonts w:ascii="Times New Roman" w:hAnsi="Times New Roman" w:cs="Times New Roman"/>
          <w:sz w:val="24"/>
          <w:szCs w:val="24"/>
          <w:vertAlign w:val="superscript"/>
        </w:rPr>
        <w:footnoteReference w:id="1365"/>
      </w:r>
      <w:r w:rsidRPr="00F06201">
        <w:rPr>
          <w:rFonts w:ascii="Times New Roman" w:hAnsi="Times New Roman" w:cs="Times New Roman"/>
          <w:sz w:val="24"/>
          <w:szCs w:val="24"/>
        </w:rPr>
        <w:t xml:space="preserve"> In many ways, McDonald continued to live in jail as he had as a free man.</w:t>
      </w:r>
    </w:p>
    <w:p w14:paraId="2A3AC4E4"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 xml:space="preserve">From his “cell,” McDonald followed the ongoing trials into the Whiskey Ring, and he witnessed Dyer’s continued efforts to connect Babcock to the alleged crimes in St. Louis through </w:t>
      </w:r>
      <w:r w:rsidRPr="00F06201">
        <w:rPr>
          <w:rFonts w:ascii="Times New Roman" w:hAnsi="Times New Roman" w:cs="Times New Roman"/>
          <w:sz w:val="24"/>
          <w:szCs w:val="24"/>
        </w:rPr>
        <w:lastRenderedPageBreak/>
        <w:t>the ongoing William Avery trial. Avery’s testimony implicated McDonald, Joyce, and other members of the Whiskey Ring, as did additional testimony from Conduce Megrue, in an effort to establish that Avery was a stool pigeon in a broader scheme of corruption.</w:t>
      </w:r>
      <w:r w:rsidRPr="00F06201">
        <w:rPr>
          <w:rFonts w:ascii="Times New Roman" w:hAnsi="Times New Roman" w:cs="Times New Roman"/>
          <w:sz w:val="24"/>
          <w:szCs w:val="24"/>
          <w:vertAlign w:val="superscript"/>
        </w:rPr>
        <w:footnoteReference w:id="1366"/>
      </w:r>
      <w:r w:rsidRPr="00F06201">
        <w:rPr>
          <w:rFonts w:ascii="Times New Roman" w:hAnsi="Times New Roman" w:cs="Times New Roman"/>
          <w:sz w:val="24"/>
          <w:szCs w:val="24"/>
        </w:rPr>
        <w:t xml:space="preserve"> Dyer however continued to push the envelope. He was certain that there was a greater target at which to aim, and through his investigations he became convinced that this target was General Orville Babcock.</w:t>
      </w:r>
      <w:r w:rsidRPr="00F06201">
        <w:rPr>
          <w:rFonts w:ascii="Times New Roman" w:hAnsi="Times New Roman" w:cs="Times New Roman"/>
          <w:sz w:val="24"/>
          <w:szCs w:val="24"/>
          <w:vertAlign w:val="superscript"/>
        </w:rPr>
        <w:footnoteReference w:id="1367"/>
      </w:r>
      <w:r w:rsidRPr="00F06201">
        <w:rPr>
          <w:rFonts w:ascii="Times New Roman" w:hAnsi="Times New Roman" w:cs="Times New Roman"/>
          <w:sz w:val="24"/>
          <w:szCs w:val="24"/>
        </w:rPr>
        <w:t xml:space="preserve"> He wired Washington these suspicions accordingly: “Acting upon what I consider sufficient testimony to connect Babcock with the conspiracy to defraud the revenue in this district, or at least with having a guilty knowledge thereof, I shall prepare and lay before the grand jury a bill of indictment against him.”</w:t>
      </w:r>
      <w:r w:rsidRPr="00F06201">
        <w:rPr>
          <w:rFonts w:ascii="Times New Roman" w:hAnsi="Times New Roman" w:cs="Times New Roman"/>
          <w:sz w:val="24"/>
          <w:szCs w:val="24"/>
          <w:vertAlign w:val="superscript"/>
        </w:rPr>
        <w:footnoteReference w:id="1368"/>
      </w:r>
      <w:r w:rsidRPr="00F06201">
        <w:rPr>
          <w:rFonts w:ascii="Times New Roman" w:hAnsi="Times New Roman" w:cs="Times New Roman"/>
          <w:sz w:val="24"/>
          <w:szCs w:val="24"/>
        </w:rPr>
        <w:t xml:space="preserve"> By the time Babcock heard this, it was already too late, as Dyer was determined that “when the testimony is sufficient, let neither place, position, nor wealth shield the guilty party,” and in this case he was convinced that Babcock wore that guilt.</w:t>
      </w:r>
      <w:r w:rsidRPr="00F06201">
        <w:rPr>
          <w:rFonts w:ascii="Times New Roman" w:hAnsi="Times New Roman" w:cs="Times New Roman"/>
          <w:sz w:val="24"/>
          <w:szCs w:val="24"/>
          <w:vertAlign w:val="superscript"/>
        </w:rPr>
        <w:footnoteReference w:id="1369"/>
      </w:r>
    </w:p>
    <w:p w14:paraId="2BA02B42"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It was clear by this point in the proceedings that Bristow was on a mission to weed out corruption in the administration wherever it may live, seeking to make a name for himself accordingly. Bristow was determined to make a run at the presidency on the Republican ticket on the basis of his reform efforts, and in doing so, he was determined to make an example of someone with a significant position.</w:t>
      </w:r>
      <w:r w:rsidRPr="00F06201">
        <w:rPr>
          <w:rFonts w:ascii="Times New Roman" w:hAnsi="Times New Roman" w:cs="Times New Roman"/>
          <w:sz w:val="24"/>
          <w:szCs w:val="24"/>
          <w:vertAlign w:val="superscript"/>
        </w:rPr>
        <w:footnoteReference w:id="1370"/>
      </w:r>
      <w:r w:rsidRPr="00F06201">
        <w:rPr>
          <w:rFonts w:ascii="Times New Roman" w:hAnsi="Times New Roman" w:cs="Times New Roman"/>
          <w:sz w:val="24"/>
          <w:szCs w:val="24"/>
        </w:rPr>
        <w:t xml:space="preserve"> Bristow believed that he was “surrounded by treachery &amp; hatred at every point.”</w:t>
      </w:r>
      <w:r w:rsidRPr="00F06201">
        <w:rPr>
          <w:rFonts w:ascii="Times New Roman" w:hAnsi="Times New Roman" w:cs="Times New Roman"/>
          <w:sz w:val="24"/>
          <w:szCs w:val="24"/>
          <w:vertAlign w:val="superscript"/>
        </w:rPr>
        <w:footnoteReference w:id="1371"/>
      </w:r>
      <w:r w:rsidRPr="00F06201">
        <w:rPr>
          <w:rFonts w:ascii="Times New Roman" w:hAnsi="Times New Roman" w:cs="Times New Roman"/>
          <w:sz w:val="24"/>
          <w:szCs w:val="24"/>
        </w:rPr>
        <w:t xml:space="preserve"> He griped about Attorney General Edwards Pierrepont, suggesting his colleague was “utterly unscrupulous &amp; treacherous” to the point that “he will secretly do </w:t>
      </w:r>
      <w:r w:rsidRPr="00F06201">
        <w:rPr>
          <w:rFonts w:ascii="Times New Roman" w:hAnsi="Times New Roman" w:cs="Times New Roman"/>
          <w:sz w:val="24"/>
          <w:szCs w:val="24"/>
        </w:rPr>
        <w:lastRenderedPageBreak/>
        <w:t>what he can to save the exposure of certain parties to destroy me.”</w:t>
      </w:r>
      <w:r w:rsidRPr="00F06201">
        <w:rPr>
          <w:rFonts w:ascii="Times New Roman" w:hAnsi="Times New Roman" w:cs="Times New Roman"/>
          <w:sz w:val="24"/>
          <w:szCs w:val="24"/>
          <w:vertAlign w:val="superscript"/>
        </w:rPr>
        <w:footnoteReference w:id="1372"/>
      </w:r>
      <w:r w:rsidRPr="00F06201">
        <w:rPr>
          <w:rFonts w:ascii="Times New Roman" w:hAnsi="Times New Roman" w:cs="Times New Roman"/>
          <w:sz w:val="24"/>
          <w:szCs w:val="24"/>
        </w:rPr>
        <w:t xml:space="preserve"> Bristow also made efforts to investigate other administration members, and in doing so made enough enemies that he alienated himself. He considered resignation, but a friend warned him that any future plans he held would be “imperiled if [he] should quit [his] post voluntarily when the war upon the whiskey ring is raging.”</w:t>
      </w:r>
      <w:r w:rsidRPr="00F06201">
        <w:rPr>
          <w:rFonts w:ascii="Times New Roman" w:hAnsi="Times New Roman" w:cs="Times New Roman"/>
          <w:sz w:val="24"/>
          <w:szCs w:val="24"/>
          <w:vertAlign w:val="superscript"/>
        </w:rPr>
        <w:footnoteReference w:id="1373"/>
      </w:r>
      <w:r w:rsidRPr="00F06201">
        <w:rPr>
          <w:rFonts w:ascii="Times New Roman" w:hAnsi="Times New Roman" w:cs="Times New Roman"/>
          <w:sz w:val="24"/>
          <w:szCs w:val="24"/>
        </w:rPr>
        <w:t xml:space="preserve"> Bristow held strong in his post despite relentless opposition within his own party, and his focus shifted to unveiling who he believed to be the mastermind of the Whiskey Ring: Orville Babcock.</w:t>
      </w:r>
    </w:p>
    <w:p w14:paraId="3AA840F1" w14:textId="5D30F8E3"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 xml:space="preserve">By the end of November, Babcock’s situation became dire. The rumors of his indictment throughout the media incited him to take action to </w:t>
      </w:r>
      <w:r w:rsidR="00187CB6">
        <w:rPr>
          <w:rFonts w:ascii="Times New Roman" w:hAnsi="Times New Roman" w:cs="Times New Roman"/>
          <w:sz w:val="24"/>
          <w:szCs w:val="24"/>
        </w:rPr>
        <w:t>prevent</w:t>
      </w:r>
      <w:r w:rsidRPr="00F06201">
        <w:rPr>
          <w:rFonts w:ascii="Times New Roman" w:hAnsi="Times New Roman" w:cs="Times New Roman"/>
          <w:sz w:val="24"/>
          <w:szCs w:val="24"/>
        </w:rPr>
        <w:t xml:space="preserve"> h</w:t>
      </w:r>
      <w:r w:rsidR="00187CB6">
        <w:rPr>
          <w:rFonts w:ascii="Times New Roman" w:hAnsi="Times New Roman" w:cs="Times New Roman"/>
          <w:sz w:val="24"/>
          <w:szCs w:val="24"/>
        </w:rPr>
        <w:t>is</w:t>
      </w:r>
      <w:r w:rsidRPr="00F06201">
        <w:rPr>
          <w:rFonts w:ascii="Times New Roman" w:hAnsi="Times New Roman" w:cs="Times New Roman"/>
          <w:sz w:val="24"/>
          <w:szCs w:val="24"/>
        </w:rPr>
        <w:t xml:space="preserve"> </w:t>
      </w:r>
      <w:r w:rsidR="00187CB6">
        <w:rPr>
          <w:rFonts w:ascii="Times New Roman" w:hAnsi="Times New Roman" w:cs="Times New Roman"/>
          <w:sz w:val="24"/>
          <w:szCs w:val="24"/>
        </w:rPr>
        <w:t>political demise</w:t>
      </w:r>
      <w:r w:rsidRPr="00F06201">
        <w:rPr>
          <w:rFonts w:ascii="Times New Roman" w:hAnsi="Times New Roman" w:cs="Times New Roman"/>
          <w:sz w:val="24"/>
          <w:szCs w:val="24"/>
        </w:rPr>
        <w:t>.   His friend and former Grant-aide Horace Porter came to Washington to provide counsel to Babcock, and together they convinced Pierrepont to send solicitor Bluford Wilson from the Justice Department to St. Louis to advise Dyer not to indict Babcock “except upon the clearest and fullest testimony.”</w:t>
      </w:r>
      <w:r w:rsidRPr="00F06201">
        <w:rPr>
          <w:rFonts w:ascii="Times New Roman" w:hAnsi="Times New Roman" w:cs="Times New Roman"/>
          <w:sz w:val="24"/>
          <w:szCs w:val="24"/>
          <w:vertAlign w:val="superscript"/>
        </w:rPr>
        <w:footnoteReference w:id="1374"/>
      </w:r>
      <w:r w:rsidRPr="00F06201">
        <w:rPr>
          <w:rFonts w:ascii="Times New Roman" w:hAnsi="Times New Roman" w:cs="Times New Roman"/>
          <w:sz w:val="24"/>
          <w:szCs w:val="24"/>
        </w:rPr>
        <w:t xml:space="preserve"> Here again Bristow thought Pierrepont sought to undermine his investigations by sending his own subordinate to stop the scandal, but Wilson played along so well that he assured Pierrepont “we have nothing to fear from hasty or ill advised action.”</w:t>
      </w:r>
      <w:r w:rsidRPr="00F06201">
        <w:rPr>
          <w:rFonts w:ascii="Times New Roman" w:hAnsi="Times New Roman" w:cs="Times New Roman"/>
          <w:sz w:val="24"/>
          <w:szCs w:val="24"/>
          <w:vertAlign w:val="superscript"/>
        </w:rPr>
        <w:footnoteReference w:id="1375"/>
      </w:r>
      <w:r w:rsidRPr="00F06201">
        <w:rPr>
          <w:rFonts w:ascii="Times New Roman" w:hAnsi="Times New Roman" w:cs="Times New Roman"/>
          <w:sz w:val="24"/>
          <w:szCs w:val="24"/>
        </w:rPr>
        <w:t xml:space="preserve"> He omitted from his reports that Dyer continued to investigate Babcock as a potential ring member.</w:t>
      </w:r>
      <w:r w:rsidRPr="00F06201">
        <w:rPr>
          <w:rFonts w:ascii="Times New Roman" w:hAnsi="Times New Roman" w:cs="Times New Roman"/>
          <w:sz w:val="24"/>
          <w:szCs w:val="24"/>
          <w:vertAlign w:val="superscript"/>
        </w:rPr>
        <w:footnoteReference w:id="1376"/>
      </w:r>
      <w:r w:rsidRPr="00F06201">
        <w:rPr>
          <w:rFonts w:ascii="Times New Roman" w:hAnsi="Times New Roman" w:cs="Times New Roman"/>
          <w:sz w:val="24"/>
          <w:szCs w:val="24"/>
        </w:rPr>
        <w:t xml:space="preserve"> Babcock sought further aid from Porter to use President Grant as a shield, and Porter did so by confronting Wilson on his return with a letter he had written instructing officers in St. Louis to tail McDonald </w:t>
      </w:r>
      <w:r w:rsidRPr="00F06201">
        <w:rPr>
          <w:rFonts w:ascii="Times New Roman" w:hAnsi="Times New Roman" w:cs="Times New Roman"/>
          <w:sz w:val="24"/>
          <w:szCs w:val="24"/>
        </w:rPr>
        <w:lastRenderedPageBreak/>
        <w:t>and Joyce while President Grant visited the city.</w:t>
      </w:r>
      <w:r w:rsidRPr="00F06201">
        <w:rPr>
          <w:rFonts w:ascii="Times New Roman" w:hAnsi="Times New Roman" w:cs="Times New Roman"/>
          <w:sz w:val="24"/>
          <w:szCs w:val="24"/>
          <w:vertAlign w:val="superscript"/>
        </w:rPr>
        <w:footnoteReference w:id="1377"/>
      </w:r>
      <w:r w:rsidRPr="00F06201">
        <w:rPr>
          <w:rFonts w:ascii="Times New Roman" w:hAnsi="Times New Roman" w:cs="Times New Roman"/>
          <w:sz w:val="24"/>
          <w:szCs w:val="24"/>
        </w:rPr>
        <w:t xml:space="preserve"> This </w:t>
      </w:r>
      <w:r w:rsidR="00802A79">
        <w:rPr>
          <w:rFonts w:ascii="Times New Roman" w:hAnsi="Times New Roman" w:cs="Times New Roman"/>
          <w:sz w:val="24"/>
          <w:szCs w:val="24"/>
        </w:rPr>
        <w:t xml:space="preserve">was the </w:t>
      </w:r>
      <w:r w:rsidRPr="00F06201">
        <w:rPr>
          <w:rFonts w:ascii="Times New Roman" w:hAnsi="Times New Roman" w:cs="Times New Roman"/>
          <w:sz w:val="24"/>
          <w:szCs w:val="24"/>
        </w:rPr>
        <w:t>message</w:t>
      </w:r>
      <w:r w:rsidR="00802A79">
        <w:rPr>
          <w:rFonts w:ascii="Times New Roman" w:hAnsi="Times New Roman" w:cs="Times New Roman"/>
          <w:sz w:val="24"/>
          <w:szCs w:val="24"/>
        </w:rPr>
        <w:t xml:space="preserve"> that</w:t>
      </w:r>
      <w:r w:rsidRPr="00F06201">
        <w:rPr>
          <w:rFonts w:ascii="Times New Roman" w:hAnsi="Times New Roman" w:cs="Times New Roman"/>
          <w:sz w:val="24"/>
          <w:szCs w:val="24"/>
        </w:rPr>
        <w:t xml:space="preserve"> urged the recipient to “reach the very bottom or </w:t>
      </w:r>
      <w:r w:rsidRPr="00F06201">
        <w:rPr>
          <w:rFonts w:ascii="Times New Roman" w:hAnsi="Times New Roman" w:cs="Times New Roman"/>
          <w:i/>
          <w:iCs/>
          <w:sz w:val="24"/>
          <w:szCs w:val="24"/>
        </w:rPr>
        <w:t xml:space="preserve">top </w:t>
      </w:r>
      <w:r w:rsidRPr="00F06201">
        <w:rPr>
          <w:rFonts w:ascii="Times New Roman" w:hAnsi="Times New Roman" w:cs="Times New Roman"/>
          <w:sz w:val="24"/>
          <w:szCs w:val="24"/>
        </w:rPr>
        <w:t>of the conspiracy” with the letters “W.H.” indicating that the White House may be involved.</w:t>
      </w:r>
      <w:r w:rsidRPr="00F06201">
        <w:rPr>
          <w:rFonts w:ascii="Times New Roman" w:hAnsi="Times New Roman" w:cs="Times New Roman"/>
          <w:sz w:val="24"/>
          <w:szCs w:val="24"/>
          <w:vertAlign w:val="superscript"/>
        </w:rPr>
        <w:footnoteReference w:id="1378"/>
      </w:r>
      <w:r w:rsidRPr="00F06201">
        <w:rPr>
          <w:rFonts w:ascii="Times New Roman" w:hAnsi="Times New Roman" w:cs="Times New Roman"/>
          <w:sz w:val="24"/>
          <w:szCs w:val="24"/>
        </w:rPr>
        <w:t xml:space="preserve"> Wilson maintained his original </w:t>
      </w:r>
      <w:r w:rsidR="00F7230E" w:rsidRPr="00F06201">
        <w:rPr>
          <w:rFonts w:ascii="Times New Roman" w:hAnsi="Times New Roman" w:cs="Times New Roman"/>
          <w:sz w:val="24"/>
          <w:szCs w:val="24"/>
        </w:rPr>
        <w:t>letter book</w:t>
      </w:r>
      <w:r w:rsidRPr="00F06201">
        <w:rPr>
          <w:rFonts w:ascii="Times New Roman" w:hAnsi="Times New Roman" w:cs="Times New Roman"/>
          <w:sz w:val="24"/>
          <w:szCs w:val="24"/>
        </w:rPr>
        <w:t xml:space="preserve"> and showed Porter that he had not written the “W.H.,” insisting</w:t>
      </w:r>
      <w:r w:rsidR="006438BD">
        <w:rPr>
          <w:rFonts w:ascii="Times New Roman" w:hAnsi="Times New Roman" w:cs="Times New Roman"/>
          <w:sz w:val="24"/>
          <w:szCs w:val="24"/>
        </w:rPr>
        <w:t xml:space="preserve"> that</w:t>
      </w:r>
      <w:r w:rsidRPr="00F06201">
        <w:rPr>
          <w:rFonts w:ascii="Times New Roman" w:hAnsi="Times New Roman" w:cs="Times New Roman"/>
          <w:sz w:val="24"/>
          <w:szCs w:val="24"/>
        </w:rPr>
        <w:t xml:space="preserve"> someone else inserted it into the copy in an effort to stir up strife.</w:t>
      </w:r>
      <w:r w:rsidRPr="00F06201">
        <w:rPr>
          <w:rFonts w:ascii="Times New Roman" w:hAnsi="Times New Roman" w:cs="Times New Roman"/>
          <w:sz w:val="24"/>
          <w:szCs w:val="24"/>
          <w:vertAlign w:val="superscript"/>
        </w:rPr>
        <w:footnoteReference w:id="1379"/>
      </w:r>
      <w:r w:rsidRPr="00F06201">
        <w:rPr>
          <w:rFonts w:ascii="Times New Roman" w:hAnsi="Times New Roman" w:cs="Times New Roman"/>
          <w:sz w:val="24"/>
          <w:szCs w:val="24"/>
        </w:rPr>
        <w:t xml:space="preserve"> Porter attempted once again to persuade Wilson to omit evidence that </w:t>
      </w:r>
      <w:r w:rsidR="006438BD">
        <w:rPr>
          <w:rFonts w:ascii="Times New Roman" w:hAnsi="Times New Roman" w:cs="Times New Roman"/>
          <w:sz w:val="24"/>
          <w:szCs w:val="24"/>
        </w:rPr>
        <w:t>could</w:t>
      </w:r>
      <w:r w:rsidRPr="00F06201">
        <w:rPr>
          <w:rFonts w:ascii="Times New Roman" w:hAnsi="Times New Roman" w:cs="Times New Roman"/>
          <w:sz w:val="24"/>
          <w:szCs w:val="24"/>
        </w:rPr>
        <w:t xml:space="preserve"> damage President Grant’s reputation before leaving, though Wilson did not heed this advice.</w:t>
      </w:r>
      <w:r w:rsidRPr="00F06201">
        <w:rPr>
          <w:rFonts w:ascii="Times New Roman" w:hAnsi="Times New Roman" w:cs="Times New Roman"/>
          <w:sz w:val="24"/>
          <w:szCs w:val="24"/>
          <w:vertAlign w:val="superscript"/>
        </w:rPr>
        <w:footnoteReference w:id="1380"/>
      </w:r>
    </w:p>
    <w:p w14:paraId="63D03FB4"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As Babcock scrambled to defend his own reputation amidst the growing allegations, perhaps the most damning evidence suggesting his involvement with the Whiskey Ring was uncovered in mid-November during John McDonald’s trial in St. Louis. On the same day that Bristow met with President Grant to inform him that nothing had been found implicating Babcock, Wilson and the St. Louis prosecutors continued to dig into the matter.</w:t>
      </w:r>
      <w:r w:rsidRPr="00F06201">
        <w:rPr>
          <w:rFonts w:ascii="Times New Roman" w:hAnsi="Times New Roman" w:cs="Times New Roman"/>
          <w:sz w:val="24"/>
          <w:szCs w:val="24"/>
          <w:vertAlign w:val="superscript"/>
        </w:rPr>
        <w:footnoteReference w:id="1381"/>
      </w:r>
      <w:r w:rsidRPr="00F06201">
        <w:rPr>
          <w:rFonts w:ascii="Times New Roman" w:hAnsi="Times New Roman" w:cs="Times New Roman"/>
          <w:sz w:val="24"/>
          <w:szCs w:val="24"/>
        </w:rPr>
        <w:t xml:space="preserve"> They soon found a telegram that would crack their case wide open. This telegram was dated December 5, 1874 and was sent from Babcock to Joyce, and it informed its recipient that the sender did not find “that anyone had gone or is going.”</w:t>
      </w:r>
      <w:r w:rsidRPr="00F06201">
        <w:rPr>
          <w:rFonts w:ascii="Times New Roman" w:hAnsi="Times New Roman" w:cs="Times New Roman"/>
          <w:sz w:val="24"/>
          <w:szCs w:val="24"/>
          <w:vertAlign w:val="superscript"/>
        </w:rPr>
        <w:footnoteReference w:id="1382"/>
      </w:r>
      <w:r w:rsidRPr="00F06201">
        <w:rPr>
          <w:rFonts w:ascii="Times New Roman" w:hAnsi="Times New Roman" w:cs="Times New Roman"/>
          <w:sz w:val="24"/>
          <w:szCs w:val="24"/>
        </w:rPr>
        <w:t xml:space="preserve"> Babcock here referred to investigators not being sent to investigate the ring in St. Louis, but here he did not use a pseudonym to sign the telegram but his own name.</w:t>
      </w:r>
      <w:r w:rsidRPr="00F06201">
        <w:rPr>
          <w:rFonts w:ascii="Times New Roman" w:hAnsi="Times New Roman" w:cs="Times New Roman"/>
          <w:sz w:val="24"/>
          <w:szCs w:val="24"/>
          <w:vertAlign w:val="superscript"/>
        </w:rPr>
        <w:footnoteReference w:id="1383"/>
      </w:r>
      <w:r w:rsidRPr="00F06201">
        <w:rPr>
          <w:rFonts w:ascii="Times New Roman" w:hAnsi="Times New Roman" w:cs="Times New Roman"/>
          <w:sz w:val="24"/>
          <w:szCs w:val="24"/>
        </w:rPr>
        <w:t xml:space="preserve"> When Bristow received the evidence, he showed it to President Grant, who expressed his faith in his friend but nevertheless expressed “that if he was guilty he hoped he </w:t>
      </w:r>
      <w:r w:rsidRPr="00F06201">
        <w:rPr>
          <w:rFonts w:ascii="Times New Roman" w:hAnsi="Times New Roman" w:cs="Times New Roman"/>
          <w:sz w:val="24"/>
          <w:szCs w:val="24"/>
        </w:rPr>
        <w:lastRenderedPageBreak/>
        <w:t>would be prosecuted to the bitter end.”</w:t>
      </w:r>
      <w:r w:rsidRPr="00F06201">
        <w:rPr>
          <w:rFonts w:ascii="Times New Roman" w:hAnsi="Times New Roman" w:cs="Times New Roman"/>
          <w:sz w:val="24"/>
          <w:szCs w:val="24"/>
          <w:vertAlign w:val="superscript"/>
        </w:rPr>
        <w:footnoteReference w:id="1384"/>
      </w:r>
      <w:r w:rsidRPr="00F06201">
        <w:rPr>
          <w:rFonts w:ascii="Times New Roman" w:hAnsi="Times New Roman" w:cs="Times New Roman"/>
          <w:sz w:val="24"/>
          <w:szCs w:val="24"/>
        </w:rPr>
        <w:t xml:space="preserve"> The two then confronted Babcock with the telegram, and he insisted that he did not remember the context of the message but assured them that “in any event it could not relate to any criminal transaction, between himself and the person to whom it was addressed.”</w:t>
      </w:r>
      <w:r w:rsidRPr="00F06201">
        <w:rPr>
          <w:rFonts w:ascii="Times New Roman" w:hAnsi="Times New Roman" w:cs="Times New Roman"/>
          <w:sz w:val="24"/>
          <w:szCs w:val="24"/>
          <w:vertAlign w:val="superscript"/>
        </w:rPr>
        <w:footnoteReference w:id="1385"/>
      </w:r>
    </w:p>
    <w:p w14:paraId="4728DAA5"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This telegraph proved problematic for Babcock in part because, when combined with another series of telegrams, it implicated him as a key member in the Whiskey Ring. This series of telegrams, referred to as the “Sylph Telegrams,” spelled doom for Babcock in Dyer’s investigation. As the investigators dug into McDonald’s sent and received telegrams, they came across a copy of one that was signed “Sylph” which read “I succeeded. They will not go. Will write you.”</w:t>
      </w:r>
      <w:r w:rsidRPr="00F06201">
        <w:rPr>
          <w:rFonts w:ascii="Times New Roman" w:hAnsi="Times New Roman" w:cs="Times New Roman"/>
          <w:sz w:val="24"/>
          <w:szCs w:val="24"/>
          <w:vertAlign w:val="superscript"/>
        </w:rPr>
        <w:footnoteReference w:id="1386"/>
      </w:r>
      <w:r w:rsidRPr="00F06201">
        <w:rPr>
          <w:rFonts w:ascii="Times New Roman" w:hAnsi="Times New Roman" w:cs="Times New Roman"/>
          <w:sz w:val="24"/>
          <w:szCs w:val="24"/>
        </w:rPr>
        <w:t xml:space="preserve"> The investigators noticed the indication of someone preventing something amid their uncovering a conspiracy and determined to find out who Sylph could be. Dyer messaged Bristow the copy of the telegram and asked him to go to the telegraph office in Washington where the records of original messages were kept to find the original.</w:t>
      </w:r>
      <w:r w:rsidRPr="00F06201">
        <w:rPr>
          <w:rFonts w:ascii="Times New Roman" w:hAnsi="Times New Roman" w:cs="Times New Roman"/>
          <w:sz w:val="24"/>
          <w:szCs w:val="24"/>
          <w:vertAlign w:val="superscript"/>
        </w:rPr>
        <w:footnoteReference w:id="1387"/>
      </w:r>
      <w:r w:rsidRPr="00F06201">
        <w:rPr>
          <w:rFonts w:ascii="Times New Roman" w:hAnsi="Times New Roman" w:cs="Times New Roman"/>
          <w:sz w:val="24"/>
          <w:szCs w:val="24"/>
        </w:rPr>
        <w:t xml:space="preserve"> Bristow did as he was asked, and after conferring with Dyer, they determined that the original was written in Babcock’s handwriting.</w:t>
      </w:r>
      <w:r w:rsidRPr="00F06201">
        <w:rPr>
          <w:rFonts w:ascii="Times New Roman" w:hAnsi="Times New Roman" w:cs="Times New Roman"/>
          <w:sz w:val="24"/>
          <w:szCs w:val="24"/>
          <w:vertAlign w:val="superscript"/>
        </w:rPr>
        <w:footnoteReference w:id="1388"/>
      </w:r>
      <w:r w:rsidRPr="00F06201">
        <w:rPr>
          <w:rFonts w:ascii="Times New Roman" w:hAnsi="Times New Roman" w:cs="Times New Roman"/>
          <w:sz w:val="24"/>
          <w:szCs w:val="24"/>
        </w:rPr>
        <w:t xml:space="preserve"> The timing of the missive coincided with a cancelled investigation in St. Louis, leading the investigators to believe the two were related.</w:t>
      </w:r>
      <w:r w:rsidRPr="00F06201">
        <w:rPr>
          <w:rFonts w:ascii="Times New Roman" w:hAnsi="Times New Roman" w:cs="Times New Roman"/>
          <w:sz w:val="24"/>
          <w:szCs w:val="24"/>
          <w:vertAlign w:val="superscript"/>
        </w:rPr>
        <w:footnoteReference w:id="1389"/>
      </w:r>
      <w:r w:rsidRPr="00F06201">
        <w:rPr>
          <w:rFonts w:ascii="Times New Roman" w:hAnsi="Times New Roman" w:cs="Times New Roman"/>
          <w:sz w:val="24"/>
          <w:szCs w:val="24"/>
        </w:rPr>
        <w:t xml:space="preserve"> When confronted, Babcock suggested that this letter was in reference to a bridge being built in St. Louis and that “Sylph” </w:t>
      </w:r>
      <w:r w:rsidRPr="00F06201">
        <w:rPr>
          <w:rFonts w:ascii="Times New Roman" w:hAnsi="Times New Roman" w:cs="Times New Roman"/>
          <w:sz w:val="24"/>
          <w:szCs w:val="24"/>
        </w:rPr>
        <w:lastRenderedPageBreak/>
        <w:t>referenced the honor of a woman, and as such he could not disclose its meaning, but he insisted it was nothing more than an inside joke.</w:t>
      </w:r>
      <w:r w:rsidRPr="00F06201">
        <w:rPr>
          <w:rFonts w:ascii="Times New Roman" w:hAnsi="Times New Roman" w:cs="Times New Roman"/>
          <w:sz w:val="24"/>
          <w:szCs w:val="24"/>
          <w:vertAlign w:val="superscript"/>
        </w:rPr>
        <w:footnoteReference w:id="1390"/>
      </w:r>
    </w:p>
    <w:p w14:paraId="0558C842"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The true meaning behind the anonymous “Sylph” may never be known for sure, but several rumors emerged. One such rumor from Bluford Wilson was that Horace Porter suggested Sylph was a woman President Grant took as a mistress, though this came only from hearsay.</w:t>
      </w:r>
      <w:r w:rsidRPr="00F06201">
        <w:rPr>
          <w:rFonts w:ascii="Times New Roman" w:hAnsi="Times New Roman" w:cs="Times New Roman"/>
          <w:sz w:val="24"/>
          <w:szCs w:val="24"/>
          <w:vertAlign w:val="superscript"/>
        </w:rPr>
        <w:footnoteReference w:id="1391"/>
      </w:r>
      <w:r w:rsidRPr="00F06201">
        <w:rPr>
          <w:rFonts w:ascii="Times New Roman" w:hAnsi="Times New Roman" w:cs="Times New Roman"/>
          <w:sz w:val="24"/>
          <w:szCs w:val="24"/>
        </w:rPr>
        <w:t xml:space="preserve"> Joyce suggested that it referred to a joke about a woman he and Babcock saw in Washington whom he compared to a sylph, leading to the two to jokingly sign letters to one another accordingly.</w:t>
      </w:r>
      <w:r w:rsidRPr="00F06201">
        <w:rPr>
          <w:rFonts w:ascii="Times New Roman" w:hAnsi="Times New Roman" w:cs="Times New Roman"/>
          <w:sz w:val="24"/>
          <w:szCs w:val="24"/>
          <w:vertAlign w:val="superscript"/>
        </w:rPr>
        <w:footnoteReference w:id="1392"/>
      </w:r>
      <w:r w:rsidRPr="00F06201">
        <w:rPr>
          <w:rFonts w:ascii="Times New Roman" w:hAnsi="Times New Roman" w:cs="Times New Roman"/>
          <w:sz w:val="24"/>
          <w:szCs w:val="24"/>
        </w:rPr>
        <w:t xml:space="preserve"> The more conventionally accepted understanding of Sylph was given later by John McDonald. McDonald recalled that one day, he, Babcock, and Joyce were walking down the street in St. Louis when a beautiful woman walked pass, causing Joyce to tip his cap in acknowledgment.</w:t>
      </w:r>
      <w:r w:rsidRPr="00F06201">
        <w:rPr>
          <w:rFonts w:ascii="Times New Roman" w:hAnsi="Times New Roman" w:cs="Times New Roman"/>
          <w:sz w:val="24"/>
          <w:szCs w:val="24"/>
          <w:vertAlign w:val="superscript"/>
        </w:rPr>
        <w:footnoteReference w:id="1393"/>
      </w:r>
      <w:r w:rsidRPr="00F06201">
        <w:rPr>
          <w:rFonts w:ascii="Times New Roman" w:hAnsi="Times New Roman" w:cs="Times New Roman"/>
          <w:sz w:val="24"/>
          <w:szCs w:val="24"/>
        </w:rPr>
        <w:t xml:space="preserve"> Babcock was enamored by the woman’s petite frame and her beauty and remarked as such to Joyce, who informed his friend that she was “the essence of grace with a tongue on which the oil of vivacity and seduction never ceased running.”</w:t>
      </w:r>
      <w:r w:rsidRPr="00F06201">
        <w:rPr>
          <w:rFonts w:ascii="Times New Roman" w:hAnsi="Times New Roman" w:cs="Times New Roman"/>
          <w:sz w:val="24"/>
          <w:szCs w:val="24"/>
          <w:vertAlign w:val="superscript"/>
        </w:rPr>
        <w:footnoteReference w:id="1394"/>
      </w:r>
      <w:r w:rsidRPr="00F06201">
        <w:rPr>
          <w:rFonts w:ascii="Times New Roman" w:hAnsi="Times New Roman" w:cs="Times New Roman"/>
          <w:sz w:val="24"/>
          <w:szCs w:val="24"/>
        </w:rPr>
        <w:t xml:space="preserve"> Babcock asked Joyce more about her and Joyce, no stranger to poetry, quoted a known Kentuckian that “Her Sylph-like form, her beauty and grace, She floats like a seraph on the light wings of space.”</w:t>
      </w:r>
      <w:r w:rsidRPr="00F06201">
        <w:rPr>
          <w:rFonts w:ascii="Times New Roman" w:hAnsi="Times New Roman" w:cs="Times New Roman"/>
          <w:sz w:val="24"/>
          <w:szCs w:val="24"/>
          <w:vertAlign w:val="superscript"/>
        </w:rPr>
        <w:footnoteReference w:id="1395"/>
      </w:r>
      <w:r w:rsidRPr="00F06201">
        <w:rPr>
          <w:rFonts w:ascii="Times New Roman" w:hAnsi="Times New Roman" w:cs="Times New Roman"/>
          <w:sz w:val="24"/>
          <w:szCs w:val="24"/>
        </w:rPr>
        <w:t xml:space="preserve"> By this point, Babcock became enraptured with the woman, a courtesan named Louise Hawkins, and Joyce informed Babcock that it would be improper to meet her again on the street, instead suggesting that he could make arrangements for the two to meet in a few hours.</w:t>
      </w:r>
      <w:r w:rsidRPr="00F06201">
        <w:rPr>
          <w:rFonts w:ascii="Times New Roman" w:hAnsi="Times New Roman" w:cs="Times New Roman"/>
          <w:sz w:val="24"/>
          <w:szCs w:val="24"/>
          <w:vertAlign w:val="superscript"/>
        </w:rPr>
        <w:footnoteReference w:id="1396"/>
      </w:r>
      <w:r w:rsidRPr="00F06201">
        <w:rPr>
          <w:rFonts w:ascii="Times New Roman" w:hAnsi="Times New Roman" w:cs="Times New Roman"/>
          <w:sz w:val="24"/>
          <w:szCs w:val="24"/>
        </w:rPr>
        <w:t xml:space="preserve"> They arranged to meet at a nearby restaurant later that night, where Babcock and Hawkins chatted and </w:t>
      </w:r>
      <w:r w:rsidRPr="00F06201">
        <w:rPr>
          <w:rFonts w:ascii="Times New Roman" w:hAnsi="Times New Roman" w:cs="Times New Roman"/>
          <w:sz w:val="24"/>
          <w:szCs w:val="24"/>
        </w:rPr>
        <w:lastRenderedPageBreak/>
        <w:t>drank before Joyce offered Babcock the key to McDonald’s office located above the restaurant.</w:t>
      </w:r>
      <w:r w:rsidRPr="00F06201">
        <w:rPr>
          <w:rFonts w:ascii="Times New Roman" w:hAnsi="Times New Roman" w:cs="Times New Roman"/>
          <w:sz w:val="24"/>
          <w:szCs w:val="24"/>
          <w:vertAlign w:val="superscript"/>
        </w:rPr>
        <w:footnoteReference w:id="1397"/>
      </w:r>
      <w:r w:rsidRPr="00F06201">
        <w:rPr>
          <w:rFonts w:ascii="Times New Roman" w:hAnsi="Times New Roman" w:cs="Times New Roman"/>
          <w:sz w:val="24"/>
          <w:szCs w:val="24"/>
        </w:rPr>
        <w:t xml:space="preserve"> Joyce left the restaurant as Babcock and his Sylph proceeded up the stairs for the evening, creating a lasting story for the friends to remember in code through the pseudonym “Sylph” in future correspondence.</w:t>
      </w:r>
      <w:r w:rsidRPr="00F06201">
        <w:rPr>
          <w:rFonts w:ascii="Times New Roman" w:hAnsi="Times New Roman" w:cs="Times New Roman"/>
          <w:sz w:val="24"/>
          <w:szCs w:val="24"/>
          <w:vertAlign w:val="superscript"/>
        </w:rPr>
        <w:footnoteReference w:id="1398"/>
      </w:r>
    </w:p>
    <w:p w14:paraId="3A073710"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Regardless of who Sylph was, a handwriting comparison made Bristow sure that Babcock was the sender of the Sylph telegram, and that other suspicious telegrams could accordingly be linked to him as well.</w:t>
      </w:r>
      <w:r w:rsidRPr="00F06201">
        <w:rPr>
          <w:rFonts w:ascii="Times New Roman" w:hAnsi="Times New Roman" w:cs="Times New Roman"/>
          <w:sz w:val="24"/>
          <w:szCs w:val="24"/>
          <w:vertAlign w:val="superscript"/>
        </w:rPr>
        <w:footnoteReference w:id="1399"/>
      </w:r>
      <w:r w:rsidRPr="00F06201">
        <w:rPr>
          <w:rFonts w:ascii="Times New Roman" w:hAnsi="Times New Roman" w:cs="Times New Roman"/>
          <w:sz w:val="24"/>
          <w:szCs w:val="24"/>
        </w:rPr>
        <w:t xml:space="preserve"> What’s more, Bristow was sure from the telegrams collected that Babcock and McDonald were conspiring to defraud the government, and that they were attempting to hide their identities while doing so.</w:t>
      </w:r>
      <w:r w:rsidRPr="00F06201">
        <w:rPr>
          <w:rFonts w:ascii="Times New Roman" w:hAnsi="Times New Roman" w:cs="Times New Roman"/>
          <w:sz w:val="24"/>
          <w:szCs w:val="24"/>
          <w:vertAlign w:val="superscript"/>
        </w:rPr>
        <w:footnoteReference w:id="1400"/>
      </w:r>
      <w:r w:rsidRPr="00F06201">
        <w:rPr>
          <w:rFonts w:ascii="Times New Roman" w:hAnsi="Times New Roman" w:cs="Times New Roman"/>
          <w:sz w:val="24"/>
          <w:szCs w:val="24"/>
        </w:rPr>
        <w:t xml:space="preserve"> Bristow instructed the prosecutors for the cases into the May raids to seek an indictment for Babcock.</w:t>
      </w:r>
      <w:r w:rsidRPr="00F06201">
        <w:rPr>
          <w:rFonts w:ascii="Times New Roman" w:hAnsi="Times New Roman" w:cs="Times New Roman"/>
          <w:sz w:val="24"/>
          <w:szCs w:val="24"/>
          <w:vertAlign w:val="superscript"/>
        </w:rPr>
        <w:footnoteReference w:id="1401"/>
      </w:r>
      <w:r w:rsidRPr="00F06201">
        <w:rPr>
          <w:rFonts w:ascii="Times New Roman" w:hAnsi="Times New Roman" w:cs="Times New Roman"/>
          <w:sz w:val="24"/>
          <w:szCs w:val="24"/>
        </w:rPr>
        <w:t xml:space="preserve"> Dyer compiled the existing testimony and evidence and promised to present it to the grand jury so they could successfully indict Babcock.</w:t>
      </w:r>
      <w:r w:rsidRPr="00F06201">
        <w:rPr>
          <w:rFonts w:ascii="Times New Roman" w:hAnsi="Times New Roman" w:cs="Times New Roman"/>
          <w:sz w:val="24"/>
          <w:szCs w:val="24"/>
          <w:vertAlign w:val="superscript"/>
        </w:rPr>
        <w:footnoteReference w:id="1402"/>
      </w:r>
    </w:p>
    <w:p w14:paraId="41D8254C" w14:textId="55EB76DF"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Before Dyer could present this information to the grand jury, one of his associates erred by presenting evidence that implicated Babcock in one of the ongoing trials into the Whiskey Ring. John Henderson, who was one of the prosecutors in the case into William Avery, caused an uproar in his closing arguments when he referred to the indiscretions Babcock made by sending telegrams allegedly important to the actions of the Ring.</w:t>
      </w:r>
      <w:r w:rsidRPr="00F06201">
        <w:rPr>
          <w:rFonts w:ascii="Times New Roman" w:hAnsi="Times New Roman" w:cs="Times New Roman"/>
          <w:sz w:val="24"/>
          <w:szCs w:val="24"/>
          <w:vertAlign w:val="superscript"/>
        </w:rPr>
        <w:footnoteReference w:id="1403"/>
      </w:r>
      <w:r w:rsidRPr="00F06201">
        <w:rPr>
          <w:rFonts w:ascii="Times New Roman" w:hAnsi="Times New Roman" w:cs="Times New Roman"/>
          <w:sz w:val="24"/>
          <w:szCs w:val="24"/>
        </w:rPr>
        <w:t xml:space="preserve"> What drew the media’s attention though was that Henderson invoked President Grant in his passionate diatribe to the jury.</w:t>
      </w:r>
      <w:r w:rsidRPr="00F06201">
        <w:rPr>
          <w:rFonts w:ascii="Times New Roman" w:hAnsi="Times New Roman" w:cs="Times New Roman"/>
          <w:sz w:val="24"/>
          <w:szCs w:val="24"/>
          <w:vertAlign w:val="superscript"/>
        </w:rPr>
        <w:footnoteReference w:id="1404"/>
      </w:r>
      <w:r w:rsidRPr="00F06201">
        <w:rPr>
          <w:rFonts w:ascii="Times New Roman" w:hAnsi="Times New Roman" w:cs="Times New Roman"/>
          <w:sz w:val="24"/>
          <w:szCs w:val="24"/>
        </w:rPr>
        <w:t xml:space="preserve"> “What right had the President to interfere with the honest discharge of the duties of a </w:t>
      </w:r>
      <w:r w:rsidRPr="00F06201">
        <w:rPr>
          <w:rFonts w:ascii="Times New Roman" w:hAnsi="Times New Roman" w:cs="Times New Roman"/>
          <w:sz w:val="24"/>
          <w:szCs w:val="24"/>
        </w:rPr>
        <w:lastRenderedPageBreak/>
        <w:t>Secretary of the Treasury? None whatever…It belonged not to Grant, it belonged not to Babcock, it was [revenue collector] Douglass’s own business.”</w:t>
      </w:r>
      <w:r w:rsidRPr="00F06201">
        <w:rPr>
          <w:rFonts w:ascii="Times New Roman" w:hAnsi="Times New Roman" w:cs="Times New Roman"/>
          <w:sz w:val="24"/>
          <w:szCs w:val="24"/>
          <w:vertAlign w:val="superscript"/>
        </w:rPr>
        <w:footnoteReference w:id="1405"/>
      </w:r>
      <w:r w:rsidRPr="00F06201">
        <w:rPr>
          <w:rFonts w:ascii="Times New Roman" w:hAnsi="Times New Roman" w:cs="Times New Roman"/>
          <w:sz w:val="24"/>
          <w:szCs w:val="24"/>
        </w:rPr>
        <w:t xml:space="preserve"> This impassioned closing argument quickly reached the White House a</w:t>
      </w:r>
      <w:r w:rsidR="006438BD">
        <w:rPr>
          <w:rFonts w:ascii="Times New Roman" w:hAnsi="Times New Roman" w:cs="Times New Roman"/>
          <w:sz w:val="24"/>
          <w:szCs w:val="24"/>
        </w:rPr>
        <w:t>nd</w:t>
      </w:r>
      <w:r w:rsidRPr="00F06201">
        <w:rPr>
          <w:rFonts w:ascii="Times New Roman" w:hAnsi="Times New Roman" w:cs="Times New Roman"/>
          <w:sz w:val="24"/>
          <w:szCs w:val="24"/>
        </w:rPr>
        <w:t xml:space="preserve"> spread throughout the nation, though it took </w:t>
      </w:r>
      <w:r w:rsidR="006438BD">
        <w:rPr>
          <w:rFonts w:ascii="Times New Roman" w:hAnsi="Times New Roman" w:cs="Times New Roman"/>
          <w:sz w:val="24"/>
          <w:szCs w:val="24"/>
        </w:rPr>
        <w:t>longer</w:t>
      </w:r>
      <w:r w:rsidRPr="00F06201">
        <w:rPr>
          <w:rFonts w:ascii="Times New Roman" w:hAnsi="Times New Roman" w:cs="Times New Roman"/>
          <w:sz w:val="24"/>
          <w:szCs w:val="24"/>
        </w:rPr>
        <w:t xml:space="preserve"> than the jury in the Avery case, which returned a guilty verdict after only four hours.</w:t>
      </w:r>
      <w:r w:rsidRPr="00F06201">
        <w:rPr>
          <w:rFonts w:ascii="Times New Roman" w:hAnsi="Times New Roman" w:cs="Times New Roman"/>
          <w:sz w:val="24"/>
          <w:szCs w:val="24"/>
          <w:vertAlign w:val="superscript"/>
        </w:rPr>
        <w:footnoteReference w:id="1406"/>
      </w:r>
    </w:p>
    <w:p w14:paraId="1C1BAF33" w14:textId="0320D52C"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As Avery’s trial came to a close and he was found guilty, President Grant convened a cabinet meeting and brought forth a request from Babcock for a military court of inquiry into the allegations against him.</w:t>
      </w:r>
      <w:r w:rsidRPr="00F06201">
        <w:rPr>
          <w:rFonts w:ascii="Times New Roman" w:hAnsi="Times New Roman" w:cs="Times New Roman"/>
          <w:sz w:val="24"/>
          <w:szCs w:val="24"/>
          <w:vertAlign w:val="superscript"/>
        </w:rPr>
        <w:footnoteReference w:id="1407"/>
      </w:r>
      <w:r w:rsidRPr="00F06201">
        <w:rPr>
          <w:rFonts w:ascii="Times New Roman" w:hAnsi="Times New Roman" w:cs="Times New Roman"/>
          <w:sz w:val="24"/>
          <w:szCs w:val="24"/>
        </w:rPr>
        <w:t xml:space="preserve"> Some members of the cabinet supported the idea, while others noted that the impending civil indictment from the grand jury took precedence.</w:t>
      </w:r>
      <w:r w:rsidRPr="00F06201">
        <w:rPr>
          <w:rFonts w:ascii="Times New Roman" w:hAnsi="Times New Roman" w:cs="Times New Roman"/>
          <w:sz w:val="24"/>
          <w:szCs w:val="24"/>
          <w:vertAlign w:val="superscript"/>
        </w:rPr>
        <w:footnoteReference w:id="1408"/>
      </w:r>
      <w:r w:rsidRPr="00F06201">
        <w:rPr>
          <w:rFonts w:ascii="Times New Roman" w:hAnsi="Times New Roman" w:cs="Times New Roman"/>
          <w:sz w:val="24"/>
          <w:szCs w:val="24"/>
        </w:rPr>
        <w:t xml:space="preserve"> The following day, </w:t>
      </w:r>
      <w:r w:rsidR="0004176E">
        <w:rPr>
          <w:rFonts w:ascii="Times New Roman" w:hAnsi="Times New Roman" w:cs="Times New Roman"/>
          <w:sz w:val="24"/>
          <w:szCs w:val="24"/>
        </w:rPr>
        <w:t>the p</w:t>
      </w:r>
      <w:r w:rsidRPr="00F06201">
        <w:rPr>
          <w:rFonts w:ascii="Times New Roman" w:hAnsi="Times New Roman" w:cs="Times New Roman"/>
          <w:sz w:val="24"/>
          <w:szCs w:val="24"/>
        </w:rPr>
        <w:t>resident granted Babcock’s request, ordering Secretary Belknap to comprise a council comprising General Phil Sheridan, General Winfield Hancock, and General Alfred H. Terry as judges.</w:t>
      </w:r>
      <w:r w:rsidRPr="00F06201">
        <w:rPr>
          <w:rFonts w:ascii="Times New Roman" w:hAnsi="Times New Roman" w:cs="Times New Roman"/>
          <w:sz w:val="24"/>
          <w:szCs w:val="24"/>
          <w:vertAlign w:val="superscript"/>
        </w:rPr>
        <w:footnoteReference w:id="1409"/>
      </w:r>
      <w:r w:rsidRPr="00F06201">
        <w:rPr>
          <w:rFonts w:ascii="Times New Roman" w:hAnsi="Times New Roman" w:cs="Times New Roman"/>
          <w:sz w:val="24"/>
          <w:szCs w:val="24"/>
        </w:rPr>
        <w:t xml:space="preserve"> Th</w:t>
      </w:r>
      <w:r w:rsidR="00F41D9D">
        <w:rPr>
          <w:rFonts w:ascii="Times New Roman" w:hAnsi="Times New Roman" w:cs="Times New Roman"/>
          <w:sz w:val="24"/>
          <w:szCs w:val="24"/>
        </w:rPr>
        <w:t>e</w:t>
      </w:r>
      <w:r w:rsidRPr="00F06201">
        <w:rPr>
          <w:rFonts w:ascii="Times New Roman" w:hAnsi="Times New Roman" w:cs="Times New Roman"/>
          <w:sz w:val="24"/>
          <w:szCs w:val="24"/>
        </w:rPr>
        <w:t xml:space="preserve"> generals in charge of this trial were acquaintances, if not friends, of both Grant and Babcock, and the assigned prosecutor, Asa Bird Gardner, had performed financial services for Babcock in the past.</w:t>
      </w:r>
      <w:r w:rsidRPr="00F06201">
        <w:rPr>
          <w:rFonts w:ascii="Times New Roman" w:hAnsi="Times New Roman" w:cs="Times New Roman"/>
          <w:sz w:val="24"/>
          <w:szCs w:val="24"/>
          <w:vertAlign w:val="superscript"/>
        </w:rPr>
        <w:footnoteReference w:id="1410"/>
      </w:r>
      <w:r w:rsidRPr="00F06201">
        <w:rPr>
          <w:rFonts w:ascii="Times New Roman" w:hAnsi="Times New Roman" w:cs="Times New Roman"/>
          <w:sz w:val="24"/>
          <w:szCs w:val="24"/>
        </w:rPr>
        <w:t xml:space="preserve"> As this military inquiry began, Attorney General Pierrepont instructed the civil court not to suspend their proceedings, and given the precedence of the civilian court, the court of inquiry was dissolved.</w:t>
      </w:r>
      <w:r w:rsidRPr="00F06201">
        <w:rPr>
          <w:rFonts w:ascii="Times New Roman" w:hAnsi="Times New Roman" w:cs="Times New Roman"/>
          <w:sz w:val="24"/>
          <w:szCs w:val="24"/>
          <w:vertAlign w:val="superscript"/>
        </w:rPr>
        <w:footnoteReference w:id="1411"/>
      </w:r>
      <w:r w:rsidRPr="00F06201">
        <w:rPr>
          <w:rFonts w:ascii="Times New Roman" w:hAnsi="Times New Roman" w:cs="Times New Roman"/>
          <w:sz w:val="24"/>
          <w:szCs w:val="24"/>
        </w:rPr>
        <w:t xml:space="preserve"> </w:t>
      </w:r>
    </w:p>
    <w:p w14:paraId="6D1D0227"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 xml:space="preserve">On December 9, 1875, Babcock was indicted for conspiracy to defraud the government of tax revenue on one million gallons of whiskey, scheduling the trial to begin three months later </w:t>
      </w:r>
      <w:r w:rsidRPr="00F06201">
        <w:rPr>
          <w:rFonts w:ascii="Times New Roman" w:hAnsi="Times New Roman" w:cs="Times New Roman"/>
          <w:sz w:val="24"/>
          <w:szCs w:val="24"/>
        </w:rPr>
        <w:lastRenderedPageBreak/>
        <w:t>on February 8, 1876.</w:t>
      </w:r>
      <w:r w:rsidRPr="00F06201">
        <w:rPr>
          <w:rFonts w:ascii="Times New Roman" w:hAnsi="Times New Roman" w:cs="Times New Roman"/>
          <w:sz w:val="24"/>
          <w:szCs w:val="24"/>
          <w:vertAlign w:val="superscript"/>
        </w:rPr>
        <w:footnoteReference w:id="1412"/>
      </w:r>
      <w:r w:rsidRPr="00F06201">
        <w:rPr>
          <w:rFonts w:ascii="Times New Roman" w:hAnsi="Times New Roman" w:cs="Times New Roman"/>
          <w:sz w:val="24"/>
          <w:szCs w:val="24"/>
        </w:rPr>
        <w:t xml:space="preserve">  With this indictment, Babcock believed he had “a means of vindication” in federal court and asked that Grant dismiss the military inquiry, which he did.</w:t>
      </w:r>
      <w:r w:rsidRPr="00F06201">
        <w:rPr>
          <w:rFonts w:ascii="Times New Roman" w:hAnsi="Times New Roman" w:cs="Times New Roman"/>
          <w:sz w:val="24"/>
          <w:szCs w:val="24"/>
          <w:vertAlign w:val="superscript"/>
        </w:rPr>
        <w:footnoteReference w:id="1413"/>
      </w:r>
      <w:r w:rsidRPr="00F06201">
        <w:rPr>
          <w:rFonts w:ascii="Times New Roman" w:hAnsi="Times New Roman" w:cs="Times New Roman"/>
          <w:sz w:val="24"/>
          <w:szCs w:val="24"/>
        </w:rPr>
        <w:t xml:space="preserve"> This indictment was a media disaster that the Grant Administration did not need given its connections to other improprieties. One member of the grand jury, former Republican state chairman Elias Fox, was friends with both Grant and Babcock, and he attempted to relieve this pressure on the administration.</w:t>
      </w:r>
      <w:r w:rsidRPr="00F06201">
        <w:rPr>
          <w:rFonts w:ascii="Times New Roman" w:hAnsi="Times New Roman" w:cs="Times New Roman"/>
          <w:sz w:val="24"/>
          <w:szCs w:val="24"/>
          <w:vertAlign w:val="superscript"/>
        </w:rPr>
        <w:footnoteReference w:id="1414"/>
      </w:r>
      <w:r w:rsidRPr="00F06201">
        <w:rPr>
          <w:rFonts w:ascii="Times New Roman" w:hAnsi="Times New Roman" w:cs="Times New Roman"/>
          <w:sz w:val="24"/>
          <w:szCs w:val="24"/>
        </w:rPr>
        <w:t xml:space="preserve"> He and the other grand jurors wrote a public letter to President Grant expressing their gratitude for his moral support of their duties.</w:t>
      </w:r>
      <w:r w:rsidRPr="00F06201">
        <w:rPr>
          <w:rFonts w:ascii="Times New Roman" w:hAnsi="Times New Roman" w:cs="Times New Roman"/>
          <w:sz w:val="24"/>
          <w:szCs w:val="24"/>
          <w:vertAlign w:val="superscript"/>
        </w:rPr>
        <w:footnoteReference w:id="1415"/>
      </w:r>
      <w:r w:rsidRPr="00F06201">
        <w:rPr>
          <w:rFonts w:ascii="Times New Roman" w:hAnsi="Times New Roman" w:cs="Times New Roman"/>
          <w:sz w:val="24"/>
          <w:szCs w:val="24"/>
        </w:rPr>
        <w:t xml:space="preserve"> They explained that his assertion to “Let no guilty man escape” was something they tried to embody and saluted his “wisdom, patriotism, and independence” in rooting out these criminals.</w:t>
      </w:r>
      <w:r w:rsidRPr="00F06201">
        <w:rPr>
          <w:rFonts w:ascii="Times New Roman" w:hAnsi="Times New Roman" w:cs="Times New Roman"/>
          <w:sz w:val="24"/>
          <w:szCs w:val="24"/>
          <w:vertAlign w:val="superscript"/>
        </w:rPr>
        <w:footnoteReference w:id="1416"/>
      </w:r>
      <w:r w:rsidRPr="00F06201">
        <w:rPr>
          <w:rFonts w:ascii="Times New Roman" w:hAnsi="Times New Roman" w:cs="Times New Roman"/>
          <w:sz w:val="24"/>
          <w:szCs w:val="24"/>
        </w:rPr>
        <w:t xml:space="preserve"> This was nowhere near enough to make up for the disaster that Babcock’s indictment brought with it, but it showed that there was a belief that President Grant was not involved and that the people supported him.</w:t>
      </w:r>
    </w:p>
    <w:p w14:paraId="0CE88F14" w14:textId="5898170B"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Babcock and his legal team quickly began to prepare for a trial into his actions as an alleged member of the Whiskey Ring, and in doing so they began to ascertain what information, if any, Dyer had that could implicate Babcock. They received assurances from both McDonald and Joyce that the two would not testify against Babcock, and Babcock made attempts to attain the letters he sent to them both, though McDonald made efforts to keep some as insurance if needed.</w:t>
      </w:r>
      <w:r w:rsidRPr="00F06201">
        <w:rPr>
          <w:rFonts w:ascii="Times New Roman" w:hAnsi="Times New Roman" w:cs="Times New Roman"/>
          <w:sz w:val="24"/>
          <w:szCs w:val="24"/>
          <w:vertAlign w:val="superscript"/>
        </w:rPr>
        <w:footnoteReference w:id="1417"/>
      </w:r>
      <w:r w:rsidRPr="00F06201">
        <w:rPr>
          <w:rFonts w:ascii="Times New Roman" w:hAnsi="Times New Roman" w:cs="Times New Roman"/>
          <w:sz w:val="24"/>
          <w:szCs w:val="24"/>
        </w:rPr>
        <w:t xml:space="preserve"> This still was not enough for Babcock, so he organized to send a former Union spy, Charles Bell, to investigate Dyer’s evidence and plan of attack.</w:t>
      </w:r>
      <w:r w:rsidRPr="00F06201">
        <w:rPr>
          <w:rFonts w:ascii="Times New Roman" w:hAnsi="Times New Roman" w:cs="Times New Roman"/>
          <w:sz w:val="24"/>
          <w:szCs w:val="24"/>
          <w:vertAlign w:val="superscript"/>
        </w:rPr>
        <w:footnoteReference w:id="1418"/>
      </w:r>
      <w:r w:rsidRPr="00F06201">
        <w:rPr>
          <w:rFonts w:ascii="Times New Roman" w:hAnsi="Times New Roman" w:cs="Times New Roman"/>
          <w:sz w:val="24"/>
          <w:szCs w:val="24"/>
        </w:rPr>
        <w:t xml:space="preserve"> Bell, masquerading as a </w:t>
      </w:r>
      <w:r w:rsidRPr="00F06201">
        <w:rPr>
          <w:rFonts w:ascii="Times New Roman" w:hAnsi="Times New Roman" w:cs="Times New Roman"/>
          <w:sz w:val="24"/>
          <w:szCs w:val="24"/>
        </w:rPr>
        <w:lastRenderedPageBreak/>
        <w:t>special agent of the Department of the Interior, was sent to St. Louis, with instructions from Babcock to destroy any evidence he found that implicated him.</w:t>
      </w:r>
      <w:r w:rsidRPr="00F06201">
        <w:rPr>
          <w:rFonts w:ascii="Times New Roman" w:hAnsi="Times New Roman" w:cs="Times New Roman"/>
          <w:sz w:val="24"/>
          <w:szCs w:val="24"/>
          <w:vertAlign w:val="superscript"/>
        </w:rPr>
        <w:footnoteReference w:id="1419"/>
      </w:r>
      <w:r w:rsidRPr="00F06201">
        <w:rPr>
          <w:rFonts w:ascii="Times New Roman" w:hAnsi="Times New Roman" w:cs="Times New Roman"/>
          <w:sz w:val="24"/>
          <w:szCs w:val="24"/>
        </w:rPr>
        <w:t xml:space="preserve"> Bell had a change of heart on his mission, realizing he had an opportunity to make a continued income should he turn on Babcock and offer services as a double agent and detective for Dyer.</w:t>
      </w:r>
      <w:r w:rsidRPr="00F06201">
        <w:rPr>
          <w:rFonts w:ascii="Times New Roman" w:hAnsi="Times New Roman" w:cs="Times New Roman"/>
          <w:sz w:val="24"/>
          <w:szCs w:val="24"/>
          <w:vertAlign w:val="superscript"/>
        </w:rPr>
        <w:footnoteReference w:id="1420"/>
      </w:r>
      <w:r w:rsidRPr="00F06201">
        <w:rPr>
          <w:rFonts w:ascii="Times New Roman" w:hAnsi="Times New Roman" w:cs="Times New Roman"/>
          <w:sz w:val="24"/>
          <w:szCs w:val="24"/>
        </w:rPr>
        <w:t xml:space="preserve"> Bell met with Dyer and informed him of the evidence he was in the process of taking to convince him of the task ordered of him, and Bell turned over a cypher that Babcock used with friends and members of the Ring alike to be used as evidence.</w:t>
      </w:r>
      <w:r w:rsidRPr="00F06201">
        <w:rPr>
          <w:rFonts w:ascii="Times New Roman" w:hAnsi="Times New Roman" w:cs="Times New Roman"/>
          <w:sz w:val="24"/>
          <w:szCs w:val="24"/>
          <w:vertAlign w:val="superscript"/>
        </w:rPr>
        <w:footnoteReference w:id="1421"/>
      </w:r>
      <w:r w:rsidRPr="00F06201">
        <w:rPr>
          <w:rFonts w:ascii="Times New Roman" w:hAnsi="Times New Roman" w:cs="Times New Roman"/>
          <w:sz w:val="24"/>
          <w:szCs w:val="24"/>
        </w:rPr>
        <w:t xml:space="preserve"> Bell was not offered a job with Dyer, and in response he went to New York where he had a friend publish the cypher in the </w:t>
      </w:r>
      <w:r w:rsidRPr="00F06201">
        <w:rPr>
          <w:rFonts w:ascii="Times New Roman" w:hAnsi="Times New Roman" w:cs="Times New Roman"/>
          <w:i/>
          <w:iCs/>
          <w:sz w:val="24"/>
          <w:szCs w:val="24"/>
        </w:rPr>
        <w:t>New York Herald</w:t>
      </w:r>
      <w:r w:rsidRPr="00F06201">
        <w:rPr>
          <w:rFonts w:ascii="Times New Roman" w:hAnsi="Times New Roman" w:cs="Times New Roman"/>
          <w:sz w:val="24"/>
          <w:szCs w:val="24"/>
        </w:rPr>
        <w:t xml:space="preserve"> alongside a note that the detective who brought it forward “was in the employ of Babcock until he became satisfied of Babcock’s guilt, and withdrew from the case, considering his duty to the Government of more consequence than loyalty to supposed defrauders of the revenue.”</w:t>
      </w:r>
      <w:r w:rsidRPr="00F06201">
        <w:rPr>
          <w:rFonts w:ascii="Times New Roman" w:hAnsi="Times New Roman" w:cs="Times New Roman"/>
          <w:sz w:val="24"/>
          <w:szCs w:val="24"/>
          <w:vertAlign w:val="superscript"/>
        </w:rPr>
        <w:footnoteReference w:id="1422"/>
      </w:r>
      <w:r w:rsidRPr="00F06201">
        <w:rPr>
          <w:rFonts w:ascii="Times New Roman" w:hAnsi="Times New Roman" w:cs="Times New Roman"/>
          <w:sz w:val="24"/>
          <w:szCs w:val="24"/>
        </w:rPr>
        <w:t xml:space="preserve"> Bell lost his job in the Department of the Interior, but was at least trusted enough to be called as a witness to implicate Babcock, who </w:t>
      </w:r>
      <w:r w:rsidR="00D64A6B">
        <w:rPr>
          <w:rFonts w:ascii="Times New Roman" w:hAnsi="Times New Roman" w:cs="Times New Roman"/>
          <w:sz w:val="24"/>
          <w:szCs w:val="24"/>
        </w:rPr>
        <w:t>final</w:t>
      </w:r>
      <w:r w:rsidRPr="00F06201">
        <w:rPr>
          <w:rFonts w:ascii="Times New Roman" w:hAnsi="Times New Roman" w:cs="Times New Roman"/>
          <w:sz w:val="24"/>
          <w:szCs w:val="24"/>
        </w:rPr>
        <w:t>ly realized the trouble he was now in.</w:t>
      </w:r>
      <w:r w:rsidRPr="00F06201">
        <w:rPr>
          <w:rFonts w:ascii="Times New Roman" w:hAnsi="Times New Roman" w:cs="Times New Roman"/>
          <w:sz w:val="24"/>
          <w:szCs w:val="24"/>
          <w:vertAlign w:val="superscript"/>
        </w:rPr>
        <w:footnoteReference w:id="1423"/>
      </w:r>
    </w:p>
    <w:p w14:paraId="50C59DF3" w14:textId="7CF5FC43"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Amid the investigation into the Whiskey Ring came Grant’s famous assertion to “Let no guilty man escape, if it can be avoided. No personal considerations should stand in the way of performing a public duty.”</w:t>
      </w:r>
      <w:r w:rsidRPr="00F06201">
        <w:rPr>
          <w:rFonts w:ascii="Times New Roman" w:hAnsi="Times New Roman" w:cs="Times New Roman"/>
          <w:sz w:val="24"/>
          <w:szCs w:val="24"/>
          <w:vertAlign w:val="superscript"/>
        </w:rPr>
        <w:footnoteReference w:id="1424"/>
      </w:r>
      <w:r w:rsidRPr="00F06201">
        <w:rPr>
          <w:rFonts w:ascii="Times New Roman" w:hAnsi="Times New Roman" w:cs="Times New Roman"/>
          <w:sz w:val="24"/>
          <w:szCs w:val="24"/>
        </w:rPr>
        <w:t xml:space="preserve"> The intent of this statement was to ensure that Grant was on the side of reforming the system that clearly failed in this instance, and the president intended to back up his words through determined action. </w:t>
      </w:r>
      <w:r w:rsidR="009D0544" w:rsidRPr="00F06201">
        <w:rPr>
          <w:rFonts w:ascii="Times New Roman" w:hAnsi="Times New Roman" w:cs="Times New Roman"/>
          <w:sz w:val="24"/>
          <w:szCs w:val="24"/>
        </w:rPr>
        <w:t>Therefore,</w:t>
      </w:r>
      <w:r w:rsidRPr="00F06201">
        <w:rPr>
          <w:rFonts w:ascii="Times New Roman" w:hAnsi="Times New Roman" w:cs="Times New Roman"/>
          <w:sz w:val="24"/>
          <w:szCs w:val="24"/>
        </w:rPr>
        <w:t xml:space="preserve"> when the prosecution engaged in the tactic of offering lesser sentences or even immunity for testimony against hire ups in the Whiskey Ring, President Grant took issue. He sent investigators of his own to St. Louis to delve </w:t>
      </w:r>
      <w:r w:rsidRPr="00F06201">
        <w:rPr>
          <w:rFonts w:ascii="Times New Roman" w:hAnsi="Times New Roman" w:cs="Times New Roman"/>
          <w:sz w:val="24"/>
          <w:szCs w:val="24"/>
        </w:rPr>
        <w:lastRenderedPageBreak/>
        <w:t>deeper into the prosecution’s strategies, and he messaged Babcock’s wife Annie after receiving their report, hopeful for his “full vindication”: “My confidence in Gen. Babcock is the same now [that] it was when we were together in the field contending against the unknown enemies of the government.”</w:t>
      </w:r>
      <w:r w:rsidRPr="00F06201">
        <w:rPr>
          <w:rFonts w:ascii="Times New Roman" w:hAnsi="Times New Roman" w:cs="Times New Roman"/>
          <w:sz w:val="24"/>
          <w:szCs w:val="24"/>
          <w:vertAlign w:val="superscript"/>
        </w:rPr>
        <w:footnoteReference w:id="1425"/>
      </w:r>
      <w:r w:rsidRPr="00F06201">
        <w:rPr>
          <w:rFonts w:ascii="Times New Roman" w:hAnsi="Times New Roman" w:cs="Times New Roman"/>
          <w:sz w:val="24"/>
          <w:szCs w:val="24"/>
        </w:rPr>
        <w:t xml:space="preserve"> Over the course of the investigation and into the trials, Grant was bombarded with reports of the prosecution’s tactics that stood in direct opposition to his initial orders. Grant expressed his concern with these practices, stating “When I said let no guilty man escape, I meant it, and not that nine men should escape, and one be convicted.”</w:t>
      </w:r>
      <w:r w:rsidRPr="00F06201">
        <w:rPr>
          <w:rFonts w:ascii="Times New Roman" w:hAnsi="Times New Roman" w:cs="Times New Roman"/>
          <w:sz w:val="24"/>
          <w:szCs w:val="24"/>
          <w:vertAlign w:val="superscript"/>
        </w:rPr>
        <w:footnoteReference w:id="1426"/>
      </w:r>
      <w:r w:rsidRPr="00F06201">
        <w:rPr>
          <w:rFonts w:ascii="Times New Roman" w:hAnsi="Times New Roman" w:cs="Times New Roman"/>
          <w:sz w:val="24"/>
          <w:szCs w:val="24"/>
        </w:rPr>
        <w:t xml:space="preserve"> Grant remained convinced that the trial into Babcock was meant as an assault on himself, and he detested the prosecution’s choice of strategy in doing so.</w:t>
      </w:r>
    </w:p>
    <w:p w14:paraId="48494925" w14:textId="5EEF931B"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On February 8, 1876, Judge John Dillon sat in the St. Louis courthouse as Dyer opened the case against Babcock</w:t>
      </w:r>
      <w:r w:rsidR="00585BC6">
        <w:rPr>
          <w:rFonts w:ascii="Times New Roman" w:hAnsi="Times New Roman" w:cs="Times New Roman"/>
          <w:sz w:val="24"/>
          <w:szCs w:val="24"/>
        </w:rPr>
        <w:t xml:space="preserve"> (</w:t>
      </w:r>
      <w:r w:rsidR="00585BC6">
        <w:rPr>
          <w:rFonts w:ascii="Times New Roman" w:hAnsi="Times New Roman" w:cs="Times New Roman"/>
          <w:b/>
          <w:bCs/>
          <w:sz w:val="24"/>
          <w:szCs w:val="24"/>
        </w:rPr>
        <w:t>Figure 5.4</w:t>
      </w:r>
      <w:r w:rsidR="00585BC6">
        <w:rPr>
          <w:rFonts w:ascii="Times New Roman" w:hAnsi="Times New Roman" w:cs="Times New Roman"/>
          <w:sz w:val="24"/>
          <w:szCs w:val="24"/>
        </w:rPr>
        <w:t>)</w:t>
      </w:r>
      <w:r w:rsidRPr="00F06201">
        <w:rPr>
          <w:rFonts w:ascii="Times New Roman" w:hAnsi="Times New Roman" w:cs="Times New Roman"/>
          <w:sz w:val="24"/>
          <w:szCs w:val="24"/>
        </w:rPr>
        <w:t>.</w:t>
      </w:r>
      <w:r w:rsidRPr="00F06201">
        <w:rPr>
          <w:rFonts w:ascii="Times New Roman" w:hAnsi="Times New Roman" w:cs="Times New Roman"/>
          <w:sz w:val="24"/>
          <w:szCs w:val="24"/>
          <w:vertAlign w:val="superscript"/>
        </w:rPr>
        <w:footnoteReference w:id="1427"/>
      </w:r>
      <w:r w:rsidRPr="00F06201">
        <w:rPr>
          <w:rFonts w:ascii="Times New Roman" w:hAnsi="Times New Roman" w:cs="Times New Roman"/>
          <w:sz w:val="24"/>
          <w:szCs w:val="24"/>
        </w:rPr>
        <w:t xml:space="preserve"> Babcock’s defense was helmed by Emory Storrs, assisted by McDonald’s lawyer Chester Krum and former Attorney General George Williams.</w:t>
      </w:r>
      <w:r w:rsidRPr="00F06201">
        <w:rPr>
          <w:rFonts w:ascii="Times New Roman" w:hAnsi="Times New Roman" w:cs="Times New Roman"/>
          <w:sz w:val="24"/>
          <w:szCs w:val="24"/>
          <w:vertAlign w:val="superscript"/>
        </w:rPr>
        <w:footnoteReference w:id="1428"/>
      </w:r>
      <w:r w:rsidRPr="00F06201">
        <w:rPr>
          <w:rFonts w:ascii="Times New Roman" w:hAnsi="Times New Roman" w:cs="Times New Roman"/>
          <w:sz w:val="24"/>
          <w:szCs w:val="24"/>
        </w:rPr>
        <w:t xml:space="preserve"> Dyer led the prosecution through its tried and true strategy of calling ring members to testify in exchange for immunity and reduced sentences.</w:t>
      </w:r>
      <w:r w:rsidRPr="00F06201">
        <w:rPr>
          <w:rFonts w:ascii="Times New Roman" w:hAnsi="Times New Roman" w:cs="Times New Roman"/>
          <w:sz w:val="24"/>
          <w:szCs w:val="24"/>
          <w:vertAlign w:val="superscript"/>
        </w:rPr>
        <w:footnoteReference w:id="1429"/>
      </w:r>
      <w:r w:rsidRPr="00F06201">
        <w:rPr>
          <w:rFonts w:ascii="Times New Roman" w:hAnsi="Times New Roman" w:cs="Times New Roman"/>
          <w:sz w:val="24"/>
          <w:szCs w:val="24"/>
        </w:rPr>
        <w:t xml:space="preserve"> Dyer relied on testimony from storekeepers, gaugers, and distillers to paint the portrait of the Ring’s operations for those in the jury.</w:t>
      </w:r>
      <w:r w:rsidRPr="00F06201">
        <w:rPr>
          <w:rFonts w:ascii="Times New Roman" w:hAnsi="Times New Roman" w:cs="Times New Roman"/>
          <w:sz w:val="24"/>
          <w:szCs w:val="24"/>
          <w:vertAlign w:val="superscript"/>
        </w:rPr>
        <w:footnoteReference w:id="1430"/>
      </w:r>
      <w:r w:rsidRPr="00F06201">
        <w:rPr>
          <w:rFonts w:ascii="Times New Roman" w:hAnsi="Times New Roman" w:cs="Times New Roman"/>
          <w:sz w:val="24"/>
          <w:szCs w:val="24"/>
        </w:rPr>
        <w:t xml:space="preserve"> Dyer also had a surprise witness (not so much a surprise to Babcock’s team, who received warning from Washington) – Ring bagman Abijah Everest, who was offered not only a deal but protection in hiding until his time on the stand for fear that Babcock and his compatriots </w:t>
      </w:r>
    </w:p>
    <w:p w14:paraId="3E87F06D" w14:textId="77777777" w:rsidR="00F06201" w:rsidRPr="00F06201" w:rsidRDefault="00F06201" w:rsidP="00F06201">
      <w:pPr>
        <w:spacing w:line="240" w:lineRule="auto"/>
        <w:jc w:val="center"/>
        <w:rPr>
          <w:rFonts w:ascii="Times New Roman" w:hAnsi="Times New Roman" w:cs="Times New Roman"/>
          <w:sz w:val="20"/>
          <w:szCs w:val="20"/>
        </w:rPr>
      </w:pPr>
      <w:r w:rsidRPr="00F06201">
        <w:rPr>
          <w:rFonts w:ascii="Times New Roman" w:hAnsi="Times New Roman" w:cs="Times New Roman"/>
          <w:noProof/>
          <w:sz w:val="20"/>
          <w:szCs w:val="20"/>
        </w:rPr>
        <w:lastRenderedPageBreak/>
        <w:drawing>
          <wp:inline distT="0" distB="0" distL="0" distR="0" wp14:anchorId="71E3EEDC" wp14:editId="27FB8116">
            <wp:extent cx="3914730" cy="2819400"/>
            <wp:effectExtent l="0" t="0" r="0" b="0"/>
            <wp:docPr id="761343583" name="Picture 5"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343583" name="Picture 5" descr="A group of people in a room&#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21731" cy="2824442"/>
                    </a:xfrm>
                    <a:prstGeom prst="rect">
                      <a:avLst/>
                    </a:prstGeom>
                  </pic:spPr>
                </pic:pic>
              </a:graphicData>
            </a:graphic>
          </wp:inline>
        </w:drawing>
      </w:r>
    </w:p>
    <w:p w14:paraId="4CC89270" w14:textId="7BE24F78" w:rsidR="00F06201" w:rsidRPr="00F06201" w:rsidRDefault="0066482A" w:rsidP="00F33255">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Figure 5.4: </w:t>
      </w:r>
      <w:r w:rsidR="00F06201" w:rsidRPr="00F06201">
        <w:rPr>
          <w:rFonts w:ascii="Times New Roman" w:hAnsi="Times New Roman" w:cs="Times New Roman"/>
          <w:b/>
          <w:bCs/>
          <w:sz w:val="20"/>
          <w:szCs w:val="20"/>
        </w:rPr>
        <w:t>The Great Whiskey Ring Trial</w:t>
      </w:r>
      <w:r w:rsidR="005E48E7">
        <w:rPr>
          <w:rFonts w:ascii="Times New Roman" w:hAnsi="Times New Roman" w:cs="Times New Roman"/>
          <w:b/>
          <w:bCs/>
          <w:sz w:val="20"/>
          <w:szCs w:val="20"/>
        </w:rPr>
        <w:t xml:space="preserve">: </w:t>
      </w:r>
      <w:r w:rsidR="00F06201" w:rsidRPr="00F06201">
        <w:rPr>
          <w:rFonts w:ascii="Times New Roman" w:hAnsi="Times New Roman" w:cs="Times New Roman"/>
          <w:sz w:val="20"/>
          <w:szCs w:val="20"/>
        </w:rPr>
        <w:t xml:space="preserve">This scene depicts the opening of the case of </w:t>
      </w:r>
      <w:r w:rsidR="00F06201" w:rsidRPr="00F06201">
        <w:rPr>
          <w:rFonts w:ascii="Times New Roman" w:hAnsi="Times New Roman" w:cs="Times New Roman"/>
          <w:i/>
          <w:iCs/>
          <w:sz w:val="20"/>
          <w:szCs w:val="20"/>
        </w:rPr>
        <w:t xml:space="preserve">The United States v. O.E. Babcock </w:t>
      </w:r>
      <w:r w:rsidR="00F06201" w:rsidRPr="00F06201">
        <w:rPr>
          <w:rFonts w:ascii="Times New Roman" w:hAnsi="Times New Roman" w:cs="Times New Roman"/>
          <w:sz w:val="20"/>
          <w:szCs w:val="20"/>
        </w:rPr>
        <w:t>on February 7</w:t>
      </w:r>
      <w:r w:rsidR="00F06201" w:rsidRPr="00F06201">
        <w:rPr>
          <w:rFonts w:ascii="Times New Roman" w:hAnsi="Times New Roman" w:cs="Times New Roman"/>
          <w:sz w:val="20"/>
          <w:szCs w:val="20"/>
          <w:vertAlign w:val="superscript"/>
        </w:rPr>
        <w:t>th</w:t>
      </w:r>
      <w:r w:rsidR="00F06201" w:rsidRPr="00F06201">
        <w:rPr>
          <w:rFonts w:ascii="Times New Roman" w:hAnsi="Times New Roman" w:cs="Times New Roman"/>
          <w:sz w:val="20"/>
          <w:szCs w:val="20"/>
        </w:rPr>
        <w:t>, 1876. The media covered this case with fervor given its connections to the White House.</w:t>
      </w:r>
      <w:r w:rsidR="005E48E7" w:rsidRPr="005E48E7">
        <w:rPr>
          <w:rFonts w:ascii="Times New Roman" w:hAnsi="Times New Roman" w:cs="Times New Roman"/>
          <w:sz w:val="20"/>
          <w:szCs w:val="20"/>
          <w:vertAlign w:val="superscript"/>
        </w:rPr>
        <w:footnoteReference w:id="1431"/>
      </w:r>
    </w:p>
    <w:p w14:paraId="16D57537" w14:textId="77777777" w:rsidR="00F33255" w:rsidRDefault="00F33255"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would get to him.</w:t>
      </w:r>
      <w:r w:rsidRPr="00F06201">
        <w:rPr>
          <w:rFonts w:ascii="Times New Roman" w:hAnsi="Times New Roman" w:cs="Times New Roman"/>
          <w:sz w:val="24"/>
          <w:szCs w:val="24"/>
          <w:vertAlign w:val="superscript"/>
        </w:rPr>
        <w:footnoteReference w:id="1432"/>
      </w:r>
      <w:r w:rsidRPr="00F06201">
        <w:rPr>
          <w:rFonts w:ascii="Times New Roman" w:hAnsi="Times New Roman" w:cs="Times New Roman"/>
          <w:sz w:val="24"/>
          <w:szCs w:val="24"/>
        </w:rPr>
        <w:t xml:space="preserve"> Everest testified that he was responsible for sending money from Joyce to Babcock on behalf of the Ring.</w:t>
      </w:r>
      <w:r w:rsidRPr="00F06201">
        <w:rPr>
          <w:rFonts w:ascii="Times New Roman" w:hAnsi="Times New Roman" w:cs="Times New Roman"/>
          <w:sz w:val="24"/>
          <w:szCs w:val="24"/>
          <w:vertAlign w:val="superscript"/>
        </w:rPr>
        <w:footnoteReference w:id="1433"/>
      </w:r>
      <w:r w:rsidRPr="00F06201">
        <w:rPr>
          <w:rFonts w:ascii="Times New Roman" w:hAnsi="Times New Roman" w:cs="Times New Roman"/>
          <w:sz w:val="24"/>
          <w:szCs w:val="24"/>
        </w:rPr>
        <w:t xml:space="preserve"> They also called Major Edward Grimes, who revealed that Babcock maintained communication with McDonald while he was under indictment and that he was often the intermediary between the two.</w:t>
      </w:r>
      <w:r w:rsidRPr="00F06201">
        <w:rPr>
          <w:rFonts w:ascii="Times New Roman" w:hAnsi="Times New Roman" w:cs="Times New Roman"/>
          <w:sz w:val="24"/>
          <w:szCs w:val="24"/>
          <w:vertAlign w:val="superscript"/>
        </w:rPr>
        <w:footnoteReference w:id="1434"/>
      </w:r>
      <w:r w:rsidRPr="00F06201">
        <w:rPr>
          <w:rFonts w:ascii="Times New Roman" w:hAnsi="Times New Roman" w:cs="Times New Roman"/>
          <w:sz w:val="24"/>
          <w:szCs w:val="24"/>
        </w:rPr>
        <w:t xml:space="preserve"> During the early trial, the only way that anyone could tie Babcock to the Whiskey Ring was via association with its major players.</w:t>
      </w:r>
      <w:r w:rsidR="00F06201" w:rsidRPr="00F06201">
        <w:rPr>
          <w:rFonts w:ascii="Times New Roman" w:hAnsi="Times New Roman" w:cs="Times New Roman"/>
          <w:sz w:val="24"/>
          <w:szCs w:val="24"/>
        </w:rPr>
        <w:tab/>
      </w:r>
    </w:p>
    <w:p w14:paraId="45A6BFA2" w14:textId="157DD15C" w:rsidR="00F06201" w:rsidRPr="00F06201" w:rsidRDefault="00F06201" w:rsidP="00F33255">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Much of Babcock’s legal strategy hinged on the potential for his friend, President Grant, to testify on his behalf. This would be a major stroke for Babcock. Never before had a sitting president testified on behalf of a defendant as a part of a criminal trial, and his team was sure that if Grant gave his personal testimony, “</w:t>
      </w:r>
      <w:r w:rsidRPr="00F06201">
        <w:rPr>
          <w:rFonts w:ascii="Times New Roman" w:hAnsi="Times New Roman" w:cs="Times New Roman"/>
          <w:i/>
          <w:iCs/>
          <w:sz w:val="24"/>
          <w:szCs w:val="24"/>
        </w:rPr>
        <w:t>an honorable acquittal will absolutely follow</w:t>
      </w:r>
      <w:r w:rsidRPr="00F06201">
        <w:rPr>
          <w:rFonts w:ascii="Times New Roman" w:hAnsi="Times New Roman" w:cs="Times New Roman"/>
          <w:sz w:val="24"/>
          <w:szCs w:val="24"/>
        </w:rPr>
        <w:t>.”</w:t>
      </w:r>
      <w:r w:rsidRPr="00F06201">
        <w:rPr>
          <w:rFonts w:ascii="Times New Roman" w:hAnsi="Times New Roman" w:cs="Times New Roman"/>
          <w:sz w:val="24"/>
          <w:szCs w:val="24"/>
          <w:vertAlign w:val="superscript"/>
        </w:rPr>
        <w:footnoteReference w:id="1435"/>
      </w:r>
      <w:r w:rsidRPr="00F06201">
        <w:rPr>
          <w:rFonts w:ascii="Times New Roman" w:hAnsi="Times New Roman" w:cs="Times New Roman"/>
          <w:sz w:val="24"/>
          <w:szCs w:val="24"/>
        </w:rPr>
        <w:t xml:space="preserve"> President Grant wanted to go to St. Louis in person to testify and informed his cabinet </w:t>
      </w:r>
      <w:r w:rsidRPr="00F06201">
        <w:rPr>
          <w:rFonts w:ascii="Times New Roman" w:hAnsi="Times New Roman" w:cs="Times New Roman"/>
          <w:sz w:val="24"/>
          <w:szCs w:val="24"/>
        </w:rPr>
        <w:lastRenderedPageBreak/>
        <w:t>accordingly, who promptly objected to this precedent-setting testimony.</w:t>
      </w:r>
      <w:r w:rsidRPr="00F06201">
        <w:rPr>
          <w:rFonts w:ascii="Times New Roman" w:hAnsi="Times New Roman" w:cs="Times New Roman"/>
          <w:sz w:val="24"/>
          <w:szCs w:val="24"/>
          <w:vertAlign w:val="superscript"/>
        </w:rPr>
        <w:footnoteReference w:id="1436"/>
      </w:r>
      <w:r w:rsidRPr="00F06201">
        <w:rPr>
          <w:rFonts w:ascii="Times New Roman" w:hAnsi="Times New Roman" w:cs="Times New Roman"/>
          <w:sz w:val="24"/>
          <w:szCs w:val="24"/>
        </w:rPr>
        <w:t xml:space="preserve"> According to Secretary of State Hamilton Fish, the president “manifested a great deal of excitement and complained they had taken his Secretaries &amp; clerks, his Messengers, &amp; doorkeepers; that the prosecution was aimed at himself, &amp; that they were putting him on trial.”</w:t>
      </w:r>
      <w:r w:rsidRPr="00F06201">
        <w:rPr>
          <w:rFonts w:ascii="Times New Roman" w:hAnsi="Times New Roman" w:cs="Times New Roman"/>
          <w:sz w:val="24"/>
          <w:szCs w:val="24"/>
          <w:vertAlign w:val="superscript"/>
        </w:rPr>
        <w:footnoteReference w:id="1437"/>
      </w:r>
      <w:r w:rsidRPr="00F06201">
        <w:rPr>
          <w:rFonts w:ascii="Times New Roman" w:hAnsi="Times New Roman" w:cs="Times New Roman"/>
          <w:sz w:val="24"/>
          <w:szCs w:val="24"/>
        </w:rPr>
        <w:t xml:space="preserve"> Still, the cabinet convinced him that he had his own reputation to consider, which could be not only damaged, but tarnished upon cross-examination should he speak passionately in defense of his friend, or worse if manufactured evidence was sprung upon him on the stand.</w:t>
      </w:r>
      <w:r w:rsidRPr="00F06201">
        <w:rPr>
          <w:rFonts w:ascii="Times New Roman" w:hAnsi="Times New Roman" w:cs="Times New Roman"/>
          <w:sz w:val="24"/>
          <w:szCs w:val="24"/>
          <w:vertAlign w:val="superscript"/>
        </w:rPr>
        <w:footnoteReference w:id="1438"/>
      </w:r>
      <w:r w:rsidRPr="00F06201">
        <w:rPr>
          <w:rFonts w:ascii="Times New Roman" w:hAnsi="Times New Roman" w:cs="Times New Roman"/>
          <w:sz w:val="24"/>
          <w:szCs w:val="24"/>
        </w:rPr>
        <w:t xml:space="preserve"> Clearer heads prevailed within the cabinet room, and President Grant decided instead to submit a deposition from Washington.</w:t>
      </w:r>
      <w:r w:rsidRPr="00F06201">
        <w:rPr>
          <w:rFonts w:ascii="Times New Roman" w:hAnsi="Times New Roman" w:cs="Times New Roman"/>
          <w:sz w:val="24"/>
          <w:szCs w:val="24"/>
          <w:vertAlign w:val="superscript"/>
        </w:rPr>
        <w:footnoteReference w:id="1439"/>
      </w:r>
    </w:p>
    <w:p w14:paraId="29129620"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Babcock’s defense was thrilled with Grant’s decision to submit a deposition from the White House, giving them exactly the character witness they desired without live redirect from the prosecution. The president was sworn in by Chief Justice of the Supreme Court Morrison Waite and Both Secretary of the Treasury Bristow and Attorney General Pierrepont were present alongside representatives from both the prosecution and defense councils.</w:t>
      </w:r>
      <w:r w:rsidRPr="00F06201">
        <w:rPr>
          <w:rFonts w:ascii="Times New Roman" w:hAnsi="Times New Roman" w:cs="Times New Roman"/>
          <w:sz w:val="24"/>
          <w:szCs w:val="24"/>
          <w:vertAlign w:val="superscript"/>
        </w:rPr>
        <w:footnoteReference w:id="1440"/>
      </w:r>
      <w:r w:rsidRPr="00F06201">
        <w:rPr>
          <w:rFonts w:ascii="Times New Roman" w:hAnsi="Times New Roman" w:cs="Times New Roman"/>
          <w:sz w:val="24"/>
          <w:szCs w:val="24"/>
        </w:rPr>
        <w:t xml:space="preserve"> It quickly became clear from the questions asked that not only was Babcock on trial, but so too was Grant for his appointment of McDonald.</w:t>
      </w:r>
      <w:r w:rsidRPr="00F06201">
        <w:rPr>
          <w:rFonts w:ascii="Times New Roman" w:hAnsi="Times New Roman" w:cs="Times New Roman"/>
          <w:sz w:val="24"/>
          <w:szCs w:val="24"/>
          <w:vertAlign w:val="superscript"/>
        </w:rPr>
        <w:footnoteReference w:id="1441"/>
      </w:r>
      <w:r w:rsidRPr="00F06201">
        <w:rPr>
          <w:rFonts w:ascii="Times New Roman" w:hAnsi="Times New Roman" w:cs="Times New Roman"/>
          <w:sz w:val="24"/>
          <w:szCs w:val="24"/>
        </w:rPr>
        <w:t xml:space="preserve"> Grant asserted he knew nothing of the money supposedly raised for his reelection campaign in St. Louis, and he accepted Babcock’s explanations of the Sylph telegrams referring to a bridge project and to a woman’s honor.</w:t>
      </w:r>
      <w:r w:rsidRPr="00F06201">
        <w:rPr>
          <w:rFonts w:ascii="Times New Roman" w:hAnsi="Times New Roman" w:cs="Times New Roman"/>
          <w:sz w:val="24"/>
          <w:szCs w:val="24"/>
          <w:vertAlign w:val="superscript"/>
        </w:rPr>
        <w:footnoteReference w:id="1442"/>
      </w:r>
      <w:r w:rsidRPr="00F06201">
        <w:rPr>
          <w:rFonts w:ascii="Times New Roman" w:hAnsi="Times New Roman" w:cs="Times New Roman"/>
          <w:sz w:val="24"/>
          <w:szCs w:val="24"/>
        </w:rPr>
        <w:t xml:space="preserve"> The president repeatedly </w:t>
      </w:r>
      <w:r w:rsidRPr="00F06201">
        <w:rPr>
          <w:rFonts w:ascii="Times New Roman" w:hAnsi="Times New Roman" w:cs="Times New Roman"/>
          <w:sz w:val="24"/>
          <w:szCs w:val="24"/>
        </w:rPr>
        <w:lastRenderedPageBreak/>
        <w:t>attested that he did not remember individual conversations with Ford or McDonald.</w:t>
      </w:r>
      <w:r w:rsidRPr="00F06201">
        <w:rPr>
          <w:rFonts w:ascii="Times New Roman" w:hAnsi="Times New Roman" w:cs="Times New Roman"/>
          <w:sz w:val="24"/>
          <w:szCs w:val="24"/>
          <w:vertAlign w:val="superscript"/>
        </w:rPr>
        <w:footnoteReference w:id="1443"/>
      </w:r>
      <w:r w:rsidRPr="00F06201">
        <w:rPr>
          <w:rFonts w:ascii="Times New Roman" w:hAnsi="Times New Roman" w:cs="Times New Roman"/>
          <w:sz w:val="24"/>
          <w:szCs w:val="24"/>
        </w:rPr>
        <w:t xml:space="preserve"> He praised Babcock’s integrity and his devotion to duty.</w:t>
      </w:r>
      <w:r w:rsidRPr="00F06201">
        <w:rPr>
          <w:rFonts w:ascii="Times New Roman" w:hAnsi="Times New Roman" w:cs="Times New Roman"/>
          <w:sz w:val="24"/>
          <w:szCs w:val="24"/>
          <w:vertAlign w:val="superscript"/>
        </w:rPr>
        <w:footnoteReference w:id="1444"/>
      </w:r>
      <w:r w:rsidRPr="00F06201">
        <w:rPr>
          <w:rFonts w:ascii="Times New Roman" w:hAnsi="Times New Roman" w:cs="Times New Roman"/>
          <w:sz w:val="24"/>
          <w:szCs w:val="24"/>
        </w:rPr>
        <w:t xml:space="preserve"> After the deposition’s conclusion, Grant was sure that this prosecution was not into Babcock, but into “the idea of the complicity of the President” in the Whiskey Ring, as he attested to Secretary of State Hamilton Fish.</w:t>
      </w:r>
      <w:r w:rsidRPr="00F06201">
        <w:rPr>
          <w:rFonts w:ascii="Times New Roman" w:hAnsi="Times New Roman" w:cs="Times New Roman"/>
          <w:sz w:val="24"/>
          <w:szCs w:val="24"/>
          <w:vertAlign w:val="superscript"/>
        </w:rPr>
        <w:footnoteReference w:id="1445"/>
      </w:r>
      <w:r w:rsidRPr="00F06201">
        <w:rPr>
          <w:rFonts w:ascii="Times New Roman" w:hAnsi="Times New Roman" w:cs="Times New Roman"/>
          <w:sz w:val="24"/>
          <w:szCs w:val="24"/>
        </w:rPr>
        <w:t xml:space="preserve"> His overall testimony is clearly his best attempt at presenting the truth as he knew it while supporting Babcock the best he could, and the deposition worsened his opinions of those investigating him, namely Wilson and Bristow.</w:t>
      </w:r>
      <w:r w:rsidRPr="00F06201">
        <w:rPr>
          <w:rFonts w:ascii="Times New Roman" w:hAnsi="Times New Roman" w:cs="Times New Roman"/>
          <w:sz w:val="24"/>
          <w:szCs w:val="24"/>
          <w:vertAlign w:val="superscript"/>
        </w:rPr>
        <w:footnoteReference w:id="1446"/>
      </w:r>
    </w:p>
    <w:p w14:paraId="49160F29" w14:textId="4A248459"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Knowing that Grant’s testimony was on its way, Babcock’s legal team devised a</w:t>
      </w:r>
      <w:r w:rsidR="00CC7489">
        <w:rPr>
          <w:rFonts w:ascii="Times New Roman" w:hAnsi="Times New Roman" w:cs="Times New Roman"/>
          <w:sz w:val="24"/>
          <w:szCs w:val="24"/>
        </w:rPr>
        <w:t>n alternate defense stratagem</w:t>
      </w:r>
      <w:r w:rsidRPr="00F06201">
        <w:rPr>
          <w:rFonts w:ascii="Times New Roman" w:hAnsi="Times New Roman" w:cs="Times New Roman"/>
          <w:sz w:val="24"/>
          <w:szCs w:val="24"/>
        </w:rPr>
        <w:t xml:space="preserve"> to ensure the viability of a</w:t>
      </w:r>
      <w:r w:rsidR="00CC7489">
        <w:rPr>
          <w:rFonts w:ascii="Times New Roman" w:hAnsi="Times New Roman" w:cs="Times New Roman"/>
          <w:sz w:val="24"/>
          <w:szCs w:val="24"/>
        </w:rPr>
        <w:t xml:space="preserve"> different</w:t>
      </w:r>
      <w:r w:rsidRPr="00F06201">
        <w:rPr>
          <w:rFonts w:ascii="Times New Roman" w:hAnsi="Times New Roman" w:cs="Times New Roman"/>
          <w:sz w:val="24"/>
          <w:szCs w:val="24"/>
        </w:rPr>
        <w:t xml:space="preserve"> story. They found a mailman to testify that Joyce retrieved the letters with money in them before they were sent to Babcock, a ridiculous piece of testimony that one paper remarked “created a very bad impression.”</w:t>
      </w:r>
      <w:r w:rsidRPr="00F06201">
        <w:rPr>
          <w:rFonts w:ascii="Times New Roman" w:hAnsi="Times New Roman" w:cs="Times New Roman"/>
          <w:sz w:val="24"/>
          <w:szCs w:val="24"/>
          <w:vertAlign w:val="superscript"/>
        </w:rPr>
        <w:footnoteReference w:id="1447"/>
      </w:r>
      <w:r w:rsidRPr="00F06201">
        <w:rPr>
          <w:rFonts w:ascii="Times New Roman" w:hAnsi="Times New Roman" w:cs="Times New Roman"/>
          <w:sz w:val="24"/>
          <w:szCs w:val="24"/>
        </w:rPr>
        <w:t xml:space="preserve"> Joyce later remarked from prison that the testimony given by this mailman “was an absolute lie, manufactured out of the whole cloth, web, and woof” by the defense.</w:t>
      </w:r>
      <w:r w:rsidRPr="00F06201">
        <w:rPr>
          <w:rFonts w:ascii="Times New Roman" w:hAnsi="Times New Roman" w:cs="Times New Roman"/>
          <w:sz w:val="24"/>
          <w:szCs w:val="24"/>
          <w:vertAlign w:val="superscript"/>
        </w:rPr>
        <w:footnoteReference w:id="1448"/>
      </w:r>
      <w:r w:rsidRPr="00F06201">
        <w:rPr>
          <w:rFonts w:ascii="Times New Roman" w:hAnsi="Times New Roman" w:cs="Times New Roman"/>
          <w:sz w:val="24"/>
          <w:szCs w:val="24"/>
        </w:rPr>
        <w:t xml:space="preserve"> Babcock’s team then paraded a number of character witnesses before the jury, including General William Tecumseh Sherman, before reading President Grant’s deposition into evidence upon its arrival.</w:t>
      </w:r>
      <w:r w:rsidRPr="00F06201">
        <w:rPr>
          <w:rFonts w:ascii="Times New Roman" w:hAnsi="Times New Roman" w:cs="Times New Roman"/>
          <w:sz w:val="24"/>
          <w:szCs w:val="24"/>
          <w:vertAlign w:val="superscript"/>
        </w:rPr>
        <w:footnoteReference w:id="1449"/>
      </w:r>
      <w:r w:rsidRPr="00F06201">
        <w:rPr>
          <w:rFonts w:ascii="Times New Roman" w:hAnsi="Times New Roman" w:cs="Times New Roman"/>
          <w:sz w:val="24"/>
          <w:szCs w:val="24"/>
        </w:rPr>
        <w:t xml:space="preserve"> The defense presented many politically related instances of communication between Babcock and Joyce in an attempt to debunk any allegations of impropriety in messages between the two.</w:t>
      </w:r>
      <w:r w:rsidRPr="00F06201">
        <w:rPr>
          <w:rFonts w:ascii="Times New Roman" w:hAnsi="Times New Roman" w:cs="Times New Roman"/>
          <w:sz w:val="24"/>
          <w:szCs w:val="24"/>
          <w:vertAlign w:val="superscript"/>
        </w:rPr>
        <w:footnoteReference w:id="1450"/>
      </w:r>
      <w:r w:rsidRPr="00F06201">
        <w:rPr>
          <w:rFonts w:ascii="Times New Roman" w:hAnsi="Times New Roman" w:cs="Times New Roman"/>
          <w:sz w:val="24"/>
          <w:szCs w:val="24"/>
        </w:rPr>
        <w:t xml:space="preserve"> They further convinced the judge to exclude one of the Sylph telegrams from December 4, 1874 </w:t>
      </w:r>
      <w:r w:rsidRPr="00F06201">
        <w:rPr>
          <w:rFonts w:ascii="Times New Roman" w:hAnsi="Times New Roman" w:cs="Times New Roman"/>
          <w:sz w:val="24"/>
          <w:szCs w:val="24"/>
        </w:rPr>
        <w:lastRenderedPageBreak/>
        <w:t>on the grounds that the original order form was lost, therefore there was no way to prove Babcock sent it even when his name was signed to it.</w:t>
      </w:r>
      <w:r w:rsidRPr="00F06201">
        <w:rPr>
          <w:rFonts w:ascii="Times New Roman" w:hAnsi="Times New Roman" w:cs="Times New Roman"/>
          <w:sz w:val="24"/>
          <w:szCs w:val="24"/>
          <w:vertAlign w:val="superscript"/>
        </w:rPr>
        <w:footnoteReference w:id="1451"/>
      </w:r>
      <w:r w:rsidRPr="00F06201">
        <w:rPr>
          <w:rFonts w:ascii="Times New Roman" w:hAnsi="Times New Roman" w:cs="Times New Roman"/>
          <w:sz w:val="24"/>
          <w:szCs w:val="24"/>
        </w:rPr>
        <w:t xml:space="preserve"> Finally, they explained away other telegrams between Babcock, McDonald, and Joyce by attesting that McDonald and Joyce were the true masterminds who had simply duped Babcock into sending them vague messages they could use to coerce potential ring members.</w:t>
      </w:r>
      <w:r w:rsidRPr="00F06201">
        <w:rPr>
          <w:rFonts w:ascii="Times New Roman" w:hAnsi="Times New Roman" w:cs="Times New Roman"/>
          <w:sz w:val="24"/>
          <w:szCs w:val="24"/>
          <w:vertAlign w:val="superscript"/>
        </w:rPr>
        <w:footnoteReference w:id="1452"/>
      </w:r>
      <w:r w:rsidRPr="00F06201">
        <w:rPr>
          <w:rFonts w:ascii="Times New Roman" w:hAnsi="Times New Roman" w:cs="Times New Roman"/>
          <w:sz w:val="24"/>
          <w:szCs w:val="24"/>
        </w:rPr>
        <w:t xml:space="preserve"> This plan made Babcock out to be a rube rather than a complicit member of a criminal organization, which was not great for Babcock’s reputation but was at least better than his conviction. </w:t>
      </w:r>
    </w:p>
    <w:p w14:paraId="6E5060F2" w14:textId="77777777"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The concluding remarks for both the prosecution and the defense hinged upon Babcock’s telegrams, though for different reasons. The prosecution again remarked that the telegrams implicated Babcock, while the defense simply ignored those telegrams not entered into evidence while asserting that Babcock did not answer Joyce’s missives, an outright lie given the existence of the December 5</w:t>
      </w:r>
      <w:r w:rsidRPr="00F06201">
        <w:rPr>
          <w:rFonts w:ascii="Times New Roman" w:hAnsi="Times New Roman" w:cs="Times New Roman"/>
          <w:sz w:val="24"/>
          <w:szCs w:val="24"/>
          <w:vertAlign w:val="superscript"/>
        </w:rPr>
        <w:t>th</w:t>
      </w:r>
      <w:r w:rsidRPr="00F06201">
        <w:rPr>
          <w:rFonts w:ascii="Times New Roman" w:hAnsi="Times New Roman" w:cs="Times New Roman"/>
          <w:sz w:val="24"/>
          <w:szCs w:val="24"/>
        </w:rPr>
        <w:t xml:space="preserve"> Sylph telegram.</w:t>
      </w:r>
      <w:r w:rsidRPr="00F06201">
        <w:rPr>
          <w:rFonts w:ascii="Times New Roman" w:hAnsi="Times New Roman" w:cs="Times New Roman"/>
          <w:sz w:val="24"/>
          <w:szCs w:val="24"/>
          <w:vertAlign w:val="superscript"/>
        </w:rPr>
        <w:footnoteReference w:id="1453"/>
      </w:r>
      <w:r w:rsidRPr="00F06201">
        <w:rPr>
          <w:rFonts w:ascii="Times New Roman" w:hAnsi="Times New Roman" w:cs="Times New Roman"/>
          <w:sz w:val="24"/>
          <w:szCs w:val="24"/>
        </w:rPr>
        <w:t xml:space="preserve"> That telegram circulated throughout the media in the days that followed, but the sequestered jury never saw this critical piece of evidence before or during their deliberations.</w:t>
      </w:r>
      <w:r w:rsidRPr="00F06201">
        <w:rPr>
          <w:rFonts w:ascii="Times New Roman" w:hAnsi="Times New Roman" w:cs="Times New Roman"/>
          <w:sz w:val="24"/>
          <w:szCs w:val="24"/>
          <w:vertAlign w:val="superscript"/>
        </w:rPr>
        <w:footnoteReference w:id="1454"/>
      </w:r>
      <w:r w:rsidRPr="00F06201">
        <w:rPr>
          <w:rFonts w:ascii="Times New Roman" w:hAnsi="Times New Roman" w:cs="Times New Roman"/>
          <w:sz w:val="24"/>
          <w:szCs w:val="24"/>
        </w:rPr>
        <w:t xml:space="preserve"> That evening, after the court’s adjournment, Babcock returned to his hotel room, where he “gave way to tears” following a “most painful day” in which he was “abused, maligned, and misrepresented.”</w:t>
      </w:r>
      <w:r w:rsidRPr="00F06201">
        <w:rPr>
          <w:rFonts w:ascii="Times New Roman" w:hAnsi="Times New Roman" w:cs="Times New Roman"/>
          <w:sz w:val="24"/>
          <w:szCs w:val="24"/>
          <w:vertAlign w:val="superscript"/>
        </w:rPr>
        <w:footnoteReference w:id="1455"/>
      </w:r>
      <w:r w:rsidRPr="00F06201">
        <w:rPr>
          <w:rFonts w:ascii="Times New Roman" w:hAnsi="Times New Roman" w:cs="Times New Roman"/>
          <w:sz w:val="24"/>
          <w:szCs w:val="24"/>
        </w:rPr>
        <w:t xml:space="preserve"> He wrote a letter to his wife Annie that considered what the judge and jury would do in the coming days, suggesting “if I am to be ruined, we must bear it.”</w:t>
      </w:r>
      <w:r w:rsidRPr="00F06201">
        <w:rPr>
          <w:rFonts w:ascii="Times New Roman" w:hAnsi="Times New Roman" w:cs="Times New Roman"/>
          <w:sz w:val="24"/>
          <w:szCs w:val="24"/>
          <w:vertAlign w:val="superscript"/>
        </w:rPr>
        <w:footnoteReference w:id="1456"/>
      </w:r>
      <w:r w:rsidRPr="00F06201">
        <w:rPr>
          <w:rFonts w:ascii="Times New Roman" w:hAnsi="Times New Roman" w:cs="Times New Roman"/>
          <w:sz w:val="24"/>
          <w:szCs w:val="24"/>
        </w:rPr>
        <w:t xml:space="preserve"> He closed his letter not with a statement of innocence, but a prayer for their future, </w:t>
      </w:r>
      <w:r w:rsidRPr="00F06201">
        <w:rPr>
          <w:rFonts w:ascii="Times New Roman" w:hAnsi="Times New Roman" w:cs="Times New Roman"/>
          <w:sz w:val="24"/>
          <w:szCs w:val="24"/>
        </w:rPr>
        <w:lastRenderedPageBreak/>
        <w:t>perhaps indicating remorse for his misdeeds now that he was caught: “God grant that I may be spared and be a good Christian all the remainder of my life.”</w:t>
      </w:r>
      <w:r w:rsidRPr="00F06201">
        <w:rPr>
          <w:rFonts w:ascii="Times New Roman" w:hAnsi="Times New Roman" w:cs="Times New Roman"/>
          <w:sz w:val="24"/>
          <w:szCs w:val="24"/>
          <w:vertAlign w:val="superscript"/>
        </w:rPr>
        <w:footnoteReference w:id="1457"/>
      </w:r>
    </w:p>
    <w:p w14:paraId="1CA427F1" w14:textId="77777777"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On the final day of the trial, the presiding Judge, John Dillon, gave the defense one final boost with his instructions to the jury.</w:t>
      </w:r>
      <w:r w:rsidRPr="00F06201">
        <w:rPr>
          <w:rFonts w:ascii="Times New Roman" w:hAnsi="Times New Roman" w:cs="Times New Roman"/>
          <w:sz w:val="24"/>
          <w:szCs w:val="24"/>
          <w:vertAlign w:val="superscript"/>
        </w:rPr>
        <w:footnoteReference w:id="1458"/>
      </w:r>
      <w:r w:rsidRPr="00F06201">
        <w:rPr>
          <w:rFonts w:ascii="Times New Roman" w:hAnsi="Times New Roman" w:cs="Times New Roman"/>
          <w:sz w:val="24"/>
          <w:szCs w:val="24"/>
        </w:rPr>
        <w:t xml:space="preserve"> Judge Dillon presented a fairly unbiased summary of the evidence to the jury before a few exceptions that were instrumentally in favor of the defense.</w:t>
      </w:r>
      <w:r w:rsidRPr="00F06201">
        <w:rPr>
          <w:rFonts w:ascii="Times New Roman" w:hAnsi="Times New Roman" w:cs="Times New Roman"/>
          <w:sz w:val="24"/>
          <w:szCs w:val="24"/>
          <w:vertAlign w:val="superscript"/>
        </w:rPr>
        <w:footnoteReference w:id="1459"/>
      </w:r>
      <w:r w:rsidRPr="00F06201">
        <w:rPr>
          <w:rFonts w:ascii="Times New Roman" w:hAnsi="Times New Roman" w:cs="Times New Roman"/>
          <w:sz w:val="24"/>
          <w:szCs w:val="24"/>
        </w:rPr>
        <w:t xml:space="preserve"> He reminded the jury of the defense’s claims that Joyce’s December 3</w:t>
      </w:r>
      <w:r w:rsidRPr="00F06201">
        <w:rPr>
          <w:rFonts w:ascii="Times New Roman" w:hAnsi="Times New Roman" w:cs="Times New Roman"/>
          <w:sz w:val="24"/>
          <w:szCs w:val="24"/>
          <w:vertAlign w:val="superscript"/>
        </w:rPr>
        <w:t>rd</w:t>
      </w:r>
      <w:r w:rsidRPr="00F06201">
        <w:rPr>
          <w:rFonts w:ascii="Times New Roman" w:hAnsi="Times New Roman" w:cs="Times New Roman"/>
          <w:sz w:val="24"/>
          <w:szCs w:val="24"/>
        </w:rPr>
        <w:t xml:space="preserve"> telegram went unanswered, and he noted that no testimony nor documentary evidence implicated Babcock in the conspiracy, leaving circumstantial evidence as the only implicating factors.</w:t>
      </w:r>
      <w:r w:rsidRPr="00F06201">
        <w:rPr>
          <w:rFonts w:ascii="Times New Roman" w:hAnsi="Times New Roman" w:cs="Times New Roman"/>
          <w:sz w:val="24"/>
          <w:szCs w:val="24"/>
          <w:vertAlign w:val="superscript"/>
        </w:rPr>
        <w:footnoteReference w:id="1460"/>
      </w:r>
      <w:r w:rsidRPr="00F06201">
        <w:rPr>
          <w:rFonts w:ascii="Times New Roman" w:hAnsi="Times New Roman" w:cs="Times New Roman"/>
          <w:sz w:val="24"/>
          <w:szCs w:val="24"/>
        </w:rPr>
        <w:t xml:space="preserve"> Circumstantial evidence was enough to establish complicity, but without direct proof, Missouri law “clothes the defendant with a presumption of innocence…until it is overcome by testimony which proves his guilt beyond a reasonable doubt.”</w:t>
      </w:r>
      <w:r w:rsidRPr="00F06201">
        <w:rPr>
          <w:rFonts w:ascii="Times New Roman" w:hAnsi="Times New Roman" w:cs="Times New Roman"/>
          <w:sz w:val="24"/>
          <w:szCs w:val="24"/>
          <w:vertAlign w:val="superscript"/>
        </w:rPr>
        <w:footnoteReference w:id="1461"/>
      </w:r>
      <w:r w:rsidRPr="00F06201">
        <w:rPr>
          <w:rFonts w:ascii="Times New Roman" w:hAnsi="Times New Roman" w:cs="Times New Roman"/>
          <w:sz w:val="24"/>
          <w:szCs w:val="24"/>
        </w:rPr>
        <w:t xml:space="preserve"> This meant that “the evidence of his guilt, as charged, must be clear, positive, and abiding, fully satisfying the minds and consciences of the jury.”</w:t>
      </w:r>
      <w:r w:rsidRPr="00F06201">
        <w:rPr>
          <w:rFonts w:ascii="Times New Roman" w:hAnsi="Times New Roman" w:cs="Times New Roman"/>
          <w:sz w:val="24"/>
          <w:szCs w:val="24"/>
          <w:vertAlign w:val="superscript"/>
        </w:rPr>
        <w:footnoteReference w:id="1462"/>
      </w:r>
      <w:r w:rsidRPr="00F06201">
        <w:rPr>
          <w:rFonts w:ascii="Times New Roman" w:hAnsi="Times New Roman" w:cs="Times New Roman"/>
          <w:sz w:val="24"/>
          <w:szCs w:val="24"/>
        </w:rPr>
        <w:t xml:space="preserve"> These instructions proved to be instrumental to the result of the trial, as the jury returned after a mere two and a half hours of deliberation with a verdict that Babcock was not guilty.</w:t>
      </w:r>
      <w:r w:rsidRPr="00F06201">
        <w:rPr>
          <w:rFonts w:ascii="Times New Roman" w:hAnsi="Times New Roman" w:cs="Times New Roman"/>
          <w:sz w:val="24"/>
          <w:szCs w:val="24"/>
          <w:vertAlign w:val="superscript"/>
        </w:rPr>
        <w:footnoteReference w:id="1463"/>
      </w:r>
      <w:r w:rsidRPr="00F06201">
        <w:rPr>
          <w:rFonts w:ascii="Times New Roman" w:hAnsi="Times New Roman" w:cs="Times New Roman"/>
          <w:sz w:val="24"/>
          <w:szCs w:val="24"/>
        </w:rPr>
        <w:t xml:space="preserve"> Dyer was so disgusted with the slanted instructions that he did not bother returning to the court for the verdict.</w:t>
      </w:r>
      <w:r w:rsidRPr="00F06201">
        <w:rPr>
          <w:rFonts w:ascii="Times New Roman" w:hAnsi="Times New Roman" w:cs="Times New Roman"/>
          <w:sz w:val="24"/>
          <w:szCs w:val="24"/>
          <w:vertAlign w:val="superscript"/>
        </w:rPr>
        <w:footnoteReference w:id="1464"/>
      </w:r>
      <w:r w:rsidRPr="00F06201">
        <w:rPr>
          <w:rFonts w:ascii="Times New Roman" w:hAnsi="Times New Roman" w:cs="Times New Roman"/>
          <w:sz w:val="24"/>
          <w:szCs w:val="24"/>
        </w:rPr>
        <w:t xml:space="preserve"> The trial’s results received mixed responses in the press, but most were happy with avoiding a national embarrassment, exclaiming it “would have been an almost </w:t>
      </w:r>
      <w:r w:rsidRPr="00F06201">
        <w:rPr>
          <w:rFonts w:ascii="Times New Roman" w:hAnsi="Times New Roman" w:cs="Times New Roman"/>
          <w:sz w:val="24"/>
          <w:szCs w:val="24"/>
        </w:rPr>
        <w:lastRenderedPageBreak/>
        <w:t>intolerable mortification to every patriotic American if the private secretary of the United States had been found guilty of conspiracy to defraud the revenue.”</w:t>
      </w:r>
      <w:r w:rsidRPr="00F06201">
        <w:rPr>
          <w:rFonts w:ascii="Times New Roman" w:hAnsi="Times New Roman" w:cs="Times New Roman"/>
          <w:sz w:val="24"/>
          <w:szCs w:val="24"/>
          <w:vertAlign w:val="superscript"/>
        </w:rPr>
        <w:footnoteReference w:id="1465"/>
      </w:r>
      <w:r w:rsidRPr="00F06201">
        <w:rPr>
          <w:rFonts w:ascii="Times New Roman" w:hAnsi="Times New Roman" w:cs="Times New Roman"/>
          <w:sz w:val="24"/>
          <w:szCs w:val="24"/>
        </w:rPr>
        <w:t xml:space="preserve"> </w:t>
      </w:r>
    </w:p>
    <w:p w14:paraId="609CFE1F" w14:textId="00881D4A"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In spite of the positive result from the trial, President Grant was forced to contend with the nation’s growing opinion, whether real or imagined, that his administration was corrupted by the inclusion of individuals like Babcock. He was angered by the prosecution’s legal bill, which totaled $26,000, a total of more than half the President’s annual salary.</w:t>
      </w:r>
      <w:r w:rsidRPr="00F06201">
        <w:rPr>
          <w:rFonts w:ascii="Times New Roman" w:hAnsi="Times New Roman" w:cs="Times New Roman"/>
          <w:sz w:val="24"/>
          <w:szCs w:val="24"/>
          <w:vertAlign w:val="superscript"/>
        </w:rPr>
        <w:footnoteReference w:id="1466"/>
      </w:r>
      <w:r w:rsidRPr="00F06201">
        <w:rPr>
          <w:rFonts w:ascii="Times New Roman" w:hAnsi="Times New Roman" w:cs="Times New Roman"/>
          <w:sz w:val="24"/>
          <w:szCs w:val="24"/>
        </w:rPr>
        <w:t xml:space="preserve"> The president told Secretary of State Hamilton Fish that, because of the circuses in which he was involved, he planned to inform Babcock “it was better for himself and necessary for the President” that Babcock leave the White House.</w:t>
      </w:r>
      <w:r w:rsidRPr="00F06201">
        <w:rPr>
          <w:rFonts w:ascii="Times New Roman" w:hAnsi="Times New Roman" w:cs="Times New Roman"/>
          <w:sz w:val="24"/>
          <w:szCs w:val="24"/>
          <w:vertAlign w:val="superscript"/>
        </w:rPr>
        <w:footnoteReference w:id="1467"/>
      </w:r>
      <w:r w:rsidRPr="00F06201">
        <w:rPr>
          <w:rFonts w:ascii="Times New Roman" w:hAnsi="Times New Roman" w:cs="Times New Roman"/>
          <w:sz w:val="24"/>
          <w:szCs w:val="24"/>
        </w:rPr>
        <w:t xml:space="preserve"> Accordingly, Grant planned to make his son, Ulysses Jr., his permanent private secretary since he took on the post while Babcock dealt with his legal troubles.</w:t>
      </w:r>
      <w:r w:rsidRPr="00F06201">
        <w:rPr>
          <w:rFonts w:ascii="Times New Roman" w:hAnsi="Times New Roman" w:cs="Times New Roman"/>
          <w:sz w:val="24"/>
          <w:szCs w:val="24"/>
          <w:vertAlign w:val="superscript"/>
        </w:rPr>
        <w:footnoteReference w:id="1468"/>
      </w:r>
      <w:r w:rsidRPr="00F06201">
        <w:rPr>
          <w:rFonts w:ascii="Times New Roman" w:hAnsi="Times New Roman" w:cs="Times New Roman"/>
          <w:sz w:val="24"/>
          <w:szCs w:val="24"/>
        </w:rPr>
        <w:t xml:space="preserve"> This appointment was multifaceted, as Ulysses Jr. proved to be capable as Babcock’s replacement, but also, any assaults on the position would be an assault on the President himself considering that the two now shared a name.</w:t>
      </w:r>
      <w:r w:rsidRPr="00F06201">
        <w:rPr>
          <w:rFonts w:ascii="Times New Roman" w:hAnsi="Times New Roman" w:cs="Times New Roman"/>
          <w:sz w:val="24"/>
          <w:szCs w:val="24"/>
          <w:vertAlign w:val="superscript"/>
        </w:rPr>
        <w:footnoteReference w:id="1469"/>
      </w:r>
      <w:r w:rsidRPr="00F06201">
        <w:rPr>
          <w:rFonts w:ascii="Times New Roman" w:hAnsi="Times New Roman" w:cs="Times New Roman"/>
          <w:sz w:val="24"/>
          <w:szCs w:val="24"/>
        </w:rPr>
        <w:t xml:space="preserve"> Babcock however did not want to leave his post in the White House, feeling he was vindicated by the court case and ready to fully resume his duties.</w:t>
      </w:r>
      <w:r w:rsidRPr="00F06201">
        <w:rPr>
          <w:rFonts w:ascii="Times New Roman" w:hAnsi="Times New Roman" w:cs="Times New Roman"/>
          <w:sz w:val="24"/>
          <w:szCs w:val="24"/>
          <w:vertAlign w:val="superscript"/>
        </w:rPr>
        <w:footnoteReference w:id="1470"/>
      </w:r>
      <w:r w:rsidRPr="00F06201">
        <w:rPr>
          <w:rFonts w:ascii="Times New Roman" w:hAnsi="Times New Roman" w:cs="Times New Roman"/>
          <w:sz w:val="24"/>
          <w:szCs w:val="24"/>
        </w:rPr>
        <w:t xml:space="preserve"> Babcock returned to Washington intent on fighting for his job, albeit with a tarnished reputation.</w:t>
      </w:r>
    </w:p>
    <w:p w14:paraId="01CDE699" w14:textId="2B75BF88" w:rsidR="00F06201" w:rsidRPr="00F06201" w:rsidRDefault="00F06201" w:rsidP="00F06201">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t xml:space="preserve">After Babcock’s trial, McDonald’s treatment in captivity changed drastically, and in response so too did his willingness to serve as Babcock’s patsy. In April 1876 McDonald was given the maximum sentence for his crimes: a $5000 fine and a three year sentence in the </w:t>
      </w:r>
      <w:r w:rsidRPr="00F06201">
        <w:rPr>
          <w:rFonts w:ascii="Times New Roman" w:hAnsi="Times New Roman" w:cs="Times New Roman"/>
          <w:sz w:val="24"/>
          <w:szCs w:val="24"/>
        </w:rPr>
        <w:lastRenderedPageBreak/>
        <w:t>Missouri State Penitentiary in Jefferson City.</w:t>
      </w:r>
      <w:r w:rsidRPr="00F06201">
        <w:rPr>
          <w:rFonts w:ascii="Times New Roman" w:hAnsi="Times New Roman" w:cs="Times New Roman"/>
          <w:sz w:val="24"/>
          <w:szCs w:val="24"/>
          <w:vertAlign w:val="superscript"/>
        </w:rPr>
        <w:footnoteReference w:id="1471"/>
      </w:r>
      <w:r w:rsidRPr="00F06201">
        <w:rPr>
          <w:rFonts w:ascii="Times New Roman" w:hAnsi="Times New Roman" w:cs="Times New Roman"/>
          <w:sz w:val="24"/>
          <w:szCs w:val="24"/>
        </w:rPr>
        <w:t xml:space="preserve"> McDonald joined Joyce and Avery in Jefferson City for their sentences, and the wardens and guards, while kind to these particular inmates, were not as pliable as those in St. Louis.</w:t>
      </w:r>
      <w:r w:rsidRPr="00F06201">
        <w:rPr>
          <w:rFonts w:ascii="Times New Roman" w:hAnsi="Times New Roman" w:cs="Times New Roman"/>
          <w:sz w:val="24"/>
          <w:szCs w:val="24"/>
          <w:vertAlign w:val="superscript"/>
        </w:rPr>
        <w:footnoteReference w:id="1472"/>
      </w:r>
      <w:r w:rsidRPr="00F06201">
        <w:rPr>
          <w:rFonts w:ascii="Times New Roman" w:hAnsi="Times New Roman" w:cs="Times New Roman"/>
          <w:sz w:val="24"/>
          <w:szCs w:val="24"/>
        </w:rPr>
        <w:t xml:space="preserve"> Joyce’s health worsened while incarcerated, and ongoing court cases implicated McDonald not only as the leader of the Whiskey Ring, but a man of poor character as well.</w:t>
      </w:r>
      <w:r w:rsidRPr="00F06201">
        <w:rPr>
          <w:rFonts w:ascii="Times New Roman" w:hAnsi="Times New Roman" w:cs="Times New Roman"/>
          <w:sz w:val="24"/>
          <w:szCs w:val="24"/>
          <w:vertAlign w:val="superscript"/>
        </w:rPr>
        <w:footnoteReference w:id="1473"/>
      </w:r>
      <w:r w:rsidRPr="00F06201">
        <w:rPr>
          <w:rFonts w:ascii="Times New Roman" w:hAnsi="Times New Roman" w:cs="Times New Roman"/>
          <w:sz w:val="24"/>
          <w:szCs w:val="24"/>
        </w:rPr>
        <w:t xml:space="preserve"> Once Babcock’s legal troubles were behind him, both Joyce and McDonald reached out in search of their promised pardons, with Joyce reminding Babcock that he and McDonald “have stood like rocks in mid ocean to break the waves that raged high and fearful against you.”</w:t>
      </w:r>
      <w:r w:rsidRPr="00F06201">
        <w:rPr>
          <w:rFonts w:ascii="Times New Roman" w:hAnsi="Times New Roman" w:cs="Times New Roman"/>
          <w:sz w:val="24"/>
          <w:szCs w:val="24"/>
          <w:vertAlign w:val="superscript"/>
        </w:rPr>
        <w:footnoteReference w:id="1474"/>
      </w:r>
      <w:r w:rsidRPr="00F06201">
        <w:rPr>
          <w:rFonts w:ascii="Times New Roman" w:hAnsi="Times New Roman" w:cs="Times New Roman"/>
          <w:sz w:val="24"/>
          <w:szCs w:val="24"/>
        </w:rPr>
        <w:t xml:space="preserve"> When the White House finally offered a pardon, it was for Avery, not McDonald or Joyce.</w:t>
      </w:r>
      <w:r w:rsidRPr="00F06201">
        <w:rPr>
          <w:rFonts w:ascii="Times New Roman" w:hAnsi="Times New Roman" w:cs="Times New Roman"/>
          <w:sz w:val="24"/>
          <w:szCs w:val="24"/>
          <w:vertAlign w:val="superscript"/>
        </w:rPr>
        <w:footnoteReference w:id="1475"/>
      </w:r>
      <w:r w:rsidRPr="00F06201">
        <w:rPr>
          <w:rFonts w:ascii="Times New Roman" w:hAnsi="Times New Roman" w:cs="Times New Roman"/>
          <w:sz w:val="24"/>
          <w:szCs w:val="24"/>
        </w:rPr>
        <w:t xml:space="preserve"> This infuriated McDonald, who began to cry like a lark to anyone within earshot that Babcock and grant were involved in the Whiskey Ring.</w:t>
      </w:r>
      <w:r w:rsidRPr="00F06201">
        <w:rPr>
          <w:rFonts w:ascii="Times New Roman" w:hAnsi="Times New Roman" w:cs="Times New Roman"/>
          <w:sz w:val="24"/>
          <w:szCs w:val="24"/>
          <w:vertAlign w:val="superscript"/>
        </w:rPr>
        <w:footnoteReference w:id="1476"/>
      </w:r>
      <w:r w:rsidRPr="00F06201">
        <w:rPr>
          <w:rFonts w:ascii="Times New Roman" w:hAnsi="Times New Roman" w:cs="Times New Roman"/>
          <w:sz w:val="24"/>
          <w:szCs w:val="24"/>
        </w:rPr>
        <w:t xml:space="preserve"> He wrote to the committees continuing their investigations of the Whiskey Ring, and he later penned a tell-all titled </w:t>
      </w:r>
      <w:r w:rsidRPr="00F06201">
        <w:rPr>
          <w:rFonts w:ascii="Times New Roman" w:hAnsi="Times New Roman" w:cs="Times New Roman"/>
          <w:i/>
          <w:iCs/>
          <w:sz w:val="24"/>
          <w:szCs w:val="24"/>
        </w:rPr>
        <w:t>Secrets of the Whiskey Ring</w:t>
      </w:r>
      <w:r w:rsidRPr="00F06201">
        <w:rPr>
          <w:rFonts w:ascii="Times New Roman" w:hAnsi="Times New Roman" w:cs="Times New Roman"/>
          <w:sz w:val="24"/>
          <w:szCs w:val="24"/>
        </w:rPr>
        <w:t xml:space="preserve"> that implicated both Babcock and Grant.</w:t>
      </w:r>
      <w:r w:rsidRPr="00F06201">
        <w:rPr>
          <w:rFonts w:ascii="Times New Roman" w:hAnsi="Times New Roman" w:cs="Times New Roman"/>
          <w:sz w:val="24"/>
          <w:szCs w:val="24"/>
          <w:vertAlign w:val="superscript"/>
        </w:rPr>
        <w:footnoteReference w:id="1477"/>
      </w:r>
      <w:r w:rsidRPr="00F06201">
        <w:rPr>
          <w:rFonts w:ascii="Times New Roman" w:hAnsi="Times New Roman" w:cs="Times New Roman"/>
          <w:sz w:val="24"/>
          <w:szCs w:val="24"/>
        </w:rPr>
        <w:t xml:space="preserve"> </w:t>
      </w:r>
      <w:r w:rsidR="00E7445E">
        <w:rPr>
          <w:rFonts w:ascii="Times New Roman" w:hAnsi="Times New Roman" w:cs="Times New Roman"/>
          <w:sz w:val="24"/>
          <w:szCs w:val="24"/>
        </w:rPr>
        <w:t>This book served as evidence for generations of political scholars and historians who overlooked the motivation behind its vengeful source and assumed Grant’s criminality regardless of the author’s v</w:t>
      </w:r>
      <w:r w:rsidR="00F42DFE">
        <w:rPr>
          <w:rFonts w:ascii="Times New Roman" w:hAnsi="Times New Roman" w:cs="Times New Roman"/>
          <w:sz w:val="24"/>
          <w:szCs w:val="24"/>
        </w:rPr>
        <w:t>endetta</w:t>
      </w:r>
      <w:r w:rsidR="00E7445E">
        <w:rPr>
          <w:rFonts w:ascii="Times New Roman" w:hAnsi="Times New Roman" w:cs="Times New Roman"/>
          <w:sz w:val="24"/>
          <w:szCs w:val="24"/>
        </w:rPr>
        <w:t xml:space="preserve">. </w:t>
      </w:r>
      <w:r w:rsidRPr="00F06201">
        <w:rPr>
          <w:rFonts w:ascii="Times New Roman" w:hAnsi="Times New Roman" w:cs="Times New Roman"/>
          <w:sz w:val="24"/>
          <w:szCs w:val="24"/>
        </w:rPr>
        <w:t>McDonald received his pardon from President Grant in January 1877 at the very end of his term, while Joyce had to wait until the next administration took office to receive a pardon from Rutherford B. Hayes in December 1877.</w:t>
      </w:r>
      <w:r w:rsidRPr="00F06201">
        <w:rPr>
          <w:rFonts w:ascii="Times New Roman" w:hAnsi="Times New Roman" w:cs="Times New Roman"/>
          <w:sz w:val="24"/>
          <w:szCs w:val="24"/>
          <w:vertAlign w:val="superscript"/>
        </w:rPr>
        <w:footnoteReference w:id="1478"/>
      </w:r>
      <w:r w:rsidRPr="00F06201">
        <w:rPr>
          <w:rFonts w:ascii="Times New Roman" w:hAnsi="Times New Roman" w:cs="Times New Roman"/>
          <w:sz w:val="24"/>
          <w:szCs w:val="24"/>
        </w:rPr>
        <w:t xml:space="preserve"> Neither man ever again reached the height of political and socioeconomic power that they did while members of the Whiskey Ring – they effectively served their purpose as pawns in General Babcock’s schemes.</w:t>
      </w:r>
    </w:p>
    <w:p w14:paraId="0FDC86C0" w14:textId="726A47B6" w:rsidR="00F06201" w:rsidRPr="00F06201" w:rsidRDefault="00F06201" w:rsidP="00123B05">
      <w:pPr>
        <w:spacing w:line="480" w:lineRule="auto"/>
        <w:ind w:firstLine="720"/>
        <w:rPr>
          <w:rFonts w:ascii="Times New Roman" w:hAnsi="Times New Roman" w:cs="Times New Roman"/>
          <w:sz w:val="24"/>
          <w:szCs w:val="24"/>
        </w:rPr>
      </w:pPr>
      <w:r w:rsidRPr="00F06201">
        <w:rPr>
          <w:rFonts w:ascii="Times New Roman" w:hAnsi="Times New Roman" w:cs="Times New Roman"/>
          <w:sz w:val="24"/>
          <w:szCs w:val="24"/>
        </w:rPr>
        <w:lastRenderedPageBreak/>
        <w:t xml:space="preserve">Though a potential end was approaching the Grant Administration, Babcock’s time in the capital was not yet over. He remained in his post </w:t>
      </w:r>
      <w:r w:rsidR="009F0AD8">
        <w:rPr>
          <w:rFonts w:ascii="Times New Roman" w:hAnsi="Times New Roman" w:cs="Times New Roman"/>
          <w:sz w:val="24"/>
          <w:szCs w:val="24"/>
        </w:rPr>
        <w:t>in the Office of Public Buildings and Grounds</w:t>
      </w:r>
      <w:r w:rsidRPr="00F06201">
        <w:rPr>
          <w:rFonts w:ascii="Times New Roman" w:hAnsi="Times New Roman" w:cs="Times New Roman"/>
          <w:sz w:val="24"/>
          <w:szCs w:val="24"/>
        </w:rPr>
        <w:t xml:space="preserve"> as a military appointee and his fate there was in the hands of the Army Corps of Engineers.</w:t>
      </w:r>
      <w:r w:rsidRPr="00F06201">
        <w:rPr>
          <w:rFonts w:ascii="Times New Roman" w:hAnsi="Times New Roman" w:cs="Times New Roman"/>
          <w:sz w:val="24"/>
          <w:szCs w:val="24"/>
          <w:vertAlign w:val="superscript"/>
        </w:rPr>
        <w:footnoteReference w:id="1479"/>
      </w:r>
      <w:r w:rsidRPr="00F06201">
        <w:rPr>
          <w:rFonts w:ascii="Times New Roman" w:hAnsi="Times New Roman" w:cs="Times New Roman"/>
          <w:sz w:val="24"/>
          <w:szCs w:val="24"/>
        </w:rPr>
        <w:t xml:space="preserve"> Not only that, but just weeks after the conclusion of his trial for the Whiskey Ring, Babcock faced another indictment in the nation’s capital for the Safe Burglary Conspiracy.</w:t>
      </w:r>
      <w:r w:rsidRPr="00F06201">
        <w:rPr>
          <w:rFonts w:ascii="Times New Roman" w:hAnsi="Times New Roman" w:cs="Times New Roman"/>
          <w:sz w:val="24"/>
          <w:szCs w:val="24"/>
          <w:vertAlign w:val="superscript"/>
        </w:rPr>
        <w:footnoteReference w:id="1480"/>
      </w:r>
      <w:r w:rsidRPr="00F06201">
        <w:rPr>
          <w:rFonts w:ascii="Times New Roman" w:hAnsi="Times New Roman" w:cs="Times New Roman"/>
          <w:sz w:val="24"/>
          <w:szCs w:val="24"/>
        </w:rPr>
        <w:t xml:space="preserve"> While Babcock remained in Washington in the wake of the Whiskey Ring trials, his leash was shorter than ever, his past continued to catch up with him, and his belief that he was untouchable given his high-ranking connections remained intact, though to others, his dismissal seemed more likely every day.</w:t>
      </w:r>
    </w:p>
    <w:p w14:paraId="1A2A352A" w14:textId="23901FC9" w:rsidR="00F06201" w:rsidRPr="00F06201" w:rsidRDefault="00F06201" w:rsidP="00F06201">
      <w:pPr>
        <w:spacing w:line="480" w:lineRule="auto"/>
        <w:rPr>
          <w:rFonts w:ascii="Times New Roman" w:hAnsi="Times New Roman" w:cs="Times New Roman"/>
          <w:sz w:val="24"/>
          <w:szCs w:val="24"/>
        </w:rPr>
      </w:pPr>
      <w:r w:rsidRPr="00F06201">
        <w:rPr>
          <w:rFonts w:ascii="Times New Roman" w:hAnsi="Times New Roman" w:cs="Times New Roman"/>
          <w:sz w:val="24"/>
          <w:szCs w:val="24"/>
        </w:rPr>
        <w:tab/>
        <w:t>The Whiskey Ring proved to be a significant moment for all involved, just not in the way that any intended when they entered into dealings with or against the organization. The members of the Ring made significant financial gains for a time, but they were dashed through investigations and court cases. McDonald never rose to a point of such political and economic power again, and his running mate Joyce suffered terribly in jail. The prosecutors and investigators sought to make names for themselves and attain indictments at all levels of the Ring, but they made so many plea deals in search of a bigger fish that the penalties doled out were negligible at best. Bristow especially sought to build his reputation as a reformer that could ascend to the presidency in the wake of this moment, but he was unable to build upon this in part because of those he spurned in his ascension, losing the nomination to Rutherford B. Hayes in 1876.</w:t>
      </w:r>
      <w:r w:rsidRPr="00F06201">
        <w:rPr>
          <w:rFonts w:ascii="Times New Roman" w:hAnsi="Times New Roman" w:cs="Times New Roman"/>
          <w:sz w:val="24"/>
          <w:szCs w:val="24"/>
          <w:vertAlign w:val="superscript"/>
        </w:rPr>
        <w:footnoteReference w:id="1481"/>
      </w:r>
      <w:r w:rsidRPr="00F06201">
        <w:rPr>
          <w:rFonts w:ascii="Times New Roman" w:hAnsi="Times New Roman" w:cs="Times New Roman"/>
          <w:sz w:val="24"/>
          <w:szCs w:val="24"/>
        </w:rPr>
        <w:t xml:space="preserve"> President Grant and the Republican Party both suffered damage simply </w:t>
      </w:r>
      <w:r w:rsidR="00123B05">
        <w:rPr>
          <w:rFonts w:ascii="Times New Roman" w:hAnsi="Times New Roman" w:cs="Times New Roman"/>
          <w:sz w:val="24"/>
          <w:szCs w:val="24"/>
        </w:rPr>
        <w:t>by</w:t>
      </w:r>
      <w:r w:rsidRPr="00F06201">
        <w:rPr>
          <w:rFonts w:ascii="Times New Roman" w:hAnsi="Times New Roman" w:cs="Times New Roman"/>
          <w:sz w:val="24"/>
          <w:szCs w:val="24"/>
        </w:rPr>
        <w:t xml:space="preserve"> association with the individuals involved. Babcock was acquitted from any official wrongdoings, but by this </w:t>
      </w:r>
      <w:r w:rsidRPr="00F06201">
        <w:rPr>
          <w:rFonts w:ascii="Times New Roman" w:hAnsi="Times New Roman" w:cs="Times New Roman"/>
          <w:sz w:val="24"/>
          <w:szCs w:val="24"/>
        </w:rPr>
        <w:lastRenderedPageBreak/>
        <w:t xml:space="preserve">point he developed such a reputation for impropriety that his future was left in question. As the days elapsed </w:t>
      </w:r>
      <w:r w:rsidR="00923AD0">
        <w:rPr>
          <w:rFonts w:ascii="Times New Roman" w:hAnsi="Times New Roman" w:cs="Times New Roman"/>
          <w:sz w:val="24"/>
          <w:szCs w:val="24"/>
        </w:rPr>
        <w:t>toward</w:t>
      </w:r>
      <w:r w:rsidRPr="00F06201">
        <w:rPr>
          <w:rFonts w:ascii="Times New Roman" w:hAnsi="Times New Roman" w:cs="Times New Roman"/>
          <w:sz w:val="24"/>
          <w:szCs w:val="24"/>
        </w:rPr>
        <w:t xml:space="preserve"> the end of the Grant Administration, Babcock was left with many questions about his political, economic, and potentially legal future.</w:t>
      </w:r>
    </w:p>
    <w:p w14:paraId="00C1B4F2" w14:textId="2C559FE5" w:rsidR="00715974" w:rsidRDefault="00715974" w:rsidP="00F06201">
      <w:pPr>
        <w:jc w:val="center"/>
        <w:rPr>
          <w:rFonts w:ascii="Times New Roman" w:hAnsi="Times New Roman" w:cs="Times New Roman"/>
          <w:sz w:val="24"/>
          <w:szCs w:val="24"/>
        </w:rPr>
      </w:pPr>
    </w:p>
    <w:p w14:paraId="46BE7641" w14:textId="77777777" w:rsidR="002D5438" w:rsidRDefault="002D5438" w:rsidP="00F06201">
      <w:pPr>
        <w:jc w:val="center"/>
        <w:rPr>
          <w:rFonts w:ascii="Times New Roman" w:hAnsi="Times New Roman" w:cs="Times New Roman"/>
          <w:sz w:val="24"/>
          <w:szCs w:val="24"/>
        </w:rPr>
      </w:pPr>
    </w:p>
    <w:p w14:paraId="3CB88C1F" w14:textId="77777777" w:rsidR="002D5438" w:rsidRDefault="002D5438" w:rsidP="00F06201">
      <w:pPr>
        <w:jc w:val="center"/>
        <w:rPr>
          <w:rFonts w:ascii="Times New Roman" w:hAnsi="Times New Roman" w:cs="Times New Roman"/>
          <w:sz w:val="24"/>
          <w:szCs w:val="24"/>
        </w:rPr>
      </w:pPr>
    </w:p>
    <w:p w14:paraId="66A5075A" w14:textId="77777777" w:rsidR="002D5438" w:rsidRDefault="002D5438" w:rsidP="00F06201">
      <w:pPr>
        <w:jc w:val="center"/>
        <w:rPr>
          <w:rFonts w:ascii="Times New Roman" w:hAnsi="Times New Roman" w:cs="Times New Roman"/>
          <w:sz w:val="24"/>
          <w:szCs w:val="24"/>
        </w:rPr>
      </w:pPr>
    </w:p>
    <w:p w14:paraId="06A0CF00" w14:textId="77777777" w:rsidR="002D5438" w:rsidRDefault="002D5438" w:rsidP="00F06201">
      <w:pPr>
        <w:jc w:val="center"/>
        <w:rPr>
          <w:rFonts w:ascii="Times New Roman" w:hAnsi="Times New Roman" w:cs="Times New Roman"/>
          <w:sz w:val="24"/>
          <w:szCs w:val="24"/>
        </w:rPr>
      </w:pPr>
    </w:p>
    <w:p w14:paraId="30AE391F" w14:textId="77777777" w:rsidR="002D5438" w:rsidRDefault="002D5438" w:rsidP="00F06201">
      <w:pPr>
        <w:jc w:val="center"/>
        <w:rPr>
          <w:rFonts w:ascii="Times New Roman" w:hAnsi="Times New Roman" w:cs="Times New Roman"/>
          <w:sz w:val="24"/>
          <w:szCs w:val="24"/>
        </w:rPr>
      </w:pPr>
    </w:p>
    <w:p w14:paraId="670C134D" w14:textId="37F9552B" w:rsidR="002D5438" w:rsidRDefault="002D5438" w:rsidP="00360BFB">
      <w:pPr>
        <w:rPr>
          <w:rFonts w:ascii="Times New Roman" w:hAnsi="Times New Roman" w:cs="Times New Roman"/>
          <w:sz w:val="24"/>
          <w:szCs w:val="24"/>
        </w:rPr>
      </w:pPr>
    </w:p>
    <w:p w14:paraId="373AB120" w14:textId="77777777" w:rsidR="00123B05" w:rsidRDefault="00123B05" w:rsidP="00360BFB">
      <w:pPr>
        <w:rPr>
          <w:rFonts w:ascii="Times New Roman" w:hAnsi="Times New Roman" w:cs="Times New Roman"/>
          <w:sz w:val="24"/>
          <w:szCs w:val="24"/>
        </w:rPr>
      </w:pPr>
    </w:p>
    <w:p w14:paraId="50DB847C" w14:textId="77777777" w:rsidR="00123B05" w:rsidRDefault="00123B05" w:rsidP="00360BFB">
      <w:pPr>
        <w:rPr>
          <w:rFonts w:ascii="Times New Roman" w:hAnsi="Times New Roman" w:cs="Times New Roman"/>
          <w:sz w:val="24"/>
          <w:szCs w:val="24"/>
        </w:rPr>
      </w:pPr>
    </w:p>
    <w:p w14:paraId="2C9F0364" w14:textId="77777777" w:rsidR="00123B05" w:rsidRDefault="00123B05" w:rsidP="00360BFB">
      <w:pPr>
        <w:rPr>
          <w:rFonts w:ascii="Times New Roman" w:hAnsi="Times New Roman" w:cs="Times New Roman"/>
          <w:sz w:val="24"/>
          <w:szCs w:val="24"/>
        </w:rPr>
      </w:pPr>
    </w:p>
    <w:p w14:paraId="3FFBE831" w14:textId="77777777" w:rsidR="00123B05" w:rsidRDefault="00123B05" w:rsidP="00360BFB">
      <w:pPr>
        <w:rPr>
          <w:rFonts w:ascii="Times New Roman" w:hAnsi="Times New Roman" w:cs="Times New Roman"/>
          <w:sz w:val="24"/>
          <w:szCs w:val="24"/>
        </w:rPr>
      </w:pPr>
    </w:p>
    <w:p w14:paraId="3F1A6287" w14:textId="77777777" w:rsidR="00123B05" w:rsidRDefault="00123B05" w:rsidP="00360BFB">
      <w:pPr>
        <w:rPr>
          <w:rFonts w:ascii="Times New Roman" w:hAnsi="Times New Roman" w:cs="Times New Roman"/>
          <w:sz w:val="24"/>
          <w:szCs w:val="24"/>
        </w:rPr>
      </w:pPr>
    </w:p>
    <w:p w14:paraId="0272AED5" w14:textId="77777777" w:rsidR="00123B05" w:rsidRDefault="00123B05" w:rsidP="00360BFB">
      <w:pPr>
        <w:rPr>
          <w:rFonts w:ascii="Times New Roman" w:hAnsi="Times New Roman" w:cs="Times New Roman"/>
          <w:sz w:val="24"/>
          <w:szCs w:val="24"/>
        </w:rPr>
      </w:pPr>
    </w:p>
    <w:p w14:paraId="7F8347D2" w14:textId="77777777" w:rsidR="00123B05" w:rsidRDefault="00123B05" w:rsidP="00360BFB">
      <w:pPr>
        <w:rPr>
          <w:rFonts w:ascii="Times New Roman" w:hAnsi="Times New Roman" w:cs="Times New Roman"/>
          <w:sz w:val="24"/>
          <w:szCs w:val="24"/>
        </w:rPr>
      </w:pPr>
    </w:p>
    <w:p w14:paraId="149DA538" w14:textId="77777777" w:rsidR="00123B05" w:rsidRDefault="00123B05" w:rsidP="00360BFB">
      <w:pPr>
        <w:rPr>
          <w:rFonts w:ascii="Times New Roman" w:hAnsi="Times New Roman" w:cs="Times New Roman"/>
          <w:sz w:val="24"/>
          <w:szCs w:val="24"/>
        </w:rPr>
      </w:pPr>
    </w:p>
    <w:p w14:paraId="41640BA0" w14:textId="77777777" w:rsidR="00123B05" w:rsidRDefault="00123B05" w:rsidP="00360BFB">
      <w:pPr>
        <w:rPr>
          <w:rFonts w:ascii="Times New Roman" w:hAnsi="Times New Roman" w:cs="Times New Roman"/>
          <w:sz w:val="24"/>
          <w:szCs w:val="24"/>
        </w:rPr>
      </w:pPr>
    </w:p>
    <w:p w14:paraId="3948FDD8" w14:textId="77777777" w:rsidR="00123B05" w:rsidRDefault="00123B05" w:rsidP="00360BFB">
      <w:pPr>
        <w:rPr>
          <w:rFonts w:ascii="Times New Roman" w:hAnsi="Times New Roman" w:cs="Times New Roman"/>
          <w:sz w:val="24"/>
          <w:szCs w:val="24"/>
        </w:rPr>
      </w:pPr>
    </w:p>
    <w:p w14:paraId="7E26B8C6" w14:textId="77777777" w:rsidR="0018431A" w:rsidRDefault="0018431A" w:rsidP="00360BFB">
      <w:pPr>
        <w:rPr>
          <w:rFonts w:ascii="Times New Roman" w:hAnsi="Times New Roman" w:cs="Times New Roman"/>
          <w:sz w:val="24"/>
          <w:szCs w:val="24"/>
        </w:rPr>
      </w:pPr>
    </w:p>
    <w:p w14:paraId="37115847" w14:textId="77777777" w:rsidR="0018431A" w:rsidRDefault="0018431A" w:rsidP="00360BFB">
      <w:pPr>
        <w:rPr>
          <w:rFonts w:ascii="Times New Roman" w:hAnsi="Times New Roman" w:cs="Times New Roman"/>
          <w:sz w:val="24"/>
          <w:szCs w:val="24"/>
        </w:rPr>
      </w:pPr>
    </w:p>
    <w:p w14:paraId="20A3C71B" w14:textId="77777777" w:rsidR="0018431A" w:rsidRDefault="0018431A" w:rsidP="00360BFB">
      <w:pPr>
        <w:rPr>
          <w:rFonts w:ascii="Times New Roman" w:hAnsi="Times New Roman" w:cs="Times New Roman"/>
          <w:sz w:val="24"/>
          <w:szCs w:val="24"/>
        </w:rPr>
      </w:pPr>
    </w:p>
    <w:p w14:paraId="71933279" w14:textId="77777777" w:rsidR="0018431A" w:rsidRDefault="0018431A" w:rsidP="00360BFB">
      <w:pPr>
        <w:rPr>
          <w:rFonts w:ascii="Times New Roman" w:hAnsi="Times New Roman" w:cs="Times New Roman"/>
          <w:sz w:val="24"/>
          <w:szCs w:val="24"/>
        </w:rPr>
      </w:pPr>
    </w:p>
    <w:p w14:paraId="36BA62F5" w14:textId="77777777" w:rsidR="0018431A" w:rsidRDefault="0018431A" w:rsidP="00360BFB">
      <w:pPr>
        <w:rPr>
          <w:rFonts w:ascii="Times New Roman" w:hAnsi="Times New Roman" w:cs="Times New Roman"/>
          <w:sz w:val="24"/>
          <w:szCs w:val="24"/>
        </w:rPr>
      </w:pPr>
    </w:p>
    <w:p w14:paraId="04E9B88E" w14:textId="77777777" w:rsidR="0018431A" w:rsidRDefault="0018431A" w:rsidP="00360BFB">
      <w:pPr>
        <w:rPr>
          <w:rFonts w:ascii="Times New Roman" w:hAnsi="Times New Roman" w:cs="Times New Roman"/>
          <w:sz w:val="24"/>
          <w:szCs w:val="24"/>
        </w:rPr>
      </w:pPr>
    </w:p>
    <w:p w14:paraId="3164C599" w14:textId="77777777" w:rsidR="0018431A" w:rsidRDefault="0018431A" w:rsidP="00360BFB">
      <w:pPr>
        <w:rPr>
          <w:rFonts w:ascii="Times New Roman" w:hAnsi="Times New Roman" w:cs="Times New Roman"/>
          <w:sz w:val="24"/>
          <w:szCs w:val="24"/>
        </w:rPr>
      </w:pPr>
    </w:p>
    <w:p w14:paraId="57EAFBEF" w14:textId="1457844B" w:rsidR="00B30FA0" w:rsidRDefault="00360BFB" w:rsidP="00B948C1">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Conclusion: </w:t>
      </w:r>
      <w:bookmarkStart w:id="89" w:name="_Hlk200796050"/>
      <w:r>
        <w:rPr>
          <w:rFonts w:ascii="Times New Roman" w:hAnsi="Times New Roman" w:cs="Times New Roman"/>
          <w:sz w:val="24"/>
          <w:szCs w:val="24"/>
        </w:rPr>
        <w:t>Babcock’s Final Work and the Death of a Pragmatico</w:t>
      </w:r>
      <w:bookmarkEnd w:id="89"/>
    </w:p>
    <w:p w14:paraId="73AD8869" w14:textId="41B4B796" w:rsidR="00360BFB" w:rsidRDefault="00360BFB" w:rsidP="00360BF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the </w:t>
      </w:r>
      <w:r w:rsidR="00EB7BE7">
        <w:rPr>
          <w:rFonts w:ascii="Times New Roman" w:hAnsi="Times New Roman" w:cs="Times New Roman"/>
          <w:sz w:val="24"/>
          <w:szCs w:val="24"/>
        </w:rPr>
        <w:t>reputation-tainting albatross</w:t>
      </w:r>
      <w:r>
        <w:rPr>
          <w:rFonts w:ascii="Times New Roman" w:hAnsi="Times New Roman" w:cs="Times New Roman"/>
          <w:sz w:val="24"/>
          <w:szCs w:val="24"/>
        </w:rPr>
        <w:t xml:space="preserve"> that was General Orville Babcock removed from his administration, President Grant returned to considering his broader political future.  </w:t>
      </w:r>
      <w:r w:rsidR="008920C6">
        <w:rPr>
          <w:rFonts w:ascii="Times New Roman" w:hAnsi="Times New Roman" w:cs="Times New Roman"/>
          <w:sz w:val="24"/>
          <w:szCs w:val="24"/>
        </w:rPr>
        <w:t xml:space="preserve">Due to </w:t>
      </w:r>
      <w:r>
        <w:rPr>
          <w:rFonts w:ascii="Times New Roman" w:hAnsi="Times New Roman" w:cs="Times New Roman"/>
          <w:sz w:val="24"/>
          <w:szCs w:val="24"/>
        </w:rPr>
        <w:t xml:space="preserve">the investigations into his administration and the actions by his former Private Secretary, Grant’s path to an unprecedented third term in the White House faced considerable roadblocks.  </w:t>
      </w:r>
      <w:r w:rsidR="00A17174">
        <w:rPr>
          <w:rFonts w:ascii="Times New Roman" w:hAnsi="Times New Roman" w:cs="Times New Roman"/>
          <w:sz w:val="24"/>
          <w:szCs w:val="24"/>
        </w:rPr>
        <w:t>Additionally, t</w:t>
      </w:r>
      <w:r>
        <w:rPr>
          <w:rFonts w:ascii="Times New Roman" w:hAnsi="Times New Roman" w:cs="Times New Roman"/>
          <w:sz w:val="24"/>
          <w:szCs w:val="24"/>
        </w:rPr>
        <w:t xml:space="preserve">he uncovering of numerous scandals during Grant’s eight years in office combined with unrest from the South </w:t>
      </w:r>
      <w:r w:rsidR="008C225B">
        <w:rPr>
          <w:rFonts w:ascii="Times New Roman" w:hAnsi="Times New Roman" w:cs="Times New Roman"/>
          <w:sz w:val="24"/>
          <w:szCs w:val="24"/>
        </w:rPr>
        <w:t>resulting from</w:t>
      </w:r>
      <w:r>
        <w:rPr>
          <w:rFonts w:ascii="Times New Roman" w:hAnsi="Times New Roman" w:cs="Times New Roman"/>
          <w:sz w:val="24"/>
          <w:szCs w:val="24"/>
        </w:rPr>
        <w:t xml:space="preserve"> the ongoing military Reconstruction left the nation desiring change. Several of these scandals involved Babcock. Others, such as the Sanborn incident in which government agents under Secretary of the Treasury William Richardson approved tax collectors who pocketed some of the money they collected, the Cattleism found in Navy Secretary George Rob</w:t>
      </w:r>
      <w:r w:rsidR="00334415">
        <w:rPr>
          <w:rFonts w:ascii="Times New Roman" w:hAnsi="Times New Roman" w:cs="Times New Roman"/>
          <w:sz w:val="24"/>
          <w:szCs w:val="24"/>
        </w:rPr>
        <w:t>e</w:t>
      </w:r>
      <w:r>
        <w:rPr>
          <w:rFonts w:ascii="Times New Roman" w:hAnsi="Times New Roman" w:cs="Times New Roman"/>
          <w:sz w:val="24"/>
          <w:szCs w:val="24"/>
        </w:rPr>
        <w:t>son’s department, and the Credit Mobilier scandal that implicated Grant’s first Vice President Schuyler Colfax, involved other high-ranking members of the Grant Administration and similarly marred the president’s reputation,</w:t>
      </w:r>
      <w:r w:rsidR="00CC107C">
        <w:rPr>
          <w:rFonts w:ascii="Times New Roman" w:hAnsi="Times New Roman" w:cs="Times New Roman"/>
          <w:sz w:val="24"/>
          <w:szCs w:val="24"/>
        </w:rPr>
        <w:t xml:space="preserve">, albeit to lesser degrees, </w:t>
      </w:r>
      <w:r>
        <w:rPr>
          <w:rFonts w:ascii="Times New Roman" w:hAnsi="Times New Roman" w:cs="Times New Roman"/>
          <w:sz w:val="24"/>
          <w:szCs w:val="24"/>
        </w:rPr>
        <w:t xml:space="preserve">as he was </w:t>
      </w:r>
      <w:r w:rsidR="00CC107C">
        <w:rPr>
          <w:rFonts w:ascii="Times New Roman" w:hAnsi="Times New Roman" w:cs="Times New Roman"/>
          <w:sz w:val="24"/>
          <w:szCs w:val="24"/>
        </w:rPr>
        <w:t>vicariously liable</w:t>
      </w:r>
      <w:r>
        <w:rPr>
          <w:rFonts w:ascii="Times New Roman" w:hAnsi="Times New Roman" w:cs="Times New Roman"/>
          <w:sz w:val="24"/>
          <w:szCs w:val="24"/>
        </w:rPr>
        <w:t xml:space="preserve"> for the actions of his appointees.</w:t>
      </w:r>
      <w:r>
        <w:rPr>
          <w:rStyle w:val="FootnoteReference"/>
          <w:rFonts w:ascii="Times New Roman" w:hAnsi="Times New Roman" w:cs="Times New Roman"/>
          <w:sz w:val="24"/>
          <w:szCs w:val="24"/>
        </w:rPr>
        <w:footnoteReference w:id="1482"/>
      </w:r>
      <w:r>
        <w:rPr>
          <w:rFonts w:ascii="Times New Roman" w:hAnsi="Times New Roman" w:cs="Times New Roman"/>
          <w:sz w:val="24"/>
          <w:szCs w:val="24"/>
        </w:rPr>
        <w:t xml:space="preserve"> </w:t>
      </w:r>
      <w:r w:rsidR="00940262">
        <w:rPr>
          <w:rFonts w:ascii="Times New Roman" w:hAnsi="Times New Roman" w:cs="Times New Roman"/>
          <w:sz w:val="24"/>
          <w:szCs w:val="24"/>
        </w:rPr>
        <w:t>Hope</w:t>
      </w:r>
      <w:r>
        <w:rPr>
          <w:rFonts w:ascii="Times New Roman" w:hAnsi="Times New Roman" w:cs="Times New Roman"/>
          <w:sz w:val="24"/>
          <w:szCs w:val="24"/>
        </w:rPr>
        <w:t xml:space="preserve">s </w:t>
      </w:r>
      <w:r w:rsidR="00940262">
        <w:rPr>
          <w:rFonts w:ascii="Times New Roman" w:hAnsi="Times New Roman" w:cs="Times New Roman"/>
          <w:sz w:val="24"/>
          <w:szCs w:val="24"/>
        </w:rPr>
        <w:t>for</w:t>
      </w:r>
      <w:r>
        <w:rPr>
          <w:rFonts w:ascii="Times New Roman" w:hAnsi="Times New Roman" w:cs="Times New Roman"/>
          <w:sz w:val="24"/>
          <w:szCs w:val="24"/>
        </w:rPr>
        <w:t xml:space="preserve"> a third term candidacy for President Grant were all but </w:t>
      </w:r>
      <w:r w:rsidR="00772D54">
        <w:rPr>
          <w:rFonts w:ascii="Times New Roman" w:hAnsi="Times New Roman" w:cs="Times New Roman"/>
          <w:sz w:val="24"/>
          <w:szCs w:val="24"/>
        </w:rPr>
        <w:t>sm</w:t>
      </w:r>
      <w:r>
        <w:rPr>
          <w:rFonts w:ascii="Times New Roman" w:hAnsi="Times New Roman" w:cs="Times New Roman"/>
          <w:sz w:val="24"/>
          <w:szCs w:val="24"/>
        </w:rPr>
        <w:t>ashed by the impact of the Whiskey Ring and other scandals that marred the Grant Administration.</w:t>
      </w:r>
    </w:p>
    <w:p w14:paraId="6357246C" w14:textId="286F3D3B"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With Grant’s reputation </w:t>
      </w:r>
      <w:r w:rsidR="000A0E0D">
        <w:rPr>
          <w:rFonts w:ascii="Times New Roman" w:hAnsi="Times New Roman" w:cs="Times New Roman"/>
          <w:sz w:val="24"/>
          <w:szCs w:val="24"/>
        </w:rPr>
        <w:t>in question</w:t>
      </w:r>
      <w:r>
        <w:rPr>
          <w:rFonts w:ascii="Times New Roman" w:hAnsi="Times New Roman" w:cs="Times New Roman"/>
          <w:sz w:val="24"/>
          <w:szCs w:val="24"/>
        </w:rPr>
        <w:t xml:space="preserve"> among the American masses, his opponents took advantage of the situation through careful political tactics meant to limit his power. The Democrats, who were quickly regaining power as a national party, went beyond the search to </w:t>
      </w:r>
      <w:r>
        <w:rPr>
          <w:rFonts w:ascii="Times New Roman" w:hAnsi="Times New Roman" w:cs="Times New Roman"/>
          <w:sz w:val="24"/>
          <w:szCs w:val="24"/>
        </w:rPr>
        <w:lastRenderedPageBreak/>
        <w:t xml:space="preserve">eliminate scoundrels from the civil service and </w:t>
      </w:r>
      <w:r w:rsidR="000053D2">
        <w:rPr>
          <w:rFonts w:ascii="Times New Roman" w:hAnsi="Times New Roman" w:cs="Times New Roman"/>
          <w:sz w:val="24"/>
          <w:szCs w:val="24"/>
        </w:rPr>
        <w:t>extended their reach to grab power by attacking their o</w:t>
      </w:r>
      <w:r>
        <w:rPr>
          <w:rFonts w:ascii="Times New Roman" w:hAnsi="Times New Roman" w:cs="Times New Roman"/>
          <w:sz w:val="24"/>
          <w:szCs w:val="24"/>
        </w:rPr>
        <w:t>pponent.</w:t>
      </w:r>
      <w:r>
        <w:rPr>
          <w:rStyle w:val="FootnoteReference"/>
          <w:rFonts w:ascii="Times New Roman" w:hAnsi="Times New Roman" w:cs="Times New Roman"/>
          <w:sz w:val="24"/>
          <w:szCs w:val="24"/>
        </w:rPr>
        <w:footnoteReference w:id="1483"/>
      </w:r>
      <w:r>
        <w:rPr>
          <w:rFonts w:ascii="Times New Roman" w:hAnsi="Times New Roman" w:cs="Times New Roman"/>
          <w:sz w:val="24"/>
          <w:szCs w:val="24"/>
        </w:rPr>
        <w:t xml:space="preserve"> They began a process through which they aimed to embarrass Grant and the Republicans while simultaneously weaken</w:t>
      </w:r>
      <w:r w:rsidR="00FF7B94">
        <w:rPr>
          <w:rFonts w:ascii="Times New Roman" w:hAnsi="Times New Roman" w:cs="Times New Roman"/>
          <w:sz w:val="24"/>
          <w:szCs w:val="24"/>
        </w:rPr>
        <w:t>ing</w:t>
      </w:r>
      <w:r>
        <w:rPr>
          <w:rFonts w:ascii="Times New Roman" w:hAnsi="Times New Roman" w:cs="Times New Roman"/>
          <w:sz w:val="24"/>
          <w:szCs w:val="24"/>
        </w:rPr>
        <w:t xml:space="preserve"> his</w:t>
      </w:r>
      <w:r w:rsidR="00FF7B94">
        <w:rPr>
          <w:rFonts w:ascii="Times New Roman" w:hAnsi="Times New Roman" w:cs="Times New Roman"/>
          <w:sz w:val="24"/>
          <w:szCs w:val="24"/>
        </w:rPr>
        <w:t xml:space="preserve"> power in the e</w:t>
      </w:r>
      <w:r>
        <w:rPr>
          <w:rFonts w:ascii="Times New Roman" w:hAnsi="Times New Roman" w:cs="Times New Roman"/>
          <w:sz w:val="24"/>
          <w:szCs w:val="24"/>
        </w:rPr>
        <w:t>xecutive branch.</w:t>
      </w:r>
      <w:r>
        <w:rPr>
          <w:rStyle w:val="FootnoteReference"/>
          <w:rFonts w:ascii="Times New Roman" w:hAnsi="Times New Roman" w:cs="Times New Roman"/>
          <w:sz w:val="24"/>
          <w:szCs w:val="24"/>
        </w:rPr>
        <w:footnoteReference w:id="1484"/>
      </w:r>
      <w:r>
        <w:rPr>
          <w:rFonts w:ascii="Times New Roman" w:hAnsi="Times New Roman" w:cs="Times New Roman"/>
          <w:sz w:val="24"/>
          <w:szCs w:val="24"/>
        </w:rPr>
        <w:t xml:space="preserve"> They assaulted Grant’s selection process for the civil service through the House Military Affairs Committee by demanding a list of all army officers detailed for civilian service with the intention to </w:t>
      </w:r>
      <w:r w:rsidR="00FD236C">
        <w:rPr>
          <w:rFonts w:ascii="Times New Roman" w:hAnsi="Times New Roman" w:cs="Times New Roman"/>
          <w:sz w:val="24"/>
          <w:szCs w:val="24"/>
        </w:rPr>
        <w:t>kill</w:t>
      </w:r>
      <w:r>
        <w:rPr>
          <w:rFonts w:ascii="Times New Roman" w:hAnsi="Times New Roman" w:cs="Times New Roman"/>
          <w:sz w:val="24"/>
          <w:szCs w:val="24"/>
        </w:rPr>
        <w:t xml:space="preserve"> this practice moving forward.</w:t>
      </w:r>
      <w:r>
        <w:rPr>
          <w:rStyle w:val="FootnoteReference"/>
          <w:rFonts w:ascii="Times New Roman" w:hAnsi="Times New Roman" w:cs="Times New Roman"/>
          <w:sz w:val="24"/>
          <w:szCs w:val="24"/>
        </w:rPr>
        <w:footnoteReference w:id="1485"/>
      </w:r>
      <w:r>
        <w:rPr>
          <w:rFonts w:ascii="Times New Roman" w:hAnsi="Times New Roman" w:cs="Times New Roman"/>
          <w:sz w:val="24"/>
          <w:szCs w:val="24"/>
        </w:rPr>
        <w:t xml:space="preserve"> The War Department assembled this list, but before the issue was addressed in Congress, the Cabinet took the list and changed the designation of the assignments therein from working for the president to working for the Commander in Chief of the Army, a designation the administration felt resolved this particular issue</w:t>
      </w:r>
      <w:r w:rsidR="00D32492">
        <w:rPr>
          <w:rFonts w:ascii="Times New Roman" w:hAnsi="Times New Roman" w:cs="Times New Roman"/>
          <w:sz w:val="24"/>
          <w:szCs w:val="24"/>
        </w:rPr>
        <w:t>, wresting command back into Grant’s hands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86"/>
      </w:r>
      <w:r>
        <w:rPr>
          <w:rFonts w:ascii="Times New Roman" w:hAnsi="Times New Roman" w:cs="Times New Roman"/>
          <w:sz w:val="24"/>
          <w:szCs w:val="24"/>
        </w:rPr>
        <w:t xml:space="preserve"> The Democrats also moved on a bill to lower future presidents’ salaries, which Grant vetoed out of “duty to [his] successors,” while Congress continued to </w:t>
      </w:r>
      <w:r w:rsidR="00945AA6">
        <w:rPr>
          <w:rFonts w:ascii="Times New Roman" w:hAnsi="Times New Roman" w:cs="Times New Roman"/>
          <w:sz w:val="24"/>
          <w:szCs w:val="24"/>
        </w:rPr>
        <w:t>insult</w:t>
      </w:r>
      <w:r>
        <w:rPr>
          <w:rFonts w:ascii="Times New Roman" w:hAnsi="Times New Roman" w:cs="Times New Roman"/>
          <w:sz w:val="24"/>
          <w:szCs w:val="24"/>
        </w:rPr>
        <w:t xml:space="preserve"> Grant by demanding a record of Grant’s absences from “the seat of government” in an effort to paint Grant as adverse to his duties.</w:t>
      </w:r>
      <w:r>
        <w:rPr>
          <w:rStyle w:val="FootnoteReference"/>
          <w:rFonts w:ascii="Times New Roman" w:hAnsi="Times New Roman" w:cs="Times New Roman"/>
          <w:sz w:val="24"/>
          <w:szCs w:val="24"/>
        </w:rPr>
        <w:footnoteReference w:id="1487"/>
      </w:r>
      <w:r>
        <w:rPr>
          <w:rFonts w:ascii="Times New Roman" w:hAnsi="Times New Roman" w:cs="Times New Roman"/>
          <w:sz w:val="24"/>
          <w:szCs w:val="24"/>
        </w:rPr>
        <w:t xml:space="preserve"> Though Grant rebuked and defended his actions away from the White House effectively, the Democrats were effective in sowing doubt </w:t>
      </w:r>
      <w:r w:rsidR="00AC580E">
        <w:rPr>
          <w:rFonts w:ascii="Times New Roman" w:hAnsi="Times New Roman" w:cs="Times New Roman"/>
          <w:sz w:val="24"/>
          <w:szCs w:val="24"/>
        </w:rPr>
        <w:t>about</w:t>
      </w:r>
      <w:r>
        <w:rPr>
          <w:rFonts w:ascii="Times New Roman" w:hAnsi="Times New Roman" w:cs="Times New Roman"/>
          <w:sz w:val="24"/>
          <w:szCs w:val="24"/>
        </w:rPr>
        <w:t xml:space="preserve"> Grant </w:t>
      </w:r>
      <w:r w:rsidR="00AC580E">
        <w:rPr>
          <w:rFonts w:ascii="Times New Roman" w:hAnsi="Times New Roman" w:cs="Times New Roman"/>
          <w:sz w:val="24"/>
          <w:szCs w:val="24"/>
        </w:rPr>
        <w:t>in</w:t>
      </w:r>
      <w:r>
        <w:rPr>
          <w:rFonts w:ascii="Times New Roman" w:hAnsi="Times New Roman" w:cs="Times New Roman"/>
          <w:sz w:val="24"/>
          <w:szCs w:val="24"/>
        </w:rPr>
        <w:t xml:space="preserve"> the American masses.</w:t>
      </w:r>
      <w:r w:rsidRPr="00C816CC">
        <w:rPr>
          <w:rFonts w:ascii="Times New Roman" w:hAnsi="Times New Roman" w:cs="Times New Roman"/>
          <w:sz w:val="24"/>
          <w:szCs w:val="24"/>
        </w:rPr>
        <w:t xml:space="preserve"> </w:t>
      </w:r>
      <w:r>
        <w:rPr>
          <w:rFonts w:ascii="Times New Roman" w:hAnsi="Times New Roman" w:cs="Times New Roman"/>
          <w:sz w:val="24"/>
          <w:szCs w:val="24"/>
        </w:rPr>
        <w:t>Perhaps in response to the rumblings surrounding Grant, the House passed a resolution in December 1875 by a vote of 233-18 to declare that the two-term tradition was to prevent dictatorship, linking Grant to a perceived overhaul of the government in an effort to further discredit his potential candidacy for a third term.</w:t>
      </w:r>
      <w:r>
        <w:rPr>
          <w:rStyle w:val="FootnoteReference"/>
          <w:rFonts w:ascii="Times New Roman" w:hAnsi="Times New Roman" w:cs="Times New Roman"/>
          <w:sz w:val="24"/>
          <w:szCs w:val="24"/>
        </w:rPr>
        <w:footnoteReference w:id="1488"/>
      </w:r>
    </w:p>
    <w:p w14:paraId="211D1BE0" w14:textId="3978CD22"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actions of the Democratic Party combined with the sheer number of scandals that emerged amongst </w:t>
      </w:r>
      <w:r w:rsidR="00AF0645">
        <w:rPr>
          <w:rFonts w:ascii="Times New Roman" w:hAnsi="Times New Roman" w:cs="Times New Roman"/>
          <w:sz w:val="24"/>
          <w:szCs w:val="24"/>
        </w:rPr>
        <w:t>those who</w:t>
      </w:r>
      <w:r>
        <w:rPr>
          <w:rFonts w:ascii="Times New Roman" w:hAnsi="Times New Roman" w:cs="Times New Roman"/>
          <w:sz w:val="24"/>
          <w:szCs w:val="24"/>
        </w:rPr>
        <w:t xml:space="preserve"> Grant seemed to trust with high office were </w:t>
      </w:r>
      <w:r w:rsidR="00AF0645">
        <w:rPr>
          <w:rFonts w:ascii="Times New Roman" w:hAnsi="Times New Roman" w:cs="Times New Roman"/>
          <w:sz w:val="24"/>
          <w:szCs w:val="24"/>
        </w:rPr>
        <w:t xml:space="preserve">ultimately </w:t>
      </w:r>
      <w:r>
        <w:rPr>
          <w:rFonts w:ascii="Times New Roman" w:hAnsi="Times New Roman" w:cs="Times New Roman"/>
          <w:sz w:val="24"/>
          <w:szCs w:val="24"/>
        </w:rPr>
        <w:t>effective</w:t>
      </w:r>
      <w:r w:rsidR="00AF0645">
        <w:rPr>
          <w:rFonts w:ascii="Times New Roman" w:hAnsi="Times New Roman" w:cs="Times New Roman"/>
          <w:sz w:val="24"/>
          <w:szCs w:val="24"/>
        </w:rPr>
        <w:t>.</w:t>
      </w:r>
      <w:r w:rsidR="00AF0645" w:rsidRPr="00AF0645">
        <w:rPr>
          <w:rStyle w:val="FootnoteReference"/>
          <w:rFonts w:ascii="Times New Roman" w:hAnsi="Times New Roman" w:cs="Times New Roman"/>
          <w:sz w:val="24"/>
          <w:szCs w:val="24"/>
        </w:rPr>
        <w:t xml:space="preserve"> </w:t>
      </w:r>
      <w:r w:rsidR="00AF0645">
        <w:rPr>
          <w:rStyle w:val="FootnoteReference"/>
          <w:rFonts w:ascii="Times New Roman" w:hAnsi="Times New Roman" w:cs="Times New Roman"/>
          <w:sz w:val="24"/>
          <w:szCs w:val="24"/>
        </w:rPr>
        <w:footnoteReference w:id="1489"/>
      </w:r>
      <w:r w:rsidR="00AF0645">
        <w:rPr>
          <w:rFonts w:ascii="Times New Roman" w:hAnsi="Times New Roman" w:cs="Times New Roman"/>
          <w:sz w:val="24"/>
          <w:szCs w:val="24"/>
        </w:rPr>
        <w:t xml:space="preserve">  T</w:t>
      </w:r>
      <w:r>
        <w:rPr>
          <w:rFonts w:ascii="Times New Roman" w:hAnsi="Times New Roman" w:cs="Times New Roman"/>
          <w:sz w:val="24"/>
          <w:szCs w:val="24"/>
        </w:rPr>
        <w:t>hese circumstances forced people to consider</w:t>
      </w:r>
      <w:r w:rsidR="00AF0645">
        <w:rPr>
          <w:rFonts w:ascii="Times New Roman" w:hAnsi="Times New Roman" w:cs="Times New Roman"/>
          <w:sz w:val="24"/>
          <w:szCs w:val="24"/>
        </w:rPr>
        <w:t xml:space="preserve"> the president’s judgement of character</w:t>
      </w:r>
      <w:r>
        <w:rPr>
          <w:rFonts w:ascii="Times New Roman" w:hAnsi="Times New Roman" w:cs="Times New Roman"/>
          <w:sz w:val="24"/>
          <w:szCs w:val="24"/>
        </w:rPr>
        <w:t xml:space="preserve"> and therefore if he was fit to continue to lead the nation. This was an effective tactic for Grant’s opposition, as his judge of character was one of his defining traits as a general </w:t>
      </w:r>
      <w:r w:rsidR="00AF0645">
        <w:rPr>
          <w:rFonts w:ascii="Times New Roman" w:hAnsi="Times New Roman" w:cs="Times New Roman"/>
          <w:sz w:val="24"/>
          <w:szCs w:val="24"/>
        </w:rPr>
        <w:t xml:space="preserve">which </w:t>
      </w:r>
      <w:r>
        <w:rPr>
          <w:rFonts w:ascii="Times New Roman" w:hAnsi="Times New Roman" w:cs="Times New Roman"/>
          <w:sz w:val="24"/>
          <w:szCs w:val="24"/>
        </w:rPr>
        <w:t>made him such an attractive political candidate in the first place.</w:t>
      </w:r>
      <w:r>
        <w:rPr>
          <w:rStyle w:val="FootnoteReference"/>
          <w:rFonts w:ascii="Times New Roman" w:hAnsi="Times New Roman" w:cs="Times New Roman"/>
          <w:sz w:val="24"/>
          <w:szCs w:val="24"/>
        </w:rPr>
        <w:footnoteReference w:id="1490"/>
      </w:r>
      <w:r>
        <w:rPr>
          <w:rFonts w:ascii="Times New Roman" w:hAnsi="Times New Roman" w:cs="Times New Roman"/>
          <w:sz w:val="24"/>
          <w:szCs w:val="24"/>
        </w:rPr>
        <w:t xml:space="preserve"> While continued claims of complicity in corruption and incompetence rained down on the administration, Grant found support from friends like Hamilton Fish, who found this as an “abuse of his confidence” by men who selfishly desired their own advancement.</w:t>
      </w:r>
      <w:r>
        <w:rPr>
          <w:rStyle w:val="FootnoteReference"/>
          <w:rFonts w:ascii="Times New Roman" w:hAnsi="Times New Roman" w:cs="Times New Roman"/>
          <w:sz w:val="24"/>
          <w:szCs w:val="24"/>
        </w:rPr>
        <w:footnoteReference w:id="1491"/>
      </w:r>
      <w:r>
        <w:rPr>
          <w:rFonts w:ascii="Times New Roman" w:hAnsi="Times New Roman" w:cs="Times New Roman"/>
          <w:sz w:val="24"/>
          <w:szCs w:val="24"/>
        </w:rPr>
        <w:t xml:space="preserve"> Grant’s Methodist minister excused his actions on the grounds that “he was of such personal integrity and uprightness that he refused to believe it possible that other men were not influenced by his own high motives.”</w:t>
      </w:r>
      <w:r>
        <w:rPr>
          <w:rStyle w:val="FootnoteReference"/>
          <w:rFonts w:ascii="Times New Roman" w:hAnsi="Times New Roman" w:cs="Times New Roman"/>
          <w:sz w:val="24"/>
          <w:szCs w:val="24"/>
        </w:rPr>
        <w:footnoteReference w:id="1492"/>
      </w:r>
      <w:r>
        <w:rPr>
          <w:rFonts w:ascii="Times New Roman" w:hAnsi="Times New Roman" w:cs="Times New Roman"/>
          <w:sz w:val="24"/>
          <w:szCs w:val="24"/>
        </w:rPr>
        <w:t xml:space="preserve"> Here we must consider Grant’s naivete in assuming that other men held the same character</w:t>
      </w:r>
      <w:r w:rsidR="00F4344A">
        <w:rPr>
          <w:rFonts w:ascii="Times New Roman" w:hAnsi="Times New Roman" w:cs="Times New Roman"/>
          <w:sz w:val="24"/>
          <w:szCs w:val="24"/>
        </w:rPr>
        <w:t xml:space="preserve"> traits</w:t>
      </w:r>
      <w:r>
        <w:rPr>
          <w:rFonts w:ascii="Times New Roman" w:hAnsi="Times New Roman" w:cs="Times New Roman"/>
          <w:sz w:val="24"/>
          <w:szCs w:val="24"/>
        </w:rPr>
        <w:t xml:space="preserve"> as those Horace Porter recognized Grant held so dear: t</w:t>
      </w:r>
      <w:r w:rsidRPr="006A6DED">
        <w:rPr>
          <w:rFonts w:ascii="Times New Roman" w:hAnsi="Times New Roman" w:cs="Times New Roman"/>
          <w:sz w:val="24"/>
          <w:szCs w:val="24"/>
        </w:rPr>
        <w:t xml:space="preserve">ruth, </w:t>
      </w:r>
      <w:r>
        <w:rPr>
          <w:rFonts w:ascii="Times New Roman" w:hAnsi="Times New Roman" w:cs="Times New Roman"/>
          <w:sz w:val="24"/>
          <w:szCs w:val="24"/>
        </w:rPr>
        <w:t>c</w:t>
      </w:r>
      <w:r w:rsidRPr="006A6DED">
        <w:rPr>
          <w:rFonts w:ascii="Times New Roman" w:hAnsi="Times New Roman" w:cs="Times New Roman"/>
          <w:sz w:val="24"/>
          <w:szCs w:val="24"/>
        </w:rPr>
        <w:t xml:space="preserve">ourage, </w:t>
      </w:r>
      <w:r>
        <w:rPr>
          <w:rFonts w:ascii="Times New Roman" w:hAnsi="Times New Roman" w:cs="Times New Roman"/>
          <w:sz w:val="24"/>
          <w:szCs w:val="24"/>
        </w:rPr>
        <w:t>m</w:t>
      </w:r>
      <w:r w:rsidRPr="006A6DED">
        <w:rPr>
          <w:rFonts w:ascii="Times New Roman" w:hAnsi="Times New Roman" w:cs="Times New Roman"/>
          <w:sz w:val="24"/>
          <w:szCs w:val="24"/>
        </w:rPr>
        <w:t xml:space="preserve">odesty, </w:t>
      </w:r>
      <w:r>
        <w:rPr>
          <w:rFonts w:ascii="Times New Roman" w:hAnsi="Times New Roman" w:cs="Times New Roman"/>
          <w:sz w:val="24"/>
          <w:szCs w:val="24"/>
        </w:rPr>
        <w:t>g</w:t>
      </w:r>
      <w:r w:rsidRPr="006A6DED">
        <w:rPr>
          <w:rFonts w:ascii="Times New Roman" w:hAnsi="Times New Roman" w:cs="Times New Roman"/>
          <w:sz w:val="24"/>
          <w:szCs w:val="24"/>
        </w:rPr>
        <w:t xml:space="preserve">enerosity, and </w:t>
      </w:r>
      <w:r>
        <w:rPr>
          <w:rFonts w:ascii="Times New Roman" w:hAnsi="Times New Roman" w:cs="Times New Roman"/>
          <w:sz w:val="24"/>
          <w:szCs w:val="24"/>
        </w:rPr>
        <w:t>l</w:t>
      </w:r>
      <w:r w:rsidRPr="006A6DED">
        <w:rPr>
          <w:rFonts w:ascii="Times New Roman" w:hAnsi="Times New Roman" w:cs="Times New Roman"/>
          <w:sz w:val="24"/>
          <w:szCs w:val="24"/>
        </w:rPr>
        <w:t>oyalty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93"/>
      </w:r>
      <w:r>
        <w:rPr>
          <w:rFonts w:ascii="Times New Roman" w:hAnsi="Times New Roman" w:cs="Times New Roman"/>
          <w:sz w:val="24"/>
          <w:szCs w:val="24"/>
        </w:rPr>
        <w:t xml:space="preserve"> Those who truly knew Grant believed that he was an upstanding individual who projected these values onto others, and while he was definitely punished for doing so, he held hope in others that they had the same character as he did. Still, as questions about Grant persisted, he was forced to reckon with the potential end of his presidency in large part because of his faulty assumptions about those with whom he surrounded himself.</w:t>
      </w:r>
    </w:p>
    <w:p w14:paraId="74C335A4" w14:textId="65A90129"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With the end to his second term approaching, Grant recognized that the odds of obtaining his party’s nomination were not in his favor. Instead of fighting an uphill battle against not only </w:t>
      </w:r>
      <w:r>
        <w:rPr>
          <w:rFonts w:ascii="Times New Roman" w:hAnsi="Times New Roman" w:cs="Times New Roman"/>
          <w:sz w:val="24"/>
          <w:szCs w:val="24"/>
        </w:rPr>
        <w:lastRenderedPageBreak/>
        <w:t>public outcry but also the established precedent of two terms in the White House, Grant decided to aid his party in selecting his successor, putting the continuity of the Republican Party above his own political future</w:t>
      </w:r>
      <w:r w:rsidR="00F4344A">
        <w:rPr>
          <w:rFonts w:ascii="Times New Roman" w:hAnsi="Times New Roman" w:cs="Times New Roman"/>
          <w:sz w:val="24"/>
          <w:szCs w:val="24"/>
        </w:rPr>
        <w:t xml:space="preserve"> and desire to serve his country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94"/>
      </w:r>
      <w:r>
        <w:rPr>
          <w:rFonts w:ascii="Times New Roman" w:hAnsi="Times New Roman" w:cs="Times New Roman"/>
          <w:sz w:val="24"/>
          <w:szCs w:val="24"/>
        </w:rPr>
        <w:t xml:space="preserve">  Grant began by remaining neutral, with some suspicions that he secretly supported New York Senator Roscoe Conkling or Secretary of State Hamilton Fish for the nomination.</w:t>
      </w:r>
      <w:r>
        <w:rPr>
          <w:rStyle w:val="FootnoteReference"/>
          <w:rFonts w:ascii="Times New Roman" w:hAnsi="Times New Roman" w:cs="Times New Roman"/>
          <w:sz w:val="24"/>
          <w:szCs w:val="24"/>
        </w:rPr>
        <w:footnoteReference w:id="1495"/>
      </w:r>
      <w:r>
        <w:rPr>
          <w:rFonts w:ascii="Times New Roman" w:hAnsi="Times New Roman" w:cs="Times New Roman"/>
          <w:sz w:val="24"/>
          <w:szCs w:val="24"/>
        </w:rPr>
        <w:t xml:space="preserve"> However, when the Republican nominating committee chose Ohio Governor Rutherford B. Hayes over the seeming favorite, Maine Senator James Blaine, Grant threw his support behind the nominee, stating “I know Governor Hayes personally, and I can surrender with unfeigned pleasure my present position to him, as I believe I shall do.”</w:t>
      </w:r>
      <w:r>
        <w:rPr>
          <w:rStyle w:val="FootnoteReference"/>
          <w:rFonts w:ascii="Times New Roman" w:hAnsi="Times New Roman" w:cs="Times New Roman"/>
          <w:sz w:val="24"/>
          <w:szCs w:val="24"/>
        </w:rPr>
        <w:footnoteReference w:id="1496"/>
      </w:r>
      <w:r>
        <w:rPr>
          <w:rFonts w:ascii="Times New Roman" w:hAnsi="Times New Roman" w:cs="Times New Roman"/>
          <w:sz w:val="24"/>
          <w:szCs w:val="24"/>
        </w:rPr>
        <w:t xml:space="preserve">  When the dust settled in the contentious election between Hayes and Democratic Nominee</w:t>
      </w:r>
      <w:r w:rsidR="00066E67">
        <w:rPr>
          <w:rFonts w:ascii="Times New Roman" w:hAnsi="Times New Roman" w:cs="Times New Roman"/>
          <w:sz w:val="24"/>
          <w:szCs w:val="24"/>
        </w:rPr>
        <w:t xml:space="preserve">/noted ring-opponent </w:t>
      </w:r>
      <w:r>
        <w:rPr>
          <w:rFonts w:ascii="Times New Roman" w:hAnsi="Times New Roman" w:cs="Times New Roman"/>
          <w:sz w:val="24"/>
          <w:szCs w:val="24"/>
        </w:rPr>
        <w:t>Samuel Tilden, several states’ results were contested, leaving the election in question. President Grant signed legislation to form an Election Commission to resolve the issues of the election.</w:t>
      </w:r>
      <w:r>
        <w:rPr>
          <w:rStyle w:val="FootnoteReference"/>
          <w:rFonts w:ascii="Times New Roman" w:hAnsi="Times New Roman" w:cs="Times New Roman"/>
          <w:sz w:val="24"/>
          <w:szCs w:val="24"/>
        </w:rPr>
        <w:footnoteReference w:id="1497"/>
      </w:r>
      <w:r>
        <w:rPr>
          <w:rFonts w:ascii="Times New Roman" w:hAnsi="Times New Roman" w:cs="Times New Roman"/>
          <w:sz w:val="24"/>
          <w:szCs w:val="24"/>
        </w:rPr>
        <w:t xml:space="preserve"> This committee’s work led</w:t>
      </w:r>
      <w:r w:rsidR="00080EF4">
        <w:rPr>
          <w:rFonts w:ascii="Times New Roman" w:hAnsi="Times New Roman" w:cs="Times New Roman"/>
          <w:sz w:val="24"/>
          <w:szCs w:val="24"/>
        </w:rPr>
        <w:t xml:space="preserve">, combined with divisions between northern and southern Democrats and their desires for the nation moving forward, led to an arrangement where </w:t>
      </w:r>
      <w:r>
        <w:rPr>
          <w:rFonts w:ascii="Times New Roman" w:hAnsi="Times New Roman" w:cs="Times New Roman"/>
          <w:sz w:val="24"/>
          <w:szCs w:val="24"/>
        </w:rPr>
        <w:t xml:space="preserve">Hayes </w:t>
      </w:r>
      <w:r w:rsidR="00080EF4">
        <w:rPr>
          <w:rFonts w:ascii="Times New Roman" w:hAnsi="Times New Roman" w:cs="Times New Roman"/>
          <w:sz w:val="24"/>
          <w:szCs w:val="24"/>
        </w:rPr>
        <w:t>became</w:t>
      </w:r>
      <w:r>
        <w:rPr>
          <w:rFonts w:ascii="Times New Roman" w:hAnsi="Times New Roman" w:cs="Times New Roman"/>
          <w:sz w:val="24"/>
          <w:szCs w:val="24"/>
        </w:rPr>
        <w:t xml:space="preserve"> President</w:t>
      </w:r>
      <w:r w:rsidR="00080EF4">
        <w:rPr>
          <w:rFonts w:ascii="Times New Roman" w:hAnsi="Times New Roman" w:cs="Times New Roman"/>
          <w:sz w:val="24"/>
          <w:szCs w:val="24"/>
        </w:rPr>
        <w:t>, at which point</w:t>
      </w:r>
      <w:r>
        <w:rPr>
          <w:rFonts w:ascii="Times New Roman" w:hAnsi="Times New Roman" w:cs="Times New Roman"/>
          <w:sz w:val="24"/>
          <w:szCs w:val="24"/>
        </w:rPr>
        <w:t xml:space="preserve"> he withdr</w:t>
      </w:r>
      <w:r w:rsidR="00080EF4">
        <w:rPr>
          <w:rFonts w:ascii="Times New Roman" w:hAnsi="Times New Roman" w:cs="Times New Roman"/>
          <w:sz w:val="24"/>
          <w:szCs w:val="24"/>
        </w:rPr>
        <w:t>e</w:t>
      </w:r>
      <w:r>
        <w:rPr>
          <w:rFonts w:ascii="Times New Roman" w:hAnsi="Times New Roman" w:cs="Times New Roman"/>
          <w:sz w:val="24"/>
          <w:szCs w:val="24"/>
        </w:rPr>
        <w:t xml:space="preserve">w the military from </w:t>
      </w:r>
      <w:r w:rsidR="00080EF4">
        <w:rPr>
          <w:rFonts w:ascii="Times New Roman" w:hAnsi="Times New Roman" w:cs="Times New Roman"/>
          <w:sz w:val="24"/>
          <w:szCs w:val="24"/>
        </w:rPr>
        <w:t>its</w:t>
      </w:r>
      <w:r>
        <w:rPr>
          <w:rFonts w:ascii="Times New Roman" w:hAnsi="Times New Roman" w:cs="Times New Roman"/>
          <w:sz w:val="24"/>
          <w:szCs w:val="24"/>
        </w:rPr>
        <w:t xml:space="preserve"> </w:t>
      </w:r>
      <w:r w:rsidR="00080EF4">
        <w:rPr>
          <w:rFonts w:ascii="Times New Roman" w:hAnsi="Times New Roman" w:cs="Times New Roman"/>
          <w:sz w:val="24"/>
          <w:szCs w:val="24"/>
        </w:rPr>
        <w:t>s</w:t>
      </w:r>
      <w:r>
        <w:rPr>
          <w:rFonts w:ascii="Times New Roman" w:hAnsi="Times New Roman" w:cs="Times New Roman"/>
          <w:sz w:val="24"/>
          <w:szCs w:val="24"/>
        </w:rPr>
        <w:t>outh</w:t>
      </w:r>
      <w:r w:rsidR="00080EF4">
        <w:rPr>
          <w:rFonts w:ascii="Times New Roman" w:hAnsi="Times New Roman" w:cs="Times New Roman"/>
          <w:sz w:val="24"/>
          <w:szCs w:val="24"/>
        </w:rPr>
        <w:t>ern occupation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98"/>
      </w:r>
      <w:r>
        <w:rPr>
          <w:rFonts w:ascii="Times New Roman" w:hAnsi="Times New Roman" w:cs="Times New Roman"/>
          <w:sz w:val="24"/>
          <w:szCs w:val="24"/>
        </w:rPr>
        <w:t xml:space="preserve"> </w:t>
      </w:r>
      <w:r w:rsidR="00DB0AFF">
        <w:rPr>
          <w:rFonts w:ascii="Times New Roman" w:hAnsi="Times New Roman" w:cs="Times New Roman"/>
          <w:sz w:val="24"/>
          <w:szCs w:val="24"/>
        </w:rPr>
        <w:t xml:space="preserve">Reconstruction efforts continued under Hayes and his predecessors, but they never reached the heights they did under Grant, with some historians recognizing the failure of the Lodge Force Bill in 1890 as the end of the attempts to ensconce </w:t>
      </w:r>
      <w:r w:rsidR="00DB0AFF">
        <w:rPr>
          <w:rFonts w:ascii="Times New Roman" w:hAnsi="Times New Roman" w:cs="Times New Roman"/>
          <w:sz w:val="24"/>
          <w:szCs w:val="24"/>
        </w:rPr>
        <w:lastRenderedPageBreak/>
        <w:t>and protect black voting rights in the South.</w:t>
      </w:r>
      <w:r w:rsidR="00DB0AFF">
        <w:rPr>
          <w:rStyle w:val="FootnoteReference"/>
          <w:rFonts w:ascii="Times New Roman" w:hAnsi="Times New Roman" w:cs="Times New Roman"/>
          <w:sz w:val="24"/>
          <w:szCs w:val="24"/>
        </w:rPr>
        <w:footnoteReference w:id="1499"/>
      </w:r>
      <w:r w:rsidR="00DB0AFF">
        <w:rPr>
          <w:rFonts w:ascii="Times New Roman" w:hAnsi="Times New Roman" w:cs="Times New Roman"/>
          <w:sz w:val="24"/>
          <w:szCs w:val="24"/>
        </w:rPr>
        <w:t xml:space="preserve"> </w:t>
      </w:r>
      <w:r>
        <w:rPr>
          <w:rFonts w:ascii="Times New Roman" w:hAnsi="Times New Roman" w:cs="Times New Roman"/>
          <w:sz w:val="24"/>
          <w:szCs w:val="24"/>
        </w:rPr>
        <w:t xml:space="preserve">Grant was able to oversee a smooth transition of power within his own party, but he ultimately lost his opportunity to </w:t>
      </w:r>
      <w:r w:rsidR="0063542C">
        <w:rPr>
          <w:rFonts w:ascii="Times New Roman" w:hAnsi="Times New Roman" w:cs="Times New Roman"/>
          <w:sz w:val="24"/>
          <w:szCs w:val="24"/>
        </w:rPr>
        <w:t>complete</w:t>
      </w:r>
      <w:r>
        <w:rPr>
          <w:rFonts w:ascii="Times New Roman" w:hAnsi="Times New Roman" w:cs="Times New Roman"/>
          <w:sz w:val="24"/>
          <w:szCs w:val="24"/>
        </w:rPr>
        <w:t xml:space="preserve"> the Reconstruction efforts Lincoln began and he continued.</w:t>
      </w:r>
      <w:r>
        <w:rPr>
          <w:rStyle w:val="FootnoteReference"/>
          <w:rFonts w:ascii="Times New Roman" w:hAnsi="Times New Roman" w:cs="Times New Roman"/>
          <w:sz w:val="24"/>
          <w:szCs w:val="24"/>
        </w:rPr>
        <w:footnoteReference w:id="1500"/>
      </w:r>
    </w:p>
    <w:p w14:paraId="7FEDC98A" w14:textId="4D2147EC" w:rsidR="00360BFB" w:rsidRDefault="00360BFB" w:rsidP="00360BF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Grant’s presidency came to an end, he reflected on his time in office in his final annual message to Congress. In this missive, Grant reflected on his administration and the claims that he had been corrupt in one of the most insightful openings of presidential </w:t>
      </w:r>
      <w:r w:rsidR="00FC4568">
        <w:rPr>
          <w:rFonts w:ascii="Times New Roman" w:hAnsi="Times New Roman" w:cs="Times New Roman"/>
          <w:sz w:val="24"/>
          <w:szCs w:val="24"/>
        </w:rPr>
        <w:t>addresse</w:t>
      </w:r>
      <w:r>
        <w:rPr>
          <w:rFonts w:ascii="Times New Roman" w:hAnsi="Times New Roman" w:cs="Times New Roman"/>
          <w:sz w:val="24"/>
          <w:szCs w:val="24"/>
        </w:rPr>
        <w:t>s in American history:</w:t>
      </w:r>
    </w:p>
    <w:p w14:paraId="6059A1CD" w14:textId="77777777" w:rsidR="00360BFB" w:rsidRPr="0054412F" w:rsidRDefault="00360BFB" w:rsidP="00360BFB">
      <w:pPr>
        <w:spacing w:line="276" w:lineRule="auto"/>
        <w:ind w:left="1080" w:right="1080"/>
        <w:rPr>
          <w:rFonts w:ascii="Times New Roman" w:hAnsi="Times New Roman" w:cs="Times New Roman"/>
          <w:sz w:val="24"/>
          <w:szCs w:val="24"/>
        </w:rPr>
      </w:pPr>
      <w:r w:rsidRPr="0054412F">
        <w:rPr>
          <w:rFonts w:ascii="Times New Roman" w:hAnsi="Times New Roman" w:cs="Times New Roman"/>
          <w:sz w:val="24"/>
          <w:szCs w:val="24"/>
        </w:rPr>
        <w:t>Under such circumstances [being called to the presidency without previous political training] it is but reasonable to suppose that errors of judgement must have occurred.  Even had they not, differences of opinion between the Executive, bound by an oath to the strict performance of his duties, and writers and debaters must have arisen.  It is not necessarily evidence of blunder on the part of the Executive because there are these differences of views. Mistakes have been made, as all can see and I admit, but it seems to me oftener in the selections made of the assistants appointed to aid in carrying out the various duties of administering the Government – in nearly every case selected without personal acquaintance with the appointee, but upon recommendations of the representatives chosen directly by the people.  It is impossible, where so many trusts are to be allotted, that the right parties should be chosen in every instance. History shows that no Administration from the time of Washington to the present has been free from these mistakes. But I leave comparisons to history, claiming only that I have acted in every instance from a conscientious desire to do what was right, constitutional, within the law, and for the very best interests of the whole people. Failures have been errors of judgment, not of intent.</w:t>
      </w:r>
      <w:r w:rsidRPr="0054412F">
        <w:rPr>
          <w:rStyle w:val="FootnoteReference"/>
          <w:rFonts w:ascii="Times New Roman" w:hAnsi="Times New Roman" w:cs="Times New Roman"/>
          <w:sz w:val="24"/>
          <w:szCs w:val="24"/>
        </w:rPr>
        <w:footnoteReference w:id="1501"/>
      </w:r>
    </w:p>
    <w:p w14:paraId="69A11A40" w14:textId="77777777"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 President’s candor in admitting to errors of judgement is impressive, and while he likely overlooked the errors in selection made because of personal connections, specifically that of Babcock, his admission of naïveté directly served to prove some of his critics correct while maintaining his own dignity.</w:t>
      </w:r>
    </w:p>
    <w:p w14:paraId="6478EEDA" w14:textId="71683BFB"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Even though he did not earn the support of his political party in 1876, Grant was not fully convinced that his political future was finished. After leaving office, Grant and his wife Julia set out on a world tour for more than two years.</w:t>
      </w:r>
      <w:r>
        <w:rPr>
          <w:rStyle w:val="FootnoteReference"/>
          <w:rFonts w:ascii="Times New Roman" w:hAnsi="Times New Roman" w:cs="Times New Roman"/>
          <w:sz w:val="24"/>
          <w:szCs w:val="24"/>
        </w:rPr>
        <w:footnoteReference w:id="1502"/>
      </w:r>
      <w:r>
        <w:rPr>
          <w:rFonts w:ascii="Times New Roman" w:hAnsi="Times New Roman" w:cs="Times New Roman"/>
          <w:sz w:val="24"/>
          <w:szCs w:val="24"/>
        </w:rPr>
        <w:t xml:space="preserve"> On this tour they traveled to Europe, Africa, the Middle East, and East Asia, meeting with multiple dignitaries such as Queen Victoria, Pope Leo XIII, Otto von Bismarck, Tsar Alexander II, and Emperor Meiji of Japan.</w:t>
      </w:r>
      <w:r>
        <w:rPr>
          <w:rStyle w:val="FootnoteReference"/>
          <w:rFonts w:ascii="Times New Roman" w:hAnsi="Times New Roman" w:cs="Times New Roman"/>
          <w:sz w:val="24"/>
          <w:szCs w:val="24"/>
        </w:rPr>
        <w:footnoteReference w:id="1503"/>
      </w:r>
      <w:r>
        <w:rPr>
          <w:rFonts w:ascii="Times New Roman" w:hAnsi="Times New Roman" w:cs="Times New Roman"/>
          <w:sz w:val="24"/>
          <w:szCs w:val="24"/>
        </w:rPr>
        <w:t xml:space="preserve"> Grant’s journey around the world was an unofficial diplomatic tour on behalf of the United States, one which was approved by the Hayes Administration who supplied them with transportation on naval ships on their voyage.</w:t>
      </w:r>
      <w:r>
        <w:rPr>
          <w:rStyle w:val="FootnoteReference"/>
          <w:rFonts w:ascii="Times New Roman" w:hAnsi="Times New Roman" w:cs="Times New Roman"/>
          <w:sz w:val="24"/>
          <w:szCs w:val="24"/>
        </w:rPr>
        <w:footnoteReference w:id="1504"/>
      </w:r>
      <w:r>
        <w:rPr>
          <w:rFonts w:ascii="Times New Roman" w:hAnsi="Times New Roman" w:cs="Times New Roman"/>
          <w:sz w:val="24"/>
          <w:szCs w:val="24"/>
        </w:rPr>
        <w:t xml:space="preserve"> This tour was documented by newspapers and documented in a book written by a fellow passenger on the tour, and the tour served as a demonstration to the world that the United States should be considered a new global power.</w:t>
      </w:r>
      <w:r>
        <w:rPr>
          <w:rStyle w:val="FootnoteReference"/>
          <w:rFonts w:ascii="Times New Roman" w:hAnsi="Times New Roman" w:cs="Times New Roman"/>
          <w:sz w:val="24"/>
          <w:szCs w:val="24"/>
        </w:rPr>
        <w:footnoteReference w:id="1505"/>
      </w:r>
      <w:r>
        <w:rPr>
          <w:rFonts w:ascii="Times New Roman" w:hAnsi="Times New Roman" w:cs="Times New Roman"/>
          <w:sz w:val="24"/>
          <w:szCs w:val="24"/>
        </w:rPr>
        <w:tab/>
      </w:r>
    </w:p>
    <w:p w14:paraId="0E7006BA" w14:textId="77777777" w:rsidR="00360BFB" w:rsidRDefault="00360BFB" w:rsidP="00360BF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Grant returned from his tour as an unofficial diplomat, he realized that he held a strong backing from certain members of his party which provided him an opportunity for an unprecedented third term in 1880. Some Republicans witnessed Hayes’s policies as president with disgust and desired a more vigorous leadership for the nation, insisting that the return of </w:t>
      </w:r>
      <w:r>
        <w:rPr>
          <w:rFonts w:ascii="Times New Roman" w:hAnsi="Times New Roman" w:cs="Times New Roman"/>
          <w:sz w:val="24"/>
          <w:szCs w:val="24"/>
        </w:rPr>
        <w:lastRenderedPageBreak/>
        <w:t>Grant would bring back such leadership.</w:t>
      </w:r>
      <w:r>
        <w:rPr>
          <w:rStyle w:val="FootnoteReference"/>
          <w:rFonts w:ascii="Times New Roman" w:hAnsi="Times New Roman" w:cs="Times New Roman"/>
          <w:sz w:val="24"/>
          <w:szCs w:val="24"/>
        </w:rPr>
        <w:footnoteReference w:id="1506"/>
      </w:r>
      <w:r>
        <w:rPr>
          <w:rFonts w:ascii="Times New Roman" w:hAnsi="Times New Roman" w:cs="Times New Roman"/>
          <w:sz w:val="24"/>
          <w:szCs w:val="24"/>
        </w:rPr>
        <w:t xml:space="preserve"> Grant remained silent in the press regarding a possible nomination, but he encouraged his friends and supporters to stir up support and organize delegates in his favor.</w:t>
      </w:r>
      <w:r>
        <w:rPr>
          <w:rStyle w:val="FootnoteReference"/>
          <w:rFonts w:ascii="Times New Roman" w:hAnsi="Times New Roman" w:cs="Times New Roman"/>
          <w:sz w:val="24"/>
          <w:szCs w:val="24"/>
        </w:rPr>
        <w:footnoteReference w:id="1507"/>
      </w:r>
      <w:r>
        <w:rPr>
          <w:rFonts w:ascii="Times New Roman" w:hAnsi="Times New Roman" w:cs="Times New Roman"/>
          <w:sz w:val="24"/>
          <w:szCs w:val="24"/>
        </w:rPr>
        <w:t xml:space="preserve"> By the time of the Republican Nominating Convention in 1880, Grant had more delegates than any other candidate, though he remained short of the majority needed to attain the nomination.</w:t>
      </w:r>
      <w:r>
        <w:rPr>
          <w:rStyle w:val="FootnoteReference"/>
          <w:rFonts w:ascii="Times New Roman" w:hAnsi="Times New Roman" w:cs="Times New Roman"/>
          <w:sz w:val="24"/>
          <w:szCs w:val="24"/>
        </w:rPr>
        <w:footnoteReference w:id="1508"/>
      </w:r>
    </w:p>
    <w:p w14:paraId="6AD7D9CD" w14:textId="77777777" w:rsidR="00747B48" w:rsidRDefault="00360BFB" w:rsidP="00B948C1">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When rumblings of Grant’s potential candidacy reemerged during the 1880 election, his critics returned once again to their tried and true assaults of corruption.</w:t>
      </w:r>
      <w:r>
        <w:rPr>
          <w:rStyle w:val="FootnoteReference"/>
          <w:rFonts w:ascii="Times New Roman" w:hAnsi="Times New Roman" w:cs="Times New Roman"/>
          <w:sz w:val="24"/>
          <w:szCs w:val="24"/>
        </w:rPr>
        <w:footnoteReference w:id="1509"/>
      </w:r>
      <w:r>
        <w:rPr>
          <w:rFonts w:ascii="Times New Roman" w:hAnsi="Times New Roman" w:cs="Times New Roman"/>
          <w:sz w:val="24"/>
          <w:szCs w:val="24"/>
        </w:rPr>
        <w:t xml:space="preserve">  Of these assaults, one of the most notable came from </w:t>
      </w:r>
      <w:r>
        <w:rPr>
          <w:rFonts w:ascii="Times New Roman" w:hAnsi="Times New Roman" w:cs="Times New Roman"/>
          <w:i/>
          <w:iCs/>
          <w:sz w:val="24"/>
          <w:szCs w:val="24"/>
        </w:rPr>
        <w:t>Puck</w:t>
      </w:r>
      <w:r>
        <w:rPr>
          <w:rFonts w:ascii="Times New Roman" w:hAnsi="Times New Roman" w:cs="Times New Roman"/>
          <w:sz w:val="24"/>
          <w:szCs w:val="24"/>
        </w:rPr>
        <w:t xml:space="preserve"> Magazine, which circulated a picture of Grant that depicted his many connections to illicit affairs and crooked individuals (seen below).</w:t>
      </w:r>
      <w:r>
        <w:rPr>
          <w:rStyle w:val="FootnoteReference"/>
          <w:rFonts w:ascii="Times New Roman" w:hAnsi="Times New Roman" w:cs="Times New Roman"/>
          <w:sz w:val="24"/>
          <w:szCs w:val="24"/>
        </w:rPr>
        <w:footnoteReference w:id="1510"/>
      </w:r>
      <w:r>
        <w:rPr>
          <w:rFonts w:ascii="Times New Roman" w:hAnsi="Times New Roman" w:cs="Times New Roman"/>
          <w:sz w:val="24"/>
          <w:szCs w:val="24"/>
        </w:rPr>
        <w:t xml:space="preserve">  In large part because of these renewed fears of corruption and fears of Caesarism, Grant faced a difficult nomination battle at the Republican Nominating Convention in Chicago in 1880.</w:t>
      </w:r>
      <w:r>
        <w:rPr>
          <w:rStyle w:val="FootnoteReference"/>
          <w:rFonts w:ascii="Times New Roman" w:hAnsi="Times New Roman" w:cs="Times New Roman"/>
          <w:sz w:val="24"/>
          <w:szCs w:val="24"/>
        </w:rPr>
        <w:footnoteReference w:id="1511"/>
      </w:r>
      <w:r>
        <w:rPr>
          <w:rFonts w:ascii="Times New Roman" w:hAnsi="Times New Roman" w:cs="Times New Roman"/>
          <w:sz w:val="24"/>
          <w:szCs w:val="24"/>
        </w:rPr>
        <w:t xml:space="preserve">  Here Babcock saw Grant, perhaps for one of the last times in either of their lives, where he noticed that the president was “quiet and philosophical as usual,” though he did find “Mrs. G. not as tranquil” amidst the hullabaloo.</w:t>
      </w:r>
      <w:r>
        <w:rPr>
          <w:rStyle w:val="FootnoteReference"/>
          <w:rFonts w:ascii="Times New Roman" w:hAnsi="Times New Roman" w:cs="Times New Roman"/>
          <w:sz w:val="24"/>
          <w:szCs w:val="24"/>
        </w:rPr>
        <w:footnoteReference w:id="1512"/>
      </w:r>
      <w:r>
        <w:rPr>
          <w:rFonts w:ascii="Times New Roman" w:hAnsi="Times New Roman" w:cs="Times New Roman"/>
          <w:sz w:val="24"/>
          <w:szCs w:val="24"/>
        </w:rPr>
        <w:t xml:space="preserve">  After thirty six ballots, </w:t>
      </w:r>
      <w:r w:rsidR="00E95CCC">
        <w:rPr>
          <w:rFonts w:ascii="Times New Roman" w:hAnsi="Times New Roman" w:cs="Times New Roman"/>
          <w:sz w:val="24"/>
          <w:szCs w:val="24"/>
        </w:rPr>
        <w:t>former-</w:t>
      </w:r>
      <w:r>
        <w:rPr>
          <w:rFonts w:ascii="Times New Roman" w:hAnsi="Times New Roman" w:cs="Times New Roman"/>
          <w:sz w:val="24"/>
          <w:szCs w:val="24"/>
        </w:rPr>
        <w:t>President Grant was able to maintain the original 306 delegates who he started the convention with, but his opponents within the party united behind James A. Garfield</w:t>
      </w:r>
      <w:r w:rsidR="005459DD">
        <w:rPr>
          <w:rFonts w:ascii="Times New Roman" w:hAnsi="Times New Roman" w:cs="Times New Roman"/>
          <w:sz w:val="24"/>
          <w:szCs w:val="24"/>
        </w:rPr>
        <w:t>, a proponent of Lincolnian Reconstruction in his own right,</w:t>
      </w:r>
      <w:r>
        <w:rPr>
          <w:rFonts w:ascii="Times New Roman" w:hAnsi="Times New Roman" w:cs="Times New Roman"/>
          <w:sz w:val="24"/>
          <w:szCs w:val="24"/>
        </w:rPr>
        <w:t xml:space="preserve"> and propelled him to victory as </w:t>
      </w:r>
      <w:r w:rsidR="005459DD">
        <w:rPr>
          <w:rFonts w:ascii="Times New Roman" w:hAnsi="Times New Roman" w:cs="Times New Roman"/>
          <w:sz w:val="24"/>
          <w:szCs w:val="24"/>
        </w:rPr>
        <w:t xml:space="preserve">both </w:t>
      </w:r>
      <w:r>
        <w:rPr>
          <w:rFonts w:ascii="Times New Roman" w:hAnsi="Times New Roman" w:cs="Times New Roman"/>
          <w:sz w:val="24"/>
          <w:szCs w:val="24"/>
        </w:rPr>
        <w:t xml:space="preserve">the Republican nominee and eventually the </w:t>
      </w:r>
      <w:r w:rsidR="005459DD">
        <w:rPr>
          <w:rFonts w:ascii="Times New Roman" w:hAnsi="Times New Roman" w:cs="Times New Roman"/>
          <w:sz w:val="24"/>
          <w:szCs w:val="24"/>
        </w:rPr>
        <w:t>presidency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513"/>
      </w:r>
      <w:r>
        <w:rPr>
          <w:rFonts w:ascii="Times New Roman" w:hAnsi="Times New Roman" w:cs="Times New Roman"/>
          <w:sz w:val="24"/>
          <w:szCs w:val="24"/>
        </w:rPr>
        <w:t xml:space="preserve">  In spite of his best efforts, Grant’s political reputation was severely damaged, </w:t>
      </w:r>
      <w:r>
        <w:rPr>
          <w:rFonts w:ascii="Times New Roman" w:hAnsi="Times New Roman" w:cs="Times New Roman"/>
          <w:sz w:val="24"/>
          <w:szCs w:val="24"/>
        </w:rPr>
        <w:lastRenderedPageBreak/>
        <w:t>effectively ending his political career with no hope of returning to office in the wake of the scandals caused by members of his administration like Orville Babcock</w:t>
      </w:r>
      <w:r w:rsidR="00747B48">
        <w:rPr>
          <w:rFonts w:ascii="Times New Roman" w:hAnsi="Times New Roman" w:cs="Times New Roman"/>
          <w:sz w:val="24"/>
          <w:szCs w:val="24"/>
        </w:rPr>
        <w:t xml:space="preserve"> (</w:t>
      </w:r>
      <w:r w:rsidR="00747B48">
        <w:rPr>
          <w:rFonts w:ascii="Times New Roman" w:hAnsi="Times New Roman" w:cs="Times New Roman"/>
          <w:b/>
          <w:bCs/>
          <w:sz w:val="24"/>
          <w:szCs w:val="24"/>
        </w:rPr>
        <w:t>Figure 6.1</w:t>
      </w:r>
      <w:r w:rsidR="00747B48">
        <w:rPr>
          <w:rFonts w:ascii="Times New Roman" w:hAnsi="Times New Roman" w:cs="Times New Roman"/>
          <w:sz w:val="24"/>
          <w:szCs w:val="24"/>
        </w:rPr>
        <w:t>)</w:t>
      </w:r>
      <w:r>
        <w:rPr>
          <w:rFonts w:ascii="Times New Roman" w:hAnsi="Times New Roman" w:cs="Times New Roman"/>
          <w:sz w:val="24"/>
          <w:szCs w:val="24"/>
        </w:rPr>
        <w:t>.</w:t>
      </w:r>
      <w:r w:rsidR="00747B48" w:rsidRPr="00747B48">
        <w:rPr>
          <w:rFonts w:ascii="Times New Roman" w:hAnsi="Times New Roman" w:cs="Times New Roman"/>
          <w:sz w:val="24"/>
          <w:szCs w:val="24"/>
        </w:rPr>
        <w:t xml:space="preserve"> </w:t>
      </w:r>
    </w:p>
    <w:p w14:paraId="20D53B2D" w14:textId="3FC10489" w:rsidR="00747B48" w:rsidRDefault="00747B48" w:rsidP="00747B48">
      <w:pPr>
        <w:spacing w:line="480" w:lineRule="auto"/>
        <w:jc w:val="center"/>
        <w:rPr>
          <w:rFonts w:ascii="Times New Roman" w:hAnsi="Times New Roman" w:cs="Times New Roman"/>
          <w:sz w:val="24"/>
          <w:szCs w:val="24"/>
        </w:rPr>
      </w:pPr>
      <w:r>
        <w:rPr>
          <w:rFonts w:ascii="Times New Roman" w:hAnsi="Times New Roman" w:cs="Times New Roman"/>
          <w:sz w:val="24"/>
          <w:szCs w:val="24"/>
        </w:rPr>
        <w:t>Babcock’s Final Chapter</w:t>
      </w:r>
    </w:p>
    <w:p w14:paraId="7ABEC5C3" w14:textId="3E7C9D19" w:rsidR="00360BFB" w:rsidRPr="00E6281E" w:rsidRDefault="00747B48" w:rsidP="00747B48">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President Grant was forced to consider his own political future in the final days of his administration, his decision regarding Babcock’s future was clear as he could no longer allow his friend to serve in such a high post. Still, their years of friendship and Grant’s own sense of loyalty prevented him from simply tossing Babcock out on the curb like trash.</w:t>
      </w:r>
      <w:r w:rsidR="0018431A" w:rsidRPr="0018431A">
        <w:rPr>
          <w:rFonts w:ascii="Times New Roman" w:hAnsi="Times New Roman" w:cs="Times New Roman"/>
          <w:sz w:val="24"/>
          <w:szCs w:val="24"/>
        </w:rPr>
        <w:t xml:space="preserve"> </w:t>
      </w:r>
      <w:r w:rsidR="0018431A">
        <w:rPr>
          <w:rFonts w:ascii="Times New Roman" w:hAnsi="Times New Roman" w:cs="Times New Roman"/>
          <w:sz w:val="24"/>
          <w:szCs w:val="24"/>
        </w:rPr>
        <w:t>Grant did Babcock one final kindness, reassigning him to the post of Inspector of Lighthouses of the Fifth District on March 3</w:t>
      </w:r>
      <w:r w:rsidR="0018431A" w:rsidRPr="00F236A0">
        <w:rPr>
          <w:rFonts w:ascii="Times New Roman" w:hAnsi="Times New Roman" w:cs="Times New Roman"/>
          <w:sz w:val="24"/>
          <w:szCs w:val="24"/>
          <w:vertAlign w:val="superscript"/>
        </w:rPr>
        <w:t>rd</w:t>
      </w:r>
      <w:r w:rsidR="0018431A">
        <w:rPr>
          <w:rFonts w:ascii="Times New Roman" w:hAnsi="Times New Roman" w:cs="Times New Roman"/>
          <w:sz w:val="24"/>
          <w:szCs w:val="24"/>
        </w:rPr>
        <w:t>, 1877, in a move that corresponded with the removal of the “active” title and full promotion of Ulysses Jr. to Private Secretary.</w:t>
      </w:r>
      <w:r w:rsidR="0018431A">
        <w:rPr>
          <w:rStyle w:val="FootnoteReference"/>
          <w:rFonts w:ascii="Times New Roman" w:hAnsi="Times New Roman" w:cs="Times New Roman"/>
          <w:sz w:val="24"/>
          <w:szCs w:val="24"/>
        </w:rPr>
        <w:footnoteReference w:id="1514"/>
      </w:r>
      <w:r w:rsidR="0018431A">
        <w:rPr>
          <w:rFonts w:ascii="Times New Roman" w:hAnsi="Times New Roman" w:cs="Times New Roman"/>
          <w:sz w:val="24"/>
          <w:szCs w:val="24"/>
        </w:rPr>
        <w:t xml:space="preserve"> Grant’s favor to Babcock ensured the latter would maintain a career in public service.  Although the position of Inspector of Lighthouses was not a prime role in a cosmopolitan hub where he could form another ring,</w:t>
      </w:r>
    </w:p>
    <w:p w14:paraId="03B5D2E3" w14:textId="01FD5474" w:rsidR="00360BFB" w:rsidRDefault="00360BFB" w:rsidP="0018431A">
      <w:pPr>
        <w:spacing w:line="480" w:lineRule="auto"/>
        <w:jc w:val="center"/>
        <w:rPr>
          <w:rFonts w:ascii="Times New Roman" w:hAnsi="Times New Roman" w:cs="Times New Roman"/>
          <w:sz w:val="24"/>
          <w:szCs w:val="24"/>
        </w:rPr>
      </w:pPr>
      <w:r>
        <w:rPr>
          <w:noProof/>
        </w:rPr>
        <w:drawing>
          <wp:inline distT="0" distB="0" distL="0" distR="0" wp14:anchorId="32B51834" wp14:editId="4DA3A37E">
            <wp:extent cx="1455410" cy="2254111"/>
            <wp:effectExtent l="0" t="0" r="0" b="0"/>
            <wp:docPr id="5" name="Picture 4" descr="Puck Wants &quot;A Strong Man at the Head of Government&quot;—But Not This K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uck Wants &quot;A Strong Man at the Head of Government&quot;—But Not This Kin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86830" cy="2302774"/>
                    </a:xfrm>
                    <a:prstGeom prst="rect">
                      <a:avLst/>
                    </a:prstGeom>
                    <a:noFill/>
                    <a:ln>
                      <a:noFill/>
                    </a:ln>
                  </pic:spPr>
                </pic:pic>
              </a:graphicData>
            </a:graphic>
          </wp:inline>
        </w:drawing>
      </w:r>
    </w:p>
    <w:p w14:paraId="2C58446D" w14:textId="423BC6EE" w:rsidR="00360BFB" w:rsidRPr="000F058D" w:rsidRDefault="0066482A" w:rsidP="0018431A">
      <w:pPr>
        <w:spacing w:after="0" w:line="276" w:lineRule="auto"/>
        <w:rPr>
          <w:rFonts w:ascii="Times New Roman" w:hAnsi="Times New Roman" w:cs="Times New Roman"/>
          <w:sz w:val="20"/>
          <w:szCs w:val="20"/>
        </w:rPr>
      </w:pPr>
      <w:r>
        <w:rPr>
          <w:rFonts w:ascii="Times New Roman" w:hAnsi="Times New Roman" w:cs="Times New Roman"/>
          <w:b/>
          <w:bCs/>
          <w:sz w:val="20"/>
          <w:szCs w:val="20"/>
        </w:rPr>
        <w:t xml:space="preserve">Figure 6.1: </w:t>
      </w:r>
      <w:bookmarkStart w:id="92" w:name="_Hlk200796092"/>
      <w:r w:rsidR="00360BFB" w:rsidRPr="00A16AFB">
        <w:rPr>
          <w:rFonts w:ascii="Times New Roman" w:hAnsi="Times New Roman" w:cs="Times New Roman"/>
          <w:b/>
          <w:bCs/>
          <w:sz w:val="20"/>
          <w:szCs w:val="20"/>
        </w:rPr>
        <w:t xml:space="preserve">“Puck Wants a Strong Man at the Head of Government – But Not </w:t>
      </w:r>
      <w:r w:rsidR="00360BFB" w:rsidRPr="00A16AFB">
        <w:rPr>
          <w:rFonts w:ascii="Times New Roman" w:hAnsi="Times New Roman" w:cs="Times New Roman"/>
          <w:b/>
          <w:bCs/>
          <w:sz w:val="20"/>
          <w:szCs w:val="20"/>
          <w:u w:val="single"/>
        </w:rPr>
        <w:t>This</w:t>
      </w:r>
      <w:r w:rsidR="00360BFB" w:rsidRPr="00A16AFB">
        <w:rPr>
          <w:rFonts w:ascii="Times New Roman" w:hAnsi="Times New Roman" w:cs="Times New Roman"/>
          <w:b/>
          <w:bCs/>
          <w:sz w:val="20"/>
          <w:szCs w:val="20"/>
        </w:rPr>
        <w:t xml:space="preserve"> Kind”</w:t>
      </w:r>
      <w:r w:rsidR="000F058D">
        <w:rPr>
          <w:rFonts w:ascii="Times New Roman" w:hAnsi="Times New Roman" w:cs="Times New Roman"/>
          <w:b/>
          <w:bCs/>
          <w:sz w:val="20"/>
          <w:szCs w:val="20"/>
        </w:rPr>
        <w:t xml:space="preserve">: </w:t>
      </w:r>
      <w:bookmarkEnd w:id="92"/>
      <w:r w:rsidR="00360BFB" w:rsidRPr="00A16AFB">
        <w:rPr>
          <w:rFonts w:ascii="Times New Roman" w:hAnsi="Times New Roman" w:cs="Times New Roman"/>
          <w:sz w:val="20"/>
          <w:szCs w:val="20"/>
        </w:rPr>
        <w:t xml:space="preserve">The actions of men like Babcock (pictured bottom </w:t>
      </w:r>
      <w:r w:rsidR="00E8433E">
        <w:rPr>
          <w:rFonts w:ascii="Times New Roman" w:hAnsi="Times New Roman" w:cs="Times New Roman"/>
          <w:sz w:val="20"/>
          <w:szCs w:val="20"/>
        </w:rPr>
        <w:t>righ</w:t>
      </w:r>
      <w:r w:rsidR="00360BFB" w:rsidRPr="00A16AFB">
        <w:rPr>
          <w:rFonts w:ascii="Times New Roman" w:hAnsi="Times New Roman" w:cs="Times New Roman"/>
          <w:sz w:val="20"/>
          <w:szCs w:val="20"/>
        </w:rPr>
        <w:t>t) led to an assumption that the Grant Administration supported rings, and that the president himself was the strength holding the whole operation in place, ultimately damning his chances of securing a third term.</w:t>
      </w:r>
      <w:r w:rsidR="000F058D" w:rsidRPr="000F058D">
        <w:rPr>
          <w:rStyle w:val="FootnoteReference"/>
          <w:rFonts w:ascii="Times New Roman" w:hAnsi="Times New Roman" w:cs="Times New Roman"/>
          <w:sz w:val="20"/>
          <w:szCs w:val="20"/>
        </w:rPr>
        <w:t xml:space="preserve"> </w:t>
      </w:r>
      <w:r w:rsidR="000F058D" w:rsidRPr="00A16AFB">
        <w:rPr>
          <w:rStyle w:val="FootnoteReference"/>
          <w:rFonts w:ascii="Times New Roman" w:hAnsi="Times New Roman" w:cs="Times New Roman"/>
          <w:sz w:val="20"/>
          <w:szCs w:val="20"/>
        </w:rPr>
        <w:footnoteReference w:id="1515"/>
      </w:r>
    </w:p>
    <w:p w14:paraId="7C704831" w14:textId="6A7A9A12" w:rsidR="00360BFB" w:rsidRDefault="00360BFB" w:rsidP="0018431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Babcock took this new post head on and ably carried out his duties.  In this post, Babcock was able to put his West Point Engineering degree and his training in the Army Corps of Engineers to practical use much as he had in Washington on the Board of Public Works while remaining on the government payroll.  As Inspector and Engineer of the Fifth District, Babcock was responsible for overseeing the construction and efficiency of lighthouses along the Atlantic Coast from Delaware Bay to Cape Lookout, North Carolina.</w:t>
      </w:r>
      <w:r>
        <w:rPr>
          <w:rStyle w:val="FootnoteReference"/>
          <w:rFonts w:ascii="Times New Roman" w:hAnsi="Times New Roman" w:cs="Times New Roman"/>
          <w:sz w:val="24"/>
          <w:szCs w:val="24"/>
        </w:rPr>
        <w:footnoteReference w:id="1516"/>
      </w:r>
      <w:r>
        <w:rPr>
          <w:rFonts w:ascii="Times New Roman" w:hAnsi="Times New Roman" w:cs="Times New Roman"/>
          <w:sz w:val="24"/>
          <w:szCs w:val="24"/>
        </w:rPr>
        <w:t xml:space="preserve">  Babcock seems to have realized that without Grant to protect him, he could not engage in pragmatico behaviors in this position.  As such, he carried out his responsibilities as competently as possible while remaining out of the public eye, and his effectiveness enabled him to keep his position under the administrations of Presidents Rutherford B. Hayes, James Garfield, and Chester Arthur, respectively.</w:t>
      </w:r>
      <w:r>
        <w:rPr>
          <w:rStyle w:val="FootnoteReference"/>
          <w:rFonts w:ascii="Times New Roman" w:hAnsi="Times New Roman" w:cs="Times New Roman"/>
          <w:sz w:val="24"/>
          <w:szCs w:val="24"/>
        </w:rPr>
        <w:footnoteReference w:id="1517"/>
      </w:r>
      <w:r>
        <w:rPr>
          <w:rFonts w:ascii="Times New Roman" w:hAnsi="Times New Roman" w:cs="Times New Roman"/>
          <w:sz w:val="24"/>
          <w:szCs w:val="24"/>
        </w:rPr>
        <w:t xml:space="preserve">  He was so successful in his post that, in 1882, President Arthur made him Inspector of the Sixth District as well, adding the remaining lighthouses along the southern coast of the Atlantic from South Carolina to Florida to his purview.</w:t>
      </w:r>
      <w:r>
        <w:rPr>
          <w:rStyle w:val="FootnoteReference"/>
          <w:rFonts w:ascii="Times New Roman" w:hAnsi="Times New Roman" w:cs="Times New Roman"/>
          <w:sz w:val="24"/>
          <w:szCs w:val="24"/>
        </w:rPr>
        <w:footnoteReference w:id="1518"/>
      </w:r>
    </w:p>
    <w:p w14:paraId="7A8E6E2B" w14:textId="29B236C4" w:rsidR="00360BFB" w:rsidRPr="00CA4374"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It is impossible to tell if General Babcock was engaged in nefarious activities during his posting as Inspector of Lighthouses. The existing records of Babcock’s life do not suggest that he was engaged in anything corrupt during this time.</w:t>
      </w:r>
      <w:r>
        <w:rPr>
          <w:rStyle w:val="FootnoteReference"/>
          <w:rFonts w:ascii="Times New Roman" w:hAnsi="Times New Roman" w:cs="Times New Roman"/>
          <w:sz w:val="24"/>
          <w:szCs w:val="24"/>
        </w:rPr>
        <w:footnoteReference w:id="1519"/>
      </w:r>
      <w:r w:rsidR="0099506C">
        <w:rPr>
          <w:rFonts w:ascii="Times New Roman" w:hAnsi="Times New Roman" w:cs="Times New Roman"/>
          <w:sz w:val="24"/>
          <w:szCs w:val="24"/>
        </w:rPr>
        <w:t xml:space="preserve"> </w:t>
      </w:r>
      <w:r>
        <w:rPr>
          <w:rFonts w:ascii="Times New Roman" w:hAnsi="Times New Roman" w:cs="Times New Roman"/>
          <w:sz w:val="24"/>
          <w:szCs w:val="24"/>
        </w:rPr>
        <w:t xml:space="preserve">This post was one with far less political influence than he grew accustomed to in the previous decade, and his tarnished reputation as a result of his participation in several notorious scandals made him </w:t>
      </w:r>
      <w:r>
        <w:rPr>
          <w:rFonts w:ascii="Times New Roman" w:hAnsi="Times New Roman" w:cs="Times New Roman"/>
          <w:i/>
          <w:iCs/>
          <w:sz w:val="24"/>
          <w:szCs w:val="24"/>
        </w:rPr>
        <w:t>persona non grata</w:t>
      </w:r>
      <w:r>
        <w:rPr>
          <w:rFonts w:ascii="Times New Roman" w:hAnsi="Times New Roman" w:cs="Times New Roman"/>
          <w:sz w:val="24"/>
          <w:szCs w:val="24"/>
        </w:rPr>
        <w:t xml:space="preserve"> amongst </w:t>
      </w:r>
      <w:r w:rsidR="006E3A8C">
        <w:rPr>
          <w:rFonts w:ascii="Times New Roman" w:hAnsi="Times New Roman" w:cs="Times New Roman"/>
          <w:sz w:val="24"/>
          <w:szCs w:val="24"/>
        </w:rPr>
        <w:lastRenderedPageBreak/>
        <w:t xml:space="preserve">most </w:t>
      </w:r>
      <w:r w:rsidR="00AC6CC7">
        <w:rPr>
          <w:rFonts w:ascii="Times New Roman" w:hAnsi="Times New Roman" w:cs="Times New Roman"/>
          <w:sz w:val="24"/>
          <w:szCs w:val="24"/>
        </w:rPr>
        <w:t>of</w:t>
      </w:r>
      <w:r w:rsidR="006E3A8C">
        <w:rPr>
          <w:rFonts w:ascii="Times New Roman" w:hAnsi="Times New Roman" w:cs="Times New Roman"/>
          <w:sz w:val="24"/>
          <w:szCs w:val="24"/>
        </w:rPr>
        <w:t xml:space="preserve"> those with political influence as well as </w:t>
      </w:r>
      <w:r>
        <w:rPr>
          <w:rFonts w:ascii="Times New Roman" w:hAnsi="Times New Roman" w:cs="Times New Roman"/>
          <w:sz w:val="24"/>
          <w:szCs w:val="24"/>
        </w:rPr>
        <w:t xml:space="preserve">those looking to engage in further corruption, as his association with any project would bring added </w:t>
      </w:r>
      <w:r w:rsidR="006E3A8C">
        <w:rPr>
          <w:rFonts w:ascii="Times New Roman" w:hAnsi="Times New Roman" w:cs="Times New Roman"/>
          <w:sz w:val="24"/>
          <w:szCs w:val="24"/>
        </w:rPr>
        <w:t>attention and scrutiny</w:t>
      </w:r>
      <w:r>
        <w:rPr>
          <w:rFonts w:ascii="Times New Roman" w:hAnsi="Times New Roman" w:cs="Times New Roman"/>
          <w:sz w:val="24"/>
          <w:szCs w:val="24"/>
        </w:rPr>
        <w:t xml:space="preserve">. This left Babcock to carry out his tasks as a civil servant, an inspector and </w:t>
      </w:r>
      <w:r w:rsidR="005919B2">
        <w:rPr>
          <w:rFonts w:ascii="Times New Roman" w:hAnsi="Times New Roman" w:cs="Times New Roman"/>
          <w:sz w:val="24"/>
          <w:szCs w:val="24"/>
        </w:rPr>
        <w:t xml:space="preserve">an </w:t>
      </w:r>
      <w:r>
        <w:rPr>
          <w:rFonts w:ascii="Times New Roman" w:hAnsi="Times New Roman" w:cs="Times New Roman"/>
          <w:sz w:val="24"/>
          <w:szCs w:val="24"/>
        </w:rPr>
        <w:t>engineer, along the Southeast Coast of the United States.</w:t>
      </w:r>
    </w:p>
    <w:p w14:paraId="452556E4" w14:textId="1D16DDAF" w:rsidR="00360BFB" w:rsidRPr="00A60A0D"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On June 2</w:t>
      </w:r>
      <w:r w:rsidRPr="00C46DD3">
        <w:rPr>
          <w:rFonts w:ascii="Times New Roman" w:hAnsi="Times New Roman" w:cs="Times New Roman"/>
          <w:sz w:val="24"/>
          <w:szCs w:val="24"/>
          <w:vertAlign w:val="superscript"/>
        </w:rPr>
        <w:t>nd</w:t>
      </w:r>
      <w:r>
        <w:rPr>
          <w:rFonts w:ascii="Times New Roman" w:hAnsi="Times New Roman" w:cs="Times New Roman"/>
          <w:sz w:val="24"/>
          <w:szCs w:val="24"/>
        </w:rPr>
        <w:t xml:space="preserve">, 1884, Babcock ran into the situation that would ultimately mean his end.  The </w:t>
      </w:r>
      <w:r w:rsidR="00EE2B6B">
        <w:rPr>
          <w:rFonts w:ascii="Times New Roman" w:hAnsi="Times New Roman" w:cs="Times New Roman"/>
          <w:sz w:val="24"/>
          <w:szCs w:val="24"/>
        </w:rPr>
        <w:t>previous year</w:t>
      </w:r>
      <w:r>
        <w:rPr>
          <w:rFonts w:ascii="Times New Roman" w:hAnsi="Times New Roman" w:cs="Times New Roman"/>
          <w:sz w:val="24"/>
          <w:szCs w:val="24"/>
        </w:rPr>
        <w:t>, Babcock began oversight on the construction of the Mosquito Inlet Lighthouse in Florida.</w:t>
      </w:r>
      <w:r>
        <w:rPr>
          <w:rStyle w:val="FootnoteReference"/>
          <w:rFonts w:ascii="Times New Roman" w:hAnsi="Times New Roman" w:cs="Times New Roman"/>
          <w:sz w:val="24"/>
          <w:szCs w:val="24"/>
        </w:rPr>
        <w:footnoteReference w:id="1520"/>
      </w:r>
      <w:r>
        <w:rPr>
          <w:rFonts w:ascii="Times New Roman" w:hAnsi="Times New Roman" w:cs="Times New Roman"/>
          <w:sz w:val="24"/>
          <w:szCs w:val="24"/>
        </w:rPr>
        <w:t xml:space="preserve">  While aboard the government schooner </w:t>
      </w:r>
      <w:r>
        <w:rPr>
          <w:rFonts w:ascii="Times New Roman" w:hAnsi="Times New Roman" w:cs="Times New Roman"/>
          <w:i/>
          <w:iCs/>
          <w:sz w:val="24"/>
          <w:szCs w:val="24"/>
        </w:rPr>
        <w:t>Pharos</w:t>
      </w:r>
      <w:r>
        <w:rPr>
          <w:rFonts w:ascii="Times New Roman" w:hAnsi="Times New Roman" w:cs="Times New Roman"/>
          <w:sz w:val="24"/>
          <w:szCs w:val="24"/>
        </w:rPr>
        <w:t xml:space="preserve"> on June 2</w:t>
      </w:r>
      <w:r w:rsidRPr="00A60A0D">
        <w:rPr>
          <w:rFonts w:ascii="Times New Roman" w:hAnsi="Times New Roman" w:cs="Times New Roman"/>
          <w:sz w:val="24"/>
          <w:szCs w:val="24"/>
          <w:vertAlign w:val="superscript"/>
        </w:rPr>
        <w:t>nd</w:t>
      </w:r>
      <w:r>
        <w:rPr>
          <w:rFonts w:ascii="Times New Roman" w:hAnsi="Times New Roman" w:cs="Times New Roman"/>
          <w:sz w:val="24"/>
          <w:szCs w:val="24"/>
        </w:rPr>
        <w:t xml:space="preserve"> to deliver construction supplies, a storm quickly rolled into the inlet, creating a dangerous swell and frightening several </w:t>
      </w:r>
      <w:r w:rsidR="00E16C27">
        <w:rPr>
          <w:rFonts w:ascii="Times New Roman" w:hAnsi="Times New Roman" w:cs="Times New Roman"/>
          <w:sz w:val="24"/>
          <w:szCs w:val="24"/>
        </w:rPr>
        <w:t xml:space="preserve">sailors </w:t>
      </w:r>
      <w:r>
        <w:rPr>
          <w:rFonts w:ascii="Times New Roman" w:hAnsi="Times New Roman" w:cs="Times New Roman"/>
          <w:sz w:val="24"/>
          <w:szCs w:val="24"/>
        </w:rPr>
        <w:t>onboard to the point that they sought to return to land.</w:t>
      </w:r>
      <w:r>
        <w:rPr>
          <w:rStyle w:val="FootnoteReference"/>
          <w:rFonts w:ascii="Times New Roman" w:hAnsi="Times New Roman" w:cs="Times New Roman"/>
          <w:sz w:val="24"/>
          <w:szCs w:val="24"/>
        </w:rPr>
        <w:footnoteReference w:id="1521"/>
      </w:r>
      <w:r>
        <w:rPr>
          <w:rFonts w:ascii="Times New Roman" w:hAnsi="Times New Roman" w:cs="Times New Roman"/>
          <w:sz w:val="24"/>
          <w:szCs w:val="24"/>
        </w:rPr>
        <w:t xml:space="preserve">  The captain of the ship worried that the vessel would be grounded due to the weight of the supplies if they returned to shore.  A nearby boat’s captain and crew arrived at the </w:t>
      </w:r>
      <w:r>
        <w:rPr>
          <w:rFonts w:ascii="Times New Roman" w:hAnsi="Times New Roman" w:cs="Times New Roman"/>
          <w:i/>
          <w:iCs/>
          <w:sz w:val="24"/>
          <w:szCs w:val="24"/>
        </w:rPr>
        <w:t>Pharos</w:t>
      </w:r>
      <w:r>
        <w:rPr>
          <w:rFonts w:ascii="Times New Roman" w:hAnsi="Times New Roman" w:cs="Times New Roman"/>
          <w:sz w:val="24"/>
          <w:szCs w:val="24"/>
        </w:rPr>
        <w:t xml:space="preserve"> in a rowboat in order to retrieve the men aboard and lead them out of their precarious situation.</w:t>
      </w:r>
      <w:r>
        <w:rPr>
          <w:rStyle w:val="FootnoteReference"/>
          <w:rFonts w:ascii="Times New Roman" w:hAnsi="Times New Roman" w:cs="Times New Roman"/>
          <w:sz w:val="24"/>
          <w:szCs w:val="24"/>
        </w:rPr>
        <w:footnoteReference w:id="1522"/>
      </w:r>
      <w:r>
        <w:rPr>
          <w:rFonts w:ascii="Times New Roman" w:hAnsi="Times New Roman" w:cs="Times New Roman"/>
          <w:sz w:val="24"/>
          <w:szCs w:val="24"/>
        </w:rPr>
        <w:t xml:space="preserve">  However, Babcock, as the highest-ranking officer aboard the </w:t>
      </w:r>
      <w:r>
        <w:rPr>
          <w:rFonts w:ascii="Times New Roman" w:hAnsi="Times New Roman" w:cs="Times New Roman"/>
          <w:i/>
          <w:iCs/>
          <w:sz w:val="24"/>
          <w:szCs w:val="24"/>
        </w:rPr>
        <w:t>Pharos</w:t>
      </w:r>
      <w:r w:rsidR="00E16C27">
        <w:rPr>
          <w:rFonts w:ascii="Times New Roman" w:hAnsi="Times New Roman" w:cs="Times New Roman"/>
          <w:i/>
          <w:iCs/>
          <w:sz w:val="24"/>
          <w:szCs w:val="24"/>
        </w:rPr>
        <w:t xml:space="preserve">, </w:t>
      </w:r>
      <w:r w:rsidR="00E16C27">
        <w:rPr>
          <w:rFonts w:ascii="Times New Roman" w:hAnsi="Times New Roman" w:cs="Times New Roman"/>
          <w:sz w:val="24"/>
          <w:szCs w:val="24"/>
        </w:rPr>
        <w:t>albeit an Army officer shipboard among seasoned sailors</w:t>
      </w:r>
      <w:r>
        <w:rPr>
          <w:rFonts w:ascii="Times New Roman" w:hAnsi="Times New Roman" w:cs="Times New Roman"/>
          <w:sz w:val="24"/>
          <w:szCs w:val="24"/>
        </w:rPr>
        <w:t xml:space="preserve">, had final say in deciding whether to wait the storm out onboard or to set out for shore in rowboats.  After taking lunch to consider, Babcock determined that, since the aiding sailors had rowed their boat safely to the </w:t>
      </w:r>
      <w:r>
        <w:rPr>
          <w:rFonts w:ascii="Times New Roman" w:hAnsi="Times New Roman" w:cs="Times New Roman"/>
          <w:i/>
          <w:iCs/>
          <w:sz w:val="24"/>
          <w:szCs w:val="24"/>
        </w:rPr>
        <w:t>Pharos</w:t>
      </w:r>
      <w:r>
        <w:rPr>
          <w:rFonts w:ascii="Times New Roman" w:hAnsi="Times New Roman" w:cs="Times New Roman"/>
          <w:sz w:val="24"/>
          <w:szCs w:val="24"/>
        </w:rPr>
        <w:t>, it made the most sense for his men to row to shore atop the storm-crafted tidal floors.</w:t>
      </w:r>
      <w:r>
        <w:rPr>
          <w:rStyle w:val="FootnoteReference"/>
          <w:rFonts w:ascii="Times New Roman" w:hAnsi="Times New Roman" w:cs="Times New Roman"/>
          <w:sz w:val="24"/>
          <w:szCs w:val="24"/>
        </w:rPr>
        <w:footnoteReference w:id="1523"/>
      </w:r>
      <w:r>
        <w:rPr>
          <w:rFonts w:ascii="Times New Roman" w:hAnsi="Times New Roman" w:cs="Times New Roman"/>
          <w:sz w:val="24"/>
          <w:szCs w:val="24"/>
        </w:rPr>
        <w:t xml:space="preserve">  As Babcock and his men approached the bar of the inlet in their rowboat, the seas raged and capsized the boat.  Babcock was thrown from the ship and would have been lost at sea were it not for a crewmate’s decision to attach a lifeline to him, securing him to the boat.</w:t>
      </w:r>
      <w:r>
        <w:rPr>
          <w:rStyle w:val="FootnoteReference"/>
          <w:rFonts w:ascii="Times New Roman" w:hAnsi="Times New Roman" w:cs="Times New Roman"/>
          <w:sz w:val="24"/>
          <w:szCs w:val="24"/>
        </w:rPr>
        <w:footnoteReference w:id="1524"/>
      </w:r>
      <w:r>
        <w:rPr>
          <w:rFonts w:ascii="Times New Roman" w:hAnsi="Times New Roman" w:cs="Times New Roman"/>
          <w:sz w:val="24"/>
          <w:szCs w:val="24"/>
        </w:rPr>
        <w:t xml:space="preserve">  Still, the force of the storm was enough to tear loose his tether </w:t>
      </w:r>
      <w:r>
        <w:rPr>
          <w:rFonts w:ascii="Times New Roman" w:hAnsi="Times New Roman" w:cs="Times New Roman"/>
          <w:sz w:val="24"/>
          <w:szCs w:val="24"/>
        </w:rPr>
        <w:lastRenderedPageBreak/>
        <w:t>from the ship, sending him into the surf.  Others aboard the ship made it to land, where they recovered Babcock’s limp body and attempted resuscitation to no avail.</w:t>
      </w:r>
      <w:r>
        <w:rPr>
          <w:rStyle w:val="FootnoteReference"/>
          <w:rFonts w:ascii="Times New Roman" w:hAnsi="Times New Roman" w:cs="Times New Roman"/>
          <w:sz w:val="24"/>
          <w:szCs w:val="24"/>
        </w:rPr>
        <w:footnoteReference w:id="1525"/>
      </w:r>
      <w:r>
        <w:rPr>
          <w:rFonts w:ascii="Times New Roman" w:hAnsi="Times New Roman" w:cs="Times New Roman"/>
          <w:sz w:val="24"/>
          <w:szCs w:val="24"/>
        </w:rPr>
        <w:t xml:space="preserve">  General Orville Elias Babcock became one of four drowning casualties on that fateful day in 1884, and while it led to delays in the project, the construction of the lighthouse was completed three years later in 1887 based on Babcock’s original designs and plans.</w:t>
      </w:r>
      <w:r>
        <w:rPr>
          <w:rStyle w:val="FootnoteReference"/>
          <w:rFonts w:ascii="Times New Roman" w:hAnsi="Times New Roman" w:cs="Times New Roman"/>
          <w:sz w:val="24"/>
          <w:szCs w:val="24"/>
        </w:rPr>
        <w:footnoteReference w:id="1526"/>
      </w:r>
    </w:p>
    <w:p w14:paraId="448338A0" w14:textId="77777777"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Babcock’s death did not ripple through the media or the masses as that of other political agents of his era.  Coverage of his demise was limited.  Many of the national presses picked up the story as it was covered locally under the headline “General Babcock Drowned.”</w:t>
      </w:r>
      <w:r>
        <w:rPr>
          <w:rStyle w:val="FootnoteReference"/>
          <w:rFonts w:ascii="Times New Roman" w:hAnsi="Times New Roman" w:cs="Times New Roman"/>
          <w:sz w:val="24"/>
          <w:szCs w:val="24"/>
        </w:rPr>
        <w:footnoteReference w:id="1527"/>
      </w:r>
      <w:r>
        <w:rPr>
          <w:rFonts w:ascii="Times New Roman" w:hAnsi="Times New Roman" w:cs="Times New Roman"/>
          <w:sz w:val="24"/>
          <w:szCs w:val="24"/>
        </w:rPr>
        <w:t xml:space="preserve">  Referring to him as a “Victim of the Sea,” his obituaries largely covered either his military service or his work as Inspector of Lighthouses, with one mentioning his time in the Grant Administration succinctly with the notation “he was on duty at Washington.”</w:t>
      </w:r>
      <w:r>
        <w:rPr>
          <w:rStyle w:val="FootnoteReference"/>
          <w:rFonts w:ascii="Times New Roman" w:hAnsi="Times New Roman" w:cs="Times New Roman"/>
          <w:sz w:val="24"/>
          <w:szCs w:val="24"/>
        </w:rPr>
        <w:footnoteReference w:id="1528"/>
      </w:r>
      <w:r>
        <w:rPr>
          <w:rFonts w:ascii="Times New Roman" w:hAnsi="Times New Roman" w:cs="Times New Roman"/>
          <w:sz w:val="24"/>
          <w:szCs w:val="24"/>
        </w:rPr>
        <w:t xml:space="preserve">  One recounting of his life noted his “checkered public career,” but this is as far as any negativity went.</w:t>
      </w:r>
      <w:r>
        <w:rPr>
          <w:rStyle w:val="FootnoteReference"/>
          <w:rFonts w:ascii="Times New Roman" w:hAnsi="Times New Roman" w:cs="Times New Roman"/>
          <w:sz w:val="24"/>
          <w:szCs w:val="24"/>
        </w:rPr>
        <w:footnoteReference w:id="1529"/>
      </w:r>
      <w:r>
        <w:rPr>
          <w:rFonts w:ascii="Times New Roman" w:hAnsi="Times New Roman" w:cs="Times New Roman"/>
          <w:sz w:val="24"/>
          <w:szCs w:val="24"/>
        </w:rPr>
        <w:t xml:space="preserve">  Some swung far in the opposite direction, as was the case with the reverend who oversaw Babcock’s funeral, citing that “his record is without a blot…he sought no personal aggrandizement at the expense of others…he had too much self-respect to join in the unseemly competition for emolument and place.”</w:t>
      </w:r>
      <w:r>
        <w:rPr>
          <w:rStyle w:val="FootnoteReference"/>
          <w:rFonts w:ascii="Times New Roman" w:hAnsi="Times New Roman" w:cs="Times New Roman"/>
          <w:sz w:val="24"/>
          <w:szCs w:val="24"/>
        </w:rPr>
        <w:footnoteReference w:id="1530"/>
      </w:r>
      <w:r>
        <w:rPr>
          <w:rFonts w:ascii="Times New Roman" w:hAnsi="Times New Roman" w:cs="Times New Roman"/>
          <w:sz w:val="24"/>
          <w:szCs w:val="24"/>
        </w:rPr>
        <w:t xml:space="preserve">   Babcock was mourned by his friends, though mainly this was done privately.  President Grant, perhaps his closest friend in life, was preoccupied with other matters, at the time, including a cancer diagnosis and the loss of his family fortune in a failed business </w:t>
      </w:r>
      <w:r>
        <w:rPr>
          <w:rFonts w:ascii="Times New Roman" w:hAnsi="Times New Roman" w:cs="Times New Roman"/>
          <w:sz w:val="24"/>
          <w:szCs w:val="24"/>
        </w:rPr>
        <w:lastRenderedPageBreak/>
        <w:t>venture by his son Buck and his crooked business partner, Ferdinand Ward.</w:t>
      </w:r>
      <w:r>
        <w:rPr>
          <w:rStyle w:val="FootnoteReference"/>
          <w:rFonts w:ascii="Times New Roman" w:hAnsi="Times New Roman" w:cs="Times New Roman"/>
          <w:sz w:val="24"/>
          <w:szCs w:val="24"/>
        </w:rPr>
        <w:footnoteReference w:id="1531"/>
      </w:r>
      <w:r>
        <w:rPr>
          <w:rFonts w:ascii="Times New Roman" w:hAnsi="Times New Roman" w:cs="Times New Roman"/>
          <w:sz w:val="24"/>
          <w:szCs w:val="24"/>
        </w:rPr>
        <w:t xml:space="preserve">  There are no published public remarks made by Grant at the passing of his friend, and the only real mention of Babcock by Grant during this time came within Grant’s memoirs.  These mentions consisted of two brief acknowledgements of Babcock as a member of his staff during the Civil War, with one of these acknowledgements mentioning that then-General Grant had “great confidence” in his former friend.</w:t>
      </w:r>
      <w:r>
        <w:rPr>
          <w:rStyle w:val="FootnoteReference"/>
          <w:rFonts w:ascii="Times New Roman" w:hAnsi="Times New Roman" w:cs="Times New Roman"/>
          <w:sz w:val="24"/>
          <w:szCs w:val="24"/>
        </w:rPr>
        <w:footnoteReference w:id="1532"/>
      </w:r>
      <w:r>
        <w:rPr>
          <w:rFonts w:ascii="Times New Roman" w:hAnsi="Times New Roman" w:cs="Times New Roman"/>
          <w:sz w:val="24"/>
          <w:szCs w:val="24"/>
        </w:rPr>
        <w:t xml:space="preserve">  Those who wrote and spoke of Babcock after his passing highlighted his military career and his commitment to the nation while downplaying his pragmatico behavior.</w:t>
      </w:r>
      <w:r>
        <w:rPr>
          <w:rStyle w:val="FootnoteReference"/>
          <w:rFonts w:ascii="Times New Roman" w:hAnsi="Times New Roman" w:cs="Times New Roman"/>
          <w:sz w:val="24"/>
          <w:szCs w:val="24"/>
        </w:rPr>
        <w:footnoteReference w:id="1533"/>
      </w:r>
      <w:r>
        <w:rPr>
          <w:rFonts w:ascii="Times New Roman" w:hAnsi="Times New Roman" w:cs="Times New Roman"/>
          <w:sz w:val="24"/>
          <w:szCs w:val="24"/>
        </w:rPr>
        <w:t xml:space="preserve">  They did not address his alleged involvement in rings or in graft.  They did not acknowledge his impropriety with land grabs in Santo Domingo, whiskey frauds across the nation, or organizing ratfuckery in the nation’s capital.  They did not acknowledge that his hubris finally caught up to him, or that it cost the lives of three others aboard the </w:t>
      </w:r>
      <w:r>
        <w:rPr>
          <w:rFonts w:ascii="Times New Roman" w:hAnsi="Times New Roman" w:cs="Times New Roman"/>
          <w:i/>
          <w:iCs/>
          <w:sz w:val="24"/>
          <w:szCs w:val="24"/>
        </w:rPr>
        <w:t>Pharos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534"/>
      </w:r>
      <w:r>
        <w:rPr>
          <w:rFonts w:ascii="Times New Roman" w:hAnsi="Times New Roman" w:cs="Times New Roman"/>
          <w:sz w:val="24"/>
          <w:szCs w:val="24"/>
        </w:rPr>
        <w:t xml:space="preserve">  They instead celebrated his career in the military and public service and lamented the loss of life of one who had given his life in the service of his country.</w:t>
      </w:r>
      <w:r w:rsidRPr="006960DE">
        <w:rPr>
          <w:rFonts w:ascii="Times New Roman" w:hAnsi="Times New Roman" w:cs="Times New Roman"/>
          <w:sz w:val="24"/>
          <w:szCs w:val="24"/>
        </w:rPr>
        <w:t xml:space="preserve"> </w:t>
      </w:r>
    </w:p>
    <w:p w14:paraId="79203D1F" w14:textId="30D2B134" w:rsidR="00360BFB" w:rsidRDefault="00360BFB" w:rsidP="00360BF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Babcock’s passing shows the result of the tumultuous careers of pragmaticos.  A period of service to the country, in many cases via military service, set many pragmaticos on their path to government involvement.  The bonds forged in perilous times established friendships and trust that, once the Civil War ended, many capitalized upon to receive postings or even elections in government jobs in a patronage system badly in need of civil service reforms.  Many of these men entered positions in which they were </w:t>
      </w:r>
      <w:r w:rsidR="000943DC">
        <w:rPr>
          <w:rFonts w:ascii="Times New Roman" w:hAnsi="Times New Roman" w:cs="Times New Roman"/>
          <w:sz w:val="24"/>
          <w:szCs w:val="24"/>
        </w:rPr>
        <w:t>under</w:t>
      </w:r>
      <w:r>
        <w:rPr>
          <w:rFonts w:ascii="Times New Roman" w:hAnsi="Times New Roman" w:cs="Times New Roman"/>
          <w:sz w:val="24"/>
          <w:szCs w:val="24"/>
        </w:rPr>
        <w:t xml:space="preserve">prepared </w:t>
      </w:r>
      <w:r w:rsidR="000943DC">
        <w:rPr>
          <w:rFonts w:ascii="Times New Roman" w:hAnsi="Times New Roman" w:cs="Times New Roman"/>
          <w:sz w:val="24"/>
          <w:szCs w:val="24"/>
        </w:rPr>
        <w:t>in their training</w:t>
      </w:r>
      <w:r>
        <w:rPr>
          <w:rFonts w:ascii="Times New Roman" w:hAnsi="Times New Roman" w:cs="Times New Roman"/>
          <w:sz w:val="24"/>
          <w:szCs w:val="24"/>
        </w:rPr>
        <w:t xml:space="preserve"> and thus had to </w:t>
      </w:r>
      <w:r>
        <w:rPr>
          <w:rFonts w:ascii="Times New Roman" w:hAnsi="Times New Roman" w:cs="Times New Roman"/>
          <w:sz w:val="24"/>
          <w:szCs w:val="24"/>
        </w:rPr>
        <w:lastRenderedPageBreak/>
        <w:t xml:space="preserve">accomplish their goals by new methods.  Eschewing the existing methods of political negotiations and concepts of proper governance, these pragmaticos exchanged money and favors to hasten the accomplishment of their own goals, and while some of these favors benefitted the masses, many </w:t>
      </w:r>
      <w:r w:rsidR="007B59C3">
        <w:rPr>
          <w:rFonts w:ascii="Times New Roman" w:hAnsi="Times New Roman" w:cs="Times New Roman"/>
          <w:sz w:val="24"/>
          <w:szCs w:val="24"/>
        </w:rPr>
        <w:t>benefited</w:t>
      </w:r>
      <w:r>
        <w:rPr>
          <w:rFonts w:ascii="Times New Roman" w:hAnsi="Times New Roman" w:cs="Times New Roman"/>
          <w:sz w:val="24"/>
          <w:szCs w:val="24"/>
        </w:rPr>
        <w:t xml:space="preserve"> the individual first and foremost.  </w:t>
      </w:r>
      <w:r w:rsidR="007D0645">
        <w:rPr>
          <w:rFonts w:ascii="Times New Roman" w:hAnsi="Times New Roman" w:cs="Times New Roman"/>
          <w:sz w:val="24"/>
          <w:szCs w:val="24"/>
        </w:rPr>
        <w:t>Eventually</w:t>
      </w:r>
      <w:r>
        <w:rPr>
          <w:rFonts w:ascii="Times New Roman" w:hAnsi="Times New Roman" w:cs="Times New Roman"/>
          <w:sz w:val="24"/>
          <w:szCs w:val="24"/>
        </w:rPr>
        <w:t xml:space="preserve">, the pragmaticos’ actions were discovered, unleashing a torrent of disgust by those in favor of more traditional, some may say honest, governance.  The pragmatico faced this backlash, but perhaps more importantly, so too did their patron </w:t>
      </w:r>
      <w:r w:rsidR="007D0645">
        <w:rPr>
          <w:rFonts w:ascii="Times New Roman" w:hAnsi="Times New Roman" w:cs="Times New Roman"/>
          <w:sz w:val="24"/>
          <w:szCs w:val="24"/>
        </w:rPr>
        <w:t xml:space="preserve">who </w:t>
      </w:r>
      <w:r>
        <w:rPr>
          <w:rFonts w:ascii="Times New Roman" w:hAnsi="Times New Roman" w:cs="Times New Roman"/>
          <w:sz w:val="24"/>
          <w:szCs w:val="24"/>
        </w:rPr>
        <w:t>recommended them for their job or who oversaw their position and served as a shield for their nefarious deeds.  The patron thus had to decide when their affiliation with the pragmatico was of greater harm than help, at which point they would remove the pragmatico from their post, leaving them to find another career and toil in far greater anonymity than their political career incarnation allowed.  Babcock’s career followed exactly this path:</w:t>
      </w:r>
      <w:r w:rsidRPr="00CA7019">
        <w:rPr>
          <w:rFonts w:ascii="Times New Roman" w:hAnsi="Times New Roman" w:cs="Times New Roman"/>
          <w:sz w:val="24"/>
          <w:szCs w:val="24"/>
        </w:rPr>
        <w:t xml:space="preserve"> </w:t>
      </w:r>
      <w:r>
        <w:rPr>
          <w:rFonts w:ascii="Times New Roman" w:hAnsi="Times New Roman" w:cs="Times New Roman"/>
          <w:sz w:val="24"/>
          <w:szCs w:val="24"/>
        </w:rPr>
        <w:t xml:space="preserve">a nobody turned somebody because of relationships, a political novice turned ringleader, eventually an unscrupulous agent responsible for </w:t>
      </w:r>
      <w:r w:rsidR="009B1EAD">
        <w:rPr>
          <w:rFonts w:ascii="Times New Roman" w:hAnsi="Times New Roman" w:cs="Times New Roman"/>
          <w:sz w:val="24"/>
          <w:szCs w:val="24"/>
        </w:rPr>
        <w:t>besmirchi</w:t>
      </w:r>
      <w:r>
        <w:rPr>
          <w:rFonts w:ascii="Times New Roman" w:hAnsi="Times New Roman" w:cs="Times New Roman"/>
          <w:sz w:val="24"/>
          <w:szCs w:val="24"/>
        </w:rPr>
        <w:t>ng the reputation of an entire presidential administration</w:t>
      </w:r>
      <w:r w:rsidR="00591E26">
        <w:rPr>
          <w:rFonts w:ascii="Times New Roman" w:hAnsi="Times New Roman" w:cs="Times New Roman"/>
          <w:sz w:val="24"/>
          <w:szCs w:val="24"/>
        </w:rPr>
        <w:t>, and ultimately a has-been who died in anonymity</w:t>
      </w:r>
      <w:r w:rsidR="005C7FDE">
        <w:rPr>
          <w:rFonts w:ascii="Times New Roman" w:hAnsi="Times New Roman" w:cs="Times New Roman"/>
          <w:sz w:val="24"/>
          <w:szCs w:val="24"/>
        </w:rPr>
        <w:t xml:space="preserve"> and was lost to history…until now</w:t>
      </w:r>
      <w:r>
        <w:rPr>
          <w:rFonts w:ascii="Times New Roman" w:hAnsi="Times New Roman" w:cs="Times New Roman"/>
          <w:sz w:val="24"/>
          <w:szCs w:val="24"/>
        </w:rPr>
        <w:t>.</w:t>
      </w:r>
    </w:p>
    <w:p w14:paraId="64D5B6C9" w14:textId="77777777" w:rsidR="00360BFB" w:rsidRDefault="00360BFB" w:rsidP="00360BFB">
      <w:pPr>
        <w:spacing w:line="480" w:lineRule="auto"/>
        <w:jc w:val="center"/>
        <w:rPr>
          <w:rFonts w:ascii="Times New Roman" w:hAnsi="Times New Roman" w:cs="Times New Roman"/>
          <w:sz w:val="24"/>
          <w:szCs w:val="24"/>
        </w:rPr>
      </w:pPr>
      <w:r>
        <w:rPr>
          <w:rFonts w:ascii="Times New Roman" w:hAnsi="Times New Roman" w:cs="Times New Roman"/>
          <w:sz w:val="24"/>
          <w:szCs w:val="24"/>
        </w:rPr>
        <w:t>Tarnished Legacies</w:t>
      </w:r>
    </w:p>
    <w:p w14:paraId="75D225D7" w14:textId="57206E1F" w:rsidR="00360BFB" w:rsidRDefault="00360BFB" w:rsidP="00360BF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Babcock’s lack of attention in death is almost fitting for a man who sought to evade the spotlight in life as he worked to acquire his fortune through less than savory means. Though Babcock sought to reap the rewards for his actions, it seemed as though his actions were only made public when under scrutiny, as was the case in the attempted annexation of Santo Domingo as well as his involvement in the District and Whiskey Rings, respectively. For a man who seemingly dedicated his life to service, the lack of notoriety surrounding his death more than anything reflected the shame his actions brought upon him and those associated with him. Even </w:t>
      </w:r>
      <w:r>
        <w:rPr>
          <w:rFonts w:ascii="Times New Roman" w:hAnsi="Times New Roman" w:cs="Times New Roman"/>
          <w:sz w:val="24"/>
          <w:szCs w:val="24"/>
        </w:rPr>
        <w:lastRenderedPageBreak/>
        <w:t>though he did not draw much attention in death, his impact on others persisted, particularly regarding how we remember them historically, again fitting given how often others suffered for his actions while he drew breath.</w:t>
      </w:r>
    </w:p>
    <w:p w14:paraId="1A02ADBB" w14:textId="3189ECC2"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Perhaps no one’s legacy took on so great a</w:t>
      </w:r>
      <w:r w:rsidR="00324C35">
        <w:rPr>
          <w:rFonts w:ascii="Times New Roman" w:hAnsi="Times New Roman" w:cs="Times New Roman"/>
          <w:sz w:val="24"/>
          <w:szCs w:val="24"/>
        </w:rPr>
        <w:t xml:space="preserve"> stain</w:t>
      </w:r>
      <w:r>
        <w:rPr>
          <w:rFonts w:ascii="Times New Roman" w:hAnsi="Times New Roman" w:cs="Times New Roman"/>
          <w:sz w:val="24"/>
          <w:szCs w:val="24"/>
        </w:rPr>
        <w:t xml:space="preserve"> as Babcock’s close friend and patron, Ulysses S. Grant. In the immediate aftermath of the Grant Administration, Southern Democrats and extremists in his own Republican Party took to the media to express their dissatisfaction with the man they felt wronged </w:t>
      </w:r>
      <w:r w:rsidR="00757EBC">
        <w:rPr>
          <w:rFonts w:ascii="Times New Roman" w:hAnsi="Times New Roman" w:cs="Times New Roman"/>
          <w:sz w:val="24"/>
          <w:szCs w:val="24"/>
        </w:rPr>
        <w:t>the</w:t>
      </w:r>
      <w:r>
        <w:rPr>
          <w:rFonts w:ascii="Times New Roman" w:hAnsi="Times New Roman" w:cs="Times New Roman"/>
          <w:sz w:val="24"/>
          <w:szCs w:val="24"/>
        </w:rPr>
        <w:t>m for various reasons while he was in office.</w:t>
      </w:r>
      <w:r>
        <w:rPr>
          <w:rStyle w:val="FootnoteReference"/>
          <w:rFonts w:ascii="Times New Roman" w:hAnsi="Times New Roman" w:cs="Times New Roman"/>
          <w:sz w:val="24"/>
          <w:szCs w:val="24"/>
        </w:rPr>
        <w:footnoteReference w:id="1535"/>
      </w:r>
      <w:r>
        <w:rPr>
          <w:rFonts w:ascii="Times New Roman" w:hAnsi="Times New Roman" w:cs="Times New Roman"/>
          <w:sz w:val="24"/>
          <w:szCs w:val="24"/>
        </w:rPr>
        <w:t xml:space="preserve"> The media surrounding Grant was used as “proof” by historians of the Dunning School to lambast Grant’s political ability, as he became known as a great general but a terrible president in the historical record.</w:t>
      </w:r>
      <w:r>
        <w:rPr>
          <w:rStyle w:val="FootnoteReference"/>
          <w:rFonts w:ascii="Times New Roman" w:hAnsi="Times New Roman" w:cs="Times New Roman"/>
          <w:sz w:val="24"/>
          <w:szCs w:val="24"/>
        </w:rPr>
        <w:footnoteReference w:id="1536"/>
      </w:r>
      <w:r>
        <w:rPr>
          <w:rFonts w:ascii="Times New Roman" w:hAnsi="Times New Roman" w:cs="Times New Roman"/>
          <w:sz w:val="24"/>
          <w:szCs w:val="24"/>
        </w:rPr>
        <w:t xml:space="preserve"> This was the prevailing narrative surrounding Grant for nearly a century, both in historical circles and in the eyes of the general public. Historian </w:t>
      </w:r>
      <w:r w:rsidRPr="000D0408">
        <w:rPr>
          <w:rFonts w:ascii="Times New Roman" w:hAnsi="Times New Roman" w:cs="Times New Roman"/>
          <w:sz w:val="24"/>
          <w:szCs w:val="24"/>
        </w:rPr>
        <w:t>Arthur Schlesinger Sr. conducted polls in 1948 and in 1962, surveying historians and asking them to rank the presidents in terms of their effectiveness and their greatness.  In both polls, President Grant finished second to last, topping only President Warren G. Harding.</w:t>
      </w:r>
      <w:r w:rsidRPr="000D0408">
        <w:rPr>
          <w:rFonts w:ascii="Times New Roman" w:hAnsi="Times New Roman" w:cs="Times New Roman"/>
          <w:sz w:val="24"/>
          <w:szCs w:val="24"/>
          <w:vertAlign w:val="superscript"/>
        </w:rPr>
        <w:footnoteReference w:id="1537"/>
      </w:r>
      <w:r w:rsidRPr="000D0408">
        <w:rPr>
          <w:rFonts w:ascii="Times New Roman" w:hAnsi="Times New Roman" w:cs="Times New Roman"/>
          <w:sz w:val="24"/>
          <w:szCs w:val="24"/>
        </w:rPr>
        <w:t xml:space="preserve"> </w:t>
      </w:r>
      <w:r>
        <w:rPr>
          <w:rFonts w:ascii="Times New Roman" w:hAnsi="Times New Roman" w:cs="Times New Roman"/>
          <w:sz w:val="24"/>
          <w:szCs w:val="24"/>
        </w:rPr>
        <w:t>Grant’s legacy is one that has only recently been repaired in historical circles. In a similar poll of historians in 2021, Grant jumped significantly compared to the polls conducted sixty years prior by Schlesinger Sr., ranking 20</w:t>
      </w:r>
      <w:r w:rsidRPr="00B957C7">
        <w:rPr>
          <w:rFonts w:ascii="Times New Roman" w:hAnsi="Times New Roman" w:cs="Times New Roman"/>
          <w:sz w:val="24"/>
          <w:szCs w:val="24"/>
          <w:vertAlign w:val="superscript"/>
        </w:rPr>
        <w:t>th</w:t>
      </w:r>
      <w:r>
        <w:rPr>
          <w:rFonts w:ascii="Times New Roman" w:hAnsi="Times New Roman" w:cs="Times New Roman"/>
          <w:sz w:val="24"/>
          <w:szCs w:val="24"/>
        </w:rPr>
        <w:t xml:space="preserve"> out of the 44 men who had served to that point.</w:t>
      </w:r>
      <w:r>
        <w:rPr>
          <w:rStyle w:val="FootnoteReference"/>
          <w:rFonts w:ascii="Times New Roman" w:hAnsi="Times New Roman" w:cs="Times New Roman"/>
          <w:sz w:val="24"/>
          <w:szCs w:val="24"/>
        </w:rPr>
        <w:footnoteReference w:id="1538"/>
      </w:r>
      <w:r>
        <w:rPr>
          <w:rFonts w:ascii="Times New Roman" w:hAnsi="Times New Roman" w:cs="Times New Roman"/>
          <w:sz w:val="24"/>
          <w:szCs w:val="24"/>
        </w:rPr>
        <w:t xml:space="preserve"> The most recent generations of historians </w:t>
      </w:r>
      <w:r>
        <w:rPr>
          <w:rFonts w:ascii="Times New Roman" w:hAnsi="Times New Roman" w:cs="Times New Roman"/>
          <w:sz w:val="24"/>
          <w:szCs w:val="24"/>
        </w:rPr>
        <w:lastRenderedPageBreak/>
        <w:t>have made efforts to restore Grant’s legacy, but it was damaged for more than a century by the actions of those close to him like Babcock.</w:t>
      </w:r>
      <w:r>
        <w:rPr>
          <w:rStyle w:val="FootnoteReference"/>
          <w:rFonts w:ascii="Times New Roman" w:hAnsi="Times New Roman" w:cs="Times New Roman"/>
          <w:sz w:val="24"/>
          <w:szCs w:val="24"/>
        </w:rPr>
        <w:footnoteReference w:id="1539"/>
      </w:r>
    </w:p>
    <w:p w14:paraId="73CFA5E3" w14:textId="23CD4D50"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Similarly to President Grant’s legacy, the remembrance of the era’s Republican Party took a significant hit because of Babcock’s actions. The party’s legacy has been maintained since the end of Reconstruction, and though it has gone through many alterations to its platform over time, it has persisted as one of the two major parties in the American political system.</w:t>
      </w:r>
      <w:r>
        <w:rPr>
          <w:rStyle w:val="FootnoteReference"/>
          <w:rFonts w:ascii="Times New Roman" w:hAnsi="Times New Roman" w:cs="Times New Roman"/>
          <w:sz w:val="24"/>
          <w:szCs w:val="24"/>
        </w:rPr>
        <w:footnoteReference w:id="1540"/>
      </w:r>
      <w:r>
        <w:rPr>
          <w:rFonts w:ascii="Times New Roman" w:hAnsi="Times New Roman" w:cs="Times New Roman"/>
          <w:sz w:val="24"/>
          <w:szCs w:val="24"/>
        </w:rPr>
        <w:t xml:space="preserve"> However, in the immediate aftermath of the Grant Administration, the party faced significant challenge from the Redeemer coalition of southern Democrats who sought to overhaul what they saw as the infringement of Radical Republicans during Reconstruction.</w:t>
      </w:r>
      <w:r>
        <w:rPr>
          <w:rStyle w:val="FootnoteReference"/>
          <w:rFonts w:ascii="Times New Roman" w:hAnsi="Times New Roman" w:cs="Times New Roman"/>
          <w:sz w:val="24"/>
          <w:szCs w:val="24"/>
        </w:rPr>
        <w:footnoteReference w:id="1541"/>
      </w:r>
      <w:r>
        <w:rPr>
          <w:rFonts w:ascii="Times New Roman" w:hAnsi="Times New Roman" w:cs="Times New Roman"/>
          <w:sz w:val="24"/>
          <w:szCs w:val="24"/>
        </w:rPr>
        <w:t xml:space="preserve"> Democratic rhetoric became laden with claims of corruption by the Republicans as they sought to “turn the rascals out” of the government once more.</w:t>
      </w:r>
      <w:r>
        <w:rPr>
          <w:rStyle w:val="FootnoteReference"/>
          <w:rFonts w:ascii="Times New Roman" w:hAnsi="Times New Roman" w:cs="Times New Roman"/>
          <w:sz w:val="24"/>
          <w:szCs w:val="24"/>
        </w:rPr>
        <w:footnoteReference w:id="1542"/>
      </w:r>
      <w:r>
        <w:rPr>
          <w:rFonts w:ascii="Times New Roman" w:hAnsi="Times New Roman" w:cs="Times New Roman"/>
          <w:sz w:val="24"/>
          <w:szCs w:val="24"/>
        </w:rPr>
        <w:t xml:space="preserve"> While Republicans held onto key political posts across the nation over the next few decades, including the presidency, the Democrats continued to beat the </w:t>
      </w:r>
      <w:r>
        <w:rPr>
          <w:rFonts w:ascii="Times New Roman" w:hAnsi="Times New Roman" w:cs="Times New Roman"/>
          <w:sz w:val="24"/>
          <w:szCs w:val="24"/>
        </w:rPr>
        <w:lastRenderedPageBreak/>
        <w:t>corruption drum and made significant gains across the political realm.</w:t>
      </w:r>
      <w:r>
        <w:rPr>
          <w:rStyle w:val="FootnoteReference"/>
          <w:rFonts w:ascii="Times New Roman" w:hAnsi="Times New Roman" w:cs="Times New Roman"/>
          <w:sz w:val="24"/>
          <w:szCs w:val="24"/>
        </w:rPr>
        <w:footnoteReference w:id="1543"/>
      </w:r>
      <w:r>
        <w:rPr>
          <w:rFonts w:ascii="Times New Roman" w:hAnsi="Times New Roman" w:cs="Times New Roman"/>
          <w:sz w:val="24"/>
          <w:szCs w:val="24"/>
        </w:rPr>
        <w:t xml:space="preserve"> </w:t>
      </w:r>
      <w:r w:rsidR="009414E2">
        <w:rPr>
          <w:rFonts w:ascii="Times New Roman" w:hAnsi="Times New Roman" w:cs="Times New Roman"/>
          <w:sz w:val="24"/>
          <w:szCs w:val="24"/>
        </w:rPr>
        <w:t>Meanwhile, t</w:t>
      </w:r>
      <w:r>
        <w:rPr>
          <w:rFonts w:ascii="Times New Roman" w:hAnsi="Times New Roman" w:cs="Times New Roman"/>
          <w:sz w:val="24"/>
          <w:szCs w:val="24"/>
        </w:rPr>
        <w:t xml:space="preserve">he Redeemers </w:t>
      </w:r>
      <w:r w:rsidR="009414E2">
        <w:rPr>
          <w:rFonts w:ascii="Times New Roman" w:hAnsi="Times New Roman" w:cs="Times New Roman"/>
          <w:sz w:val="24"/>
          <w:szCs w:val="24"/>
        </w:rPr>
        <w:t>who emerged in the Reconstruction South</w:t>
      </w:r>
      <w:r>
        <w:rPr>
          <w:rFonts w:ascii="Times New Roman" w:hAnsi="Times New Roman" w:cs="Times New Roman"/>
          <w:sz w:val="24"/>
          <w:szCs w:val="24"/>
        </w:rPr>
        <w:t xml:space="preserve"> entrenched Jim Crow across the South as a result of the Compromise of 1876, and they entrenched systemic racial segregation in the region as a result of a weakened Republican Party caused by the reputations of Babcock and others like him.</w:t>
      </w:r>
    </w:p>
    <w:p w14:paraId="001BF632" w14:textId="006E4DC5"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More broadly, our historical understanding of the Reconstruction Era was critically affected by the actions of General Babcock, as well as others of his pragmatico ilk. After the Compromise of 1876 effectively ended Reconstruction, historians began to consider the era as a failure. Most notable among this group was the Dunning School, which held a particularly racist view that Reconstruction was a “Tragic Era” in which hard-working white southerners were deprived of their rights and saw their governments overthrown by invading northerners and ignorant freedpeople who were ill-equipped for political involvement.</w:t>
      </w:r>
      <w:r>
        <w:rPr>
          <w:rStyle w:val="FootnoteReference"/>
          <w:rFonts w:ascii="Times New Roman" w:hAnsi="Times New Roman" w:cs="Times New Roman"/>
          <w:sz w:val="24"/>
          <w:szCs w:val="24"/>
        </w:rPr>
        <w:footnoteReference w:id="1544"/>
      </w:r>
      <w:r>
        <w:rPr>
          <w:rFonts w:ascii="Times New Roman" w:hAnsi="Times New Roman" w:cs="Times New Roman"/>
          <w:sz w:val="24"/>
          <w:szCs w:val="24"/>
        </w:rPr>
        <w:t xml:space="preserve"> Chief among the complaints of the Dunnings was an effort to assail the corruption of the era, as they highlighted that corruption from northerners resulted in ineffective governance postbellum.</w:t>
      </w:r>
      <w:r>
        <w:rPr>
          <w:rStyle w:val="FootnoteReference"/>
          <w:rFonts w:ascii="Times New Roman" w:hAnsi="Times New Roman" w:cs="Times New Roman"/>
          <w:sz w:val="24"/>
          <w:szCs w:val="24"/>
        </w:rPr>
        <w:footnoteReference w:id="1545"/>
      </w:r>
      <w:r>
        <w:rPr>
          <w:rFonts w:ascii="Times New Roman" w:hAnsi="Times New Roman" w:cs="Times New Roman"/>
          <w:sz w:val="24"/>
          <w:szCs w:val="24"/>
        </w:rPr>
        <w:t xml:space="preserve"> This failure narrative was discarded by later generations of historians, only to be replaced recently by a more recent failure narrative centered around the inability to complete the plans for Reconstruction and fully </w:t>
      </w:r>
      <w:r w:rsidR="00F70C55">
        <w:rPr>
          <w:rFonts w:ascii="Times New Roman" w:hAnsi="Times New Roman" w:cs="Times New Roman"/>
          <w:sz w:val="24"/>
          <w:szCs w:val="24"/>
        </w:rPr>
        <w:t>bring to fruition</w:t>
      </w:r>
      <w:r>
        <w:rPr>
          <w:rFonts w:ascii="Times New Roman" w:hAnsi="Times New Roman" w:cs="Times New Roman"/>
          <w:sz w:val="24"/>
          <w:szCs w:val="24"/>
        </w:rPr>
        <w:t xml:space="preserve"> the promise the era once held.</w:t>
      </w:r>
      <w:r>
        <w:rPr>
          <w:rStyle w:val="FootnoteReference"/>
          <w:rFonts w:ascii="Times New Roman" w:hAnsi="Times New Roman" w:cs="Times New Roman"/>
          <w:sz w:val="24"/>
          <w:szCs w:val="24"/>
        </w:rPr>
        <w:footnoteReference w:id="1546"/>
      </w:r>
      <w:r>
        <w:rPr>
          <w:rFonts w:ascii="Times New Roman" w:hAnsi="Times New Roman" w:cs="Times New Roman"/>
          <w:sz w:val="24"/>
          <w:szCs w:val="24"/>
        </w:rPr>
        <w:t xml:space="preserve"> Some recent specialized historical studies have investigated the political corruption of the era in a manner that rejects the racism of </w:t>
      </w:r>
      <w:r>
        <w:rPr>
          <w:rFonts w:ascii="Times New Roman" w:hAnsi="Times New Roman" w:cs="Times New Roman"/>
          <w:sz w:val="24"/>
          <w:szCs w:val="24"/>
        </w:rPr>
        <w:lastRenderedPageBreak/>
        <w:t>the Dunnings but instead properly investigates the corruption of the era and its impact as “The Era of Good Stealings.”</w:t>
      </w:r>
      <w:r>
        <w:rPr>
          <w:rStyle w:val="FootnoteReference"/>
          <w:rFonts w:ascii="Times New Roman" w:hAnsi="Times New Roman" w:cs="Times New Roman"/>
          <w:sz w:val="24"/>
          <w:szCs w:val="24"/>
        </w:rPr>
        <w:footnoteReference w:id="1547"/>
      </w:r>
    </w:p>
    <w:p w14:paraId="4BC0920A" w14:textId="1DEA1721" w:rsidR="00360BFB" w:rsidRDefault="00360BFB" w:rsidP="00360BFB">
      <w:pPr>
        <w:spacing w:line="480" w:lineRule="auto"/>
        <w:ind w:firstLine="720"/>
        <w:rPr>
          <w:rFonts w:ascii="Times New Roman" w:hAnsi="Times New Roman" w:cs="Times New Roman"/>
          <w:sz w:val="24"/>
          <w:szCs w:val="24"/>
        </w:rPr>
      </w:pPr>
      <w:r>
        <w:rPr>
          <w:rFonts w:ascii="Times New Roman" w:hAnsi="Times New Roman" w:cs="Times New Roman"/>
          <w:sz w:val="24"/>
          <w:szCs w:val="24"/>
        </w:rPr>
        <w:t>Babcock’s actions, as well as those of other pragmaticos, further propelled a desire for change in postbellum</w:t>
      </w:r>
      <w:r w:rsidR="00B517AC">
        <w:rPr>
          <w:rFonts w:ascii="Times New Roman" w:hAnsi="Times New Roman" w:cs="Times New Roman"/>
          <w:sz w:val="24"/>
          <w:szCs w:val="24"/>
        </w:rPr>
        <w:t>-</w:t>
      </w:r>
      <w:r>
        <w:rPr>
          <w:rFonts w:ascii="Times New Roman" w:hAnsi="Times New Roman" w:cs="Times New Roman"/>
          <w:sz w:val="24"/>
          <w:szCs w:val="24"/>
        </w:rPr>
        <w:t>era</w:t>
      </w:r>
      <w:r w:rsidR="00B517AC">
        <w:rPr>
          <w:rFonts w:ascii="Times New Roman" w:hAnsi="Times New Roman" w:cs="Times New Roman"/>
          <w:sz w:val="24"/>
          <w:szCs w:val="24"/>
        </w:rPr>
        <w:t xml:space="preserve"> politics</w:t>
      </w:r>
      <w:r>
        <w:rPr>
          <w:rFonts w:ascii="Times New Roman" w:hAnsi="Times New Roman" w:cs="Times New Roman"/>
          <w:sz w:val="24"/>
          <w:szCs w:val="24"/>
        </w:rPr>
        <w:t xml:space="preserve"> and spurred on the need for civil service reforms. Efforts to reform the civil service were already underway by time Ulysses S. Grant came to the White House, most notably championed by Congressman Thomas Allen Jenckes of Rhode Island, who sought to overhaul the existing spoils system.</w:t>
      </w:r>
      <w:r>
        <w:rPr>
          <w:rStyle w:val="FootnoteReference"/>
          <w:rFonts w:ascii="Times New Roman" w:hAnsi="Times New Roman" w:cs="Times New Roman"/>
          <w:sz w:val="24"/>
          <w:szCs w:val="24"/>
        </w:rPr>
        <w:footnoteReference w:id="1548"/>
      </w:r>
      <w:r>
        <w:rPr>
          <w:rFonts w:ascii="Times New Roman" w:hAnsi="Times New Roman" w:cs="Times New Roman"/>
          <w:sz w:val="24"/>
          <w:szCs w:val="24"/>
        </w:rPr>
        <w:t xml:space="preserve"> Under President Grant these reform efforts continued, as his Civil Service Commission found limited success by implementing a merit system through the </w:t>
      </w:r>
      <w:r w:rsidR="005F5502">
        <w:rPr>
          <w:rFonts w:ascii="Times New Roman" w:hAnsi="Times New Roman" w:cs="Times New Roman"/>
          <w:sz w:val="24"/>
          <w:szCs w:val="24"/>
        </w:rPr>
        <w:t>C</w:t>
      </w:r>
      <w:r>
        <w:rPr>
          <w:rFonts w:ascii="Times New Roman" w:hAnsi="Times New Roman" w:cs="Times New Roman"/>
          <w:sz w:val="24"/>
          <w:szCs w:val="24"/>
        </w:rPr>
        <w:t>abinet, which hired more candidates based on merit rather than patronage.</w:t>
      </w:r>
      <w:r>
        <w:rPr>
          <w:rStyle w:val="FootnoteReference"/>
          <w:rFonts w:ascii="Times New Roman" w:hAnsi="Times New Roman" w:cs="Times New Roman"/>
          <w:sz w:val="24"/>
          <w:szCs w:val="24"/>
        </w:rPr>
        <w:footnoteReference w:id="1549"/>
      </w:r>
      <w:r>
        <w:rPr>
          <w:rFonts w:ascii="Times New Roman" w:hAnsi="Times New Roman" w:cs="Times New Roman"/>
          <w:sz w:val="24"/>
          <w:szCs w:val="24"/>
        </w:rPr>
        <w:t xml:space="preserve"> Grant also appointed several reformers to high-ranking positions, but this was still not enough to effectively overhaul the system.</w:t>
      </w:r>
      <w:r>
        <w:rPr>
          <w:rStyle w:val="FootnoteReference"/>
          <w:rFonts w:ascii="Times New Roman" w:hAnsi="Times New Roman" w:cs="Times New Roman"/>
          <w:sz w:val="24"/>
          <w:szCs w:val="24"/>
        </w:rPr>
        <w:footnoteReference w:id="1550"/>
      </w:r>
      <w:r>
        <w:rPr>
          <w:rFonts w:ascii="Times New Roman" w:hAnsi="Times New Roman" w:cs="Times New Roman"/>
          <w:sz w:val="24"/>
          <w:szCs w:val="24"/>
        </w:rPr>
        <w:t xml:space="preserve"> In 1883, following continued efforts to repair the system, Congress enacted the Pendleton Act, which established the United States Civil Service Commission, placing appointees based on merit via aptitude exams instead of patronage.</w:t>
      </w:r>
      <w:r>
        <w:rPr>
          <w:rStyle w:val="FootnoteReference"/>
          <w:rFonts w:ascii="Times New Roman" w:hAnsi="Times New Roman" w:cs="Times New Roman"/>
          <w:sz w:val="24"/>
          <w:szCs w:val="24"/>
        </w:rPr>
        <w:footnoteReference w:id="1551"/>
      </w:r>
      <w:r>
        <w:rPr>
          <w:rFonts w:ascii="Times New Roman" w:hAnsi="Times New Roman" w:cs="Times New Roman"/>
          <w:sz w:val="24"/>
          <w:szCs w:val="24"/>
        </w:rPr>
        <w:t xml:space="preserve"> The Pendleton Act took time to take effect, but it eventually resulted in greater expertise and less patronage in the American government.</w:t>
      </w:r>
      <w:r>
        <w:rPr>
          <w:rStyle w:val="FootnoteReference"/>
          <w:rFonts w:ascii="Times New Roman" w:hAnsi="Times New Roman" w:cs="Times New Roman"/>
          <w:sz w:val="24"/>
          <w:szCs w:val="24"/>
        </w:rPr>
        <w:footnoteReference w:id="1552"/>
      </w:r>
      <w:r>
        <w:rPr>
          <w:rFonts w:ascii="Times New Roman" w:hAnsi="Times New Roman" w:cs="Times New Roman"/>
          <w:sz w:val="24"/>
          <w:szCs w:val="24"/>
        </w:rPr>
        <w:t xml:space="preserve"> Though patronage might never </w:t>
      </w:r>
      <w:r>
        <w:rPr>
          <w:rFonts w:ascii="Times New Roman" w:hAnsi="Times New Roman" w:cs="Times New Roman"/>
          <w:sz w:val="24"/>
          <w:szCs w:val="24"/>
        </w:rPr>
        <w:lastRenderedPageBreak/>
        <w:t>truly leave the federal system, the actions of those who observed the corruption of the pragmaticos made a more determined effort to reform and eliminate the spoils system.</w:t>
      </w:r>
    </w:p>
    <w:p w14:paraId="35AF541D" w14:textId="399D8FC0"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The legacy tarnished the most by General Orville Babcock’s actions was that of General Babcock himself because he has been largely forgotten. In the historical record, Babcock emerges as a bit player in narratives centered on President Grant, but this typically occurs when his nefariousness is unveiled to the masses.</w:t>
      </w:r>
      <w:r>
        <w:rPr>
          <w:rStyle w:val="FootnoteReference"/>
          <w:rFonts w:ascii="Times New Roman" w:hAnsi="Times New Roman" w:cs="Times New Roman"/>
          <w:sz w:val="24"/>
          <w:szCs w:val="24"/>
        </w:rPr>
        <w:footnoteReference w:id="1553"/>
      </w:r>
      <w:r>
        <w:rPr>
          <w:rFonts w:ascii="Times New Roman" w:hAnsi="Times New Roman" w:cs="Times New Roman"/>
          <w:sz w:val="24"/>
          <w:szCs w:val="24"/>
        </w:rPr>
        <w:t xml:space="preserve"> Grant himself </w:t>
      </w:r>
      <w:r w:rsidR="00B86453">
        <w:rPr>
          <w:rFonts w:ascii="Times New Roman" w:hAnsi="Times New Roman" w:cs="Times New Roman"/>
          <w:sz w:val="24"/>
          <w:szCs w:val="24"/>
        </w:rPr>
        <w:t>near</w:t>
      </w:r>
      <w:r>
        <w:rPr>
          <w:rFonts w:ascii="Times New Roman" w:hAnsi="Times New Roman" w:cs="Times New Roman"/>
          <w:sz w:val="24"/>
          <w:szCs w:val="24"/>
        </w:rPr>
        <w:t xml:space="preserve">ly omits any mention of his one-time friend in his </w:t>
      </w:r>
      <w:r>
        <w:rPr>
          <w:rFonts w:ascii="Times New Roman" w:hAnsi="Times New Roman" w:cs="Times New Roman"/>
          <w:i/>
          <w:iCs/>
          <w:sz w:val="24"/>
          <w:szCs w:val="24"/>
        </w:rPr>
        <w:t>Personal Memoirs</w:t>
      </w:r>
      <w:r>
        <w:rPr>
          <w:rFonts w:ascii="Times New Roman" w:hAnsi="Times New Roman" w:cs="Times New Roman"/>
          <w:sz w:val="24"/>
          <w:szCs w:val="24"/>
        </w:rPr>
        <w:t>, referencing a man who served under him for more than ten years</w:t>
      </w:r>
      <w:r w:rsidR="009A3A3C">
        <w:rPr>
          <w:rFonts w:ascii="Times New Roman" w:hAnsi="Times New Roman" w:cs="Times New Roman"/>
          <w:sz w:val="24"/>
          <w:szCs w:val="24"/>
        </w:rPr>
        <w:t>, within shouting distance for much of that time,</w:t>
      </w:r>
      <w:r>
        <w:rPr>
          <w:rFonts w:ascii="Times New Roman" w:hAnsi="Times New Roman" w:cs="Times New Roman"/>
          <w:sz w:val="24"/>
          <w:szCs w:val="24"/>
        </w:rPr>
        <w:t xml:space="preserve"> but twice in his literary masterpiece.</w:t>
      </w:r>
      <w:r>
        <w:rPr>
          <w:rStyle w:val="FootnoteReference"/>
          <w:rFonts w:ascii="Times New Roman" w:hAnsi="Times New Roman" w:cs="Times New Roman"/>
          <w:sz w:val="24"/>
          <w:szCs w:val="24"/>
        </w:rPr>
        <w:footnoteReference w:id="1554"/>
      </w:r>
      <w:r>
        <w:rPr>
          <w:rFonts w:ascii="Times New Roman" w:hAnsi="Times New Roman" w:cs="Times New Roman"/>
          <w:sz w:val="24"/>
          <w:szCs w:val="24"/>
        </w:rPr>
        <w:t xml:space="preserve"> It is only recently that historians have dedicated more attention to him in their narratives, but even at that he is still seen as ancillary to the main narrative they present.</w:t>
      </w:r>
      <w:r>
        <w:rPr>
          <w:rStyle w:val="FootnoteReference"/>
          <w:rFonts w:ascii="Times New Roman" w:hAnsi="Times New Roman" w:cs="Times New Roman"/>
          <w:sz w:val="24"/>
          <w:szCs w:val="24"/>
        </w:rPr>
        <w:footnoteReference w:id="1555"/>
      </w:r>
      <w:r>
        <w:rPr>
          <w:rFonts w:ascii="Times New Roman" w:hAnsi="Times New Roman" w:cs="Times New Roman"/>
          <w:sz w:val="24"/>
          <w:szCs w:val="24"/>
        </w:rPr>
        <w:t xml:space="preserve"> Researchers interested in investigating Babcock in further detail are hindered by the dearth of information in his personal papers, caused not by any decisions made by archivists but instead by the lack of a paper trail left behind by this criminal mastermind so he could evade investigation.</w:t>
      </w:r>
      <w:r>
        <w:rPr>
          <w:rStyle w:val="FootnoteReference"/>
          <w:rFonts w:ascii="Times New Roman" w:hAnsi="Times New Roman" w:cs="Times New Roman"/>
          <w:sz w:val="24"/>
          <w:szCs w:val="24"/>
        </w:rPr>
        <w:footnoteReference w:id="1556"/>
      </w:r>
      <w:r>
        <w:rPr>
          <w:rFonts w:ascii="Times New Roman" w:hAnsi="Times New Roman" w:cs="Times New Roman"/>
          <w:sz w:val="24"/>
          <w:szCs w:val="24"/>
        </w:rPr>
        <w:t xml:space="preserve"> His omission from the record appears to be purposeful on two different accounts: as a self-induced effort to cover his tracks and prevent unveiling of his enterprises, and a concerted desire by those once close to him to erase his actions out of embarrassment.</w:t>
      </w:r>
    </w:p>
    <w:p w14:paraId="223AB387" w14:textId="739E8F7B" w:rsidR="00360BFB" w:rsidRDefault="00360BFB" w:rsidP="00360BF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Even the physical representation of Babcock’s legacy suffered in the wake of his poor choices, particularly through the project named after him: the fish hatcheries in Babcock Lakes. In 1884, as construction of the Washington Monument neared its completion, the engineer in charge of the project, Colonel Thomas Lincoln Casey, explained that though the lakes did not necessarily threaten the stability of the monument, there was a suspicion of the monument settling because of the hatcheries nearby.</w:t>
      </w:r>
      <w:r>
        <w:rPr>
          <w:rStyle w:val="FootnoteReference"/>
          <w:rFonts w:ascii="Times New Roman" w:hAnsi="Times New Roman" w:cs="Times New Roman"/>
          <w:sz w:val="24"/>
          <w:szCs w:val="24"/>
        </w:rPr>
        <w:footnoteReference w:id="1557"/>
      </w:r>
      <w:r>
        <w:rPr>
          <w:rFonts w:ascii="Times New Roman" w:hAnsi="Times New Roman" w:cs="Times New Roman"/>
          <w:sz w:val="24"/>
          <w:szCs w:val="24"/>
        </w:rPr>
        <w:t xml:space="preserve">  Because of this, Colonel Casey offered that it was better to be safe than sorry and that the ponds “should be done away with for precautionary reasons.”</w:t>
      </w:r>
      <w:r>
        <w:rPr>
          <w:rStyle w:val="FootnoteReference"/>
          <w:rFonts w:ascii="Times New Roman" w:hAnsi="Times New Roman" w:cs="Times New Roman"/>
          <w:sz w:val="24"/>
          <w:szCs w:val="24"/>
        </w:rPr>
        <w:footnoteReference w:id="1558"/>
      </w:r>
      <w:r>
        <w:rPr>
          <w:rFonts w:ascii="Times New Roman" w:hAnsi="Times New Roman" w:cs="Times New Roman"/>
          <w:sz w:val="24"/>
          <w:szCs w:val="24"/>
        </w:rPr>
        <w:t xml:space="preserve"> The Senate approved their closure in 1887, and the plots were filled in with the fish relocated to other ponds nearby the following year. Once this project was completed, in spite of all the public works projects he completed in the capital, Babcock’s legacy in the nation’s capital was left without a physical manifestation</w:t>
      </w:r>
      <w:r w:rsidR="009A3A3C">
        <w:rPr>
          <w:rFonts w:ascii="Times New Roman" w:hAnsi="Times New Roman" w:cs="Times New Roman"/>
          <w:sz w:val="24"/>
          <w:szCs w:val="24"/>
        </w:rPr>
        <w:t>, an apt metaphor for his service and life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559"/>
      </w:r>
    </w:p>
    <w:p w14:paraId="41061776" w14:textId="41E228AB" w:rsidR="00360BFB" w:rsidRPr="00CB6035"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Babcock’s omission from the main historical narrative of Reconstruction is a significant problem. Babcock was extremely important in shaping the landscape of the United States during the Civil War and Reconstruction, both figuratively and literally. He reshaped the physical, political, and social realms of the capital during his tenure in Washington.</w:t>
      </w:r>
      <w:r w:rsidR="00164818">
        <w:rPr>
          <w:rFonts w:ascii="Times New Roman" w:hAnsi="Times New Roman" w:cs="Times New Roman"/>
          <w:sz w:val="24"/>
          <w:szCs w:val="24"/>
        </w:rPr>
        <w:t xml:space="preserve"> He shaped terrain in the American South during the Civil War, he recommended changes to the terrain in the American West in the war’s immediate aftermath, and he constructed structures off the coast of the American Southeast after </w:t>
      </w:r>
      <w:r w:rsidR="002C091F">
        <w:rPr>
          <w:rFonts w:ascii="Times New Roman" w:hAnsi="Times New Roman" w:cs="Times New Roman"/>
          <w:sz w:val="24"/>
          <w:szCs w:val="24"/>
        </w:rPr>
        <w:t>the end of his</w:t>
      </w:r>
      <w:r w:rsidR="00164818">
        <w:rPr>
          <w:rFonts w:ascii="Times New Roman" w:hAnsi="Times New Roman" w:cs="Times New Roman"/>
          <w:sz w:val="24"/>
          <w:szCs w:val="24"/>
        </w:rPr>
        <w:t xml:space="preserve"> political career</w:t>
      </w:r>
      <w:r w:rsidR="002C091F">
        <w:rPr>
          <w:rFonts w:ascii="Times New Roman" w:hAnsi="Times New Roman" w:cs="Times New Roman"/>
          <w:sz w:val="24"/>
          <w:szCs w:val="24"/>
        </w:rPr>
        <w:t>,</w:t>
      </w:r>
      <w:r w:rsidR="00164818">
        <w:rPr>
          <w:rFonts w:ascii="Times New Roman" w:hAnsi="Times New Roman" w:cs="Times New Roman"/>
          <w:sz w:val="24"/>
          <w:szCs w:val="24"/>
        </w:rPr>
        <w:t xml:space="preserve"> all the benefit of his training in the Army Corps of Engineers.</w:t>
      </w:r>
      <w:r>
        <w:rPr>
          <w:rFonts w:ascii="Times New Roman" w:hAnsi="Times New Roman" w:cs="Times New Roman"/>
          <w:sz w:val="24"/>
          <w:szCs w:val="24"/>
        </w:rPr>
        <w:t xml:space="preserve"> He made efforts to add new territory to the Union while providing reports and recommendations for improvements to locations his patron, Ulysses S. Grant, was </w:t>
      </w:r>
      <w:r>
        <w:rPr>
          <w:rFonts w:ascii="Times New Roman" w:hAnsi="Times New Roman" w:cs="Times New Roman"/>
          <w:sz w:val="24"/>
          <w:szCs w:val="24"/>
        </w:rPr>
        <w:lastRenderedPageBreak/>
        <w:t>unable to visit in person. He made connections with individuals who held similar desires, both publicly and privately, and used these connections to develop local and national rings to control political and economic factors for his and their desires. Babcock’s life was far too impactful to be so largely forgotten in the historical record. He certainly does not deserve to be emulated, but his example is something that warrants remembrance for the simple sake that we can learn from it and do better moving forward.</w:t>
      </w:r>
    </w:p>
    <w:p w14:paraId="21BEE668" w14:textId="1B5D2F90" w:rsidR="00360BFB"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tab/>
        <w:t>Babcock’s exclusion from the historical record represents another significant problem in that he is the prototype of the pragmatico archetype that emerged during the Civil War Era. To restate the definition of this new term from earlier, a pragmatic</w:t>
      </w:r>
      <w:r w:rsidR="00C01A7A">
        <w:rPr>
          <w:rFonts w:ascii="Times New Roman" w:hAnsi="Times New Roman" w:cs="Times New Roman"/>
          <w:sz w:val="24"/>
          <w:szCs w:val="24"/>
        </w:rPr>
        <w:t>o</w:t>
      </w:r>
      <w:r>
        <w:rPr>
          <w:rFonts w:ascii="Times New Roman" w:hAnsi="Times New Roman" w:cs="Times New Roman"/>
          <w:sz w:val="24"/>
          <w:szCs w:val="24"/>
        </w:rPr>
        <w:t xml:space="preserve"> is a political operative during the Civil War era who sought to maintain a role in civil service after their time in the military by earning an appointment to a political post and who attempted to use this appointment for both public and private gain. Babcock fits this role to a “t,” as he served in the military under General Grant, maintained his role in the civil service during the Grant Administration, and utilized his role in the civil service to try to improve life for the people of the United States, for his patron and friend Ulysses S. Grant, and for himself and his family. Yet Babcock was one of many of this ilk who emerged in this new world order. He was one of many he came into contact with as a part of his rise and fall in politics, and one of many in the narrative presented here. Men like Alexander Robey Shepherd, Raymond Perry, Hiram Whitley, Benjamin Bristow, John McDonald, John Joyce, and more are recognizable as pragmaticos </w:t>
      </w:r>
      <w:r w:rsidR="00D45CB0">
        <w:rPr>
          <w:rFonts w:ascii="Times New Roman" w:hAnsi="Times New Roman" w:cs="Times New Roman"/>
          <w:sz w:val="24"/>
          <w:szCs w:val="24"/>
        </w:rPr>
        <w:t xml:space="preserve">with whom </w:t>
      </w:r>
      <w:r>
        <w:rPr>
          <w:rFonts w:ascii="Times New Roman" w:hAnsi="Times New Roman" w:cs="Times New Roman"/>
          <w:sz w:val="24"/>
          <w:szCs w:val="24"/>
        </w:rPr>
        <w:t>Babcock came into contact</w:t>
      </w:r>
      <w:r w:rsidR="00D45CB0">
        <w:rPr>
          <w:rFonts w:ascii="Times New Roman" w:hAnsi="Times New Roman" w:cs="Times New Roman"/>
          <w:sz w:val="24"/>
          <w:szCs w:val="24"/>
        </w:rPr>
        <w:t xml:space="preserve"> </w:t>
      </w:r>
      <w:r>
        <w:rPr>
          <w:rFonts w:ascii="Times New Roman" w:hAnsi="Times New Roman" w:cs="Times New Roman"/>
          <w:sz w:val="24"/>
          <w:szCs w:val="24"/>
        </w:rPr>
        <w:t xml:space="preserve">during his political career, whether through appropriate or inappropriate actions. Their actions varied based on each individual case, but each of these public servants worked for their own benefit as well as the benefit of the masses. By losing Babcock in the historical record, we also lose the example his lifelong development provides as the </w:t>
      </w:r>
      <w:r w:rsidR="0050173B">
        <w:rPr>
          <w:rFonts w:ascii="Times New Roman" w:hAnsi="Times New Roman" w:cs="Times New Roman"/>
          <w:sz w:val="24"/>
          <w:szCs w:val="24"/>
        </w:rPr>
        <w:t>quintessential</w:t>
      </w:r>
      <w:r>
        <w:rPr>
          <w:rFonts w:ascii="Times New Roman" w:hAnsi="Times New Roman" w:cs="Times New Roman"/>
          <w:sz w:val="24"/>
          <w:szCs w:val="24"/>
        </w:rPr>
        <w:t xml:space="preserve"> pragmatico.</w:t>
      </w:r>
    </w:p>
    <w:p w14:paraId="4890D2B4" w14:textId="01CDF5E5" w:rsidR="003D23C7" w:rsidRDefault="00360BFB" w:rsidP="00360BF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General Orville Babcock’s story is one that is critical to how we understand the politics of post-Civil War America. By considering that Babcock was an exemplar of the new way in which politics were done in the United States, particularly those enacted by the increasing number of lower-level appointees involved in the daily tasks of governing, we can understand the ways in which the antebellum political system transitioned into the postbellum system and how the Civil War shaped that transition. In understanding Babcock’s life </w:t>
      </w:r>
      <w:r>
        <w:rPr>
          <w:rFonts w:ascii="Times New Roman" w:hAnsi="Times New Roman" w:cs="Times New Roman"/>
          <w:i/>
          <w:iCs/>
          <w:sz w:val="24"/>
          <w:szCs w:val="24"/>
        </w:rPr>
        <w:t>en toto</w:t>
      </w:r>
      <w:r>
        <w:rPr>
          <w:rFonts w:ascii="Times New Roman" w:hAnsi="Times New Roman" w:cs="Times New Roman"/>
          <w:sz w:val="24"/>
          <w:szCs w:val="24"/>
        </w:rPr>
        <w:t xml:space="preserve"> rather than piecemeal as he emerged as a participant in certain events, we can see that the pragmatico mindset was learned and developed over an extended period of time as well as something that was a result of opportunities presented in the moment. </w:t>
      </w:r>
      <w:r w:rsidR="009414E2">
        <w:rPr>
          <w:rFonts w:ascii="Times New Roman" w:hAnsi="Times New Roman" w:cs="Times New Roman"/>
          <w:sz w:val="24"/>
          <w:szCs w:val="24"/>
        </w:rPr>
        <w:t>While we should not accept pragmaticos’ actions as correct given modern or contemporary standards,</w:t>
      </w:r>
      <w:r>
        <w:rPr>
          <w:rFonts w:ascii="Times New Roman" w:hAnsi="Times New Roman" w:cs="Times New Roman"/>
          <w:sz w:val="24"/>
          <w:szCs w:val="24"/>
        </w:rPr>
        <w:t xml:space="preserve"> we do need to acknowledge that they held a significant role in this period’s developing political realm</w:t>
      </w:r>
      <w:r w:rsidR="009414E2">
        <w:rPr>
          <w:rFonts w:ascii="Times New Roman" w:hAnsi="Times New Roman" w:cs="Times New Roman"/>
          <w:sz w:val="24"/>
          <w:szCs w:val="24"/>
        </w:rPr>
        <w:t xml:space="preserve">. We should also recognize that, </w:t>
      </w:r>
      <w:r>
        <w:rPr>
          <w:rFonts w:ascii="Times New Roman" w:hAnsi="Times New Roman" w:cs="Times New Roman"/>
          <w:sz w:val="24"/>
          <w:szCs w:val="24"/>
        </w:rPr>
        <w:t xml:space="preserve">while Babcock was certainly one of many, he was a particularly noteworthy pragmatico through whom we can see an example of both spontaneous opportunity and developed strategies used by these </w:t>
      </w:r>
      <w:r w:rsidR="00B517AC">
        <w:rPr>
          <w:rFonts w:ascii="Times New Roman" w:hAnsi="Times New Roman" w:cs="Times New Roman"/>
          <w:sz w:val="24"/>
          <w:szCs w:val="24"/>
        </w:rPr>
        <w:t>political actors</w:t>
      </w:r>
      <w:r>
        <w:rPr>
          <w:rFonts w:ascii="Times New Roman" w:hAnsi="Times New Roman" w:cs="Times New Roman"/>
          <w:sz w:val="24"/>
          <w:szCs w:val="24"/>
        </w:rPr>
        <w:t>. It is through Babcock’s example that we can see the pragmatico emerge in the American political system as well as how the system responded as some went to work “handling distinguished scoundrels” while others profited from the new system.</w:t>
      </w:r>
      <w:r>
        <w:rPr>
          <w:rStyle w:val="FootnoteReference"/>
          <w:rFonts w:ascii="Times New Roman" w:hAnsi="Times New Roman" w:cs="Times New Roman"/>
          <w:sz w:val="24"/>
          <w:szCs w:val="24"/>
        </w:rPr>
        <w:footnoteReference w:id="1560"/>
      </w:r>
      <w:r>
        <w:rPr>
          <w:rFonts w:ascii="Times New Roman" w:hAnsi="Times New Roman" w:cs="Times New Roman"/>
          <w:sz w:val="24"/>
          <w:szCs w:val="24"/>
        </w:rPr>
        <w:t xml:space="preserve"> Babcock was not the first, nor was he the last, of this newly established political archetype, but he is perhaps our best example</w:t>
      </w:r>
      <w:r w:rsidR="009414E2">
        <w:rPr>
          <w:rFonts w:ascii="Times New Roman" w:hAnsi="Times New Roman" w:cs="Times New Roman"/>
          <w:sz w:val="24"/>
          <w:szCs w:val="24"/>
        </w:rPr>
        <w:t>. As</w:t>
      </w:r>
      <w:r>
        <w:rPr>
          <w:rFonts w:ascii="Times New Roman" w:hAnsi="Times New Roman" w:cs="Times New Roman"/>
          <w:sz w:val="24"/>
          <w:szCs w:val="24"/>
        </w:rPr>
        <w:t xml:space="preserve"> such, if we as historians deign to understand the Reconstruction Era as best we can, we must recognize Babcock’s role in shaping the political realm during his career.</w:t>
      </w:r>
    </w:p>
    <w:p w14:paraId="3C5DA3DB" w14:textId="76E07ECD" w:rsidR="00360BFB" w:rsidRDefault="00360BFB" w:rsidP="00360BFB">
      <w:pPr>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14:paraId="42A01A5A" w14:textId="3E4272F8" w:rsidR="00E14882" w:rsidRDefault="00E14882" w:rsidP="00360BFB">
      <w:pPr>
        <w:spacing w:line="276" w:lineRule="auto"/>
        <w:rPr>
          <w:rFonts w:ascii="Times New Roman" w:hAnsi="Times New Roman" w:cs="Times New Roman"/>
          <w:sz w:val="24"/>
          <w:szCs w:val="24"/>
        </w:rPr>
      </w:pPr>
    </w:p>
    <w:p w14:paraId="64D8D5E0" w14:textId="77777777" w:rsidR="00157C72" w:rsidRDefault="00157C72" w:rsidP="00360BFB">
      <w:pPr>
        <w:spacing w:line="276" w:lineRule="auto"/>
        <w:rPr>
          <w:rFonts w:ascii="Times New Roman" w:hAnsi="Times New Roman" w:cs="Times New Roman"/>
          <w:sz w:val="24"/>
          <w:szCs w:val="24"/>
        </w:rPr>
      </w:pPr>
    </w:p>
    <w:p w14:paraId="68C63151" w14:textId="0E70084F" w:rsidR="00A16069" w:rsidRPr="006E5DEE" w:rsidRDefault="000D0F90" w:rsidP="0074689B">
      <w:pPr>
        <w:spacing w:line="480" w:lineRule="auto"/>
        <w:jc w:val="center"/>
        <w:rPr>
          <w:rFonts w:ascii="Times New Roman" w:hAnsi="Times New Roman" w:cs="Times New Roman"/>
          <w:color w:val="000000" w:themeColor="text1"/>
          <w:sz w:val="24"/>
          <w:szCs w:val="24"/>
        </w:rPr>
      </w:pPr>
      <w:r w:rsidRPr="006E5DEE">
        <w:rPr>
          <w:rFonts w:ascii="Times New Roman" w:hAnsi="Times New Roman" w:cs="Times New Roman"/>
          <w:color w:val="000000" w:themeColor="text1"/>
          <w:sz w:val="24"/>
          <w:szCs w:val="24"/>
        </w:rPr>
        <w:lastRenderedPageBreak/>
        <w:t>Bibliography</w:t>
      </w:r>
    </w:p>
    <w:p w14:paraId="165EF0A2" w14:textId="77777777" w:rsidR="00A16069" w:rsidRPr="006E5DEE" w:rsidRDefault="00A16069" w:rsidP="0074689B">
      <w:pPr>
        <w:spacing w:before="100" w:beforeAutospacing="1" w:after="100" w:afterAutospacing="1" w:line="480" w:lineRule="auto"/>
        <w:rPr>
          <w:rFonts w:ascii="Times New Roman" w:eastAsia="Times New Roman" w:hAnsi="Times New Roman" w:cs="Times New Roman"/>
          <w:color w:val="000000" w:themeColor="text1"/>
          <w:sz w:val="24"/>
          <w:szCs w:val="24"/>
          <w:u w:val="single"/>
        </w:rPr>
      </w:pPr>
      <w:r w:rsidRPr="006E5DEE">
        <w:rPr>
          <w:rFonts w:ascii="Times New Roman" w:eastAsia="Times New Roman" w:hAnsi="Times New Roman" w:cs="Times New Roman"/>
          <w:color w:val="000000" w:themeColor="text1"/>
          <w:sz w:val="24"/>
          <w:szCs w:val="24"/>
          <w:u w:val="single"/>
        </w:rPr>
        <w:t>Secondary Sources: Books</w:t>
      </w:r>
    </w:p>
    <w:p w14:paraId="32840094" w14:textId="00C1CD1A"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Abbott, Carl. </w:t>
      </w:r>
      <w:r w:rsidRPr="006E5DEE">
        <w:rPr>
          <w:rFonts w:ascii="Times New Roman" w:hAnsi="Times New Roman" w:cs="Times New Roman"/>
          <w:i/>
          <w:iCs/>
          <w:color w:val="000000" w:themeColor="text1"/>
          <w:sz w:val="24"/>
        </w:rPr>
        <w:t>Political Terrain: Washington DC, from Tidewater Town to Global Metropolis</w:t>
      </w:r>
      <w:r w:rsidRPr="006E5DEE">
        <w:rPr>
          <w:rFonts w:ascii="Times New Roman" w:hAnsi="Times New Roman" w:cs="Times New Roman"/>
          <w:color w:val="000000" w:themeColor="text1"/>
          <w:sz w:val="24"/>
        </w:rPr>
        <w:t>. Chapel Hill: The University of North Carolina Press, 1999.</w:t>
      </w:r>
    </w:p>
    <w:p w14:paraId="47971677" w14:textId="25E5FFF1"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Ackerman, Kenneth D. </w:t>
      </w:r>
      <w:r w:rsidRPr="006E5DEE">
        <w:rPr>
          <w:rFonts w:ascii="Times New Roman" w:hAnsi="Times New Roman" w:cs="Times New Roman"/>
          <w:i/>
          <w:iCs/>
          <w:color w:val="000000" w:themeColor="text1"/>
          <w:sz w:val="24"/>
        </w:rPr>
        <w:t>Boss Tweed: The Rise and Fall of the Corrupt Pol Who Conceived the Soul of Modern New York</w:t>
      </w:r>
      <w:r w:rsidRPr="006E5DEE">
        <w:rPr>
          <w:rFonts w:ascii="Times New Roman" w:hAnsi="Times New Roman" w:cs="Times New Roman"/>
          <w:color w:val="000000" w:themeColor="text1"/>
          <w:sz w:val="24"/>
        </w:rPr>
        <w:t>. Boston: Da Capo Press, 2005.</w:t>
      </w:r>
    </w:p>
    <w:p w14:paraId="2B83BA71" w14:textId="03987B73"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Ackerman, Kenneth D. </w:t>
      </w:r>
      <w:r w:rsidRPr="006E5DEE">
        <w:rPr>
          <w:rFonts w:ascii="Times New Roman" w:hAnsi="Times New Roman" w:cs="Times New Roman"/>
          <w:i/>
          <w:iCs/>
          <w:color w:val="000000" w:themeColor="text1"/>
          <w:sz w:val="24"/>
        </w:rPr>
        <w:t>The Gold Ring: Jim Fisk Jay Gould, and Black Friday, 1869.</w:t>
      </w:r>
      <w:r w:rsidRPr="006E5DEE">
        <w:rPr>
          <w:rFonts w:ascii="Times New Roman" w:hAnsi="Times New Roman" w:cs="Times New Roman"/>
          <w:color w:val="000000" w:themeColor="text1"/>
          <w:sz w:val="24"/>
        </w:rPr>
        <w:t xml:space="preserve"> New York: Harper and Row, 2004.</w:t>
      </w:r>
    </w:p>
    <w:p w14:paraId="0D36DF21" w14:textId="0BC4A0EB"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Allen, Oliver E. </w:t>
      </w:r>
      <w:r w:rsidRPr="006E5DEE">
        <w:rPr>
          <w:rFonts w:ascii="Times New Roman" w:hAnsi="Times New Roman" w:cs="Times New Roman"/>
          <w:i/>
          <w:iCs/>
          <w:color w:val="000000" w:themeColor="text1"/>
          <w:sz w:val="24"/>
        </w:rPr>
        <w:t>The Tiger: The Rise and Fall of Tammany Hall</w:t>
      </w:r>
      <w:r w:rsidRPr="006E5DEE">
        <w:rPr>
          <w:rFonts w:ascii="Times New Roman" w:hAnsi="Times New Roman" w:cs="Times New Roman"/>
          <w:color w:val="000000" w:themeColor="text1"/>
          <w:sz w:val="24"/>
        </w:rPr>
        <w:t>. Boston: Da Copo Press, 1993.</w:t>
      </w:r>
    </w:p>
    <w:p w14:paraId="54F1158E" w14:textId="115E00B2"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Allgor, Catherine. </w:t>
      </w:r>
      <w:r w:rsidRPr="006E5DEE">
        <w:rPr>
          <w:rFonts w:ascii="Times New Roman" w:hAnsi="Times New Roman" w:cs="Times New Roman"/>
          <w:i/>
          <w:iCs/>
          <w:color w:val="000000" w:themeColor="text1"/>
          <w:sz w:val="24"/>
        </w:rPr>
        <w:t>Parlor Politics: In Which the Ladies of Washington Help Build a City and Government</w:t>
      </w:r>
      <w:r w:rsidRPr="006E5DEE">
        <w:rPr>
          <w:rFonts w:ascii="Times New Roman" w:hAnsi="Times New Roman" w:cs="Times New Roman"/>
          <w:color w:val="000000" w:themeColor="text1"/>
          <w:sz w:val="24"/>
        </w:rPr>
        <w:t>. Charlottesville: University of Virginia Press, 2000.</w:t>
      </w:r>
    </w:p>
    <w:p w14:paraId="0074D00D" w14:textId="5E4D7A07"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Altschuler, Glenn C. and Stuart M. Blumin. </w:t>
      </w:r>
      <w:r w:rsidRPr="006E5DEE">
        <w:rPr>
          <w:rFonts w:ascii="Times New Roman" w:hAnsi="Times New Roman" w:cs="Times New Roman"/>
          <w:i/>
          <w:iCs/>
          <w:color w:val="000000" w:themeColor="text1"/>
          <w:sz w:val="24"/>
        </w:rPr>
        <w:t>Rude Republic: Americans and their Politics in the Nineteenth Century</w:t>
      </w:r>
      <w:r w:rsidRPr="006E5DEE">
        <w:rPr>
          <w:rFonts w:ascii="Times New Roman" w:hAnsi="Times New Roman" w:cs="Times New Roman"/>
          <w:color w:val="000000" w:themeColor="text1"/>
          <w:sz w:val="24"/>
        </w:rPr>
        <w:t>. Princeton: Princeton University Press, 2000.</w:t>
      </w:r>
    </w:p>
    <w:p w14:paraId="6543B4D8" w14:textId="5D4F3A11"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Ambrosius, Lloyd E., ed. </w:t>
      </w:r>
      <w:r w:rsidRPr="006E5DEE">
        <w:rPr>
          <w:rFonts w:ascii="Times New Roman" w:hAnsi="Times New Roman" w:cs="Times New Roman"/>
          <w:i/>
          <w:iCs/>
          <w:color w:val="000000" w:themeColor="text1"/>
          <w:sz w:val="24"/>
        </w:rPr>
        <w:t>A Crisis of Republicanism: American Politics in the Civil War Era</w:t>
      </w:r>
      <w:r w:rsidRPr="006E5DEE">
        <w:rPr>
          <w:rFonts w:ascii="Times New Roman" w:hAnsi="Times New Roman" w:cs="Times New Roman"/>
          <w:color w:val="000000" w:themeColor="text1"/>
          <w:sz w:val="24"/>
        </w:rPr>
        <w:t>. Lincoln: University of Nebraska Press, 1990.</w:t>
      </w:r>
    </w:p>
    <w:p w14:paraId="7FA0CDB1" w14:textId="43738654"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Asch, Chris Myers and George Derek Musgrove, </w:t>
      </w:r>
      <w:r w:rsidRPr="006E5DEE">
        <w:rPr>
          <w:rFonts w:ascii="Times New Roman" w:hAnsi="Times New Roman" w:cs="Times New Roman"/>
          <w:i/>
          <w:iCs/>
          <w:color w:val="000000" w:themeColor="text1"/>
          <w:sz w:val="24"/>
        </w:rPr>
        <w:t>Chocolate City: A History of Race and Democracy in the Nation’s Capital</w:t>
      </w:r>
      <w:r w:rsidRPr="006E5DEE">
        <w:rPr>
          <w:rFonts w:ascii="Times New Roman" w:hAnsi="Times New Roman" w:cs="Times New Roman"/>
          <w:color w:val="000000" w:themeColor="text1"/>
          <w:sz w:val="24"/>
        </w:rPr>
        <w:t>. Chapel Hill: UNC Press, 2017.</w:t>
      </w:r>
    </w:p>
    <w:p w14:paraId="3330E9AF" w14:textId="41F50A6D"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Ayers, Edward L. </w:t>
      </w:r>
      <w:r w:rsidRPr="006E5DEE">
        <w:rPr>
          <w:rFonts w:ascii="Times New Roman" w:hAnsi="Times New Roman" w:cs="Times New Roman"/>
          <w:i/>
          <w:iCs/>
          <w:color w:val="000000" w:themeColor="text1"/>
          <w:sz w:val="24"/>
        </w:rPr>
        <w:t>The Promise of the New South: Life after Reconstruction</w:t>
      </w:r>
      <w:r w:rsidRPr="006E5DEE">
        <w:rPr>
          <w:rFonts w:ascii="Times New Roman" w:hAnsi="Times New Roman" w:cs="Times New Roman"/>
          <w:color w:val="000000" w:themeColor="text1"/>
          <w:sz w:val="24"/>
        </w:rPr>
        <w:t>. 15</w:t>
      </w:r>
      <w:r w:rsidRPr="006E5DEE">
        <w:rPr>
          <w:rFonts w:ascii="Times New Roman" w:hAnsi="Times New Roman" w:cs="Times New Roman"/>
          <w:color w:val="000000" w:themeColor="text1"/>
          <w:sz w:val="24"/>
          <w:vertAlign w:val="superscript"/>
        </w:rPr>
        <w:t>th</w:t>
      </w:r>
      <w:r w:rsidRPr="006E5DEE">
        <w:rPr>
          <w:rFonts w:ascii="Times New Roman" w:hAnsi="Times New Roman" w:cs="Times New Roman"/>
          <w:color w:val="000000" w:themeColor="text1"/>
          <w:sz w:val="24"/>
        </w:rPr>
        <w:t xml:space="preserve"> Anniversary Edition. New York: Oxford University Press, 2007.</w:t>
      </w:r>
    </w:p>
    <w:p w14:paraId="6875B8B9" w14:textId="709DBD21"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Babcock, Stephen. </w:t>
      </w:r>
      <w:r w:rsidRPr="006E5DEE">
        <w:rPr>
          <w:rFonts w:ascii="Times New Roman" w:hAnsi="Times New Roman" w:cs="Times New Roman"/>
          <w:i/>
          <w:iCs/>
          <w:color w:val="000000" w:themeColor="text1"/>
          <w:sz w:val="24"/>
        </w:rPr>
        <w:t>Isaiah Babcock, Sr., and his descendants</w:t>
      </w:r>
      <w:r w:rsidRPr="006E5DEE">
        <w:rPr>
          <w:rFonts w:ascii="Times New Roman" w:hAnsi="Times New Roman" w:cs="Times New Roman"/>
          <w:color w:val="000000" w:themeColor="text1"/>
          <w:sz w:val="24"/>
        </w:rPr>
        <w:t>. New York: Eaton &amp; Mains, 1903.</w:t>
      </w:r>
    </w:p>
    <w:p w14:paraId="4DF77D9F" w14:textId="7681B124" w:rsidR="00A16069"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Baggett, James Alex. </w:t>
      </w:r>
      <w:r w:rsidRPr="006E5DEE">
        <w:rPr>
          <w:rFonts w:ascii="Times New Roman" w:hAnsi="Times New Roman" w:cs="Times New Roman"/>
          <w:i/>
          <w:iCs/>
          <w:color w:val="000000" w:themeColor="text1"/>
          <w:sz w:val="24"/>
        </w:rPr>
        <w:t>The Scalawags: Southern Dissenters in the Civil War and Reconstruction</w:t>
      </w:r>
      <w:r w:rsidRPr="006E5DEE">
        <w:rPr>
          <w:rFonts w:ascii="Times New Roman" w:hAnsi="Times New Roman" w:cs="Times New Roman"/>
          <w:color w:val="000000" w:themeColor="text1"/>
          <w:sz w:val="24"/>
        </w:rPr>
        <w:t>. Baton Rouge: Louisiana State University Press, 2003.</w:t>
      </w:r>
    </w:p>
    <w:p w14:paraId="2D7A7D6B" w14:textId="6E6D8A67"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Baier, Bret with Catherine Whitney. </w:t>
      </w:r>
      <w:r w:rsidRPr="006E5DEE">
        <w:rPr>
          <w:rFonts w:ascii="Times New Roman" w:hAnsi="Times New Roman" w:cs="Times New Roman"/>
          <w:i/>
          <w:iCs/>
          <w:color w:val="000000" w:themeColor="text1"/>
          <w:sz w:val="24"/>
        </w:rPr>
        <w:t>To Rescue the Republic: Ulysses S. Grant, The Fragile Union, and the Crisis of 1876</w:t>
      </w:r>
      <w:r w:rsidRPr="006E5DEE">
        <w:rPr>
          <w:rFonts w:ascii="Times New Roman" w:hAnsi="Times New Roman" w:cs="Times New Roman"/>
          <w:color w:val="000000" w:themeColor="text1"/>
          <w:sz w:val="24"/>
        </w:rPr>
        <w:t>. New York: Harper Collins, 2021.</w:t>
      </w:r>
    </w:p>
    <w:p w14:paraId="20F2C178" w14:textId="7B639583"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Bailyn, Bernard. </w:t>
      </w:r>
      <w:r w:rsidRPr="006E5DEE">
        <w:rPr>
          <w:rFonts w:ascii="Times New Roman" w:hAnsi="Times New Roman" w:cs="Times New Roman"/>
          <w:i/>
          <w:iCs/>
          <w:color w:val="000000" w:themeColor="text1"/>
          <w:sz w:val="24"/>
        </w:rPr>
        <w:t>The Ideological Origins of the American Revolution</w:t>
      </w:r>
      <w:r w:rsidRPr="006E5DEE">
        <w:rPr>
          <w:rFonts w:ascii="Times New Roman" w:hAnsi="Times New Roman" w:cs="Times New Roman"/>
          <w:color w:val="000000" w:themeColor="text1"/>
          <w:sz w:val="24"/>
        </w:rPr>
        <w:t>. Fiftieth Anniversary Edition. Cambridge, MA: Belknap Press, 2017 (originally 1967).</w:t>
      </w:r>
    </w:p>
    <w:p w14:paraId="1BC9833F" w14:textId="366BCBC9"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Baldwin, Leland D. </w:t>
      </w:r>
      <w:r w:rsidRPr="006E5DEE">
        <w:rPr>
          <w:rFonts w:ascii="Times New Roman" w:hAnsi="Times New Roman" w:cs="Times New Roman"/>
          <w:i/>
          <w:iCs/>
          <w:color w:val="000000" w:themeColor="text1"/>
          <w:sz w:val="24"/>
        </w:rPr>
        <w:t>Whiskey Rebels: The Story of a Frontier Uprising</w:t>
      </w:r>
      <w:r w:rsidRPr="006E5DEE">
        <w:rPr>
          <w:rFonts w:ascii="Times New Roman" w:hAnsi="Times New Roman" w:cs="Times New Roman"/>
          <w:color w:val="000000" w:themeColor="text1"/>
          <w:sz w:val="24"/>
        </w:rPr>
        <w:t>. Pittsburgh: University of Pittsburgh Press, 1939.</w:t>
      </w:r>
    </w:p>
    <w:p w14:paraId="2F36A517" w14:textId="1BF4DCDB" w:rsidR="00A16069"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Barreyre, Nicolas. </w:t>
      </w:r>
      <w:r w:rsidRPr="006E5DEE">
        <w:rPr>
          <w:rFonts w:ascii="Times New Roman" w:hAnsi="Times New Roman" w:cs="Times New Roman"/>
          <w:i/>
          <w:iCs/>
          <w:color w:val="000000" w:themeColor="text1"/>
          <w:sz w:val="24"/>
        </w:rPr>
        <w:t>Gold and Freedom: The Political Economy of Reconstruction</w:t>
      </w:r>
      <w:r w:rsidRPr="006E5DEE">
        <w:rPr>
          <w:rFonts w:ascii="Times New Roman" w:hAnsi="Times New Roman" w:cs="Times New Roman"/>
          <w:color w:val="000000" w:themeColor="text1"/>
          <w:sz w:val="24"/>
        </w:rPr>
        <w:t>. Charlottesville: University of Virginia Press, 2015.</w:t>
      </w:r>
    </w:p>
    <w:p w14:paraId="2490A4B7" w14:textId="6075A7F9"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Bauer, K. Jack. </w:t>
      </w:r>
      <w:r w:rsidRPr="006E5DEE">
        <w:rPr>
          <w:rFonts w:ascii="Times New Roman" w:hAnsi="Times New Roman" w:cs="Times New Roman"/>
          <w:i/>
          <w:iCs/>
          <w:color w:val="000000" w:themeColor="text1"/>
          <w:sz w:val="24"/>
        </w:rPr>
        <w:t>Zachary Taylor: Soldier, Planter, Statesman of the Old Southwest</w:t>
      </w:r>
      <w:r w:rsidRPr="006E5DEE">
        <w:rPr>
          <w:rFonts w:ascii="Times New Roman" w:hAnsi="Times New Roman" w:cs="Times New Roman"/>
          <w:color w:val="000000" w:themeColor="text1"/>
          <w:sz w:val="24"/>
        </w:rPr>
        <w:t>. Baton Rouge: Louisiana State University Press, 1985.</w:t>
      </w:r>
    </w:p>
    <w:p w14:paraId="48BB8766" w14:textId="1CB9E003"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Baum, Dale. </w:t>
      </w:r>
      <w:r w:rsidRPr="006E5DEE">
        <w:rPr>
          <w:rFonts w:ascii="Times New Roman" w:hAnsi="Times New Roman" w:cs="Times New Roman"/>
          <w:i/>
          <w:iCs/>
          <w:color w:val="000000" w:themeColor="text1"/>
          <w:sz w:val="24"/>
        </w:rPr>
        <w:t>The Civil War Party System: The Case of Massachusetts, 1848-1876</w:t>
      </w:r>
      <w:r w:rsidRPr="006E5DEE">
        <w:rPr>
          <w:rFonts w:ascii="Times New Roman" w:hAnsi="Times New Roman" w:cs="Times New Roman"/>
          <w:color w:val="000000" w:themeColor="text1"/>
          <w:sz w:val="24"/>
        </w:rPr>
        <w:t>. Chapel Hill, NC: University of North Carolina Press, 1984.</w:t>
      </w:r>
    </w:p>
    <w:p w14:paraId="6902345C" w14:textId="21D3A3CA"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Beale, Howard K. </w:t>
      </w:r>
      <w:r w:rsidRPr="006E5DEE">
        <w:rPr>
          <w:rFonts w:ascii="Times New Roman" w:hAnsi="Times New Roman" w:cs="Times New Roman"/>
          <w:i/>
          <w:iCs/>
          <w:color w:val="000000" w:themeColor="text1"/>
          <w:sz w:val="24"/>
        </w:rPr>
        <w:t>The Critical Year: A Study of Andrew Johnson and Reconstruction</w:t>
      </w:r>
      <w:r w:rsidRPr="006E5DEE">
        <w:rPr>
          <w:rFonts w:ascii="Times New Roman" w:hAnsi="Times New Roman" w:cs="Times New Roman"/>
          <w:color w:val="000000" w:themeColor="text1"/>
          <w:sz w:val="24"/>
        </w:rPr>
        <w:t xml:space="preserve"> New York: Harcourt, Brace and Co., 1930.</w:t>
      </w:r>
    </w:p>
    <w:p w14:paraId="4B7034D5" w14:textId="4F3F47E9"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Beeman, Richard R. </w:t>
      </w:r>
      <w:r w:rsidRPr="006E5DEE">
        <w:rPr>
          <w:rFonts w:ascii="Times New Roman" w:hAnsi="Times New Roman" w:cs="Times New Roman"/>
          <w:i/>
          <w:iCs/>
          <w:color w:val="000000" w:themeColor="text1"/>
          <w:sz w:val="24"/>
        </w:rPr>
        <w:t>Plain, Honest Men: The Making of the American Constitution</w:t>
      </w:r>
      <w:r w:rsidRPr="006E5DEE">
        <w:rPr>
          <w:rFonts w:ascii="Times New Roman" w:hAnsi="Times New Roman" w:cs="Times New Roman"/>
          <w:color w:val="000000" w:themeColor="text1"/>
          <w:sz w:val="24"/>
        </w:rPr>
        <w:t>. New York: Random House, 2009.</w:t>
      </w:r>
    </w:p>
    <w:p w14:paraId="7ED9C694" w14:textId="49B69314"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Benedict, Michael Les. </w:t>
      </w:r>
      <w:r w:rsidRPr="006E5DEE">
        <w:rPr>
          <w:rFonts w:ascii="Times New Roman" w:hAnsi="Times New Roman" w:cs="Times New Roman"/>
          <w:i/>
          <w:iCs/>
          <w:color w:val="000000" w:themeColor="text1"/>
          <w:sz w:val="24"/>
        </w:rPr>
        <w:t>A Compromise of Principle: Congressional Republicans and Reconstruction, 1863-1869.</w:t>
      </w:r>
      <w:r w:rsidRPr="006E5DEE">
        <w:rPr>
          <w:rFonts w:ascii="Times New Roman" w:hAnsi="Times New Roman" w:cs="Times New Roman"/>
          <w:color w:val="000000" w:themeColor="text1"/>
          <w:sz w:val="24"/>
        </w:rPr>
        <w:t xml:space="preserve"> New York: W.W. Norton, 1974.</w:t>
      </w:r>
    </w:p>
    <w:p w14:paraId="49E8C9CE" w14:textId="7C355382"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Benedict, Michael Les. </w:t>
      </w:r>
      <w:r w:rsidRPr="006E5DEE">
        <w:rPr>
          <w:rFonts w:ascii="Times New Roman" w:hAnsi="Times New Roman" w:cs="Times New Roman"/>
          <w:i/>
          <w:iCs/>
          <w:color w:val="000000" w:themeColor="text1"/>
          <w:sz w:val="24"/>
        </w:rPr>
        <w:t>The Fruits of Victory: Alternatives in Restoring the Union, 1865-1877</w:t>
      </w:r>
      <w:r w:rsidRPr="006E5DEE">
        <w:rPr>
          <w:rFonts w:ascii="Times New Roman" w:hAnsi="Times New Roman" w:cs="Times New Roman"/>
          <w:color w:val="000000" w:themeColor="text1"/>
          <w:sz w:val="24"/>
        </w:rPr>
        <w:t>. Lanham, MD: University Press of America, 1986.</w:t>
      </w:r>
    </w:p>
    <w:p w14:paraId="544C72F5" w14:textId="24D19BFD"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Bensel, Richard Franklin. </w:t>
      </w:r>
      <w:r w:rsidRPr="006E5DEE">
        <w:rPr>
          <w:rFonts w:ascii="Times New Roman" w:hAnsi="Times New Roman" w:cs="Times New Roman"/>
          <w:i/>
          <w:iCs/>
          <w:color w:val="000000" w:themeColor="text1"/>
          <w:sz w:val="24"/>
        </w:rPr>
        <w:t>Yankee Leviathan: The Origins of Central State Authority in America, 1859-1877.</w:t>
      </w:r>
      <w:r w:rsidRPr="006E5DEE">
        <w:rPr>
          <w:rFonts w:ascii="Times New Roman" w:hAnsi="Times New Roman" w:cs="Times New Roman"/>
          <w:color w:val="000000" w:themeColor="text1"/>
          <w:sz w:val="24"/>
        </w:rPr>
        <w:t xml:space="preserve"> New York: Cambridge University Press, 1990.</w:t>
      </w:r>
    </w:p>
    <w:p w14:paraId="0536FF3A" w14:textId="1859F2D5"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Benson, George C.S. </w:t>
      </w:r>
      <w:r w:rsidRPr="006E5DEE">
        <w:rPr>
          <w:rFonts w:ascii="Times New Roman" w:hAnsi="Times New Roman" w:cs="Times New Roman"/>
          <w:i/>
          <w:iCs/>
          <w:color w:val="000000" w:themeColor="text1"/>
          <w:sz w:val="24"/>
        </w:rPr>
        <w:t xml:space="preserve">Political Corruption in America. </w:t>
      </w:r>
      <w:r w:rsidRPr="006E5DEE">
        <w:rPr>
          <w:rFonts w:ascii="Times New Roman" w:hAnsi="Times New Roman" w:cs="Times New Roman"/>
          <w:color w:val="000000" w:themeColor="text1"/>
          <w:sz w:val="24"/>
        </w:rPr>
        <w:t>Lexington, MA: Lexington Books, 1978.</w:t>
      </w:r>
    </w:p>
    <w:p w14:paraId="110B24BA" w14:textId="4DC59884"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Benson, Lee. </w:t>
      </w:r>
      <w:r w:rsidRPr="006E5DEE">
        <w:rPr>
          <w:rFonts w:ascii="Times New Roman" w:hAnsi="Times New Roman" w:cs="Times New Roman"/>
          <w:i/>
          <w:iCs/>
          <w:color w:val="000000" w:themeColor="text1"/>
          <w:sz w:val="24"/>
        </w:rPr>
        <w:t>The Concept of Jacksonian Democracy: New York as a Test Case</w:t>
      </w:r>
      <w:r w:rsidRPr="006E5DEE">
        <w:rPr>
          <w:rFonts w:ascii="Times New Roman" w:hAnsi="Times New Roman" w:cs="Times New Roman"/>
          <w:color w:val="000000" w:themeColor="text1"/>
          <w:sz w:val="24"/>
        </w:rPr>
        <w:t>. Princeton, NJ: Princeton University Press, 1961.</w:t>
      </w:r>
    </w:p>
    <w:p w14:paraId="75A0CCA6" w14:textId="3078D034"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Benton-Short, Lisa. </w:t>
      </w:r>
      <w:r w:rsidRPr="006E5DEE">
        <w:rPr>
          <w:rFonts w:ascii="Times New Roman" w:hAnsi="Times New Roman" w:cs="Times New Roman"/>
          <w:i/>
          <w:iCs/>
          <w:color w:val="000000" w:themeColor="text1"/>
          <w:sz w:val="24"/>
        </w:rPr>
        <w:t>The National Mall: No Ordinary Public Space</w:t>
      </w:r>
      <w:r w:rsidRPr="006E5DEE">
        <w:rPr>
          <w:rFonts w:ascii="Times New Roman" w:hAnsi="Times New Roman" w:cs="Times New Roman"/>
          <w:color w:val="000000" w:themeColor="text1"/>
          <w:sz w:val="24"/>
        </w:rPr>
        <w:t>. Toronto: University of Toronto Press, 2016.</w:t>
      </w:r>
    </w:p>
    <w:p w14:paraId="5CFED8F9" w14:textId="25D822F9"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Berkin, Carol. </w:t>
      </w:r>
      <w:r w:rsidRPr="006E5DEE">
        <w:rPr>
          <w:rFonts w:ascii="Times New Roman" w:hAnsi="Times New Roman" w:cs="Times New Roman"/>
          <w:i/>
          <w:iCs/>
          <w:color w:val="000000" w:themeColor="text1"/>
          <w:sz w:val="24"/>
        </w:rPr>
        <w:t>A Brilliant Solution: Inventing the American Constitution</w:t>
      </w:r>
      <w:r w:rsidRPr="006E5DEE">
        <w:rPr>
          <w:rFonts w:ascii="Times New Roman" w:hAnsi="Times New Roman" w:cs="Times New Roman"/>
          <w:color w:val="000000" w:themeColor="text1"/>
          <w:sz w:val="24"/>
        </w:rPr>
        <w:t>. Orlando: Harcourt, 2002.</w:t>
      </w:r>
    </w:p>
    <w:p w14:paraId="41172408" w14:textId="6FC27A41"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Bernstein, Richard B. </w:t>
      </w:r>
      <w:r w:rsidRPr="006E5DEE">
        <w:rPr>
          <w:rFonts w:ascii="Times New Roman" w:hAnsi="Times New Roman" w:cs="Times New Roman"/>
          <w:i/>
          <w:iCs/>
          <w:color w:val="000000" w:themeColor="text1"/>
          <w:sz w:val="24"/>
        </w:rPr>
        <w:t>Are We to Be a Nation? The Making of the Constitution</w:t>
      </w:r>
      <w:r w:rsidRPr="006E5DEE">
        <w:rPr>
          <w:rFonts w:ascii="Times New Roman" w:hAnsi="Times New Roman" w:cs="Times New Roman"/>
          <w:color w:val="000000" w:themeColor="text1"/>
          <w:sz w:val="24"/>
        </w:rPr>
        <w:t>. Cambridge, MA: Harvard University Press, 1987.</w:t>
      </w:r>
      <w:bookmarkStart w:id="99" w:name="_Hlk193876914"/>
    </w:p>
    <w:p w14:paraId="0FBD08BA" w14:textId="12D8FA9D"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Blight, David W. </w:t>
      </w:r>
      <w:r w:rsidRPr="006E5DEE">
        <w:rPr>
          <w:rFonts w:ascii="Times New Roman" w:hAnsi="Times New Roman" w:cs="Times New Roman"/>
          <w:i/>
          <w:iCs/>
          <w:color w:val="000000" w:themeColor="text1"/>
          <w:sz w:val="24"/>
        </w:rPr>
        <w:t>Race and Reunion: The Civil War in American Memory</w:t>
      </w:r>
      <w:r w:rsidRPr="006E5DEE">
        <w:rPr>
          <w:rFonts w:ascii="Times New Roman" w:hAnsi="Times New Roman" w:cs="Times New Roman"/>
          <w:color w:val="000000" w:themeColor="text1"/>
          <w:sz w:val="24"/>
        </w:rPr>
        <w:t xml:space="preserve">. Cambridge: The Belknap Press of Harvard University Press, 2001. </w:t>
      </w:r>
    </w:p>
    <w:p w14:paraId="64A8C239" w14:textId="29131B33"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Blum, Edward J. </w:t>
      </w:r>
      <w:r w:rsidRPr="006E5DEE">
        <w:rPr>
          <w:rFonts w:ascii="Times New Roman" w:hAnsi="Times New Roman" w:cs="Times New Roman"/>
          <w:i/>
          <w:iCs/>
          <w:color w:val="000000" w:themeColor="text1"/>
          <w:sz w:val="24"/>
        </w:rPr>
        <w:t>Reforging the White Republic: Race, Religion, and American Nationalism, 1865-1898.</w:t>
      </w:r>
      <w:r w:rsidRPr="006E5DEE">
        <w:rPr>
          <w:rFonts w:ascii="Times New Roman" w:hAnsi="Times New Roman" w:cs="Times New Roman"/>
          <w:color w:val="000000" w:themeColor="text1"/>
          <w:sz w:val="24"/>
        </w:rPr>
        <w:t xml:space="preserve"> Baton Rouge: Louisiana State University Press, 2005.</w:t>
      </w:r>
    </w:p>
    <w:p w14:paraId="7EF4B5F2" w14:textId="5D0735EA"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Bonekemper III, Edward H. </w:t>
      </w:r>
      <w:r w:rsidRPr="006E5DEE">
        <w:rPr>
          <w:rFonts w:ascii="Times New Roman" w:hAnsi="Times New Roman" w:cs="Times New Roman"/>
          <w:i/>
          <w:iCs/>
          <w:color w:val="000000" w:themeColor="text1"/>
          <w:sz w:val="24"/>
        </w:rPr>
        <w:t>McClellan and Failure: A Study of Civil War Fear, Incompetence and Worse.</w:t>
      </w:r>
      <w:r w:rsidRPr="006E5DEE">
        <w:rPr>
          <w:rFonts w:ascii="Times New Roman" w:hAnsi="Times New Roman" w:cs="Times New Roman"/>
          <w:color w:val="000000" w:themeColor="text1"/>
          <w:sz w:val="24"/>
        </w:rPr>
        <w:t xml:space="preserve"> Jefferson, NC: McFarland and Company, 2007.</w:t>
      </w:r>
    </w:p>
    <w:p w14:paraId="62DA73FC" w14:textId="392FEF1B" w:rsidR="00A16069"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Bonekemper III, Edward H. </w:t>
      </w:r>
      <w:r w:rsidRPr="006E5DEE">
        <w:rPr>
          <w:rFonts w:ascii="Times New Roman" w:hAnsi="Times New Roman" w:cs="Times New Roman"/>
          <w:i/>
          <w:iCs/>
          <w:color w:val="000000" w:themeColor="text1"/>
          <w:sz w:val="24"/>
        </w:rPr>
        <w:t>Ulysses S. Grant: A Victor, Not a Butcher</w:t>
      </w:r>
      <w:r w:rsidRPr="006E5DEE">
        <w:rPr>
          <w:rFonts w:ascii="Times New Roman" w:hAnsi="Times New Roman" w:cs="Times New Roman"/>
          <w:color w:val="000000" w:themeColor="text1"/>
          <w:sz w:val="24"/>
        </w:rPr>
        <w:t>. Washington, DC: Regnery History, 2004.</w:t>
      </w:r>
    </w:p>
    <w:p w14:paraId="221862B9" w14:textId="78AC294C"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Bordewich, Fergus. </w:t>
      </w:r>
      <w:r w:rsidRPr="006E5DEE">
        <w:rPr>
          <w:rFonts w:ascii="Times New Roman" w:hAnsi="Times New Roman" w:cs="Times New Roman"/>
          <w:i/>
          <w:iCs/>
          <w:color w:val="000000" w:themeColor="text1"/>
          <w:sz w:val="24"/>
        </w:rPr>
        <w:t>Klan War: Ulysses S. Grant and the Battle to Save Reconstruction</w:t>
      </w:r>
      <w:r w:rsidRPr="006E5DEE">
        <w:rPr>
          <w:rFonts w:ascii="Times New Roman" w:hAnsi="Times New Roman" w:cs="Times New Roman"/>
          <w:color w:val="000000" w:themeColor="text1"/>
          <w:sz w:val="24"/>
        </w:rPr>
        <w:t>. New York: Alfred A. Knopf, 2024.</w:t>
      </w:r>
      <w:bookmarkEnd w:id="99"/>
    </w:p>
    <w:p w14:paraId="5C54B0A3" w14:textId="20EFED65"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Bowers, Claude G. </w:t>
      </w:r>
      <w:r w:rsidRPr="006E5DEE">
        <w:rPr>
          <w:rFonts w:ascii="Times New Roman" w:hAnsi="Times New Roman" w:cs="Times New Roman"/>
          <w:i/>
          <w:iCs/>
          <w:color w:val="000000" w:themeColor="text1"/>
          <w:sz w:val="24"/>
        </w:rPr>
        <w:t>The Tragic Era: The Revolution after Lincoln</w:t>
      </w:r>
      <w:r w:rsidRPr="006E5DEE">
        <w:rPr>
          <w:rFonts w:ascii="Times New Roman" w:hAnsi="Times New Roman" w:cs="Times New Roman"/>
          <w:color w:val="000000" w:themeColor="text1"/>
          <w:sz w:val="24"/>
        </w:rPr>
        <w:t>. Cambridge, MA: Riverside Press, 1929.</w:t>
      </w:r>
    </w:p>
    <w:p w14:paraId="54FF20D8" w14:textId="2F73050C"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Boyd, Steven R., ed. </w:t>
      </w:r>
      <w:r w:rsidRPr="006E5DEE">
        <w:rPr>
          <w:rFonts w:ascii="Times New Roman" w:hAnsi="Times New Roman" w:cs="Times New Roman"/>
          <w:i/>
          <w:iCs/>
          <w:color w:val="000000" w:themeColor="text1"/>
          <w:sz w:val="24"/>
        </w:rPr>
        <w:t>The Whiskey Rebellion: Past and Present Perspectives</w:t>
      </w:r>
      <w:r w:rsidRPr="006E5DEE">
        <w:rPr>
          <w:rFonts w:ascii="Times New Roman" w:hAnsi="Times New Roman" w:cs="Times New Roman"/>
          <w:color w:val="000000" w:themeColor="text1"/>
          <w:sz w:val="24"/>
        </w:rPr>
        <w:t>. Westport, CT: Greenwood Press, 1985.</w:t>
      </w:r>
    </w:p>
    <w:p w14:paraId="273C2695" w14:textId="6A957087"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Brands, Henry W. </w:t>
      </w:r>
      <w:r w:rsidRPr="006E5DEE">
        <w:rPr>
          <w:rFonts w:ascii="Times New Roman" w:hAnsi="Times New Roman" w:cs="Times New Roman"/>
          <w:i/>
          <w:iCs/>
          <w:color w:val="000000" w:themeColor="text1"/>
          <w:sz w:val="24"/>
        </w:rPr>
        <w:t>The Man Who Saved The Union: Ulysses Grant in War and Peace</w:t>
      </w:r>
      <w:r w:rsidRPr="006E5DEE">
        <w:rPr>
          <w:rFonts w:ascii="Times New Roman" w:hAnsi="Times New Roman" w:cs="Times New Roman"/>
          <w:color w:val="000000" w:themeColor="text1"/>
          <w:sz w:val="24"/>
        </w:rPr>
        <w:t>. New York, NY: Random House, 2012.</w:t>
      </w:r>
    </w:p>
    <w:p w14:paraId="3B042369" w14:textId="020ADCB7"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Broxmeyer, Jeffrey D. </w:t>
      </w:r>
      <w:r w:rsidRPr="006E5DEE">
        <w:rPr>
          <w:rFonts w:ascii="Times New Roman" w:hAnsi="Times New Roman" w:cs="Times New Roman"/>
          <w:i/>
          <w:iCs/>
          <w:color w:val="000000" w:themeColor="text1"/>
          <w:sz w:val="24"/>
        </w:rPr>
        <w:t xml:space="preserve">Electoral Capitalism: The Party System in New York’s Gilded Age. </w:t>
      </w:r>
      <w:r w:rsidRPr="006E5DEE">
        <w:rPr>
          <w:rFonts w:ascii="Times New Roman" w:hAnsi="Times New Roman" w:cs="Times New Roman"/>
          <w:color w:val="000000" w:themeColor="text1"/>
          <w:sz w:val="24"/>
        </w:rPr>
        <w:t>Philadelphia: University of Pennsylvania Press, 2020.</w:t>
      </w:r>
    </w:p>
    <w:p w14:paraId="3402AEA2" w14:textId="75C1FAA5"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Brune, Lester H., </w:t>
      </w:r>
      <w:r w:rsidRPr="006E5DEE">
        <w:rPr>
          <w:rFonts w:ascii="Times New Roman" w:hAnsi="Times New Roman" w:cs="Times New Roman"/>
          <w:i/>
          <w:iCs/>
          <w:color w:val="000000" w:themeColor="text1"/>
          <w:sz w:val="24"/>
        </w:rPr>
        <w:t>Chronological History of United States Foreign Relations: 1776 to January 20, 1981</w:t>
      </w:r>
      <w:r w:rsidRPr="006E5DEE">
        <w:rPr>
          <w:rFonts w:ascii="Times New Roman" w:hAnsi="Times New Roman" w:cs="Times New Roman"/>
          <w:color w:val="000000" w:themeColor="text1"/>
          <w:sz w:val="24"/>
        </w:rPr>
        <w:t>. New York: Garland, 1985. 1:321</w:t>
      </w:r>
    </w:p>
    <w:p w14:paraId="4CD27E9E" w14:textId="2DB9858E"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Bryan, Wilhelmus Bogart. </w:t>
      </w:r>
      <w:r w:rsidRPr="006E5DEE">
        <w:rPr>
          <w:rFonts w:ascii="Times New Roman" w:hAnsi="Times New Roman" w:cs="Times New Roman"/>
          <w:i/>
          <w:iCs/>
          <w:color w:val="000000" w:themeColor="text1"/>
          <w:sz w:val="24"/>
        </w:rPr>
        <w:t>A History of the National Capital, from its Foundation through the Period of the Adoption of the Organic Act. Vol II, 1815-1878</w:t>
      </w:r>
      <w:r w:rsidRPr="006E5DEE">
        <w:rPr>
          <w:rFonts w:ascii="Times New Roman" w:hAnsi="Times New Roman" w:cs="Times New Roman"/>
          <w:color w:val="000000" w:themeColor="text1"/>
          <w:sz w:val="24"/>
        </w:rPr>
        <w:t>. Vol 2. New York: The Macmillan Company, 1916.</w:t>
      </w:r>
    </w:p>
    <w:p w14:paraId="1B7C882F" w14:textId="41455B7F"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Budiansky, Stephen. </w:t>
      </w:r>
      <w:r w:rsidRPr="006E5DEE">
        <w:rPr>
          <w:rFonts w:ascii="Times New Roman" w:hAnsi="Times New Roman" w:cs="Times New Roman"/>
          <w:i/>
          <w:iCs/>
          <w:color w:val="000000" w:themeColor="text1"/>
          <w:sz w:val="24"/>
        </w:rPr>
        <w:t>The Bloody Shirt: Terror after Appomattox</w:t>
      </w:r>
      <w:r w:rsidRPr="006E5DEE">
        <w:rPr>
          <w:rFonts w:ascii="Times New Roman" w:hAnsi="Times New Roman" w:cs="Times New Roman"/>
          <w:color w:val="000000" w:themeColor="text1"/>
          <w:sz w:val="24"/>
        </w:rPr>
        <w:t>. New York: Viking Press, 2008.</w:t>
      </w:r>
    </w:p>
    <w:p w14:paraId="5CEFFE0C" w14:textId="1CD3F8D8"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Bunting, Josiah, III. </w:t>
      </w:r>
      <w:r w:rsidRPr="006E5DEE">
        <w:rPr>
          <w:rFonts w:ascii="Times New Roman" w:hAnsi="Times New Roman" w:cs="Times New Roman"/>
          <w:i/>
          <w:iCs/>
          <w:color w:val="000000" w:themeColor="text1"/>
          <w:sz w:val="24"/>
        </w:rPr>
        <w:t>Ulysses S. Grant: The American Presidents Series</w:t>
      </w:r>
      <w:r w:rsidRPr="006E5DEE">
        <w:rPr>
          <w:rFonts w:ascii="Times New Roman" w:hAnsi="Times New Roman" w:cs="Times New Roman"/>
          <w:color w:val="000000" w:themeColor="text1"/>
          <w:sz w:val="24"/>
        </w:rPr>
        <w:t>. New York, NY: Times Books, 2004.</w:t>
      </w:r>
    </w:p>
    <w:p w14:paraId="489708D1" w14:textId="0AFE4AEB"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Burgess, John W. </w:t>
      </w:r>
      <w:r w:rsidRPr="006E5DEE">
        <w:rPr>
          <w:rFonts w:ascii="Times New Roman" w:hAnsi="Times New Roman" w:cs="Times New Roman"/>
          <w:i/>
          <w:iCs/>
          <w:color w:val="000000" w:themeColor="text1"/>
          <w:sz w:val="24"/>
        </w:rPr>
        <w:t>Reconstruction and the Constitution, 1866-1876.</w:t>
      </w:r>
      <w:r w:rsidRPr="006E5DEE">
        <w:rPr>
          <w:rFonts w:ascii="Times New Roman" w:hAnsi="Times New Roman" w:cs="Times New Roman"/>
          <w:color w:val="000000" w:themeColor="text1"/>
          <w:sz w:val="24"/>
        </w:rPr>
        <w:t xml:space="preserve"> New York: Charles Scribner’s Sons, 1902.</w:t>
      </w:r>
    </w:p>
    <w:p w14:paraId="7DE1B138" w14:textId="588CC1AE"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Bush, Dana and David Fisher. </w:t>
      </w:r>
      <w:r w:rsidRPr="006E5DEE">
        <w:rPr>
          <w:rFonts w:ascii="Times New Roman" w:hAnsi="Times New Roman" w:cs="Times New Roman"/>
          <w:i/>
          <w:iCs/>
          <w:color w:val="000000" w:themeColor="text1"/>
          <w:sz w:val="24"/>
        </w:rPr>
        <w:t>America’s Deadliest Election: The Cautionary Tale of the Most Violent Election in American History</w:t>
      </w:r>
      <w:r w:rsidRPr="006E5DEE">
        <w:rPr>
          <w:rFonts w:ascii="Times New Roman" w:hAnsi="Times New Roman" w:cs="Times New Roman"/>
          <w:color w:val="000000" w:themeColor="text1"/>
          <w:sz w:val="24"/>
        </w:rPr>
        <w:t>. New York: Hanover Square Press, 2024.</w:t>
      </w:r>
    </w:p>
    <w:p w14:paraId="23DF56C3" w14:textId="2AEF25C6"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Caemmerer, H. Paul. </w:t>
      </w:r>
      <w:r w:rsidRPr="006E5DEE">
        <w:rPr>
          <w:rFonts w:ascii="Times New Roman" w:hAnsi="Times New Roman" w:cs="Times New Roman"/>
          <w:i/>
          <w:iCs/>
          <w:color w:val="000000" w:themeColor="text1"/>
          <w:sz w:val="24"/>
        </w:rPr>
        <w:t>A Manual on the Origin and Development of Washington</w:t>
      </w:r>
      <w:r w:rsidRPr="006E5DEE">
        <w:rPr>
          <w:rFonts w:ascii="Times New Roman" w:hAnsi="Times New Roman" w:cs="Times New Roman"/>
          <w:color w:val="000000" w:themeColor="text1"/>
          <w:sz w:val="24"/>
        </w:rPr>
        <w:t>. Wahington, DC: United States Government Printing Office, 1939.</w:t>
      </w:r>
    </w:p>
    <w:p w14:paraId="6DD761AF" w14:textId="3388F68C"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Caemmerer, H.P. </w:t>
      </w:r>
      <w:r w:rsidRPr="006E5DEE">
        <w:rPr>
          <w:rFonts w:ascii="Times New Roman" w:hAnsi="Times New Roman" w:cs="Times New Roman"/>
          <w:i/>
          <w:iCs/>
          <w:color w:val="000000" w:themeColor="text1"/>
          <w:sz w:val="24"/>
        </w:rPr>
        <w:t>Washington: The National Capital</w:t>
      </w:r>
      <w:r w:rsidRPr="006E5DEE">
        <w:rPr>
          <w:rFonts w:ascii="Times New Roman" w:hAnsi="Times New Roman" w:cs="Times New Roman"/>
          <w:color w:val="000000" w:themeColor="text1"/>
          <w:sz w:val="24"/>
        </w:rPr>
        <w:t>. Washington, DC: United States Government Printing Office, 1932.</w:t>
      </w:r>
      <w:bookmarkStart w:id="100" w:name="_Hlk193878742"/>
    </w:p>
    <w:p w14:paraId="686DBB13" w14:textId="286715A1"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Calhoun, Charles W. </w:t>
      </w:r>
      <w:r w:rsidRPr="006E5DEE">
        <w:rPr>
          <w:rFonts w:ascii="Times New Roman" w:hAnsi="Times New Roman" w:cs="Times New Roman"/>
          <w:i/>
          <w:iCs/>
          <w:color w:val="000000" w:themeColor="text1"/>
          <w:sz w:val="24"/>
        </w:rPr>
        <w:t>The Presidency of Ulysses S. Grant</w:t>
      </w:r>
      <w:r w:rsidRPr="006E5DEE">
        <w:rPr>
          <w:rFonts w:ascii="Times New Roman" w:hAnsi="Times New Roman" w:cs="Times New Roman"/>
          <w:color w:val="000000" w:themeColor="text1"/>
          <w:sz w:val="24"/>
        </w:rPr>
        <w:t>. Lawrence, KS: University Press of Kansas, 2017.</w:t>
      </w:r>
    </w:p>
    <w:p w14:paraId="4AFE4201" w14:textId="15B580E1"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Calkins, Chris. </w:t>
      </w:r>
      <w:r w:rsidRPr="006E5DEE">
        <w:rPr>
          <w:rFonts w:ascii="Times New Roman" w:hAnsi="Times New Roman" w:cs="Times New Roman"/>
          <w:i/>
          <w:iCs/>
          <w:color w:val="000000" w:themeColor="text1"/>
          <w:sz w:val="24"/>
        </w:rPr>
        <w:t xml:space="preserve">The Appomattox Campaign, March 29-April 9, 1865. </w:t>
      </w:r>
      <w:r w:rsidRPr="006E5DEE">
        <w:rPr>
          <w:rFonts w:ascii="Times New Roman" w:hAnsi="Times New Roman" w:cs="Times New Roman"/>
          <w:color w:val="000000" w:themeColor="text1"/>
          <w:sz w:val="24"/>
        </w:rPr>
        <w:t>Conshohocken, PA: Combined Books, 1997.</w:t>
      </w:r>
    </w:p>
    <w:p w14:paraId="34AA9D3C" w14:textId="6F1E04D6"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Campbell, Edwina S. </w:t>
      </w:r>
      <w:r w:rsidRPr="006E5DEE">
        <w:rPr>
          <w:rFonts w:ascii="Times New Roman" w:hAnsi="Times New Roman" w:cs="Times New Roman"/>
          <w:i/>
          <w:iCs/>
          <w:color w:val="000000" w:themeColor="text1"/>
          <w:sz w:val="24"/>
        </w:rPr>
        <w:t xml:space="preserve">Citizen of a Wider Commonwealth: Ulysses S. Grant’s Postpresidential Diplomacy. </w:t>
      </w:r>
      <w:r w:rsidRPr="006E5DEE">
        <w:rPr>
          <w:rFonts w:ascii="Times New Roman" w:hAnsi="Times New Roman" w:cs="Times New Roman"/>
          <w:color w:val="000000" w:themeColor="text1"/>
          <w:sz w:val="24"/>
        </w:rPr>
        <w:t>Carbondale: Southern Illinois University Press, 2016.</w:t>
      </w:r>
    </w:p>
    <w:p w14:paraId="2086B9CA" w14:textId="6DAC826C"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Carnahan, Burrus M. </w:t>
      </w:r>
      <w:r w:rsidRPr="006E5DEE">
        <w:rPr>
          <w:rFonts w:ascii="Times New Roman" w:hAnsi="Times New Roman" w:cs="Times New Roman"/>
          <w:i/>
          <w:iCs/>
          <w:color w:val="000000" w:themeColor="text1"/>
          <w:sz w:val="24"/>
        </w:rPr>
        <w:t>Lincoln on Trial: Southern Civilians and the Law of War</w:t>
      </w:r>
      <w:r w:rsidRPr="006E5DEE">
        <w:rPr>
          <w:rFonts w:ascii="Times New Roman" w:hAnsi="Times New Roman" w:cs="Times New Roman"/>
          <w:color w:val="000000" w:themeColor="text1"/>
          <w:sz w:val="24"/>
        </w:rPr>
        <w:t>. Lexington, KY: University Press of Kentucky, 2010.</w:t>
      </w:r>
      <w:bookmarkStart w:id="101" w:name="_Hlk190258807"/>
      <w:bookmarkEnd w:id="100"/>
    </w:p>
    <w:p w14:paraId="63DECC9B" w14:textId="0E144CAB"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Chernow, Ron. </w:t>
      </w:r>
      <w:r w:rsidRPr="006E5DEE">
        <w:rPr>
          <w:rFonts w:ascii="Times New Roman" w:hAnsi="Times New Roman" w:cs="Times New Roman"/>
          <w:i/>
          <w:iCs/>
          <w:color w:val="000000" w:themeColor="text1"/>
          <w:sz w:val="24"/>
        </w:rPr>
        <w:t>Grant</w:t>
      </w:r>
      <w:r w:rsidRPr="006E5DEE">
        <w:rPr>
          <w:rFonts w:ascii="Times New Roman" w:hAnsi="Times New Roman" w:cs="Times New Roman"/>
          <w:color w:val="000000" w:themeColor="text1"/>
          <w:sz w:val="24"/>
        </w:rPr>
        <w:t>. Waterville, ME: Thorndike Press, a Part of Gale, a Cengage Company, 2018.</w:t>
      </w:r>
    </w:p>
    <w:p w14:paraId="70DD435D" w14:textId="3BCDF119"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Cherny, Robert. </w:t>
      </w:r>
      <w:r w:rsidRPr="006E5DEE">
        <w:rPr>
          <w:rFonts w:ascii="Times New Roman" w:hAnsi="Times New Roman" w:cs="Times New Roman"/>
          <w:i/>
          <w:iCs/>
          <w:color w:val="000000" w:themeColor="text1"/>
          <w:sz w:val="24"/>
        </w:rPr>
        <w:t>American Politics in the Gilded Age 1868–1900</w:t>
      </w:r>
      <w:r w:rsidRPr="006E5DEE">
        <w:rPr>
          <w:rFonts w:ascii="Times New Roman" w:hAnsi="Times New Roman" w:cs="Times New Roman"/>
          <w:color w:val="000000" w:themeColor="text1"/>
          <w:sz w:val="24"/>
        </w:rPr>
        <w:t>. Wheeling, IL: Harlan Davidson Inc., 1997.</w:t>
      </w:r>
    </w:p>
    <w:p w14:paraId="68D42796" w14:textId="66A70FAA"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Christensen, Lawrence O., ed. </w:t>
      </w:r>
      <w:r w:rsidRPr="006E5DEE">
        <w:rPr>
          <w:rFonts w:ascii="Times New Roman" w:hAnsi="Times New Roman" w:cs="Times New Roman"/>
          <w:i/>
          <w:iCs/>
          <w:color w:val="000000" w:themeColor="text1"/>
          <w:sz w:val="24"/>
        </w:rPr>
        <w:t>Dictionary of Missouri Biography</w:t>
      </w:r>
      <w:r w:rsidRPr="006E5DEE">
        <w:rPr>
          <w:rFonts w:ascii="Times New Roman" w:hAnsi="Times New Roman" w:cs="Times New Roman"/>
          <w:color w:val="000000" w:themeColor="text1"/>
          <w:sz w:val="24"/>
        </w:rPr>
        <w:t>. Columbia, MO: University of Missouri Press, 1999.</w:t>
      </w:r>
    </w:p>
    <w:p w14:paraId="405F938C" w14:textId="3210E6D1"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Cimbala, Paul A. </w:t>
      </w:r>
      <w:r w:rsidRPr="006E5DEE">
        <w:rPr>
          <w:rFonts w:ascii="Times New Roman" w:hAnsi="Times New Roman" w:cs="Times New Roman"/>
          <w:i/>
          <w:iCs/>
          <w:color w:val="000000" w:themeColor="text1"/>
          <w:sz w:val="24"/>
        </w:rPr>
        <w:t>The Freedman’s Bureau: Reconstructing the American South after the Civil War</w:t>
      </w:r>
      <w:r w:rsidRPr="006E5DEE">
        <w:rPr>
          <w:rFonts w:ascii="Times New Roman" w:hAnsi="Times New Roman" w:cs="Times New Roman"/>
          <w:color w:val="000000" w:themeColor="text1"/>
          <w:sz w:val="24"/>
        </w:rPr>
        <w:t>. Malabar, FL: Krieger, 2005.</w:t>
      </w:r>
    </w:p>
    <w:p w14:paraId="43DCCF4D" w14:textId="4D73B5A5"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Cimbala, Paul A. </w:t>
      </w:r>
      <w:r w:rsidRPr="006E5DEE">
        <w:rPr>
          <w:rFonts w:ascii="Times New Roman" w:hAnsi="Times New Roman" w:cs="Times New Roman"/>
          <w:i/>
          <w:iCs/>
          <w:color w:val="000000" w:themeColor="text1"/>
          <w:sz w:val="24"/>
        </w:rPr>
        <w:t>Veterans North and South: The Transition from Soldier to Civilian after the American Civil War</w:t>
      </w:r>
      <w:r w:rsidRPr="006E5DEE">
        <w:rPr>
          <w:rFonts w:ascii="Times New Roman" w:hAnsi="Times New Roman" w:cs="Times New Roman"/>
          <w:color w:val="000000" w:themeColor="text1"/>
          <w:sz w:val="24"/>
        </w:rPr>
        <w:t>. Santa Barbara, CA: Praeger, 2015.</w:t>
      </w:r>
    </w:p>
    <w:p w14:paraId="51D9E4FD" w14:textId="6B0C4CFC"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Cimbala, Paul A. and Randall M. Miller, eds. </w:t>
      </w:r>
      <w:r w:rsidRPr="006E5DEE">
        <w:rPr>
          <w:rFonts w:ascii="Times New Roman" w:hAnsi="Times New Roman" w:cs="Times New Roman"/>
          <w:i/>
          <w:iCs/>
          <w:color w:val="000000" w:themeColor="text1"/>
          <w:sz w:val="24"/>
        </w:rPr>
        <w:t>An Uncommon Time: The Civil War and the Northern Home Front</w:t>
      </w:r>
      <w:r w:rsidRPr="006E5DEE">
        <w:rPr>
          <w:rFonts w:ascii="Times New Roman" w:hAnsi="Times New Roman" w:cs="Times New Roman"/>
          <w:color w:val="000000" w:themeColor="text1"/>
          <w:sz w:val="24"/>
        </w:rPr>
        <w:t>. New York: Fordham University Press, 2002.</w:t>
      </w:r>
    </w:p>
    <w:p w14:paraId="45E5908A" w14:textId="51F25BC7"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Clampitt, Bradley R. </w:t>
      </w:r>
      <w:r w:rsidRPr="006E5DEE">
        <w:rPr>
          <w:rFonts w:ascii="Times New Roman" w:hAnsi="Times New Roman" w:cs="Times New Roman"/>
          <w:i/>
          <w:iCs/>
          <w:color w:val="000000" w:themeColor="text1"/>
          <w:sz w:val="24"/>
        </w:rPr>
        <w:t>The Civil War and Reconstruction in Indian Territory</w:t>
      </w:r>
      <w:r w:rsidRPr="006E5DEE">
        <w:rPr>
          <w:rFonts w:ascii="Times New Roman" w:hAnsi="Times New Roman" w:cs="Times New Roman"/>
          <w:color w:val="000000" w:themeColor="text1"/>
          <w:sz w:val="24"/>
        </w:rPr>
        <w:t>. Lincoln: University of Nebraska Press, 2015.</w:t>
      </w:r>
    </w:p>
    <w:p w14:paraId="3C12477A" w14:textId="59B7C16D"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Clark-Lewis, Elizabeth. </w:t>
      </w:r>
      <w:r w:rsidRPr="006E5DEE">
        <w:rPr>
          <w:rFonts w:ascii="Times New Roman" w:hAnsi="Times New Roman" w:cs="Times New Roman"/>
          <w:i/>
          <w:iCs/>
          <w:color w:val="000000" w:themeColor="text1"/>
          <w:sz w:val="24"/>
        </w:rPr>
        <w:t>First Freed: Washington, D.C. in the Emancipation Era</w:t>
      </w:r>
      <w:r w:rsidRPr="006E5DEE">
        <w:rPr>
          <w:rFonts w:ascii="Times New Roman" w:hAnsi="Times New Roman" w:cs="Times New Roman"/>
          <w:color w:val="000000" w:themeColor="text1"/>
          <w:sz w:val="24"/>
        </w:rPr>
        <w:t>. Washington: Howard University Press, 2002.</w:t>
      </w:r>
    </w:p>
    <w:p w14:paraId="33CBEB3E" w14:textId="79844E28"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Clifford, Thomas P. </w:t>
      </w:r>
      <w:r w:rsidRPr="006E5DEE">
        <w:rPr>
          <w:rFonts w:ascii="Times New Roman" w:hAnsi="Times New Roman" w:cs="Times New Roman"/>
          <w:i/>
          <w:iCs/>
          <w:color w:val="000000" w:themeColor="text1"/>
          <w:sz w:val="24"/>
        </w:rPr>
        <w:t>The Political Machine: An American Institution</w:t>
      </w:r>
      <w:r w:rsidRPr="006E5DEE">
        <w:rPr>
          <w:rFonts w:ascii="Times New Roman" w:hAnsi="Times New Roman" w:cs="Times New Roman"/>
          <w:color w:val="000000" w:themeColor="text1"/>
          <w:sz w:val="24"/>
        </w:rPr>
        <w:t>. New York: Vantage Press, 1975.</w:t>
      </w:r>
    </w:p>
    <w:p w14:paraId="47F5DA02" w14:textId="63B75362"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Cole, Donald B. </w:t>
      </w:r>
      <w:r w:rsidRPr="006E5DEE">
        <w:rPr>
          <w:rFonts w:ascii="Times New Roman" w:hAnsi="Times New Roman" w:cs="Times New Roman"/>
          <w:i/>
          <w:iCs/>
          <w:color w:val="000000" w:themeColor="text1"/>
          <w:sz w:val="24"/>
        </w:rPr>
        <w:t>Martin Van Buren and the American Political System</w:t>
      </w:r>
      <w:r w:rsidRPr="006E5DEE">
        <w:rPr>
          <w:rFonts w:ascii="Times New Roman" w:hAnsi="Times New Roman" w:cs="Times New Roman"/>
          <w:color w:val="000000" w:themeColor="text1"/>
          <w:sz w:val="24"/>
        </w:rPr>
        <w:t>. Princeton, NJ: Princeton University Press, 1984.</w:t>
      </w:r>
    </w:p>
    <w:p w14:paraId="0C1FB1FD" w14:textId="0B06C460"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Conard, Howard Louis, ed. </w:t>
      </w:r>
      <w:r w:rsidRPr="006E5DEE">
        <w:rPr>
          <w:rFonts w:ascii="Times New Roman" w:hAnsi="Times New Roman" w:cs="Times New Roman"/>
          <w:i/>
          <w:iCs/>
          <w:color w:val="000000" w:themeColor="text1"/>
          <w:sz w:val="24"/>
        </w:rPr>
        <w:t>Encyclopedia of the History of Missouri</w:t>
      </w:r>
      <w:r w:rsidRPr="006E5DEE">
        <w:rPr>
          <w:rFonts w:ascii="Times New Roman" w:hAnsi="Times New Roman" w:cs="Times New Roman"/>
          <w:color w:val="000000" w:themeColor="text1"/>
          <w:sz w:val="24"/>
        </w:rPr>
        <w:t>. St. Louis: Southern History Company, 1901.</w:t>
      </w:r>
      <w:bookmarkEnd w:id="101"/>
    </w:p>
    <w:p w14:paraId="77D4BB39" w14:textId="0FFF9D1D"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Cooper, Edward S. </w:t>
      </w:r>
      <w:r w:rsidRPr="006E5DEE">
        <w:rPr>
          <w:rFonts w:ascii="Times New Roman" w:hAnsi="Times New Roman" w:cs="Times New Roman"/>
          <w:i/>
          <w:iCs/>
          <w:color w:val="000000" w:themeColor="text1"/>
          <w:sz w:val="24"/>
        </w:rPr>
        <w:t>John McDonald and the Whiskey Ring: From Thug to Grants Inner Circle</w:t>
      </w:r>
      <w:r w:rsidRPr="006E5DEE">
        <w:rPr>
          <w:rFonts w:ascii="Times New Roman" w:hAnsi="Times New Roman" w:cs="Times New Roman"/>
          <w:color w:val="000000" w:themeColor="text1"/>
          <w:sz w:val="24"/>
        </w:rPr>
        <w:t>. Madison: Fairleigh Dickinson University Press, 2016.</w:t>
      </w:r>
    </w:p>
    <w:p w14:paraId="4B448C08" w14:textId="5C3B29EA"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Cooper, William J. </w:t>
      </w:r>
      <w:r w:rsidRPr="006E5DEE">
        <w:rPr>
          <w:rFonts w:ascii="Times New Roman" w:hAnsi="Times New Roman" w:cs="Times New Roman"/>
          <w:i/>
          <w:iCs/>
          <w:color w:val="000000" w:themeColor="text1"/>
          <w:sz w:val="24"/>
        </w:rPr>
        <w:t>We Have the War Upon Us: The Onset of the Civil War, November 1860- April 1861..</w:t>
      </w:r>
      <w:r w:rsidRPr="006E5DEE">
        <w:rPr>
          <w:rFonts w:ascii="Times New Roman" w:hAnsi="Times New Roman" w:cs="Times New Roman"/>
          <w:color w:val="000000" w:themeColor="text1"/>
          <w:sz w:val="24"/>
        </w:rPr>
        <w:t xml:space="preserve"> New York: Vintage, 2012.</w:t>
      </w:r>
    </w:p>
    <w:p w14:paraId="6275B6DD" w14:textId="371F6A7A" w:rsidR="00A16069"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Corning, A. Elwood. </w:t>
      </w:r>
      <w:r w:rsidRPr="006E5DEE">
        <w:rPr>
          <w:rFonts w:ascii="Times New Roman" w:hAnsi="Times New Roman" w:cs="Times New Roman"/>
          <w:i/>
          <w:iCs/>
          <w:color w:val="000000" w:themeColor="text1"/>
          <w:sz w:val="24"/>
        </w:rPr>
        <w:t>Hamilton Fish</w:t>
      </w:r>
      <w:r w:rsidRPr="006E5DEE">
        <w:rPr>
          <w:rFonts w:ascii="Times New Roman" w:hAnsi="Times New Roman" w:cs="Times New Roman"/>
          <w:color w:val="000000" w:themeColor="text1"/>
          <w:sz w:val="24"/>
        </w:rPr>
        <w:t>. New York: The Lanmere Publishing Company, 1918.</w:t>
      </w:r>
    </w:p>
    <w:p w14:paraId="2EF18546" w14:textId="64C3E1AE"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Corwin, Edward S. </w:t>
      </w:r>
      <w:r w:rsidRPr="006E5DEE">
        <w:rPr>
          <w:rFonts w:ascii="Times New Roman" w:hAnsi="Times New Roman" w:cs="Times New Roman"/>
          <w:i/>
          <w:iCs/>
          <w:color w:val="000000" w:themeColor="text1"/>
          <w:sz w:val="24"/>
        </w:rPr>
        <w:t>The President: Office and Powers, 1787-1957, History and Analysis of Practice and Opinion</w:t>
      </w:r>
      <w:r w:rsidRPr="006E5DEE">
        <w:rPr>
          <w:rFonts w:ascii="Times New Roman" w:hAnsi="Times New Roman" w:cs="Times New Roman"/>
          <w:color w:val="000000" w:themeColor="text1"/>
          <w:sz w:val="24"/>
        </w:rPr>
        <w:t>. Fourth Revised Edition. New York, NY: NYU Press, 1957.</w:t>
      </w:r>
    </w:p>
    <w:p w14:paraId="4CBBEE5A" w14:textId="49B5AAB9" w:rsidR="005D5FB3" w:rsidRPr="0074689B"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Coolidge, Louis A. </w:t>
      </w:r>
      <w:r w:rsidRPr="006E5DEE">
        <w:rPr>
          <w:rFonts w:ascii="Times New Roman" w:hAnsi="Times New Roman" w:cs="Times New Roman"/>
          <w:i/>
          <w:color w:val="000000" w:themeColor="text1"/>
          <w:sz w:val="24"/>
        </w:rPr>
        <w:t>Ulysses S. Grant</w:t>
      </w:r>
      <w:r w:rsidRPr="006E5DEE">
        <w:rPr>
          <w:rFonts w:ascii="Times New Roman" w:hAnsi="Times New Roman" w:cs="Times New Roman"/>
          <w:color w:val="000000" w:themeColor="text1"/>
          <w:sz w:val="24"/>
        </w:rPr>
        <w:t>. Cambridge: Riverside Press, 1922.</w:t>
      </w:r>
    </w:p>
    <w:p w14:paraId="701BC584" w14:textId="5963653B"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Coulter, E. Merton. </w:t>
      </w:r>
      <w:r w:rsidRPr="006E5DEE">
        <w:rPr>
          <w:rFonts w:ascii="Times New Roman" w:hAnsi="Times New Roman" w:cs="Times New Roman"/>
          <w:i/>
          <w:iCs/>
          <w:color w:val="000000" w:themeColor="text1"/>
          <w:sz w:val="24"/>
          <w:szCs w:val="24"/>
        </w:rPr>
        <w:t>The South During Reconstruction, 1865-1877</w:t>
      </w:r>
      <w:r w:rsidRPr="006E5DEE">
        <w:rPr>
          <w:rFonts w:ascii="Times New Roman" w:hAnsi="Times New Roman" w:cs="Times New Roman"/>
          <w:color w:val="000000" w:themeColor="text1"/>
          <w:sz w:val="24"/>
          <w:szCs w:val="24"/>
        </w:rPr>
        <w:t>. Baton Rouge: LSU Press, 1948.</w:t>
      </w:r>
      <w:bookmarkStart w:id="102" w:name="_Hlk193876360"/>
    </w:p>
    <w:p w14:paraId="51918BD1" w14:textId="552F6319" w:rsidR="005D5FB3" w:rsidRPr="0074689B"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Cruden, Robert. </w:t>
      </w:r>
      <w:r w:rsidRPr="006E5DEE">
        <w:rPr>
          <w:rFonts w:ascii="Times New Roman" w:hAnsi="Times New Roman" w:cs="Times New Roman"/>
          <w:i/>
          <w:iCs/>
          <w:color w:val="000000" w:themeColor="text1"/>
          <w:sz w:val="24"/>
        </w:rPr>
        <w:t>The Negro in Reconstruction</w:t>
      </w:r>
      <w:r w:rsidRPr="006E5DEE">
        <w:rPr>
          <w:rFonts w:ascii="Times New Roman" w:hAnsi="Times New Roman" w:cs="Times New Roman"/>
          <w:color w:val="000000" w:themeColor="text1"/>
          <w:sz w:val="24"/>
        </w:rPr>
        <w:t>. Englewood Cliffs, NJ: Prentice Hall Inc., 1969.</w:t>
      </w:r>
    </w:p>
    <w:p w14:paraId="3D8B26B8" w14:textId="15F987AF"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Daniel, Larry J. </w:t>
      </w:r>
      <w:r w:rsidRPr="006E5DEE">
        <w:rPr>
          <w:rFonts w:ascii="Times New Roman" w:hAnsi="Times New Roman" w:cs="Times New Roman"/>
          <w:i/>
          <w:iCs/>
          <w:color w:val="000000" w:themeColor="text1"/>
          <w:sz w:val="24"/>
          <w:szCs w:val="24"/>
        </w:rPr>
        <w:t>Shiloh: The Battle That Changed the Civil War.</w:t>
      </w:r>
      <w:r w:rsidRPr="006E5DEE">
        <w:rPr>
          <w:rFonts w:ascii="Times New Roman" w:hAnsi="Times New Roman" w:cs="Times New Roman"/>
          <w:color w:val="000000" w:themeColor="text1"/>
          <w:sz w:val="24"/>
          <w:szCs w:val="24"/>
        </w:rPr>
        <w:t xml:space="preserve"> New York: Simon and Schuster, 1997.</w:t>
      </w:r>
      <w:bookmarkStart w:id="103" w:name="_Hlk190258845"/>
      <w:bookmarkEnd w:id="102"/>
    </w:p>
    <w:p w14:paraId="5F8C247D" w14:textId="20D6F0A2"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Dickey, J.D. </w:t>
      </w:r>
      <w:r w:rsidRPr="006E5DEE">
        <w:rPr>
          <w:rFonts w:ascii="Times New Roman" w:hAnsi="Times New Roman" w:cs="Times New Roman"/>
          <w:i/>
          <w:iCs/>
          <w:color w:val="000000" w:themeColor="text1"/>
          <w:sz w:val="24"/>
        </w:rPr>
        <w:t>Empire of Mud: The Secret History of Washington, DC</w:t>
      </w:r>
      <w:r w:rsidRPr="006E5DEE">
        <w:rPr>
          <w:rFonts w:ascii="Times New Roman" w:hAnsi="Times New Roman" w:cs="Times New Roman"/>
          <w:color w:val="000000" w:themeColor="text1"/>
          <w:sz w:val="24"/>
        </w:rPr>
        <w:t>. Guilford, CT: Lyons Press, 2014.</w:t>
      </w:r>
    </w:p>
    <w:p w14:paraId="7D4F8DA9" w14:textId="70DA4932"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Dobson, John M. </w:t>
      </w:r>
      <w:r w:rsidRPr="006E5DEE">
        <w:rPr>
          <w:rFonts w:ascii="Times New Roman" w:hAnsi="Times New Roman" w:cs="Times New Roman"/>
          <w:i/>
          <w:iCs/>
          <w:color w:val="000000" w:themeColor="text1"/>
          <w:sz w:val="24"/>
        </w:rPr>
        <w:t>Politics in the Gilded Age: A New Perspective on Reform</w:t>
      </w:r>
      <w:r w:rsidRPr="006E5DEE">
        <w:rPr>
          <w:rFonts w:ascii="Times New Roman" w:hAnsi="Times New Roman" w:cs="Times New Roman"/>
          <w:color w:val="000000" w:themeColor="text1"/>
          <w:sz w:val="24"/>
        </w:rPr>
        <w:t>. New York: Praeger, 1972.</w:t>
      </w:r>
      <w:bookmarkEnd w:id="103"/>
    </w:p>
    <w:p w14:paraId="78A32A54" w14:textId="252D0B9F"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Donald, David. </w:t>
      </w:r>
      <w:r w:rsidRPr="006E5DEE">
        <w:rPr>
          <w:rFonts w:ascii="Times New Roman" w:hAnsi="Times New Roman" w:cs="Times New Roman"/>
          <w:i/>
          <w:iCs/>
          <w:color w:val="000000" w:themeColor="text1"/>
          <w:sz w:val="24"/>
        </w:rPr>
        <w:t>Charles Sumner and the Rights of Man</w:t>
      </w:r>
      <w:r w:rsidRPr="006E5DEE">
        <w:rPr>
          <w:rFonts w:ascii="Times New Roman" w:hAnsi="Times New Roman" w:cs="Times New Roman"/>
          <w:color w:val="000000" w:themeColor="text1"/>
          <w:sz w:val="24"/>
        </w:rPr>
        <w:t>. New York, NY: Alfred A. Knopf, 1970.</w:t>
      </w:r>
    </w:p>
    <w:p w14:paraId="41B974E7" w14:textId="4C238676"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Donald, David. </w:t>
      </w:r>
      <w:r w:rsidRPr="006E5DEE">
        <w:rPr>
          <w:rFonts w:ascii="Times New Roman" w:hAnsi="Times New Roman" w:cs="Times New Roman"/>
          <w:i/>
          <w:iCs/>
          <w:color w:val="000000" w:themeColor="text1"/>
          <w:sz w:val="24"/>
        </w:rPr>
        <w:t>The Politics of Reconstruction, 1863-1867</w:t>
      </w:r>
      <w:r w:rsidRPr="006E5DEE">
        <w:rPr>
          <w:rFonts w:ascii="Times New Roman" w:hAnsi="Times New Roman" w:cs="Times New Roman"/>
          <w:color w:val="000000" w:themeColor="text1"/>
          <w:sz w:val="24"/>
        </w:rPr>
        <w:t>. Cambridge, MA: Harvard University Press, 1984.</w:t>
      </w:r>
    </w:p>
    <w:p w14:paraId="1A6BBAF8" w14:textId="09EA4373"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Doris, Lillian, Ed. </w:t>
      </w:r>
      <w:r w:rsidRPr="006E5DEE">
        <w:rPr>
          <w:rFonts w:ascii="Times New Roman" w:hAnsi="Times New Roman" w:cs="Times New Roman"/>
          <w:i/>
          <w:iCs/>
          <w:color w:val="000000" w:themeColor="text1"/>
          <w:sz w:val="24"/>
        </w:rPr>
        <w:t>The American Way in Taxation: Internal Revenue, 1862-1963</w:t>
      </w:r>
      <w:r w:rsidRPr="006E5DEE">
        <w:rPr>
          <w:rFonts w:ascii="Times New Roman" w:hAnsi="Times New Roman" w:cs="Times New Roman"/>
          <w:color w:val="000000" w:themeColor="text1"/>
          <w:sz w:val="24"/>
        </w:rPr>
        <w:t>. Englewood Cliffs, NJ: Prentice-Hall Inc., 1963.</w:t>
      </w:r>
    </w:p>
    <w:p w14:paraId="6F62834F" w14:textId="7B2A3970"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Douglas, Jack D. and John M. Johnson, Eds. </w:t>
      </w:r>
      <w:r w:rsidRPr="006E5DEE">
        <w:rPr>
          <w:rFonts w:ascii="Times New Roman" w:hAnsi="Times New Roman" w:cs="Times New Roman"/>
          <w:i/>
          <w:iCs/>
          <w:color w:val="000000" w:themeColor="text1"/>
          <w:sz w:val="24"/>
        </w:rPr>
        <w:t>Official Deviance: Readings in Malfeasance, Misfeasance, and Other Forms of Corruption</w:t>
      </w:r>
      <w:r w:rsidRPr="006E5DEE">
        <w:rPr>
          <w:rFonts w:ascii="Times New Roman" w:hAnsi="Times New Roman" w:cs="Times New Roman"/>
          <w:color w:val="000000" w:themeColor="text1"/>
          <w:sz w:val="24"/>
        </w:rPr>
        <w:t>. Philadelphia, PA: J.B. Lippincott Company, 1977.</w:t>
      </w:r>
    </w:p>
    <w:p w14:paraId="0A9C7B9F" w14:textId="1DEA7367"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Du Bois, W.E.B. </w:t>
      </w:r>
      <w:r w:rsidRPr="006E5DEE">
        <w:rPr>
          <w:rFonts w:ascii="Times New Roman" w:hAnsi="Times New Roman" w:cs="Times New Roman"/>
          <w:i/>
          <w:iCs/>
          <w:color w:val="000000" w:themeColor="text1"/>
          <w:sz w:val="24"/>
        </w:rPr>
        <w:t>Black Reconstruction, 1860-1880</w:t>
      </w:r>
      <w:r w:rsidRPr="006E5DEE">
        <w:rPr>
          <w:rFonts w:ascii="Times New Roman" w:hAnsi="Times New Roman" w:cs="Times New Roman"/>
          <w:color w:val="000000" w:themeColor="text1"/>
          <w:sz w:val="24"/>
        </w:rPr>
        <w:t xml:space="preserve">. New York: Russell &amp; Russell, 1935. </w:t>
      </w:r>
    </w:p>
    <w:p w14:paraId="06E7D31E" w14:textId="4659F7AE"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DuBois, Ellen Carol. </w:t>
      </w:r>
      <w:r w:rsidRPr="006E5DEE">
        <w:rPr>
          <w:rFonts w:ascii="Times New Roman" w:hAnsi="Times New Roman" w:cs="Times New Roman"/>
          <w:i/>
          <w:iCs/>
          <w:color w:val="000000" w:themeColor="text1"/>
          <w:sz w:val="24"/>
        </w:rPr>
        <w:t>Feminism and Suffrage: The Emergence of an Independent Women’s Movement in America, 1848-1869</w:t>
      </w:r>
      <w:r w:rsidRPr="006E5DEE">
        <w:rPr>
          <w:rFonts w:ascii="Times New Roman" w:hAnsi="Times New Roman" w:cs="Times New Roman"/>
          <w:color w:val="000000" w:themeColor="text1"/>
          <w:sz w:val="24"/>
        </w:rPr>
        <w:t>. Ithaca: Cornell University Press, 1978.</w:t>
      </w:r>
    </w:p>
    <w:p w14:paraId="7C7B3617" w14:textId="047FB012" w:rsidR="005D5FB3" w:rsidRPr="0074689B"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Dunning, William Archibald. </w:t>
      </w:r>
      <w:r w:rsidRPr="006E5DEE">
        <w:rPr>
          <w:rFonts w:ascii="Times New Roman" w:hAnsi="Times New Roman" w:cs="Times New Roman"/>
          <w:i/>
          <w:iCs/>
          <w:color w:val="000000" w:themeColor="text1"/>
          <w:sz w:val="24"/>
        </w:rPr>
        <w:t>Essays on the Civil War and Reconstruction and Related Topics.</w:t>
      </w:r>
      <w:r w:rsidRPr="006E5DEE">
        <w:rPr>
          <w:rFonts w:ascii="Times New Roman" w:hAnsi="Times New Roman" w:cs="Times New Roman"/>
          <w:color w:val="000000" w:themeColor="text1"/>
          <w:sz w:val="24"/>
        </w:rPr>
        <w:t xml:space="preserve"> New York: Macmillan, 1898.</w:t>
      </w:r>
    </w:p>
    <w:p w14:paraId="5B3C16CE" w14:textId="31925E8F"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Dunning, William Archibald. </w:t>
      </w:r>
      <w:r w:rsidRPr="006E5DEE">
        <w:rPr>
          <w:rFonts w:ascii="Times New Roman" w:hAnsi="Times New Roman" w:cs="Times New Roman"/>
          <w:i/>
          <w:iCs/>
          <w:color w:val="000000" w:themeColor="text1"/>
          <w:sz w:val="24"/>
          <w:szCs w:val="24"/>
        </w:rPr>
        <w:t>Reconstruction: Political &amp; Economic, 1865–1877.</w:t>
      </w:r>
      <w:r w:rsidRPr="006E5DEE">
        <w:rPr>
          <w:rFonts w:ascii="Times New Roman" w:hAnsi="Times New Roman" w:cs="Times New Roman"/>
          <w:color w:val="000000" w:themeColor="text1"/>
          <w:sz w:val="24"/>
          <w:szCs w:val="24"/>
        </w:rPr>
        <w:t xml:space="preserve"> New York: Harper and Brothers, 1907.</w:t>
      </w:r>
    </w:p>
    <w:p w14:paraId="62DA58F4" w14:textId="57425A61"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Edwards, Laura F. </w:t>
      </w:r>
      <w:r w:rsidRPr="006E5DEE">
        <w:rPr>
          <w:rFonts w:ascii="Times New Roman" w:hAnsi="Times New Roman" w:cs="Times New Roman"/>
          <w:i/>
          <w:iCs/>
          <w:color w:val="000000" w:themeColor="text1"/>
          <w:sz w:val="24"/>
        </w:rPr>
        <w:t>Gendered Strife &amp; Confusion: The Political Culture of Reconstruction.</w:t>
      </w:r>
      <w:r w:rsidRPr="006E5DEE">
        <w:rPr>
          <w:rFonts w:ascii="Times New Roman" w:hAnsi="Times New Roman" w:cs="Times New Roman"/>
          <w:color w:val="000000" w:themeColor="text1"/>
          <w:sz w:val="24"/>
        </w:rPr>
        <w:t xml:space="preserve"> Urbana, IL: University of Illinois Press, 1997.</w:t>
      </w:r>
    </w:p>
    <w:p w14:paraId="4CC81CBD" w14:textId="2792318D"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Egerton, Douglas R. </w:t>
      </w:r>
      <w:r w:rsidRPr="006E5DEE">
        <w:rPr>
          <w:rFonts w:ascii="Times New Roman" w:hAnsi="Times New Roman" w:cs="Times New Roman"/>
          <w:i/>
          <w:iCs/>
          <w:color w:val="000000" w:themeColor="text1"/>
          <w:sz w:val="24"/>
        </w:rPr>
        <w:t>The Wars of Reconstruction: The Brief, Violent History of America’s Most Progressive Era</w:t>
      </w:r>
      <w:r w:rsidRPr="006E5DEE">
        <w:rPr>
          <w:rFonts w:ascii="Times New Roman" w:hAnsi="Times New Roman" w:cs="Times New Roman"/>
          <w:color w:val="000000" w:themeColor="text1"/>
          <w:sz w:val="24"/>
        </w:rPr>
        <w:t>. New York: Bloomsbury Press, 2014.</w:t>
      </w:r>
    </w:p>
    <w:p w14:paraId="01A5DE50" w14:textId="2E83C0CC"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Eicher, David J. </w:t>
      </w:r>
      <w:r w:rsidRPr="006E5DEE">
        <w:rPr>
          <w:rFonts w:ascii="Times New Roman" w:hAnsi="Times New Roman" w:cs="Times New Roman"/>
          <w:i/>
          <w:iCs/>
          <w:color w:val="000000" w:themeColor="text1"/>
          <w:sz w:val="24"/>
        </w:rPr>
        <w:t>The Longest Night: A Military History of the Civil War.</w:t>
      </w:r>
      <w:r w:rsidRPr="006E5DEE">
        <w:rPr>
          <w:rFonts w:ascii="Times New Roman" w:hAnsi="Times New Roman" w:cs="Times New Roman"/>
          <w:color w:val="000000" w:themeColor="text1"/>
          <w:sz w:val="24"/>
        </w:rPr>
        <w:t xml:space="preserve"> New York: Simon &amp; Schuster, 2001.</w:t>
      </w:r>
    </w:p>
    <w:p w14:paraId="7C809EA7" w14:textId="0F880C08"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Eicher, John H., and David Eicher. </w:t>
      </w:r>
      <w:r w:rsidRPr="006E5DEE">
        <w:rPr>
          <w:rFonts w:ascii="Times New Roman" w:hAnsi="Times New Roman" w:cs="Times New Roman"/>
          <w:i/>
          <w:iCs/>
          <w:color w:val="000000" w:themeColor="text1"/>
          <w:sz w:val="24"/>
        </w:rPr>
        <w:t>Civil War High Commands</w:t>
      </w:r>
      <w:r w:rsidRPr="006E5DEE">
        <w:rPr>
          <w:rFonts w:ascii="Times New Roman" w:hAnsi="Times New Roman" w:cs="Times New Roman"/>
          <w:color w:val="000000" w:themeColor="text1"/>
          <w:sz w:val="24"/>
        </w:rPr>
        <w:t>. Stanford: Stanford University Press, 2001.</w:t>
      </w:r>
    </w:p>
    <w:p w14:paraId="320EF502" w14:textId="7142520A"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Elazar, Daniel. </w:t>
      </w:r>
      <w:r w:rsidRPr="006E5DEE">
        <w:rPr>
          <w:rFonts w:ascii="Times New Roman" w:hAnsi="Times New Roman" w:cs="Times New Roman"/>
          <w:i/>
          <w:iCs/>
          <w:color w:val="000000" w:themeColor="text1"/>
          <w:sz w:val="24"/>
        </w:rPr>
        <w:t>Building Toward the Civil War: Generational Rhythms in American Politics</w:t>
      </w:r>
      <w:r w:rsidRPr="006E5DEE">
        <w:rPr>
          <w:rFonts w:ascii="Times New Roman" w:hAnsi="Times New Roman" w:cs="Times New Roman"/>
          <w:color w:val="000000" w:themeColor="text1"/>
          <w:sz w:val="24"/>
        </w:rPr>
        <w:t>. Lanham, MD: Madison Books, 1992.</w:t>
      </w:r>
    </w:p>
    <w:p w14:paraId="249B6BE4" w14:textId="1852403F"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Ellis, Joseph, </w:t>
      </w:r>
      <w:r w:rsidRPr="006E5DEE">
        <w:rPr>
          <w:rFonts w:ascii="Times New Roman" w:hAnsi="Times New Roman" w:cs="Times New Roman"/>
          <w:i/>
          <w:iCs/>
          <w:color w:val="000000" w:themeColor="text1"/>
          <w:sz w:val="24"/>
        </w:rPr>
        <w:t>Founding Brothers: The Revolutionary Generation</w:t>
      </w:r>
      <w:r w:rsidRPr="006E5DEE">
        <w:rPr>
          <w:rFonts w:ascii="Times New Roman" w:hAnsi="Times New Roman" w:cs="Times New Roman"/>
          <w:color w:val="000000" w:themeColor="text1"/>
          <w:sz w:val="24"/>
        </w:rPr>
        <w:t>. New York: Alfred A. Knopf, 2000.</w:t>
      </w:r>
    </w:p>
    <w:p w14:paraId="43650090" w14:textId="07A414E0" w:rsidR="005D5FB3" w:rsidRPr="00F12AA1"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Faulkner, Terry and Charles H. Faulkner. </w:t>
      </w:r>
      <w:r w:rsidRPr="006E5DEE">
        <w:rPr>
          <w:rFonts w:ascii="Times New Roman" w:hAnsi="Times New Roman" w:cs="Times New Roman"/>
          <w:i/>
          <w:iCs/>
          <w:color w:val="000000" w:themeColor="text1"/>
          <w:sz w:val="24"/>
        </w:rPr>
        <w:t>Rediscovering Fort Sanders: The American Civil War and its Impact on Knoxville’s Cultural Landscape</w:t>
      </w:r>
      <w:r w:rsidRPr="006E5DEE">
        <w:rPr>
          <w:rFonts w:ascii="Times New Roman" w:hAnsi="Times New Roman" w:cs="Times New Roman"/>
          <w:color w:val="000000" w:themeColor="text1"/>
          <w:sz w:val="24"/>
        </w:rPr>
        <w:t>. Knoxville, TN: University of Tennessee Press, 2020.</w:t>
      </w:r>
    </w:p>
    <w:p w14:paraId="0B783F66" w14:textId="3CC18C5F"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Felknor, Bruce L. </w:t>
      </w:r>
      <w:r w:rsidRPr="006E5DEE">
        <w:rPr>
          <w:rFonts w:ascii="Times New Roman" w:hAnsi="Times New Roman" w:cs="Times New Roman"/>
          <w:i/>
          <w:iCs/>
          <w:color w:val="000000" w:themeColor="text1"/>
          <w:sz w:val="24"/>
          <w:szCs w:val="24"/>
        </w:rPr>
        <w:t>Political Mischief: Smear, Sabotage, and Reform in U.S. Elections</w:t>
      </w:r>
      <w:r w:rsidRPr="006E5DEE">
        <w:rPr>
          <w:rFonts w:ascii="Times New Roman" w:hAnsi="Times New Roman" w:cs="Times New Roman"/>
          <w:color w:val="000000" w:themeColor="text1"/>
          <w:sz w:val="24"/>
          <w:szCs w:val="24"/>
        </w:rPr>
        <w:t>. New York, NY. Praeger, 1992.</w:t>
      </w:r>
    </w:p>
    <w:p w14:paraId="65C568E3" w14:textId="6832FEC9"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Finkelman, Paul, ed. </w:t>
      </w:r>
      <w:r w:rsidRPr="006E5DEE">
        <w:rPr>
          <w:rFonts w:ascii="Times New Roman" w:hAnsi="Times New Roman" w:cs="Times New Roman"/>
          <w:i/>
          <w:iCs/>
          <w:color w:val="000000" w:themeColor="text1"/>
          <w:sz w:val="24"/>
        </w:rPr>
        <w:t>In the Shadow of Freedom: The Politics of Slavery in the National Capital</w:t>
      </w:r>
      <w:r w:rsidRPr="006E5DEE">
        <w:rPr>
          <w:rFonts w:ascii="Times New Roman" w:hAnsi="Times New Roman" w:cs="Times New Roman"/>
          <w:color w:val="000000" w:themeColor="text1"/>
          <w:sz w:val="24"/>
        </w:rPr>
        <w:t>. Athens: Ohio University Press, 2011</w:t>
      </w:r>
      <w:bookmarkStart w:id="104" w:name="_Hlk193881015"/>
    </w:p>
    <w:p w14:paraId="2E07CDF1" w14:textId="482C4904"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Finzsch, Norbert and Jürgen Martschukat, eds. </w:t>
      </w:r>
      <w:r w:rsidRPr="006E5DEE">
        <w:rPr>
          <w:rFonts w:ascii="Times New Roman" w:hAnsi="Times New Roman" w:cs="Times New Roman"/>
          <w:i/>
          <w:iCs/>
          <w:color w:val="000000" w:themeColor="text1"/>
          <w:sz w:val="24"/>
        </w:rPr>
        <w:t>Different Restorations: Reconstruction and Wiederaufbau in the United States and Germany: 1865-1945-1989</w:t>
      </w:r>
      <w:r w:rsidRPr="006E5DEE">
        <w:rPr>
          <w:rFonts w:ascii="Times New Roman" w:hAnsi="Times New Roman" w:cs="Times New Roman"/>
          <w:color w:val="000000" w:themeColor="text1"/>
          <w:sz w:val="24"/>
        </w:rPr>
        <w:t>. New York: Berghahn Books, 1996</w:t>
      </w:r>
      <w:r w:rsidR="00F12AA1">
        <w:rPr>
          <w:rFonts w:ascii="Times New Roman" w:hAnsi="Times New Roman" w:cs="Times New Roman"/>
          <w:color w:val="000000" w:themeColor="text1"/>
          <w:sz w:val="24"/>
        </w:rPr>
        <w:t>.</w:t>
      </w:r>
    </w:p>
    <w:p w14:paraId="15D56E5F" w14:textId="65FA076D"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Fitzgerald, Michael W. </w:t>
      </w:r>
      <w:r w:rsidRPr="006E5DEE">
        <w:rPr>
          <w:rFonts w:ascii="Times New Roman" w:hAnsi="Times New Roman" w:cs="Times New Roman"/>
          <w:i/>
          <w:iCs/>
          <w:color w:val="000000" w:themeColor="text1"/>
          <w:sz w:val="24"/>
        </w:rPr>
        <w:t>Splendid Failure: Postwar Reconstruction in the American South.</w:t>
      </w:r>
      <w:r w:rsidRPr="006E5DEE">
        <w:rPr>
          <w:rFonts w:ascii="Times New Roman" w:hAnsi="Times New Roman" w:cs="Times New Roman"/>
          <w:color w:val="000000" w:themeColor="text1"/>
          <w:sz w:val="24"/>
        </w:rPr>
        <w:t xml:space="preserve"> Chicago: Ivan R. Dee, 2007.</w:t>
      </w:r>
    </w:p>
    <w:p w14:paraId="3D3061B8" w14:textId="43FBCCCB"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Fitzgerald, Sandra and Maria R. Goodwin, </w:t>
      </w:r>
      <w:r w:rsidRPr="006E5DEE">
        <w:rPr>
          <w:rFonts w:ascii="Times New Roman" w:hAnsi="Times New Roman" w:cs="Times New Roman"/>
          <w:i/>
          <w:iCs/>
          <w:color w:val="000000" w:themeColor="text1"/>
          <w:sz w:val="24"/>
        </w:rPr>
        <w:t>A Guide to Black Washington: Places and Events of Historical and Cultural Significance in the Nation’s Capital</w:t>
      </w:r>
      <w:r w:rsidRPr="006E5DEE">
        <w:rPr>
          <w:rFonts w:ascii="Times New Roman" w:hAnsi="Times New Roman" w:cs="Times New Roman"/>
          <w:color w:val="000000" w:themeColor="text1"/>
          <w:sz w:val="24"/>
        </w:rPr>
        <w:t>. New York: Hippocrene Books, 1990.</w:t>
      </w:r>
    </w:p>
    <w:p w14:paraId="1A43B294" w14:textId="2DEC6CAD"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Flood, Charles Bracelen. </w:t>
      </w:r>
      <w:r w:rsidRPr="006E5DEE">
        <w:rPr>
          <w:rFonts w:ascii="Times New Roman" w:hAnsi="Times New Roman" w:cs="Times New Roman"/>
          <w:i/>
          <w:iCs/>
          <w:color w:val="000000" w:themeColor="text1"/>
          <w:sz w:val="24"/>
        </w:rPr>
        <w:t>Grant and Sherman: The Friendship that Won the Civil War</w:t>
      </w:r>
      <w:r w:rsidRPr="006E5DEE">
        <w:rPr>
          <w:rFonts w:ascii="Times New Roman" w:hAnsi="Times New Roman" w:cs="Times New Roman"/>
          <w:color w:val="000000" w:themeColor="text1"/>
          <w:sz w:val="24"/>
        </w:rPr>
        <w:t>. New York: Farrar, Strauss &amp; Giroux, 2006.</w:t>
      </w:r>
    </w:p>
    <w:p w14:paraId="0B45A05F" w14:textId="6211F606"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Flood, Charles Bracelen. </w:t>
      </w:r>
      <w:r w:rsidRPr="006E5DEE">
        <w:rPr>
          <w:rFonts w:ascii="Times New Roman" w:hAnsi="Times New Roman" w:cs="Times New Roman"/>
          <w:i/>
          <w:iCs/>
          <w:color w:val="000000" w:themeColor="text1"/>
          <w:sz w:val="24"/>
        </w:rPr>
        <w:t>Grant’s Final Victory: Ulysses S. Grant’s Heroic Last Year</w:t>
      </w:r>
      <w:r w:rsidRPr="006E5DEE">
        <w:rPr>
          <w:rFonts w:ascii="Times New Roman" w:hAnsi="Times New Roman" w:cs="Times New Roman"/>
          <w:color w:val="000000" w:themeColor="text1"/>
          <w:sz w:val="24"/>
        </w:rPr>
        <w:t>. Cambridge, MA: Da Capo Press, 2011.</w:t>
      </w:r>
    </w:p>
    <w:p w14:paraId="15E3DBB4" w14:textId="66182177"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Foner, Eric. </w:t>
      </w:r>
      <w:r w:rsidRPr="006E5DEE">
        <w:rPr>
          <w:rFonts w:ascii="Times New Roman" w:hAnsi="Times New Roman" w:cs="Times New Roman"/>
          <w:i/>
          <w:iCs/>
          <w:color w:val="000000" w:themeColor="text1"/>
          <w:sz w:val="24"/>
        </w:rPr>
        <w:t>Politics and Ideology in the Age of the Civil War</w:t>
      </w:r>
      <w:r w:rsidRPr="006E5DEE">
        <w:rPr>
          <w:rFonts w:ascii="Times New Roman" w:hAnsi="Times New Roman" w:cs="Times New Roman"/>
          <w:color w:val="000000" w:themeColor="text1"/>
          <w:sz w:val="24"/>
        </w:rPr>
        <w:t>. New York: Oxford University Press, 1980.</w:t>
      </w:r>
      <w:bookmarkStart w:id="105" w:name="_Hlk193878296"/>
      <w:bookmarkEnd w:id="104"/>
    </w:p>
    <w:p w14:paraId="2B75F126" w14:textId="46C8B18A"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Foner, Eric. </w:t>
      </w:r>
      <w:r w:rsidRPr="006E5DEE">
        <w:rPr>
          <w:rFonts w:ascii="Times New Roman" w:hAnsi="Times New Roman" w:cs="Times New Roman"/>
          <w:i/>
          <w:iCs/>
          <w:color w:val="000000" w:themeColor="text1"/>
          <w:sz w:val="24"/>
        </w:rPr>
        <w:t>Reconstruction: Americas Unfinished Revolution, 1863-1877</w:t>
      </w:r>
      <w:r w:rsidRPr="006E5DEE">
        <w:rPr>
          <w:rFonts w:ascii="Times New Roman" w:hAnsi="Times New Roman" w:cs="Times New Roman"/>
          <w:color w:val="000000" w:themeColor="text1"/>
          <w:sz w:val="24"/>
        </w:rPr>
        <w:t>. Updated Edition. New York, NY: Harper Perennial, 2014. (originally 1988)</w:t>
      </w:r>
    </w:p>
    <w:p w14:paraId="2E9EB692" w14:textId="1C4FD6C6"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Foner, Eric. </w:t>
      </w:r>
      <w:r w:rsidRPr="006E5DEE">
        <w:rPr>
          <w:rFonts w:ascii="Times New Roman" w:hAnsi="Times New Roman" w:cs="Times New Roman"/>
          <w:i/>
          <w:iCs/>
          <w:color w:val="000000" w:themeColor="text1"/>
          <w:sz w:val="24"/>
        </w:rPr>
        <w:t>The Second Founding: How the Civil War and Reconstruction Remade the Constitution</w:t>
      </w:r>
      <w:r w:rsidRPr="006E5DEE">
        <w:rPr>
          <w:rFonts w:ascii="Times New Roman" w:hAnsi="Times New Roman" w:cs="Times New Roman"/>
          <w:color w:val="000000" w:themeColor="text1"/>
          <w:sz w:val="24"/>
        </w:rPr>
        <w:t>. New York: W.W. Norton, 2019.</w:t>
      </w:r>
      <w:bookmarkEnd w:id="105"/>
    </w:p>
    <w:p w14:paraId="2B6F2EEF" w14:textId="363372CE"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Foote, Shelby. </w:t>
      </w:r>
      <w:r w:rsidRPr="006E5DEE">
        <w:rPr>
          <w:rFonts w:ascii="Times New Roman" w:hAnsi="Times New Roman" w:cs="Times New Roman"/>
          <w:i/>
          <w:iCs/>
          <w:color w:val="000000" w:themeColor="text1"/>
          <w:sz w:val="24"/>
        </w:rPr>
        <w:t>The Civil War: Volume I: Fort Sumter to Perryville</w:t>
      </w:r>
      <w:r w:rsidRPr="006E5DEE">
        <w:rPr>
          <w:rFonts w:ascii="Times New Roman" w:hAnsi="Times New Roman" w:cs="Times New Roman"/>
          <w:color w:val="000000" w:themeColor="text1"/>
          <w:sz w:val="24"/>
        </w:rPr>
        <w:t>. New York: Vintage Books, 1958.</w:t>
      </w:r>
    </w:p>
    <w:p w14:paraId="352BF89F" w14:textId="6EC80BD2"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Franklin, John Hope. </w:t>
      </w:r>
      <w:r w:rsidRPr="006E5DEE">
        <w:rPr>
          <w:rFonts w:ascii="Times New Roman" w:hAnsi="Times New Roman" w:cs="Times New Roman"/>
          <w:i/>
          <w:iCs/>
          <w:color w:val="000000" w:themeColor="text1"/>
          <w:sz w:val="24"/>
        </w:rPr>
        <w:t>Reconstruction: After the Civil War</w:t>
      </w:r>
      <w:r w:rsidRPr="006E5DEE">
        <w:rPr>
          <w:rFonts w:ascii="Times New Roman" w:hAnsi="Times New Roman" w:cs="Times New Roman"/>
          <w:color w:val="000000" w:themeColor="text1"/>
          <w:sz w:val="24"/>
        </w:rPr>
        <w:t>. Chicago, IL: University of Chicago Press, 1961.</w:t>
      </w:r>
    </w:p>
    <w:p w14:paraId="2671FA3D" w14:textId="0B7A5FF8"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Freeman, Douglas Southall with Richard Harwell, ed. </w:t>
      </w:r>
      <w:r w:rsidRPr="006E5DEE">
        <w:rPr>
          <w:rFonts w:ascii="Times New Roman" w:hAnsi="Times New Roman" w:cs="Times New Roman"/>
          <w:i/>
          <w:iCs/>
          <w:color w:val="000000" w:themeColor="text1"/>
          <w:sz w:val="24"/>
        </w:rPr>
        <w:t>Washington</w:t>
      </w:r>
      <w:r w:rsidRPr="006E5DEE">
        <w:rPr>
          <w:rFonts w:ascii="Times New Roman" w:hAnsi="Times New Roman" w:cs="Times New Roman"/>
          <w:color w:val="000000" w:themeColor="text1"/>
          <w:sz w:val="24"/>
        </w:rPr>
        <w:t>. New York: Charles Scribner &amp; Sons, 1968.</w:t>
      </w:r>
    </w:p>
    <w:p w14:paraId="10CD61AD" w14:textId="70C05720"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Freeman, Joanne B. </w:t>
      </w:r>
      <w:r w:rsidRPr="006E5DEE">
        <w:rPr>
          <w:rFonts w:ascii="Times New Roman" w:hAnsi="Times New Roman" w:cs="Times New Roman"/>
          <w:i/>
          <w:iCs/>
          <w:color w:val="000000" w:themeColor="text1"/>
          <w:sz w:val="24"/>
        </w:rPr>
        <w:t>The Field of Blood: Violence in Congress and the Road to the Civil War</w:t>
      </w:r>
      <w:r w:rsidRPr="006E5DEE">
        <w:rPr>
          <w:rFonts w:ascii="Times New Roman" w:hAnsi="Times New Roman" w:cs="Times New Roman"/>
          <w:color w:val="000000" w:themeColor="text1"/>
          <w:sz w:val="24"/>
        </w:rPr>
        <w:t>. New York: Farrar, Straus and Giroux, 2018.</w:t>
      </w:r>
    </w:p>
    <w:p w14:paraId="64B40B57" w14:textId="1DDB6302"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Fry, Joseph Reese. </w:t>
      </w:r>
      <w:r w:rsidRPr="006E5DEE">
        <w:rPr>
          <w:rFonts w:ascii="Times New Roman" w:hAnsi="Times New Roman" w:cs="Times New Roman"/>
          <w:i/>
          <w:iCs/>
          <w:color w:val="000000" w:themeColor="text1"/>
          <w:sz w:val="24"/>
        </w:rPr>
        <w:t>A Life of General Zachary Taylor</w:t>
      </w:r>
      <w:r w:rsidRPr="006E5DEE">
        <w:rPr>
          <w:rFonts w:ascii="Times New Roman" w:hAnsi="Times New Roman" w:cs="Times New Roman"/>
          <w:color w:val="000000" w:themeColor="text1"/>
          <w:sz w:val="24"/>
        </w:rPr>
        <w:t>. Bedford, MA: Applewood Books, 2009 (originally 1848).</w:t>
      </w:r>
    </w:p>
    <w:p w14:paraId="001A256A" w14:textId="04720B49"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Fuller, A. James. </w:t>
      </w:r>
      <w:r w:rsidRPr="006E5DEE">
        <w:rPr>
          <w:rFonts w:ascii="Times New Roman" w:hAnsi="Times New Roman" w:cs="Times New Roman"/>
          <w:i/>
          <w:iCs/>
          <w:color w:val="000000" w:themeColor="text1"/>
          <w:sz w:val="24"/>
        </w:rPr>
        <w:t>Oliver P. Morton and the Politics of the Civil War</w:t>
      </w:r>
      <w:r w:rsidRPr="006E5DEE">
        <w:rPr>
          <w:rFonts w:ascii="Times New Roman" w:hAnsi="Times New Roman" w:cs="Times New Roman"/>
          <w:color w:val="000000" w:themeColor="text1"/>
          <w:sz w:val="24"/>
        </w:rPr>
        <w:t>. Kent, OH: The Kent State University Press, 2017.</w:t>
      </w:r>
    </w:p>
    <w:p w14:paraId="2F8AC339" w14:textId="2627B4E8"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Gallman, J. Matthew, </w:t>
      </w:r>
      <w:r w:rsidRPr="006E5DEE">
        <w:rPr>
          <w:rFonts w:ascii="Times New Roman" w:hAnsi="Times New Roman" w:cs="Times New Roman"/>
          <w:i/>
          <w:iCs/>
          <w:color w:val="000000" w:themeColor="text1"/>
          <w:sz w:val="24"/>
        </w:rPr>
        <w:t>Defining Duty in the Civil War: Personal Choice, Popular Culture, and the Union Home Front</w:t>
      </w:r>
      <w:r w:rsidRPr="006E5DEE">
        <w:rPr>
          <w:rFonts w:ascii="Times New Roman" w:hAnsi="Times New Roman" w:cs="Times New Roman"/>
          <w:color w:val="000000" w:themeColor="text1"/>
          <w:sz w:val="24"/>
        </w:rPr>
        <w:t>. Chapel Hill: University of North Carolina Press, 2015.</w:t>
      </w:r>
    </w:p>
    <w:p w14:paraId="5DFF9BB6" w14:textId="5C53E366" w:rsidR="005D5FB3" w:rsidRPr="00F12AA1"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Garment, Suzanne. </w:t>
      </w:r>
      <w:r w:rsidRPr="006E5DEE">
        <w:rPr>
          <w:rFonts w:ascii="Times New Roman" w:hAnsi="Times New Roman" w:cs="Times New Roman"/>
          <w:i/>
          <w:iCs/>
          <w:color w:val="000000" w:themeColor="text1"/>
          <w:sz w:val="24"/>
        </w:rPr>
        <w:t>Scandal: The Crisis of Mistrust in American Politics</w:t>
      </w:r>
      <w:r w:rsidRPr="006E5DEE">
        <w:rPr>
          <w:rFonts w:ascii="Times New Roman" w:hAnsi="Times New Roman" w:cs="Times New Roman"/>
          <w:color w:val="000000" w:themeColor="text1"/>
          <w:sz w:val="24"/>
        </w:rPr>
        <w:t>. New York, NY: Times Books, 1991.</w:t>
      </w:r>
    </w:p>
    <w:p w14:paraId="159B3D63" w14:textId="1947A5F6" w:rsidR="005D5FB3" w:rsidRPr="00F12AA1"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Garner, James Wilford. </w:t>
      </w:r>
      <w:r w:rsidRPr="006E5DEE">
        <w:rPr>
          <w:rFonts w:ascii="Times New Roman" w:hAnsi="Times New Roman" w:cs="Times New Roman"/>
          <w:i/>
          <w:iCs/>
          <w:color w:val="000000" w:themeColor="text1"/>
          <w:sz w:val="24"/>
          <w:szCs w:val="24"/>
        </w:rPr>
        <w:t>Reconstruction in Mississippi</w:t>
      </w:r>
      <w:r w:rsidRPr="006E5DEE">
        <w:rPr>
          <w:rFonts w:ascii="Times New Roman" w:hAnsi="Times New Roman" w:cs="Times New Roman"/>
          <w:color w:val="000000" w:themeColor="text1"/>
          <w:sz w:val="24"/>
          <w:szCs w:val="24"/>
        </w:rPr>
        <w:t>. New York: Macmillan, 1901.</w:t>
      </w:r>
    </w:p>
    <w:p w14:paraId="1FE1F06A" w14:textId="6CB6830A" w:rsidR="005D5FB3" w:rsidRPr="00F12AA1"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lastRenderedPageBreak/>
        <w:t xml:space="preserve">Gates Jr., Henry Louis. </w:t>
      </w:r>
      <w:r w:rsidRPr="006E5DEE">
        <w:rPr>
          <w:rFonts w:ascii="Times New Roman" w:hAnsi="Times New Roman" w:cs="Times New Roman"/>
          <w:i/>
          <w:iCs/>
          <w:color w:val="000000" w:themeColor="text1"/>
          <w:sz w:val="24"/>
          <w:szCs w:val="24"/>
        </w:rPr>
        <w:t>Stony the Road: Reconstruction, White Supremacy, and the Rise of Jim Crow</w:t>
      </w:r>
      <w:r w:rsidRPr="006E5DEE">
        <w:rPr>
          <w:rFonts w:ascii="Times New Roman" w:hAnsi="Times New Roman" w:cs="Times New Roman"/>
          <w:color w:val="000000" w:themeColor="text1"/>
          <w:sz w:val="24"/>
          <w:szCs w:val="24"/>
        </w:rPr>
        <w:t>. New York: Penguin Press, 2019.</w:t>
      </w:r>
    </w:p>
    <w:p w14:paraId="1D69F6A1" w14:textId="30CE0B13"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Genovese, Michael A. and Victoria A. Farrar-Myers, Eds. </w:t>
      </w:r>
      <w:r w:rsidRPr="006E5DEE">
        <w:rPr>
          <w:rFonts w:ascii="Times New Roman" w:hAnsi="Times New Roman" w:cs="Times New Roman"/>
          <w:i/>
          <w:iCs/>
          <w:color w:val="000000" w:themeColor="text1"/>
          <w:sz w:val="24"/>
          <w:szCs w:val="24"/>
        </w:rPr>
        <w:t>Corruption and American Politics</w:t>
      </w:r>
      <w:r w:rsidRPr="006E5DEE">
        <w:rPr>
          <w:rFonts w:ascii="Times New Roman" w:hAnsi="Times New Roman" w:cs="Times New Roman"/>
          <w:color w:val="000000" w:themeColor="text1"/>
          <w:sz w:val="24"/>
          <w:szCs w:val="24"/>
        </w:rPr>
        <w:t>. Amherst, NY: Cambria Press, 2010.</w:t>
      </w:r>
    </w:p>
    <w:p w14:paraId="4E554424" w14:textId="6B8B95DE"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Gerstle. Gary. </w:t>
      </w:r>
      <w:r w:rsidRPr="006E5DEE">
        <w:rPr>
          <w:rFonts w:ascii="Times New Roman" w:hAnsi="Times New Roman" w:cs="Times New Roman"/>
          <w:i/>
          <w:iCs/>
          <w:color w:val="000000" w:themeColor="text1"/>
          <w:sz w:val="24"/>
        </w:rPr>
        <w:t>Liberty and Coercion: The Paradox of American Government from the Founding to the Present.</w:t>
      </w:r>
      <w:r w:rsidRPr="006E5DEE">
        <w:rPr>
          <w:rFonts w:ascii="Times New Roman" w:hAnsi="Times New Roman" w:cs="Times New Roman"/>
          <w:color w:val="000000" w:themeColor="text1"/>
          <w:sz w:val="24"/>
        </w:rPr>
        <w:t xml:space="preserve">  Princeton: Princeton University Press, 2015.</w:t>
      </w:r>
    </w:p>
    <w:p w14:paraId="55507CDF" w14:textId="650147CD"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Gilette, William. </w:t>
      </w:r>
      <w:r w:rsidRPr="006E5DEE">
        <w:rPr>
          <w:rFonts w:ascii="Times New Roman" w:hAnsi="Times New Roman" w:cs="Times New Roman"/>
          <w:i/>
          <w:iCs/>
          <w:color w:val="000000" w:themeColor="text1"/>
          <w:sz w:val="24"/>
        </w:rPr>
        <w:t>Retreat from Reconstruction, 1869-1879.</w:t>
      </w:r>
      <w:r w:rsidRPr="006E5DEE">
        <w:rPr>
          <w:rFonts w:ascii="Times New Roman" w:hAnsi="Times New Roman" w:cs="Times New Roman"/>
          <w:color w:val="000000" w:themeColor="text1"/>
          <w:sz w:val="24"/>
        </w:rPr>
        <w:t xml:space="preserve"> Baton Rouge: Louisiana State University Press, 1982.</w:t>
      </w:r>
    </w:p>
    <w:p w14:paraId="45B1C2C8" w14:textId="767F231A"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Ginzberg, Lori. </w:t>
      </w:r>
      <w:r w:rsidRPr="006E5DEE">
        <w:rPr>
          <w:rFonts w:ascii="Times New Roman" w:hAnsi="Times New Roman" w:cs="Times New Roman"/>
          <w:i/>
          <w:iCs/>
          <w:color w:val="000000" w:themeColor="text1"/>
          <w:sz w:val="24"/>
        </w:rPr>
        <w:t>Women and the Work of Benevolence: Morality, Politics, and Class in Nineteenth-Century New York</w:t>
      </w:r>
      <w:r w:rsidRPr="006E5DEE">
        <w:rPr>
          <w:rFonts w:ascii="Times New Roman" w:hAnsi="Times New Roman" w:cs="Times New Roman"/>
          <w:color w:val="000000" w:themeColor="text1"/>
          <w:sz w:val="24"/>
        </w:rPr>
        <w:t>. New Haven: Yale University Pres, 1990.</w:t>
      </w:r>
    </w:p>
    <w:p w14:paraId="77438ECA" w14:textId="7D2C81E0"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Glymph, Thavolia. </w:t>
      </w:r>
      <w:r w:rsidRPr="006E5DEE">
        <w:rPr>
          <w:rFonts w:ascii="Times New Roman" w:hAnsi="Times New Roman" w:cs="Times New Roman"/>
          <w:i/>
          <w:iCs/>
          <w:color w:val="000000" w:themeColor="text1"/>
          <w:sz w:val="24"/>
        </w:rPr>
        <w:t xml:space="preserve">Out of the House of Bondage: The Transformation of the Plantation Household. </w:t>
      </w:r>
      <w:r w:rsidRPr="006E5DEE">
        <w:rPr>
          <w:rFonts w:ascii="Times New Roman" w:hAnsi="Times New Roman" w:cs="Times New Roman"/>
          <w:color w:val="000000" w:themeColor="text1"/>
          <w:sz w:val="24"/>
        </w:rPr>
        <w:t xml:space="preserve">New York: Cambridge University Press, 2008. </w:t>
      </w:r>
    </w:p>
    <w:p w14:paraId="59115CA9" w14:textId="2F7F58A0"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Golway, Terry. </w:t>
      </w:r>
      <w:r w:rsidRPr="006E5DEE">
        <w:rPr>
          <w:rFonts w:ascii="Times New Roman" w:hAnsi="Times New Roman" w:cs="Times New Roman"/>
          <w:i/>
          <w:iCs/>
          <w:color w:val="000000" w:themeColor="text1"/>
          <w:sz w:val="24"/>
        </w:rPr>
        <w:t xml:space="preserve">Machine Made: Tammany Hall and the Creation of Modern American Politics. </w:t>
      </w:r>
      <w:r w:rsidRPr="006E5DEE">
        <w:rPr>
          <w:rFonts w:ascii="Times New Roman" w:hAnsi="Times New Roman" w:cs="Times New Roman"/>
          <w:color w:val="000000" w:themeColor="text1"/>
          <w:sz w:val="24"/>
        </w:rPr>
        <w:t>New York: Liveright, 2014.</w:t>
      </w:r>
    </w:p>
    <w:p w14:paraId="051B70E3" w14:textId="4377BB7B"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Goss, Thomas J. </w:t>
      </w:r>
      <w:r w:rsidRPr="006E5DEE">
        <w:rPr>
          <w:rFonts w:ascii="Times New Roman" w:hAnsi="Times New Roman" w:cs="Times New Roman"/>
          <w:i/>
          <w:iCs/>
          <w:color w:val="000000" w:themeColor="text1"/>
          <w:sz w:val="24"/>
        </w:rPr>
        <w:t>The War within the Union High Command: Politics and Generalship during the Civil War</w:t>
      </w:r>
      <w:r w:rsidRPr="006E5DEE">
        <w:rPr>
          <w:rFonts w:ascii="Times New Roman" w:hAnsi="Times New Roman" w:cs="Times New Roman"/>
          <w:color w:val="000000" w:themeColor="text1"/>
          <w:sz w:val="24"/>
        </w:rPr>
        <w:t>. Lawrence, KS: University Press of Kansas, 2003.</w:t>
      </w:r>
    </w:p>
    <w:p w14:paraId="4049064F" w14:textId="636030DA"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Gould, Lewis L. </w:t>
      </w:r>
      <w:r w:rsidRPr="006E5DEE">
        <w:rPr>
          <w:rFonts w:ascii="Times New Roman" w:hAnsi="Times New Roman" w:cs="Times New Roman"/>
          <w:i/>
          <w:iCs/>
          <w:color w:val="000000" w:themeColor="text1"/>
          <w:sz w:val="24"/>
        </w:rPr>
        <w:t>The Republicans: A History of the Grand Old Party</w:t>
      </w:r>
      <w:r w:rsidRPr="006E5DEE">
        <w:rPr>
          <w:rFonts w:ascii="Times New Roman" w:hAnsi="Times New Roman" w:cs="Times New Roman"/>
          <w:color w:val="000000" w:themeColor="text1"/>
          <w:sz w:val="24"/>
        </w:rPr>
        <w:t>. 2</w:t>
      </w:r>
      <w:r w:rsidRPr="006E5DEE">
        <w:rPr>
          <w:rFonts w:ascii="Times New Roman" w:hAnsi="Times New Roman" w:cs="Times New Roman"/>
          <w:color w:val="000000" w:themeColor="text1"/>
          <w:sz w:val="24"/>
          <w:vertAlign w:val="superscript"/>
        </w:rPr>
        <w:t>nd</w:t>
      </w:r>
      <w:r w:rsidRPr="006E5DEE">
        <w:rPr>
          <w:rFonts w:ascii="Times New Roman" w:hAnsi="Times New Roman" w:cs="Times New Roman"/>
          <w:color w:val="000000" w:themeColor="text1"/>
          <w:sz w:val="24"/>
        </w:rPr>
        <w:t xml:space="preserve"> Edition. New York: Oxford University Press, 2014.</w:t>
      </w:r>
    </w:p>
    <w:p w14:paraId="76CCCA88" w14:textId="7C3F0CDC"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Green, Constance McLaughlin. </w:t>
      </w:r>
      <w:r w:rsidRPr="006E5DEE">
        <w:rPr>
          <w:rFonts w:ascii="Times New Roman" w:hAnsi="Times New Roman" w:cs="Times New Roman"/>
          <w:i/>
          <w:iCs/>
          <w:color w:val="000000" w:themeColor="text1"/>
          <w:sz w:val="24"/>
        </w:rPr>
        <w:t>Washington, Village and Capital, 1800-1878</w:t>
      </w:r>
      <w:r w:rsidRPr="006E5DEE">
        <w:rPr>
          <w:rFonts w:ascii="Times New Roman" w:hAnsi="Times New Roman" w:cs="Times New Roman"/>
          <w:color w:val="000000" w:themeColor="text1"/>
          <w:sz w:val="24"/>
        </w:rPr>
        <w:t>. Vol 2. Princeton, NJ: Princeton University Press, 1962.</w:t>
      </w:r>
    </w:p>
    <w:p w14:paraId="15B16ACA" w14:textId="19DD42D2"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Grossman, Mark. </w:t>
      </w:r>
      <w:r w:rsidRPr="006E5DEE">
        <w:rPr>
          <w:rFonts w:ascii="Times New Roman" w:hAnsi="Times New Roman" w:cs="Times New Roman"/>
          <w:i/>
          <w:iCs/>
          <w:color w:val="000000" w:themeColor="text1"/>
          <w:sz w:val="24"/>
        </w:rPr>
        <w:t>Political Corruption in America: An Encyclopedia of Scandals, Power, and Greed</w:t>
      </w:r>
      <w:r w:rsidRPr="006E5DEE">
        <w:rPr>
          <w:rFonts w:ascii="Times New Roman" w:hAnsi="Times New Roman" w:cs="Times New Roman"/>
          <w:color w:val="000000" w:themeColor="text1"/>
          <w:sz w:val="24"/>
        </w:rPr>
        <w:t>. Santa Barbara, CA: ABCCLIO, 2003.</w:t>
      </w:r>
    </w:p>
    <w:p w14:paraId="737E8339" w14:textId="58591F2C"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Guelzo, Allen C. </w:t>
      </w:r>
      <w:r w:rsidRPr="006E5DEE">
        <w:rPr>
          <w:rFonts w:ascii="Times New Roman" w:hAnsi="Times New Roman" w:cs="Times New Roman"/>
          <w:i/>
          <w:iCs/>
          <w:color w:val="000000" w:themeColor="text1"/>
          <w:sz w:val="24"/>
        </w:rPr>
        <w:t>Fateful Lightning: A New History of the Civil War and Reconstruction</w:t>
      </w:r>
      <w:r w:rsidRPr="006E5DEE">
        <w:rPr>
          <w:rFonts w:ascii="Times New Roman" w:hAnsi="Times New Roman" w:cs="Times New Roman"/>
          <w:color w:val="000000" w:themeColor="text1"/>
          <w:sz w:val="24"/>
        </w:rPr>
        <w:t>. Oxford: Oxford University Press, 2012.</w:t>
      </w:r>
    </w:p>
    <w:p w14:paraId="72AB0615" w14:textId="6E0DAD41"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Hahn, Steven. </w:t>
      </w:r>
      <w:r w:rsidRPr="006E5DEE">
        <w:rPr>
          <w:rFonts w:ascii="Times New Roman" w:hAnsi="Times New Roman" w:cs="Times New Roman"/>
          <w:i/>
          <w:iCs/>
          <w:color w:val="000000" w:themeColor="text1"/>
          <w:sz w:val="24"/>
        </w:rPr>
        <w:t>A Nation under Our Feet: Black Political Struggles in the Rural South from Slavery to the Great Migration.</w:t>
      </w:r>
      <w:r w:rsidRPr="006E5DEE">
        <w:rPr>
          <w:rFonts w:ascii="Times New Roman" w:hAnsi="Times New Roman" w:cs="Times New Roman"/>
          <w:color w:val="000000" w:themeColor="text1"/>
          <w:sz w:val="24"/>
        </w:rPr>
        <w:t xml:space="preserve"> Cambridge, MA: Belknap Press of Harvard Univ. Press, 2005. </w:t>
      </w:r>
    </w:p>
    <w:p w14:paraId="17DCAB21" w14:textId="1DBC8163"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Hammond, Bray. </w:t>
      </w:r>
      <w:r w:rsidRPr="006E5DEE">
        <w:rPr>
          <w:rFonts w:ascii="Times New Roman" w:hAnsi="Times New Roman" w:cs="Times New Roman"/>
          <w:i/>
          <w:iCs/>
          <w:color w:val="000000" w:themeColor="text1"/>
          <w:sz w:val="24"/>
        </w:rPr>
        <w:t>Sovereignty and an Empty Purse: Banks and Politics in the Civil War</w:t>
      </w:r>
      <w:r w:rsidRPr="006E5DEE">
        <w:rPr>
          <w:rFonts w:ascii="Times New Roman" w:hAnsi="Times New Roman" w:cs="Times New Roman"/>
          <w:color w:val="000000" w:themeColor="text1"/>
          <w:sz w:val="24"/>
        </w:rPr>
        <w:t>. Princeton, NJ: Princeton University Press, 1970.</w:t>
      </w:r>
    </w:p>
    <w:p w14:paraId="4E77CD82" w14:textId="63BC86A8"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Hansen, Stephen L. </w:t>
      </w:r>
      <w:r w:rsidRPr="006E5DEE">
        <w:rPr>
          <w:rFonts w:ascii="Times New Roman" w:hAnsi="Times New Roman" w:cs="Times New Roman"/>
          <w:i/>
          <w:iCs/>
          <w:color w:val="000000" w:themeColor="text1"/>
          <w:sz w:val="24"/>
        </w:rPr>
        <w:t>The Making of the Third Party System: Voters and Parties in Illinois, 1850–1876</w:t>
      </w:r>
      <w:r w:rsidRPr="006E5DEE">
        <w:rPr>
          <w:rFonts w:ascii="Times New Roman" w:hAnsi="Times New Roman" w:cs="Times New Roman"/>
          <w:color w:val="000000" w:themeColor="text1"/>
          <w:sz w:val="24"/>
        </w:rPr>
        <w:t>. Ann Arbor, MI: UMI Research Press, 1980.</w:t>
      </w:r>
    </w:p>
    <w:p w14:paraId="45760118" w14:textId="5286D71D"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Harlow, Luke. </w:t>
      </w:r>
      <w:r w:rsidRPr="006E5DEE">
        <w:rPr>
          <w:rFonts w:ascii="Times New Roman" w:hAnsi="Times New Roman" w:cs="Times New Roman"/>
          <w:i/>
          <w:iCs/>
          <w:color w:val="000000" w:themeColor="text1"/>
          <w:sz w:val="24"/>
        </w:rPr>
        <w:t>Religion, Race, and the Making of Confederate Kentucky, 1830-1880</w:t>
      </w:r>
      <w:r w:rsidRPr="006E5DEE">
        <w:rPr>
          <w:rFonts w:ascii="Times New Roman" w:hAnsi="Times New Roman" w:cs="Times New Roman"/>
          <w:color w:val="000000" w:themeColor="text1"/>
          <w:sz w:val="24"/>
        </w:rPr>
        <w:t>. Cambridge: Cambridge University Press, 2014.</w:t>
      </w:r>
    </w:p>
    <w:p w14:paraId="4AC9F755" w14:textId="19F74596"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Harrison, Robert. </w:t>
      </w:r>
      <w:r w:rsidRPr="006E5DEE">
        <w:rPr>
          <w:rFonts w:ascii="Times New Roman" w:hAnsi="Times New Roman" w:cs="Times New Roman"/>
          <w:i/>
          <w:iCs/>
          <w:color w:val="000000" w:themeColor="text1"/>
          <w:sz w:val="24"/>
        </w:rPr>
        <w:t>Washington during Civil War and Reconstruction: Race and Radicalism</w:t>
      </w:r>
      <w:r w:rsidRPr="006E5DEE">
        <w:rPr>
          <w:rFonts w:ascii="Times New Roman" w:hAnsi="Times New Roman" w:cs="Times New Roman"/>
          <w:color w:val="000000" w:themeColor="text1"/>
          <w:sz w:val="24"/>
        </w:rPr>
        <w:t>. New York: Cambridge University Press, 2011.</w:t>
      </w:r>
    </w:p>
    <w:p w14:paraId="5E801C2D" w14:textId="3E353AFF"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Hart, John. </w:t>
      </w:r>
      <w:r w:rsidRPr="006E5DEE">
        <w:rPr>
          <w:rFonts w:ascii="Times New Roman" w:hAnsi="Times New Roman" w:cs="Times New Roman"/>
          <w:i/>
          <w:iCs/>
          <w:color w:val="000000" w:themeColor="text1"/>
          <w:sz w:val="24"/>
        </w:rPr>
        <w:t>The Presidential Branch</w:t>
      </w:r>
      <w:r w:rsidRPr="006E5DEE">
        <w:rPr>
          <w:rFonts w:ascii="Times New Roman" w:hAnsi="Times New Roman" w:cs="Times New Roman"/>
          <w:color w:val="000000" w:themeColor="text1"/>
          <w:sz w:val="24"/>
        </w:rPr>
        <w:t>. New York, NY: Pergamon Press, 1987.</w:t>
      </w:r>
    </w:p>
    <w:p w14:paraId="068845A7" w14:textId="1B25289F"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Hart, John Mason. </w:t>
      </w:r>
      <w:r w:rsidRPr="006E5DEE">
        <w:rPr>
          <w:rFonts w:ascii="Times New Roman" w:hAnsi="Times New Roman" w:cs="Times New Roman"/>
          <w:i/>
          <w:iCs/>
          <w:color w:val="000000" w:themeColor="text1"/>
          <w:sz w:val="24"/>
        </w:rPr>
        <w:t>The Silver of the Sierra Madre: John Robinson, Boss Shepherd, and the People of the Canyons</w:t>
      </w:r>
      <w:r w:rsidRPr="006E5DEE">
        <w:rPr>
          <w:rFonts w:ascii="Times New Roman" w:hAnsi="Times New Roman" w:cs="Times New Roman"/>
          <w:color w:val="000000" w:themeColor="text1"/>
          <w:sz w:val="24"/>
        </w:rPr>
        <w:t>. Tucson: The University of Arizona Press, 2008.</w:t>
      </w:r>
    </w:p>
    <w:p w14:paraId="4B20BBC8" w14:textId="7B942962"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Harris, Charles Wesley. </w:t>
      </w:r>
      <w:r w:rsidRPr="006E5DEE">
        <w:rPr>
          <w:rFonts w:ascii="Times New Roman" w:hAnsi="Times New Roman" w:cs="Times New Roman"/>
          <w:i/>
          <w:iCs/>
          <w:color w:val="000000" w:themeColor="text1"/>
          <w:sz w:val="24"/>
        </w:rPr>
        <w:t>Congress and the Governance of the Nation’s Capital: The Conflict of Federal and Local Interests</w:t>
      </w:r>
      <w:r w:rsidRPr="006E5DEE">
        <w:rPr>
          <w:rFonts w:ascii="Times New Roman" w:hAnsi="Times New Roman" w:cs="Times New Roman"/>
          <w:color w:val="000000" w:themeColor="text1"/>
          <w:sz w:val="24"/>
        </w:rPr>
        <w:t>. Washington: Georgetown University Press, 1995.</w:t>
      </w:r>
    </w:p>
    <w:p w14:paraId="015F6E05" w14:textId="7E049BB2"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Haynes, George H. </w:t>
      </w:r>
      <w:r w:rsidRPr="006E5DEE">
        <w:rPr>
          <w:rFonts w:ascii="Times New Roman" w:hAnsi="Times New Roman" w:cs="Times New Roman"/>
          <w:i/>
          <w:iCs/>
          <w:color w:val="000000" w:themeColor="text1"/>
          <w:sz w:val="24"/>
        </w:rPr>
        <w:t>Charles Sumner: American Crisis Biographies.</w:t>
      </w:r>
      <w:r w:rsidRPr="006E5DEE">
        <w:rPr>
          <w:rFonts w:ascii="Times New Roman" w:hAnsi="Times New Roman" w:cs="Times New Roman"/>
          <w:color w:val="000000" w:themeColor="text1"/>
          <w:sz w:val="24"/>
        </w:rPr>
        <w:t xml:space="preserve"> Philadelphia, PA: George W. Jacobs &amp; Company, 1909.</w:t>
      </w:r>
      <w:bookmarkStart w:id="106" w:name="_Hlk193974027"/>
    </w:p>
    <w:p w14:paraId="065E88E0" w14:textId="11D5E8B0"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Head, David and Timothy C. Hemmis, Eds. </w:t>
      </w:r>
      <w:r w:rsidRPr="006E5DEE">
        <w:rPr>
          <w:rFonts w:ascii="Times New Roman" w:hAnsi="Times New Roman" w:cs="Times New Roman"/>
          <w:i/>
          <w:iCs/>
          <w:color w:val="000000" w:themeColor="text1"/>
          <w:sz w:val="24"/>
        </w:rPr>
        <w:t>A Republic of Scoundrels: The Schemers. Intriguers, and Adventurers Who Created a New American Nation</w:t>
      </w:r>
      <w:r w:rsidRPr="006E5DEE">
        <w:rPr>
          <w:rFonts w:ascii="Times New Roman" w:hAnsi="Times New Roman" w:cs="Times New Roman"/>
          <w:color w:val="000000" w:themeColor="text1"/>
          <w:sz w:val="24"/>
        </w:rPr>
        <w:t>. New York, NY: Pegasus Books, 2023.</w:t>
      </w:r>
      <w:bookmarkEnd w:id="106"/>
    </w:p>
    <w:p w14:paraId="19EBED6F" w14:textId="419F2C75"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Hesseltine, William B. </w:t>
      </w:r>
      <w:r w:rsidRPr="006E5DEE">
        <w:rPr>
          <w:rFonts w:ascii="Times New Roman" w:hAnsi="Times New Roman" w:cs="Times New Roman"/>
          <w:i/>
          <w:color w:val="000000" w:themeColor="text1"/>
          <w:sz w:val="24"/>
        </w:rPr>
        <w:t>Ulysses S. Grant: Politician</w:t>
      </w:r>
      <w:r w:rsidRPr="006E5DEE">
        <w:rPr>
          <w:rFonts w:ascii="Times New Roman" w:hAnsi="Times New Roman" w:cs="Times New Roman"/>
          <w:color w:val="000000" w:themeColor="text1"/>
          <w:sz w:val="24"/>
        </w:rPr>
        <w:t>. New York: Dodd, Mead and Co., 1935.</w:t>
      </w:r>
    </w:p>
    <w:p w14:paraId="2B0EFB7E" w14:textId="12795BB9"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Hobbs, Edward H. </w:t>
      </w:r>
      <w:r w:rsidRPr="006E5DEE">
        <w:rPr>
          <w:rFonts w:ascii="Times New Roman" w:hAnsi="Times New Roman" w:cs="Times New Roman"/>
          <w:i/>
          <w:iCs/>
          <w:color w:val="000000" w:themeColor="text1"/>
          <w:sz w:val="24"/>
        </w:rPr>
        <w:t>Behind the President: A Study of Executive Office Agencies</w:t>
      </w:r>
      <w:r w:rsidRPr="006E5DEE">
        <w:rPr>
          <w:rFonts w:ascii="Times New Roman" w:hAnsi="Times New Roman" w:cs="Times New Roman"/>
          <w:color w:val="000000" w:themeColor="text1"/>
          <w:sz w:val="24"/>
        </w:rPr>
        <w:t>. Washington, DC: Public Affairs Press, 1954.</w:t>
      </w:r>
    </w:p>
    <w:p w14:paraId="4971D4E7" w14:textId="54C08C2B"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Hoffer, Peter Charles. </w:t>
      </w:r>
      <w:r w:rsidRPr="006E5DEE">
        <w:rPr>
          <w:rFonts w:ascii="Times New Roman" w:hAnsi="Times New Roman" w:cs="Times New Roman"/>
          <w:i/>
          <w:iCs/>
          <w:color w:val="000000" w:themeColor="text1"/>
          <w:sz w:val="24"/>
        </w:rPr>
        <w:t>Uncivil Warriors: The Lawyers’ Civil War</w:t>
      </w:r>
      <w:r w:rsidRPr="006E5DEE">
        <w:rPr>
          <w:rFonts w:ascii="Times New Roman" w:hAnsi="Times New Roman" w:cs="Times New Roman"/>
          <w:color w:val="000000" w:themeColor="text1"/>
          <w:sz w:val="24"/>
        </w:rPr>
        <w:t>. New York: Oxford University Press, 2018.</w:t>
      </w:r>
    </w:p>
    <w:p w14:paraId="68D87D6B" w14:textId="79CE1DCB"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Hofstadter, Richard. </w:t>
      </w:r>
      <w:r w:rsidRPr="006E5DEE">
        <w:rPr>
          <w:rFonts w:ascii="Times New Roman" w:hAnsi="Times New Roman" w:cs="Times New Roman"/>
          <w:i/>
          <w:iCs/>
          <w:color w:val="000000" w:themeColor="text1"/>
          <w:sz w:val="24"/>
        </w:rPr>
        <w:t xml:space="preserve">The American Political Tradition and the Men Who Made It. </w:t>
      </w:r>
      <w:r w:rsidRPr="006E5DEE">
        <w:rPr>
          <w:rFonts w:ascii="Times New Roman" w:hAnsi="Times New Roman" w:cs="Times New Roman"/>
          <w:color w:val="000000" w:themeColor="text1"/>
          <w:sz w:val="24"/>
        </w:rPr>
        <w:t>New York, NY: Vintage Books, 1948.</w:t>
      </w:r>
    </w:p>
    <w:p w14:paraId="2CDED875" w14:textId="7359DC38"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Hogeland, William. </w:t>
      </w:r>
      <w:r w:rsidRPr="006E5DEE">
        <w:rPr>
          <w:rFonts w:ascii="Times New Roman" w:hAnsi="Times New Roman" w:cs="Times New Roman"/>
          <w:i/>
          <w:iCs/>
          <w:color w:val="000000" w:themeColor="text1"/>
          <w:sz w:val="24"/>
        </w:rPr>
        <w:t>The Whiskey Rebellion: George Washington, Alexander Hamilton, and the Frontier Rebels Who Challenged America’s Newfound Sovereignty</w:t>
      </w:r>
      <w:r w:rsidRPr="006E5DEE">
        <w:rPr>
          <w:rFonts w:ascii="Times New Roman" w:hAnsi="Times New Roman" w:cs="Times New Roman"/>
          <w:color w:val="000000" w:themeColor="text1"/>
          <w:sz w:val="24"/>
        </w:rPr>
        <w:t>. New York: Scribner, 2006.</w:t>
      </w:r>
    </w:p>
    <w:p w14:paraId="5B95E7E3" w14:textId="59624AB3" w:rsidR="005D5FB3" w:rsidRPr="00F12AA1"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hAnsi="Times New Roman" w:cs="Times New Roman"/>
          <w:color w:val="000000" w:themeColor="text1"/>
          <w:sz w:val="24"/>
        </w:rPr>
        <w:t xml:space="preserve">Holland, Jesse. </w:t>
      </w:r>
      <w:r w:rsidRPr="006E5DEE">
        <w:rPr>
          <w:rFonts w:ascii="Times New Roman" w:hAnsi="Times New Roman" w:cs="Times New Roman"/>
          <w:i/>
          <w:iCs/>
          <w:color w:val="000000" w:themeColor="text1"/>
          <w:sz w:val="24"/>
        </w:rPr>
        <w:t>Black Men Built the Capitol: Discovering African-American History In and Around Washington D.C.</w:t>
      </w:r>
      <w:r w:rsidRPr="006E5DEE">
        <w:rPr>
          <w:rFonts w:ascii="Times New Roman" w:hAnsi="Times New Roman" w:cs="Times New Roman"/>
          <w:color w:val="000000" w:themeColor="text1"/>
          <w:sz w:val="24"/>
        </w:rPr>
        <w:t xml:space="preserve"> Guilford, CT: Lyons Press, 2017.</w:t>
      </w:r>
    </w:p>
    <w:p w14:paraId="5F8F6D24" w14:textId="2AD8A6B2" w:rsidR="005D5FB3" w:rsidRPr="006E5DEE"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hAnsi="Times New Roman" w:cs="Times New Roman"/>
          <w:color w:val="000000" w:themeColor="text1"/>
          <w:sz w:val="24"/>
        </w:rPr>
        <w:t xml:space="preserve">Holt, Michael F. </w:t>
      </w:r>
      <w:r w:rsidRPr="006E5DEE">
        <w:rPr>
          <w:rFonts w:ascii="Times New Roman" w:hAnsi="Times New Roman" w:cs="Times New Roman"/>
          <w:i/>
          <w:iCs/>
          <w:color w:val="000000" w:themeColor="text1"/>
          <w:sz w:val="24"/>
        </w:rPr>
        <w:t xml:space="preserve">By One Vote: The Disputed Presidential Election of 1876. </w:t>
      </w:r>
      <w:r w:rsidRPr="006E5DEE">
        <w:rPr>
          <w:rFonts w:ascii="Times New Roman" w:hAnsi="Times New Roman" w:cs="Times New Roman"/>
          <w:color w:val="000000" w:themeColor="text1"/>
          <w:sz w:val="24"/>
        </w:rPr>
        <w:t>Lawrence: University Press of Kansas, 2008.</w:t>
      </w:r>
    </w:p>
    <w:p w14:paraId="66FFC2AD" w14:textId="547FC332" w:rsidR="005D5FB3" w:rsidRPr="00F12AA1"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Holton, Woody. </w:t>
      </w:r>
      <w:r w:rsidRPr="006E5DEE">
        <w:rPr>
          <w:rFonts w:ascii="Times New Roman" w:eastAsia="Times New Roman" w:hAnsi="Times New Roman" w:cs="Times New Roman"/>
          <w:i/>
          <w:iCs/>
          <w:color w:val="000000" w:themeColor="text1"/>
          <w:sz w:val="24"/>
          <w:szCs w:val="24"/>
        </w:rPr>
        <w:t>Unruly Americans and the Origins of the Constitution</w:t>
      </w:r>
      <w:r w:rsidRPr="006E5DEE">
        <w:rPr>
          <w:rFonts w:ascii="Times New Roman" w:eastAsia="Times New Roman" w:hAnsi="Times New Roman" w:cs="Times New Roman"/>
          <w:color w:val="000000" w:themeColor="text1"/>
          <w:sz w:val="24"/>
          <w:szCs w:val="24"/>
        </w:rPr>
        <w:t>. New York: Hill and Wang, 2007.</w:t>
      </w:r>
    </w:p>
    <w:p w14:paraId="2A3CDF81" w14:textId="44702869" w:rsidR="005D5FB3" w:rsidRPr="006E5DEE"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hAnsi="Times New Roman" w:cs="Times New Roman"/>
          <w:color w:val="000000" w:themeColor="text1"/>
          <w:sz w:val="24"/>
        </w:rPr>
        <w:t xml:space="preserve">Hoogenboom, Ari. </w:t>
      </w:r>
      <w:r w:rsidRPr="006E5DEE">
        <w:rPr>
          <w:rFonts w:ascii="Times New Roman" w:hAnsi="Times New Roman" w:cs="Times New Roman"/>
          <w:i/>
          <w:iCs/>
          <w:color w:val="000000" w:themeColor="text1"/>
          <w:sz w:val="24"/>
        </w:rPr>
        <w:t>Outlawing the Spoils: A History of the Civil Service Reform Movement, 1865-1883</w:t>
      </w:r>
      <w:r w:rsidRPr="006E5DEE">
        <w:rPr>
          <w:rFonts w:ascii="Times New Roman" w:hAnsi="Times New Roman" w:cs="Times New Roman"/>
          <w:color w:val="000000" w:themeColor="text1"/>
          <w:sz w:val="24"/>
        </w:rPr>
        <w:t>. Champaign, IL: University of Illinois Press, 1961.</w:t>
      </w:r>
    </w:p>
    <w:p w14:paraId="37D59B2B" w14:textId="1DCB166B" w:rsidR="005D5FB3" w:rsidRPr="006E5DEE"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Howe, Daniel Walker. </w:t>
      </w:r>
      <w:r w:rsidRPr="006E5DEE">
        <w:rPr>
          <w:rFonts w:ascii="Times New Roman" w:eastAsia="Times New Roman" w:hAnsi="Times New Roman" w:cs="Times New Roman"/>
          <w:i/>
          <w:iCs/>
          <w:color w:val="000000" w:themeColor="text1"/>
          <w:sz w:val="24"/>
          <w:szCs w:val="24"/>
        </w:rPr>
        <w:t>What Hath God Wrought: The Transformation of America, 1815-1848</w:t>
      </w:r>
      <w:r w:rsidRPr="006E5DEE">
        <w:rPr>
          <w:rFonts w:ascii="Times New Roman" w:eastAsia="Times New Roman" w:hAnsi="Times New Roman" w:cs="Times New Roman"/>
          <w:color w:val="000000" w:themeColor="text1"/>
          <w:sz w:val="24"/>
          <w:szCs w:val="24"/>
        </w:rPr>
        <w:t>. New York: Oxford University Press, 2007.</w:t>
      </w:r>
    </w:p>
    <w:p w14:paraId="7AF00EFD" w14:textId="1327CB49" w:rsidR="005D5FB3" w:rsidRPr="006E5DEE"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Humphreys, Margaret. </w:t>
      </w:r>
      <w:r w:rsidRPr="006E5DEE">
        <w:rPr>
          <w:rFonts w:ascii="Times New Roman" w:eastAsia="Times New Roman" w:hAnsi="Times New Roman" w:cs="Times New Roman"/>
          <w:i/>
          <w:iCs/>
          <w:color w:val="000000" w:themeColor="text1"/>
          <w:sz w:val="24"/>
          <w:szCs w:val="24"/>
        </w:rPr>
        <w:t>Marrow of Tragedy: The Health Crisis of the American Civil War.</w:t>
      </w:r>
      <w:r w:rsidRPr="006E5DEE">
        <w:rPr>
          <w:rFonts w:ascii="Times New Roman" w:eastAsia="Times New Roman" w:hAnsi="Times New Roman" w:cs="Times New Roman"/>
          <w:color w:val="000000" w:themeColor="text1"/>
          <w:sz w:val="24"/>
          <w:szCs w:val="24"/>
        </w:rPr>
        <w:t xml:space="preserve"> Baltimore: Johns Hopkins University Press, 2017.</w:t>
      </w:r>
    </w:p>
    <w:p w14:paraId="3BEF835F" w14:textId="78AE5CC6" w:rsidR="005D5FB3" w:rsidRPr="00F12AA1"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lastRenderedPageBreak/>
        <w:t xml:space="preserve">Hyman, Harold. </w:t>
      </w:r>
      <w:r w:rsidRPr="006E5DEE">
        <w:rPr>
          <w:rFonts w:ascii="Times New Roman" w:eastAsia="Times New Roman" w:hAnsi="Times New Roman" w:cs="Times New Roman"/>
          <w:i/>
          <w:iCs/>
          <w:color w:val="000000" w:themeColor="text1"/>
          <w:sz w:val="24"/>
          <w:szCs w:val="24"/>
        </w:rPr>
        <w:t>A More Perfect Union: The Impact of the Civil War and Reconstruction on the Constitution</w:t>
      </w:r>
      <w:r w:rsidRPr="006E5DEE">
        <w:rPr>
          <w:rFonts w:ascii="Times New Roman" w:eastAsia="Times New Roman" w:hAnsi="Times New Roman" w:cs="Times New Roman"/>
          <w:color w:val="000000" w:themeColor="text1"/>
          <w:sz w:val="24"/>
          <w:szCs w:val="24"/>
        </w:rPr>
        <w:t>. New York: Knopf, 1973.</w:t>
      </w:r>
    </w:p>
    <w:p w14:paraId="3FB4362D" w14:textId="667BF193" w:rsidR="00A16069" w:rsidRPr="006E5DEE" w:rsidRDefault="00A16069" w:rsidP="0074689B">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hAnsi="Times New Roman" w:cs="Times New Roman"/>
          <w:color w:val="000000" w:themeColor="text1"/>
          <w:sz w:val="24"/>
        </w:rPr>
        <w:t xml:space="preserve">Jacob, Kathryn Allamong. </w:t>
      </w:r>
      <w:r w:rsidRPr="006E5DEE">
        <w:rPr>
          <w:rFonts w:ascii="Times New Roman" w:hAnsi="Times New Roman" w:cs="Times New Roman"/>
          <w:i/>
          <w:iCs/>
          <w:color w:val="000000" w:themeColor="text1"/>
          <w:sz w:val="24"/>
        </w:rPr>
        <w:t>Capital Elites: High Society in Washington, D.C., after the Civil War</w:t>
      </w:r>
      <w:r w:rsidRPr="006E5DEE">
        <w:rPr>
          <w:rFonts w:ascii="Times New Roman" w:hAnsi="Times New Roman" w:cs="Times New Roman"/>
          <w:color w:val="000000" w:themeColor="text1"/>
          <w:sz w:val="24"/>
        </w:rPr>
        <w:t>. Washington DC: Smithsonian Institution Press, 1995.</w:t>
      </w:r>
    </w:p>
    <w:p w14:paraId="190886B9" w14:textId="542A0D0B" w:rsidR="005D5FB3" w:rsidRPr="00F12AA1"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hAnsi="Times New Roman" w:cs="Times New Roman"/>
          <w:color w:val="000000" w:themeColor="text1"/>
          <w:sz w:val="24"/>
        </w:rPr>
        <w:t xml:space="preserve">Jacob, Kathryn Allamong. </w:t>
      </w:r>
      <w:r w:rsidRPr="006E5DEE">
        <w:rPr>
          <w:rFonts w:ascii="Times New Roman" w:hAnsi="Times New Roman" w:cs="Times New Roman"/>
          <w:i/>
          <w:iCs/>
          <w:color w:val="000000" w:themeColor="text1"/>
          <w:sz w:val="24"/>
        </w:rPr>
        <w:t>Testament to Union: Civil War Monuments in Washington DC</w:t>
      </w:r>
      <w:r w:rsidRPr="006E5DEE">
        <w:rPr>
          <w:rFonts w:ascii="Times New Roman" w:hAnsi="Times New Roman" w:cs="Times New Roman"/>
          <w:color w:val="000000" w:themeColor="text1"/>
          <w:sz w:val="24"/>
        </w:rPr>
        <w:t>. Baltimore: Johns Hopkins University Press, 1998.</w:t>
      </w:r>
    </w:p>
    <w:p w14:paraId="35FEF31B" w14:textId="6C43353C" w:rsidR="005D5FB3" w:rsidRPr="00F12AA1"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Jung, Moon-Ho. </w:t>
      </w:r>
      <w:r w:rsidRPr="006E5DEE">
        <w:rPr>
          <w:rFonts w:ascii="Times New Roman" w:hAnsi="Times New Roman" w:cs="Times New Roman"/>
          <w:i/>
          <w:iCs/>
          <w:color w:val="000000" w:themeColor="text1"/>
          <w:sz w:val="24"/>
        </w:rPr>
        <w:t xml:space="preserve">Coolies and Cane: Race, Labor, and Sugar in the Age of Emancipation. </w:t>
      </w:r>
      <w:r w:rsidRPr="006E5DEE">
        <w:rPr>
          <w:rFonts w:ascii="Times New Roman" w:hAnsi="Times New Roman" w:cs="Times New Roman"/>
          <w:color w:val="000000" w:themeColor="text1"/>
          <w:sz w:val="24"/>
        </w:rPr>
        <w:t xml:space="preserve">Baltimore: Johns Hopkins University Press, 2006. </w:t>
      </w:r>
    </w:p>
    <w:p w14:paraId="5A821484" w14:textId="695E419F" w:rsidR="005D5FB3" w:rsidRPr="006E5DEE"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Kahan, Paul. </w:t>
      </w:r>
      <w:r w:rsidRPr="006E5DEE">
        <w:rPr>
          <w:rFonts w:ascii="Times New Roman" w:eastAsia="Times New Roman" w:hAnsi="Times New Roman" w:cs="Times New Roman"/>
          <w:i/>
          <w:iCs/>
          <w:color w:val="000000" w:themeColor="text1"/>
          <w:sz w:val="24"/>
          <w:szCs w:val="24"/>
        </w:rPr>
        <w:t>The Presidency of Ulysses S. Grant Preserving the Civil War's Legacy</w:t>
      </w:r>
      <w:r w:rsidRPr="006E5DEE">
        <w:rPr>
          <w:rFonts w:ascii="Times New Roman" w:eastAsia="Times New Roman" w:hAnsi="Times New Roman" w:cs="Times New Roman"/>
          <w:color w:val="000000" w:themeColor="text1"/>
          <w:sz w:val="24"/>
          <w:szCs w:val="24"/>
        </w:rPr>
        <w:t>. Yardley, PA: Westholme Publishing, 2018.</w:t>
      </w:r>
    </w:p>
    <w:p w14:paraId="52D16E6B" w14:textId="6008504B" w:rsidR="005D5FB3" w:rsidRPr="00F12AA1"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Keith, LeeAnna. </w:t>
      </w:r>
      <w:r w:rsidRPr="006E5DEE">
        <w:rPr>
          <w:rFonts w:ascii="Times New Roman" w:eastAsia="Times New Roman" w:hAnsi="Times New Roman" w:cs="Times New Roman"/>
          <w:i/>
          <w:iCs/>
          <w:color w:val="000000" w:themeColor="text1"/>
          <w:sz w:val="24"/>
          <w:szCs w:val="24"/>
        </w:rPr>
        <w:t>The Colfax Massacre: The Untold Story of Black Power, White Terror, &amp; the Death of Reconstruction</w:t>
      </w:r>
      <w:r w:rsidRPr="006E5DEE">
        <w:rPr>
          <w:rFonts w:ascii="Times New Roman" w:eastAsia="Times New Roman" w:hAnsi="Times New Roman" w:cs="Times New Roman"/>
          <w:color w:val="000000" w:themeColor="text1"/>
          <w:sz w:val="24"/>
          <w:szCs w:val="24"/>
        </w:rPr>
        <w:t>. New York: Oxford University Press, 2008.</w:t>
      </w:r>
    </w:p>
    <w:p w14:paraId="74C65090" w14:textId="39FD3DCA"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Keller, Morton. </w:t>
      </w:r>
      <w:r w:rsidRPr="006E5DEE">
        <w:rPr>
          <w:rFonts w:ascii="Times New Roman" w:hAnsi="Times New Roman" w:cs="Times New Roman"/>
          <w:i/>
          <w:iCs/>
          <w:color w:val="000000" w:themeColor="text1"/>
          <w:sz w:val="24"/>
        </w:rPr>
        <w:t>Affairs of State: Public Life in Late Nineteenth Century America</w:t>
      </w:r>
      <w:r w:rsidRPr="006E5DEE">
        <w:rPr>
          <w:rFonts w:ascii="Times New Roman" w:hAnsi="Times New Roman" w:cs="Times New Roman"/>
          <w:color w:val="000000" w:themeColor="text1"/>
          <w:sz w:val="24"/>
        </w:rPr>
        <w:t xml:space="preserve">. New York: Cambridge University Press, 1977. </w:t>
      </w:r>
    </w:p>
    <w:p w14:paraId="5F50C603" w14:textId="4338417A" w:rsidR="005D5FB3" w:rsidRPr="00F12AA1"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Keller, Morton. </w:t>
      </w:r>
      <w:r w:rsidRPr="006E5DEE">
        <w:rPr>
          <w:rFonts w:ascii="Times New Roman" w:hAnsi="Times New Roman" w:cs="Times New Roman"/>
          <w:i/>
          <w:iCs/>
          <w:color w:val="000000" w:themeColor="text1"/>
          <w:sz w:val="24"/>
        </w:rPr>
        <w:t>America's Three Regimes: A New Political History</w:t>
      </w:r>
      <w:r w:rsidRPr="006E5DEE">
        <w:rPr>
          <w:rFonts w:ascii="Times New Roman" w:hAnsi="Times New Roman" w:cs="Times New Roman"/>
          <w:color w:val="000000" w:themeColor="text1"/>
          <w:sz w:val="24"/>
        </w:rPr>
        <w:t>. Oxford: Oxford University Press, 2007.</w:t>
      </w:r>
    </w:p>
    <w:p w14:paraId="1D02F5D2" w14:textId="6034D004" w:rsidR="005D5FB3" w:rsidRPr="00F12AA1"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Kelly, Jack. </w:t>
      </w:r>
      <w:r w:rsidRPr="006E5DEE">
        <w:rPr>
          <w:rFonts w:ascii="Times New Roman" w:eastAsia="Times New Roman" w:hAnsi="Times New Roman" w:cs="Times New Roman"/>
          <w:i/>
          <w:iCs/>
          <w:color w:val="000000" w:themeColor="text1"/>
          <w:sz w:val="24"/>
          <w:szCs w:val="24"/>
        </w:rPr>
        <w:t>God Save Benedict Arnold: The True Story of America’s Most Hated Man</w:t>
      </w:r>
      <w:r w:rsidRPr="006E5DEE">
        <w:rPr>
          <w:rFonts w:ascii="Times New Roman" w:eastAsia="Times New Roman" w:hAnsi="Times New Roman" w:cs="Times New Roman"/>
          <w:color w:val="000000" w:themeColor="text1"/>
          <w:sz w:val="24"/>
          <w:szCs w:val="24"/>
        </w:rPr>
        <w:t>. New York: St. Martin’s Press, 2023.</w:t>
      </w:r>
    </w:p>
    <w:p w14:paraId="4E5A385E" w14:textId="651D1C77"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Kenneally, Thomas. </w:t>
      </w:r>
      <w:r w:rsidRPr="006E5DEE">
        <w:rPr>
          <w:rFonts w:ascii="Times New Roman" w:hAnsi="Times New Roman" w:cs="Times New Roman"/>
          <w:i/>
          <w:iCs/>
          <w:color w:val="000000" w:themeColor="text1"/>
          <w:sz w:val="24"/>
        </w:rPr>
        <w:t>American Scoundrel: The Life of the Notorious Civil War General Dan Sickles</w:t>
      </w:r>
      <w:r w:rsidRPr="006E5DEE">
        <w:rPr>
          <w:rFonts w:ascii="Times New Roman" w:hAnsi="Times New Roman" w:cs="Times New Roman"/>
          <w:color w:val="000000" w:themeColor="text1"/>
          <w:sz w:val="24"/>
        </w:rPr>
        <w:t>. New York: Nan A. Talese, 2002.</w:t>
      </w:r>
    </w:p>
    <w:p w14:paraId="5DCB6DC0" w14:textId="28D9FA77" w:rsidR="005D5FB3" w:rsidRPr="006E5DEE"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hAnsi="Times New Roman" w:cs="Times New Roman"/>
          <w:color w:val="000000" w:themeColor="text1"/>
          <w:sz w:val="24"/>
        </w:rPr>
        <w:t xml:space="preserve">Kent, Frank R. </w:t>
      </w:r>
      <w:r w:rsidRPr="006E5DEE">
        <w:rPr>
          <w:rFonts w:ascii="Times New Roman" w:hAnsi="Times New Roman" w:cs="Times New Roman"/>
          <w:i/>
          <w:iCs/>
          <w:color w:val="000000" w:themeColor="text1"/>
          <w:sz w:val="24"/>
        </w:rPr>
        <w:t xml:space="preserve">The Great Game of Politics: An Effort to Present the Elementary Human Facts About Politics, Politicians, and Political Machines, Candidates, and Their Ways, for the </w:t>
      </w:r>
      <w:r w:rsidRPr="006E5DEE">
        <w:rPr>
          <w:rFonts w:ascii="Times New Roman" w:hAnsi="Times New Roman" w:cs="Times New Roman"/>
          <w:i/>
          <w:iCs/>
          <w:color w:val="000000" w:themeColor="text1"/>
          <w:sz w:val="24"/>
        </w:rPr>
        <w:lastRenderedPageBreak/>
        <w:t>Benefit of the Average Citizen.</w:t>
      </w:r>
      <w:r w:rsidRPr="006E5DEE">
        <w:rPr>
          <w:rFonts w:ascii="Times New Roman" w:hAnsi="Times New Roman" w:cs="Times New Roman"/>
          <w:color w:val="000000" w:themeColor="text1"/>
          <w:sz w:val="24"/>
        </w:rPr>
        <w:t xml:space="preserve"> Garden City, NY: Doubleday, Doran, and Company, Inc., 1930.</w:t>
      </w:r>
    </w:p>
    <w:p w14:paraId="502A3237" w14:textId="4D6A7D06" w:rsidR="005D5FB3" w:rsidRPr="00F12AA1"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Kirshner, Ralph. </w:t>
      </w:r>
      <w:r w:rsidRPr="006E5DEE">
        <w:rPr>
          <w:rFonts w:ascii="Times New Roman" w:eastAsia="Times New Roman" w:hAnsi="Times New Roman" w:cs="Times New Roman"/>
          <w:i/>
          <w:iCs/>
          <w:color w:val="000000" w:themeColor="text1"/>
          <w:sz w:val="24"/>
          <w:szCs w:val="24"/>
        </w:rPr>
        <w:t>The Class of 1861: Custer, Ames, and Their Classmates After West Point</w:t>
      </w:r>
      <w:r w:rsidRPr="006E5DEE">
        <w:rPr>
          <w:rFonts w:ascii="Times New Roman" w:eastAsia="Times New Roman" w:hAnsi="Times New Roman" w:cs="Times New Roman"/>
          <w:color w:val="000000" w:themeColor="text1"/>
          <w:sz w:val="24"/>
          <w:szCs w:val="24"/>
        </w:rPr>
        <w:t>. Carbondale: Southern Illinois University Press, 1999.</w:t>
      </w:r>
    </w:p>
    <w:p w14:paraId="781A34AB" w14:textId="094B2833" w:rsidR="005D5FB3" w:rsidRPr="00F12AA1"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Kleppner, Paul. </w:t>
      </w:r>
      <w:r w:rsidRPr="006E5DEE">
        <w:rPr>
          <w:rFonts w:ascii="Times New Roman" w:hAnsi="Times New Roman" w:cs="Times New Roman"/>
          <w:i/>
          <w:iCs/>
          <w:color w:val="000000" w:themeColor="text1"/>
          <w:sz w:val="24"/>
        </w:rPr>
        <w:t xml:space="preserve">The Third Electoral System 1853–1892: Parties, Voters, and Political Cultures. </w:t>
      </w:r>
      <w:r w:rsidRPr="006E5DEE">
        <w:rPr>
          <w:rFonts w:ascii="Times New Roman" w:hAnsi="Times New Roman" w:cs="Times New Roman"/>
          <w:color w:val="000000" w:themeColor="text1"/>
          <w:sz w:val="24"/>
        </w:rPr>
        <w:t>Chapel Hill: University of North Carolina Press, 1979.</w:t>
      </w:r>
    </w:p>
    <w:p w14:paraId="21405F49" w14:textId="2351D7EA" w:rsidR="005D5FB3" w:rsidRPr="00F12AA1"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hAnsi="Times New Roman" w:cs="Times New Roman"/>
          <w:color w:val="000000" w:themeColor="text1"/>
          <w:sz w:val="24"/>
          <w:szCs w:val="24"/>
        </w:rPr>
        <w:t xml:space="preserve">Kutler, Stanley I., ed. </w:t>
      </w:r>
      <w:r w:rsidRPr="006E5DEE">
        <w:rPr>
          <w:rFonts w:ascii="Times New Roman" w:hAnsi="Times New Roman" w:cs="Times New Roman"/>
          <w:i/>
          <w:iCs/>
          <w:color w:val="000000" w:themeColor="text1"/>
          <w:sz w:val="24"/>
          <w:szCs w:val="24"/>
        </w:rPr>
        <w:t>Watergate: A Brief History with Documents</w:t>
      </w:r>
      <w:r w:rsidRPr="006E5DEE">
        <w:rPr>
          <w:rFonts w:ascii="Times New Roman" w:hAnsi="Times New Roman" w:cs="Times New Roman"/>
          <w:color w:val="000000" w:themeColor="text1"/>
          <w:sz w:val="24"/>
          <w:szCs w:val="24"/>
        </w:rPr>
        <w:t>. Second Edition. Malden, MA: Wiley-Blackwell, 2010.</w:t>
      </w:r>
    </w:p>
    <w:p w14:paraId="7ACAD239" w14:textId="15D4E601" w:rsidR="005D5FB3" w:rsidRPr="00F12AA1" w:rsidRDefault="00A16069" w:rsidP="00F12AA1">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hAnsi="Times New Roman" w:cs="Times New Roman"/>
          <w:color w:val="000000" w:themeColor="text1"/>
          <w:sz w:val="24"/>
          <w:szCs w:val="24"/>
        </w:rPr>
        <w:t xml:space="preserve">Lancaster, Carol with Douglas Farrar. </w:t>
      </w:r>
      <w:r w:rsidRPr="006E5DEE">
        <w:rPr>
          <w:rFonts w:ascii="Times New Roman" w:hAnsi="Times New Roman" w:cs="Times New Roman"/>
          <w:i/>
          <w:iCs/>
          <w:color w:val="000000" w:themeColor="text1"/>
          <w:sz w:val="24"/>
          <w:szCs w:val="24"/>
        </w:rPr>
        <w:t xml:space="preserve">A Song to My City: Washington DC. </w:t>
      </w:r>
      <w:r w:rsidRPr="006E5DEE">
        <w:rPr>
          <w:rFonts w:ascii="Times New Roman" w:hAnsi="Times New Roman" w:cs="Times New Roman"/>
          <w:color w:val="000000" w:themeColor="text1"/>
          <w:sz w:val="24"/>
          <w:szCs w:val="24"/>
        </w:rPr>
        <w:t>Washington: Georgetown University Press, 2016.</w:t>
      </w:r>
    </w:p>
    <w:p w14:paraId="78E19F26" w14:textId="23887E78"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Lane, Charles. </w:t>
      </w:r>
      <w:r w:rsidRPr="006E5DEE">
        <w:rPr>
          <w:rFonts w:ascii="Times New Roman" w:hAnsi="Times New Roman" w:cs="Times New Roman"/>
          <w:i/>
          <w:iCs/>
          <w:color w:val="000000" w:themeColor="text1"/>
          <w:sz w:val="24"/>
        </w:rPr>
        <w:t>Freedom's Detective: The Secret Service, the Ku Klux Klan and the Man Who Masterminded America's First War on Terror.</w:t>
      </w:r>
      <w:r w:rsidRPr="006E5DEE">
        <w:rPr>
          <w:rFonts w:ascii="Times New Roman" w:hAnsi="Times New Roman" w:cs="Times New Roman"/>
          <w:color w:val="000000" w:themeColor="text1"/>
          <w:sz w:val="24"/>
        </w:rPr>
        <w:t xml:space="preserve"> New York: Hanover Square Press, 2019.</w:t>
      </w:r>
    </w:p>
    <w:p w14:paraId="2205AED4" w14:textId="51EFD595" w:rsidR="00A16069"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Leahy, Christopher J. </w:t>
      </w:r>
      <w:r w:rsidRPr="006E5DEE">
        <w:rPr>
          <w:rFonts w:ascii="Times New Roman" w:hAnsi="Times New Roman" w:cs="Times New Roman"/>
          <w:i/>
          <w:iCs/>
          <w:color w:val="000000" w:themeColor="text1"/>
          <w:sz w:val="24"/>
        </w:rPr>
        <w:t>President Without a Party: The Life of John Tyler</w:t>
      </w:r>
      <w:r w:rsidRPr="006E5DEE">
        <w:rPr>
          <w:rFonts w:ascii="Times New Roman" w:hAnsi="Times New Roman" w:cs="Times New Roman"/>
          <w:color w:val="000000" w:themeColor="text1"/>
          <w:sz w:val="24"/>
        </w:rPr>
        <w:t>. Baton Rouge: Louisiana State University Press, 2020.</w:t>
      </w:r>
    </w:p>
    <w:p w14:paraId="53EC3E20" w14:textId="46688DB9"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Leech, Margaret. </w:t>
      </w:r>
      <w:r w:rsidRPr="006E5DEE">
        <w:rPr>
          <w:rFonts w:ascii="Times New Roman" w:hAnsi="Times New Roman" w:cs="Times New Roman"/>
          <w:i/>
          <w:iCs/>
          <w:color w:val="000000" w:themeColor="text1"/>
          <w:sz w:val="24"/>
        </w:rPr>
        <w:t>Reveille in Washington, 1860-1865</w:t>
      </w:r>
      <w:r w:rsidRPr="006E5DEE">
        <w:rPr>
          <w:rFonts w:ascii="Times New Roman" w:hAnsi="Times New Roman" w:cs="Times New Roman"/>
          <w:color w:val="000000" w:themeColor="text1"/>
          <w:sz w:val="24"/>
        </w:rPr>
        <w:t>. New York: Harper &amp; Brothers, 1941.</w:t>
      </w:r>
    </w:p>
    <w:p w14:paraId="204271A8" w14:textId="3411BAAA"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Leigh, Philip. </w:t>
      </w:r>
      <w:r w:rsidRPr="006E5DEE">
        <w:rPr>
          <w:rFonts w:ascii="Times New Roman" w:hAnsi="Times New Roman" w:cs="Times New Roman"/>
          <w:i/>
          <w:iCs/>
          <w:color w:val="000000" w:themeColor="text1"/>
          <w:sz w:val="24"/>
        </w:rPr>
        <w:t>U.S. Grant’s Failed Presidency</w:t>
      </w:r>
      <w:r w:rsidRPr="006E5DEE">
        <w:rPr>
          <w:rFonts w:ascii="Times New Roman" w:hAnsi="Times New Roman" w:cs="Times New Roman"/>
          <w:color w:val="000000" w:themeColor="text1"/>
          <w:sz w:val="24"/>
        </w:rPr>
        <w:t>. Columbia, SC: Shotwell Publishing, 2019</w:t>
      </w:r>
    </w:p>
    <w:p w14:paraId="4A104B00" w14:textId="2732D809"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Leonard, Gerald. </w:t>
      </w:r>
      <w:r w:rsidRPr="006E5DEE">
        <w:rPr>
          <w:rFonts w:ascii="Times New Roman" w:hAnsi="Times New Roman" w:cs="Times New Roman"/>
          <w:i/>
          <w:iCs/>
          <w:color w:val="000000" w:themeColor="text1"/>
          <w:sz w:val="24"/>
        </w:rPr>
        <w:t>The Invention of Party Politics: Federalism, Popular Sovereignty, and Constitutional Development in Jacksonian Illinois</w:t>
      </w:r>
      <w:r w:rsidRPr="006E5DEE">
        <w:rPr>
          <w:rFonts w:ascii="Times New Roman" w:hAnsi="Times New Roman" w:cs="Times New Roman"/>
          <w:color w:val="000000" w:themeColor="text1"/>
          <w:sz w:val="24"/>
        </w:rPr>
        <w:t>. Chapel Hill: University of North Carolina Press, 2002.</w:t>
      </w:r>
    </w:p>
    <w:p w14:paraId="782C9950" w14:textId="6496A7A9"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Lessoff, Alan. </w:t>
      </w:r>
      <w:r w:rsidRPr="006E5DEE">
        <w:rPr>
          <w:rFonts w:ascii="Times New Roman" w:hAnsi="Times New Roman" w:cs="Times New Roman"/>
          <w:i/>
          <w:iCs/>
          <w:color w:val="000000" w:themeColor="text1"/>
          <w:sz w:val="24"/>
        </w:rPr>
        <w:t>The Nation and Its City: Politics, Corruption and Progress in Washington, D.C., 1861-1902</w:t>
      </w:r>
      <w:r w:rsidRPr="006E5DEE">
        <w:rPr>
          <w:rFonts w:ascii="Times New Roman" w:hAnsi="Times New Roman" w:cs="Times New Roman"/>
          <w:color w:val="000000" w:themeColor="text1"/>
          <w:sz w:val="24"/>
        </w:rPr>
        <w:t>. Baltimore: Johns Hopkins University Press, 1994.</w:t>
      </w:r>
    </w:p>
    <w:p w14:paraId="150BAAF9" w14:textId="02AAE8CC"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Lewis, Lloyd. </w:t>
      </w:r>
      <w:r w:rsidRPr="006E5DEE">
        <w:rPr>
          <w:rFonts w:ascii="Times New Roman" w:hAnsi="Times New Roman" w:cs="Times New Roman"/>
          <w:i/>
          <w:iCs/>
          <w:color w:val="000000" w:themeColor="text1"/>
          <w:sz w:val="24"/>
        </w:rPr>
        <w:t>Sherman: Fighting Prophet</w:t>
      </w:r>
      <w:r w:rsidRPr="006E5DEE">
        <w:rPr>
          <w:rFonts w:ascii="Times New Roman" w:hAnsi="Times New Roman" w:cs="Times New Roman"/>
          <w:color w:val="000000" w:themeColor="text1"/>
          <w:sz w:val="24"/>
        </w:rPr>
        <w:t>. Lincoln: University of Nebraska Press, 1993 (originally 1932).</w:t>
      </w:r>
    </w:p>
    <w:p w14:paraId="6477B0F7" w14:textId="71B18AE3"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Lewis, Tom. </w:t>
      </w:r>
      <w:r w:rsidRPr="006E5DEE">
        <w:rPr>
          <w:rFonts w:ascii="Times New Roman" w:hAnsi="Times New Roman" w:cs="Times New Roman"/>
          <w:i/>
          <w:iCs/>
          <w:color w:val="000000" w:themeColor="text1"/>
          <w:sz w:val="24"/>
        </w:rPr>
        <w:t>Washington: A History of Our National City</w:t>
      </w:r>
      <w:r w:rsidRPr="006E5DEE">
        <w:rPr>
          <w:rFonts w:ascii="Times New Roman" w:hAnsi="Times New Roman" w:cs="Times New Roman"/>
          <w:color w:val="000000" w:themeColor="text1"/>
          <w:sz w:val="24"/>
        </w:rPr>
        <w:t>. New York: Basic Books, 2015.</w:t>
      </w:r>
    </w:p>
    <w:p w14:paraId="73BD5746" w14:textId="432A09D2"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Linden, Glenn M., ed. </w:t>
      </w:r>
      <w:r w:rsidRPr="006E5DEE">
        <w:rPr>
          <w:rFonts w:ascii="Times New Roman" w:hAnsi="Times New Roman" w:cs="Times New Roman"/>
          <w:i/>
          <w:iCs/>
          <w:color w:val="000000" w:themeColor="text1"/>
          <w:sz w:val="24"/>
        </w:rPr>
        <w:t>Voices from the Reconstruction Years, 1865-1877</w:t>
      </w:r>
      <w:r w:rsidRPr="006E5DEE">
        <w:rPr>
          <w:rFonts w:ascii="Times New Roman" w:hAnsi="Times New Roman" w:cs="Times New Roman"/>
          <w:color w:val="000000" w:themeColor="text1"/>
          <w:sz w:val="24"/>
        </w:rPr>
        <w:t>. Fort Worth, TX: Harcourt Brace College Publishers, 1999.</w:t>
      </w:r>
    </w:p>
    <w:p w14:paraId="0136CF91" w14:textId="3EC7A8A9"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Link, William, ed. </w:t>
      </w:r>
      <w:r w:rsidRPr="006E5DEE">
        <w:rPr>
          <w:rFonts w:ascii="Times New Roman" w:hAnsi="Times New Roman" w:cs="Times New Roman"/>
          <w:i/>
          <w:iCs/>
          <w:color w:val="000000" w:themeColor="text1"/>
          <w:sz w:val="24"/>
        </w:rPr>
        <w:t>United States Reconstruction Across the Americas</w:t>
      </w:r>
      <w:r w:rsidRPr="006E5DEE">
        <w:rPr>
          <w:rFonts w:ascii="Times New Roman" w:hAnsi="Times New Roman" w:cs="Times New Roman"/>
          <w:color w:val="000000" w:themeColor="text1"/>
          <w:sz w:val="24"/>
        </w:rPr>
        <w:t>. Gainesville: University of Florida Press, 2019.</w:t>
      </w:r>
    </w:p>
    <w:p w14:paraId="708D3247" w14:textId="0C9E4067"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Longacre, Edward G. </w:t>
      </w:r>
      <w:r w:rsidRPr="006E5DEE">
        <w:rPr>
          <w:rFonts w:ascii="Times New Roman" w:hAnsi="Times New Roman" w:cs="Times New Roman"/>
          <w:i/>
          <w:iCs/>
          <w:color w:val="000000" w:themeColor="text1"/>
          <w:sz w:val="24"/>
        </w:rPr>
        <w:t>General Ulysses S. Grant: The Soldier and the Man</w:t>
      </w:r>
      <w:r w:rsidRPr="006E5DEE">
        <w:rPr>
          <w:rFonts w:ascii="Times New Roman" w:hAnsi="Times New Roman" w:cs="Times New Roman"/>
          <w:color w:val="000000" w:themeColor="text1"/>
          <w:sz w:val="24"/>
        </w:rPr>
        <w:t>. Cambridge, MA: Da Capo Press, 2006.</w:t>
      </w:r>
    </w:p>
    <w:p w14:paraId="5B33E5C9" w14:textId="2E195D33"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Longstreth, Richard, ed. </w:t>
      </w:r>
      <w:r w:rsidRPr="006E5DEE">
        <w:rPr>
          <w:rFonts w:ascii="Times New Roman" w:hAnsi="Times New Roman" w:cs="Times New Roman"/>
          <w:i/>
          <w:iCs/>
          <w:color w:val="000000" w:themeColor="text1"/>
          <w:sz w:val="24"/>
        </w:rPr>
        <w:t>The Mall in Washington, 1791-1991</w:t>
      </w:r>
      <w:r w:rsidRPr="006E5DEE">
        <w:rPr>
          <w:rFonts w:ascii="Times New Roman" w:hAnsi="Times New Roman" w:cs="Times New Roman"/>
          <w:color w:val="000000" w:themeColor="text1"/>
          <w:sz w:val="24"/>
        </w:rPr>
        <w:t>. New Haven, CT: Yale University Press, 1991.</w:t>
      </w:r>
    </w:p>
    <w:p w14:paraId="2518842D" w14:textId="1E1946B2"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Love, Eric T., </w:t>
      </w:r>
      <w:r w:rsidRPr="006E5DEE">
        <w:rPr>
          <w:rFonts w:ascii="Times New Roman" w:hAnsi="Times New Roman" w:cs="Times New Roman"/>
          <w:i/>
          <w:iCs/>
          <w:color w:val="000000" w:themeColor="text1"/>
          <w:sz w:val="24"/>
        </w:rPr>
        <w:t>Race over Empire: Racism and U.S. Imperialism, 1865-1900</w:t>
      </w:r>
      <w:r w:rsidRPr="006E5DEE">
        <w:rPr>
          <w:rFonts w:ascii="Times New Roman" w:hAnsi="Times New Roman" w:cs="Times New Roman"/>
          <w:color w:val="000000" w:themeColor="text1"/>
          <w:sz w:val="24"/>
        </w:rPr>
        <w:t>. Chapel Hill: University of North Carolina Press, 2004.</w:t>
      </w:r>
    </w:p>
    <w:p w14:paraId="0E116F26" w14:textId="4AB9D3FC"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Lowry, Thomas P. </w:t>
      </w:r>
      <w:r w:rsidRPr="006E5DEE">
        <w:rPr>
          <w:rFonts w:ascii="Times New Roman" w:hAnsi="Times New Roman" w:cs="Times New Roman"/>
          <w:i/>
          <w:iCs/>
          <w:color w:val="000000" w:themeColor="text1"/>
          <w:sz w:val="24"/>
        </w:rPr>
        <w:t>Tarnished Eagles: The Courts-Martial of Fifty Union Colonels and Lieutenant Colonels</w:t>
      </w:r>
      <w:r w:rsidRPr="006E5DEE">
        <w:rPr>
          <w:rFonts w:ascii="Times New Roman" w:hAnsi="Times New Roman" w:cs="Times New Roman"/>
          <w:color w:val="000000" w:themeColor="text1"/>
          <w:sz w:val="24"/>
        </w:rPr>
        <w:t>. Mechanicsburg, PA: Stackpole Books, 1997.</w:t>
      </w:r>
    </w:p>
    <w:p w14:paraId="692D9F64" w14:textId="560642A9"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Lubetkin, M. John. </w:t>
      </w:r>
      <w:r w:rsidRPr="006E5DEE">
        <w:rPr>
          <w:rFonts w:ascii="Times New Roman" w:hAnsi="Times New Roman" w:cs="Times New Roman"/>
          <w:i/>
          <w:iCs/>
          <w:color w:val="000000" w:themeColor="text1"/>
          <w:sz w:val="24"/>
        </w:rPr>
        <w:t xml:space="preserve">Jay Cooke’s Gamble: The Northern Pacific Railroad, the Sioux, and the Panic of 1873. </w:t>
      </w:r>
      <w:r w:rsidRPr="006E5DEE">
        <w:rPr>
          <w:rFonts w:ascii="Times New Roman" w:hAnsi="Times New Roman" w:cs="Times New Roman"/>
          <w:color w:val="000000" w:themeColor="text1"/>
          <w:sz w:val="24"/>
        </w:rPr>
        <w:t>Norman: University of Oklahoma Press, 2014</w:t>
      </w:r>
    </w:p>
    <w:p w14:paraId="7FFF950A" w14:textId="49383E9C"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Lyons, Philip B. </w:t>
      </w:r>
      <w:r w:rsidRPr="006E5DEE">
        <w:rPr>
          <w:rFonts w:ascii="Times New Roman" w:hAnsi="Times New Roman" w:cs="Times New Roman"/>
          <w:i/>
          <w:iCs/>
          <w:color w:val="000000" w:themeColor="text1"/>
          <w:sz w:val="24"/>
        </w:rPr>
        <w:t>Statesmanship and Reconstruction: Moderate versus Radical Republicans on Restoring the Union after the Civil War.</w:t>
      </w:r>
      <w:r w:rsidRPr="006E5DEE">
        <w:rPr>
          <w:rFonts w:ascii="Times New Roman" w:hAnsi="Times New Roman" w:cs="Times New Roman"/>
          <w:color w:val="000000" w:themeColor="text1"/>
          <w:sz w:val="24"/>
        </w:rPr>
        <w:t xml:space="preserve"> Lanham, MD: Lexington Books, 2014.</w:t>
      </w:r>
    </w:p>
    <w:p w14:paraId="72B5BAF3" w14:textId="0DC6D21F"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MacDonald, William. </w:t>
      </w:r>
      <w:r w:rsidRPr="006E5DEE">
        <w:rPr>
          <w:rFonts w:ascii="Times New Roman" w:hAnsi="Times New Roman" w:cs="Times New Roman"/>
          <w:i/>
          <w:iCs/>
          <w:color w:val="000000" w:themeColor="text1"/>
          <w:sz w:val="24"/>
        </w:rPr>
        <w:t>Jacksonian Democracy, 1829-1837</w:t>
      </w:r>
      <w:r w:rsidRPr="006E5DEE">
        <w:rPr>
          <w:rFonts w:ascii="Times New Roman" w:hAnsi="Times New Roman" w:cs="Times New Roman"/>
          <w:color w:val="000000" w:themeColor="text1"/>
          <w:sz w:val="24"/>
        </w:rPr>
        <w:t>. New York: Harper &amp; Brothers, 1906.</w:t>
      </w:r>
    </w:p>
    <w:p w14:paraId="5345A70D" w14:textId="1F77B4DF"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Mach, Thomas S. </w:t>
      </w:r>
      <w:r w:rsidRPr="006E5DEE">
        <w:rPr>
          <w:rFonts w:ascii="Times New Roman" w:hAnsi="Times New Roman" w:cs="Times New Roman"/>
          <w:i/>
          <w:iCs/>
          <w:color w:val="000000" w:themeColor="text1"/>
          <w:sz w:val="24"/>
        </w:rPr>
        <w:t>“Gentleman George” Hunt Pendleton: Party Politics and Ideological Identity in Nineteenth-Century America</w:t>
      </w:r>
      <w:r w:rsidRPr="006E5DEE">
        <w:rPr>
          <w:rFonts w:ascii="Times New Roman" w:hAnsi="Times New Roman" w:cs="Times New Roman"/>
          <w:color w:val="000000" w:themeColor="text1"/>
          <w:sz w:val="24"/>
        </w:rPr>
        <w:t>. Kent, OH: Kent State University Press, 2007.</w:t>
      </w:r>
    </w:p>
    <w:p w14:paraId="0C211A52" w14:textId="4E629F09"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Mantell, Martin E. </w:t>
      </w:r>
      <w:r w:rsidRPr="006E5DEE">
        <w:rPr>
          <w:rFonts w:ascii="Times New Roman" w:hAnsi="Times New Roman" w:cs="Times New Roman"/>
          <w:i/>
          <w:iCs/>
          <w:color w:val="000000" w:themeColor="text1"/>
          <w:sz w:val="24"/>
        </w:rPr>
        <w:t>Johnson, Grant, and the Politics of Reconstruction</w:t>
      </w:r>
      <w:r w:rsidRPr="006E5DEE">
        <w:rPr>
          <w:rFonts w:ascii="Times New Roman" w:hAnsi="Times New Roman" w:cs="Times New Roman"/>
          <w:color w:val="000000" w:themeColor="text1"/>
          <w:sz w:val="24"/>
        </w:rPr>
        <w:t>. New York, NY: Columbia University Press, 1973.</w:t>
      </w:r>
    </w:p>
    <w:p w14:paraId="0427BE0B" w14:textId="387BF5CF"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Marques, Leonardo. </w:t>
      </w:r>
      <w:r w:rsidRPr="006E5DEE">
        <w:rPr>
          <w:rFonts w:ascii="Times New Roman" w:hAnsi="Times New Roman" w:cs="Times New Roman"/>
          <w:i/>
          <w:iCs/>
          <w:color w:val="000000" w:themeColor="text1"/>
          <w:sz w:val="24"/>
        </w:rPr>
        <w:t>The United States and the Transatlantic Slave Trade to the Americas, 1776-1867</w:t>
      </w:r>
      <w:r w:rsidRPr="006E5DEE">
        <w:rPr>
          <w:rFonts w:ascii="Times New Roman" w:hAnsi="Times New Roman" w:cs="Times New Roman"/>
          <w:color w:val="000000" w:themeColor="text1"/>
          <w:sz w:val="24"/>
        </w:rPr>
        <w:t>. New Haven, CT: Yale University Press, 2016.</w:t>
      </w:r>
    </w:p>
    <w:p w14:paraId="6E196A36" w14:textId="0691E25D"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Marszalek, John F. </w:t>
      </w:r>
      <w:r w:rsidRPr="006E5DEE">
        <w:rPr>
          <w:rFonts w:ascii="Times New Roman" w:hAnsi="Times New Roman" w:cs="Times New Roman"/>
          <w:i/>
          <w:iCs/>
          <w:color w:val="000000" w:themeColor="text1"/>
          <w:sz w:val="24"/>
        </w:rPr>
        <w:t>Commander of All Lincoln's Armies: A Life of General Henry W. Halleck</w:t>
      </w:r>
      <w:r w:rsidRPr="006E5DEE">
        <w:rPr>
          <w:rFonts w:ascii="Times New Roman" w:hAnsi="Times New Roman" w:cs="Times New Roman"/>
          <w:color w:val="000000" w:themeColor="text1"/>
          <w:sz w:val="24"/>
        </w:rPr>
        <w:t xml:space="preserve">. Boston: Belknap Press of Harvard University Press, 2004. </w:t>
      </w:r>
    </w:p>
    <w:p w14:paraId="5C98B481" w14:textId="25A5CD4C"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Marszalek, John F. </w:t>
      </w:r>
      <w:r w:rsidRPr="006E5DEE">
        <w:rPr>
          <w:rFonts w:ascii="Times New Roman" w:hAnsi="Times New Roman" w:cs="Times New Roman"/>
          <w:i/>
          <w:iCs/>
          <w:color w:val="000000" w:themeColor="text1"/>
          <w:sz w:val="24"/>
        </w:rPr>
        <w:t>The Petticoat Affair: Manners, Mutiny, and Sex in Andrew Jackson’s White House</w:t>
      </w:r>
      <w:r w:rsidRPr="006E5DEE">
        <w:rPr>
          <w:rFonts w:ascii="Times New Roman" w:hAnsi="Times New Roman" w:cs="Times New Roman"/>
          <w:color w:val="000000" w:themeColor="text1"/>
          <w:sz w:val="24"/>
        </w:rPr>
        <w:t>. New York: The Free Press, 1997.</w:t>
      </w:r>
    </w:p>
    <w:p w14:paraId="7978B4EE" w14:textId="64C1A956"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Marszalek, John F. </w:t>
      </w:r>
      <w:r w:rsidRPr="006E5DEE">
        <w:rPr>
          <w:rFonts w:ascii="Times New Roman" w:hAnsi="Times New Roman" w:cs="Times New Roman"/>
          <w:i/>
          <w:iCs/>
          <w:color w:val="000000" w:themeColor="text1"/>
          <w:sz w:val="24"/>
        </w:rPr>
        <w:t>Sherman: A Soldier’s Passion for Order</w:t>
      </w:r>
      <w:r w:rsidRPr="006E5DEE">
        <w:rPr>
          <w:rFonts w:ascii="Times New Roman" w:hAnsi="Times New Roman" w:cs="Times New Roman"/>
          <w:color w:val="000000" w:themeColor="text1"/>
          <w:sz w:val="24"/>
        </w:rPr>
        <w:t>. Carbondale: Southern Illinois University Press, 2007.</w:t>
      </w:r>
    </w:p>
    <w:p w14:paraId="7D0A0977" w14:textId="748A2214"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Martinez, J. Michael. </w:t>
      </w:r>
      <w:r w:rsidRPr="006E5DEE">
        <w:rPr>
          <w:rFonts w:ascii="Times New Roman" w:hAnsi="Times New Roman" w:cs="Times New Roman"/>
          <w:i/>
          <w:iCs/>
          <w:color w:val="000000" w:themeColor="text1"/>
          <w:sz w:val="24"/>
        </w:rPr>
        <w:t>Scoundrels: Political Scandals in American History</w:t>
      </w:r>
      <w:r w:rsidRPr="006E5DEE">
        <w:rPr>
          <w:rFonts w:ascii="Times New Roman" w:hAnsi="Times New Roman" w:cs="Times New Roman"/>
          <w:color w:val="000000" w:themeColor="text1"/>
          <w:sz w:val="24"/>
        </w:rPr>
        <w:t>. Lanham, MD: Rowman &amp; Littlefield, 2023.</w:t>
      </w:r>
    </w:p>
    <w:p w14:paraId="54E80C7B" w14:textId="724A514C"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Marvel, William. </w:t>
      </w:r>
      <w:r w:rsidRPr="006E5DEE">
        <w:rPr>
          <w:rFonts w:ascii="Times New Roman" w:hAnsi="Times New Roman" w:cs="Times New Roman"/>
          <w:i/>
          <w:iCs/>
          <w:color w:val="000000" w:themeColor="text1"/>
          <w:sz w:val="24"/>
        </w:rPr>
        <w:t>A Place called Appomattox</w:t>
      </w:r>
      <w:r w:rsidRPr="006E5DEE">
        <w:rPr>
          <w:rFonts w:ascii="Times New Roman" w:hAnsi="Times New Roman" w:cs="Times New Roman"/>
          <w:color w:val="000000" w:themeColor="text1"/>
          <w:sz w:val="24"/>
        </w:rPr>
        <w:t>. Chapel Hill: University of North Carolina Press, 2000.</w:t>
      </w:r>
    </w:p>
    <w:p w14:paraId="0CC4F19E" w14:textId="281DD084"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Masur, Kate. </w:t>
      </w:r>
      <w:r w:rsidRPr="006E5DEE">
        <w:rPr>
          <w:rFonts w:ascii="Times New Roman" w:hAnsi="Times New Roman" w:cs="Times New Roman"/>
          <w:i/>
          <w:iCs/>
          <w:color w:val="000000" w:themeColor="text1"/>
          <w:sz w:val="24"/>
        </w:rPr>
        <w:t xml:space="preserve">An Example for All the Land: Emancipation and the Struggle over Equality in Washington, D.C. </w:t>
      </w:r>
      <w:r w:rsidRPr="006E5DEE">
        <w:rPr>
          <w:rFonts w:ascii="Times New Roman" w:hAnsi="Times New Roman" w:cs="Times New Roman"/>
          <w:color w:val="000000" w:themeColor="text1"/>
          <w:sz w:val="24"/>
        </w:rPr>
        <w:t>Chapel Hill: University of North Carolina Press, 2010.</w:t>
      </w:r>
    </w:p>
    <w:p w14:paraId="1A10D217" w14:textId="1AD50DD4"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Maury, William M. </w:t>
      </w:r>
      <w:r w:rsidRPr="006E5DEE">
        <w:rPr>
          <w:rFonts w:ascii="Times New Roman" w:hAnsi="Times New Roman" w:cs="Times New Roman"/>
          <w:i/>
          <w:iCs/>
          <w:color w:val="000000" w:themeColor="text1"/>
          <w:sz w:val="24"/>
        </w:rPr>
        <w:t>Alexander “Boss” Shepherd and the Board of Public Works</w:t>
      </w:r>
      <w:r w:rsidRPr="006E5DEE">
        <w:rPr>
          <w:rFonts w:ascii="Times New Roman" w:hAnsi="Times New Roman" w:cs="Times New Roman"/>
          <w:color w:val="000000" w:themeColor="text1"/>
          <w:sz w:val="24"/>
        </w:rPr>
        <w:t>. [GW Washington Studies, Number Three] Washington: George Washington University, 1975.</w:t>
      </w:r>
      <w:bookmarkStart w:id="107" w:name="_Hlk187059678"/>
    </w:p>
    <w:p w14:paraId="69E8E075" w14:textId="5E1C0AF1"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May, Robert E. </w:t>
      </w:r>
      <w:r w:rsidRPr="006E5DEE">
        <w:rPr>
          <w:rFonts w:ascii="Times New Roman" w:hAnsi="Times New Roman" w:cs="Times New Roman"/>
          <w:i/>
          <w:iCs/>
          <w:color w:val="000000" w:themeColor="text1"/>
          <w:sz w:val="24"/>
        </w:rPr>
        <w:t>Manifest Destiny’s Underworld: Filibustering in Antebellum America</w:t>
      </w:r>
      <w:r w:rsidRPr="006E5DEE">
        <w:rPr>
          <w:rFonts w:ascii="Times New Roman" w:hAnsi="Times New Roman" w:cs="Times New Roman"/>
          <w:color w:val="000000" w:themeColor="text1"/>
          <w:sz w:val="24"/>
        </w:rPr>
        <w:t>. Chapel Hill: University of North Carolina Press, 2002.</w:t>
      </w:r>
    </w:p>
    <w:p w14:paraId="2F881D61" w14:textId="74DCB8EF"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Mayer, George H. </w:t>
      </w:r>
      <w:r w:rsidRPr="006E5DEE">
        <w:rPr>
          <w:rFonts w:ascii="Times New Roman" w:hAnsi="Times New Roman" w:cs="Times New Roman"/>
          <w:i/>
          <w:iCs/>
          <w:color w:val="000000" w:themeColor="text1"/>
          <w:sz w:val="24"/>
        </w:rPr>
        <w:t xml:space="preserve">The Republican Party, 1854-1966. </w:t>
      </w:r>
      <w:r w:rsidRPr="006E5DEE">
        <w:rPr>
          <w:rFonts w:ascii="Times New Roman" w:hAnsi="Times New Roman" w:cs="Times New Roman"/>
          <w:color w:val="000000" w:themeColor="text1"/>
          <w:sz w:val="24"/>
        </w:rPr>
        <w:t>New York: Oxford University Press, 1967.</w:t>
      </w:r>
    </w:p>
    <w:p w14:paraId="762216C3" w14:textId="52AF8C8E"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McAllen, M.M. </w:t>
      </w:r>
      <w:r w:rsidRPr="006E5DEE">
        <w:rPr>
          <w:rFonts w:ascii="Times New Roman" w:hAnsi="Times New Roman" w:cs="Times New Roman"/>
          <w:i/>
          <w:iCs/>
          <w:color w:val="000000" w:themeColor="text1"/>
          <w:sz w:val="24"/>
        </w:rPr>
        <w:t>Maximilian and Carlota: Europe’s Last Empire in Mexico</w:t>
      </w:r>
      <w:r w:rsidRPr="006E5DEE">
        <w:rPr>
          <w:rFonts w:ascii="Times New Roman" w:hAnsi="Times New Roman" w:cs="Times New Roman"/>
          <w:color w:val="000000" w:themeColor="text1"/>
          <w:sz w:val="24"/>
        </w:rPr>
        <w:t>. San Antonio, TX: Trinity University Press, 2014.</w:t>
      </w:r>
      <w:bookmarkEnd w:id="107"/>
    </w:p>
    <w:p w14:paraId="13BCA8A9" w14:textId="3EA1B05D"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McCormick, Richard P. </w:t>
      </w:r>
      <w:r w:rsidRPr="006E5DEE">
        <w:rPr>
          <w:rFonts w:ascii="Times New Roman" w:hAnsi="Times New Roman" w:cs="Times New Roman"/>
          <w:i/>
          <w:iCs/>
          <w:color w:val="000000" w:themeColor="text1"/>
          <w:sz w:val="24"/>
        </w:rPr>
        <w:t>The Presidential Game: The Origins of American Presidential Politics</w:t>
      </w:r>
      <w:r w:rsidRPr="006E5DEE">
        <w:rPr>
          <w:rFonts w:ascii="Times New Roman" w:hAnsi="Times New Roman" w:cs="Times New Roman"/>
          <w:color w:val="000000" w:themeColor="text1"/>
          <w:sz w:val="24"/>
        </w:rPr>
        <w:t>. New York, NY: Oxford University Press, 1982.</w:t>
      </w:r>
    </w:p>
    <w:p w14:paraId="3AD6C086" w14:textId="5BF7B294"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McCoy, Drew R. </w:t>
      </w:r>
      <w:r w:rsidRPr="006E5DEE">
        <w:rPr>
          <w:rFonts w:ascii="Times New Roman" w:hAnsi="Times New Roman" w:cs="Times New Roman"/>
          <w:i/>
          <w:iCs/>
          <w:color w:val="000000" w:themeColor="text1"/>
          <w:sz w:val="24"/>
        </w:rPr>
        <w:t>The Elusive Republic: Political Economy in Jeffersonian America</w:t>
      </w:r>
      <w:r w:rsidRPr="006E5DEE">
        <w:rPr>
          <w:rFonts w:ascii="Times New Roman" w:hAnsi="Times New Roman" w:cs="Times New Roman"/>
          <w:color w:val="000000" w:themeColor="text1"/>
          <w:sz w:val="24"/>
        </w:rPr>
        <w:t>. Chapel Hill: University of North Carolina Press, 1980.</w:t>
      </w:r>
    </w:p>
    <w:p w14:paraId="54CE3842" w14:textId="488ACCF4"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McCullough, David. </w:t>
      </w:r>
      <w:r w:rsidRPr="006E5DEE">
        <w:rPr>
          <w:rFonts w:ascii="Times New Roman" w:hAnsi="Times New Roman" w:cs="Times New Roman"/>
          <w:i/>
          <w:iCs/>
          <w:color w:val="000000" w:themeColor="text1"/>
          <w:sz w:val="24"/>
        </w:rPr>
        <w:t>John Adams</w:t>
      </w:r>
      <w:r w:rsidRPr="006E5DEE">
        <w:rPr>
          <w:rFonts w:ascii="Times New Roman" w:hAnsi="Times New Roman" w:cs="Times New Roman"/>
          <w:color w:val="000000" w:themeColor="text1"/>
          <w:sz w:val="24"/>
        </w:rPr>
        <w:t>. New York: Simon and Schuster, 2001.</w:t>
      </w:r>
    </w:p>
    <w:p w14:paraId="725C8676" w14:textId="0FE589C8"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McCurry, Stephanie. </w:t>
      </w:r>
      <w:r w:rsidRPr="006E5DEE">
        <w:rPr>
          <w:rFonts w:ascii="Times New Roman" w:hAnsi="Times New Roman" w:cs="Times New Roman"/>
          <w:i/>
          <w:iCs/>
          <w:color w:val="000000" w:themeColor="text1"/>
          <w:sz w:val="24"/>
        </w:rPr>
        <w:t>Confederate Reckoning: Power and Politics in the Civil War South</w:t>
      </w:r>
      <w:r w:rsidRPr="006E5DEE">
        <w:rPr>
          <w:rFonts w:ascii="Times New Roman" w:hAnsi="Times New Roman" w:cs="Times New Roman"/>
          <w:color w:val="000000" w:themeColor="text1"/>
          <w:sz w:val="24"/>
        </w:rPr>
        <w:t>. Cambridge: Harvard University Press, 2010.</w:t>
      </w:r>
    </w:p>
    <w:p w14:paraId="1685F014" w14:textId="73E368AA"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McFeely, William S. </w:t>
      </w:r>
      <w:r w:rsidRPr="006E5DEE">
        <w:rPr>
          <w:rFonts w:ascii="Times New Roman" w:hAnsi="Times New Roman" w:cs="Times New Roman"/>
          <w:i/>
          <w:iCs/>
          <w:color w:val="000000" w:themeColor="text1"/>
          <w:sz w:val="24"/>
        </w:rPr>
        <w:t>Grant: A Biography</w:t>
      </w:r>
      <w:r w:rsidRPr="006E5DEE">
        <w:rPr>
          <w:rFonts w:ascii="Times New Roman" w:hAnsi="Times New Roman" w:cs="Times New Roman"/>
          <w:color w:val="000000" w:themeColor="text1"/>
          <w:sz w:val="24"/>
        </w:rPr>
        <w:t>. New York: W.W. Norton, 1981.</w:t>
      </w:r>
    </w:p>
    <w:p w14:paraId="69205C79" w14:textId="763325A2"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McPherson, James. </w:t>
      </w:r>
      <w:r w:rsidRPr="006E5DEE">
        <w:rPr>
          <w:rFonts w:ascii="Times New Roman" w:hAnsi="Times New Roman" w:cs="Times New Roman"/>
          <w:i/>
          <w:iCs/>
          <w:color w:val="000000" w:themeColor="text1"/>
          <w:sz w:val="24"/>
        </w:rPr>
        <w:t>Battle Cry of Freedom: The Civil War Era</w:t>
      </w:r>
      <w:r w:rsidRPr="006E5DEE">
        <w:rPr>
          <w:rFonts w:ascii="Times New Roman" w:hAnsi="Times New Roman" w:cs="Times New Roman"/>
          <w:color w:val="000000" w:themeColor="text1"/>
          <w:sz w:val="24"/>
        </w:rPr>
        <w:t>. New York: Oxford University Press, 1988.</w:t>
      </w:r>
    </w:p>
    <w:p w14:paraId="24588860" w14:textId="2337BD00"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McPherson, James. </w:t>
      </w:r>
      <w:r w:rsidRPr="006E5DEE">
        <w:rPr>
          <w:rFonts w:ascii="Times New Roman" w:hAnsi="Times New Roman" w:cs="Times New Roman"/>
          <w:i/>
          <w:iCs/>
          <w:color w:val="000000" w:themeColor="text1"/>
          <w:sz w:val="24"/>
        </w:rPr>
        <w:t>For Cause and Comrades: Why Men Fought in the Civil War</w:t>
      </w:r>
      <w:r w:rsidRPr="006E5DEE">
        <w:rPr>
          <w:rFonts w:ascii="Times New Roman" w:hAnsi="Times New Roman" w:cs="Times New Roman"/>
          <w:color w:val="000000" w:themeColor="text1"/>
          <w:sz w:val="24"/>
        </w:rPr>
        <w:t>. New York: Oxford University Press, 1997.</w:t>
      </w:r>
    </w:p>
    <w:p w14:paraId="579BAECE" w14:textId="2C5A7A4C"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McPherson, James. </w:t>
      </w:r>
      <w:r w:rsidRPr="006E5DEE">
        <w:rPr>
          <w:rFonts w:ascii="Times New Roman" w:hAnsi="Times New Roman" w:cs="Times New Roman"/>
          <w:i/>
          <w:iCs/>
          <w:color w:val="000000" w:themeColor="text1"/>
          <w:sz w:val="24"/>
        </w:rPr>
        <w:t>The Struggle for Equality: Abolitionists and the Negro in the Civil War and Reconstruction.</w:t>
      </w:r>
      <w:r w:rsidRPr="006E5DEE">
        <w:rPr>
          <w:rFonts w:ascii="Times New Roman" w:hAnsi="Times New Roman" w:cs="Times New Roman"/>
          <w:color w:val="000000" w:themeColor="text1"/>
          <w:sz w:val="24"/>
        </w:rPr>
        <w:t xml:space="preserve"> Princeton: Princeton University Press, 1964.</w:t>
      </w:r>
    </w:p>
    <w:p w14:paraId="042C5BF4" w14:textId="26129286"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Mitchell, Robert B. </w:t>
      </w:r>
      <w:r w:rsidRPr="006E5DEE">
        <w:rPr>
          <w:rFonts w:ascii="Times New Roman" w:hAnsi="Times New Roman" w:cs="Times New Roman"/>
          <w:i/>
          <w:iCs/>
          <w:color w:val="000000" w:themeColor="text1"/>
          <w:sz w:val="24"/>
        </w:rPr>
        <w:t>Congress and the King of Frauds: Corruption and the Credit Mobilier Scandal.</w:t>
      </w:r>
      <w:r w:rsidRPr="006E5DEE">
        <w:rPr>
          <w:rFonts w:ascii="Times New Roman" w:hAnsi="Times New Roman" w:cs="Times New Roman"/>
          <w:color w:val="000000" w:themeColor="text1"/>
          <w:sz w:val="24"/>
        </w:rPr>
        <w:t xml:space="preserve"> Roseville, MN: Edinborough Press, 2018.</w:t>
      </w:r>
    </w:p>
    <w:p w14:paraId="34A49381" w14:textId="318BDB26"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Morgan, H. Wayne. </w:t>
      </w:r>
      <w:r w:rsidRPr="006E5DEE">
        <w:rPr>
          <w:rFonts w:ascii="Times New Roman" w:hAnsi="Times New Roman" w:cs="Times New Roman"/>
          <w:i/>
          <w:iCs/>
          <w:color w:val="000000" w:themeColor="text1"/>
          <w:sz w:val="24"/>
        </w:rPr>
        <w:t>From Hayes to McKinley: National Party Politics, 1877-1896</w:t>
      </w:r>
      <w:r w:rsidRPr="006E5DEE">
        <w:rPr>
          <w:rFonts w:ascii="Times New Roman" w:hAnsi="Times New Roman" w:cs="Times New Roman"/>
          <w:color w:val="000000" w:themeColor="text1"/>
          <w:sz w:val="24"/>
        </w:rPr>
        <w:t>. Syracuse: Syracuse University Press, 1969.</w:t>
      </w:r>
    </w:p>
    <w:p w14:paraId="40849F64" w14:textId="5D630AAF"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Morgan, H. Wayne, ed. </w:t>
      </w:r>
      <w:r w:rsidRPr="006E5DEE">
        <w:rPr>
          <w:rFonts w:ascii="Times New Roman" w:hAnsi="Times New Roman" w:cs="Times New Roman"/>
          <w:i/>
          <w:color w:val="000000" w:themeColor="text1"/>
          <w:sz w:val="24"/>
        </w:rPr>
        <w:t>The Gilded Age: A Reappraisal.</w:t>
      </w:r>
      <w:r w:rsidRPr="006E5DEE">
        <w:rPr>
          <w:rFonts w:ascii="Times New Roman" w:hAnsi="Times New Roman" w:cs="Times New Roman"/>
          <w:color w:val="000000" w:themeColor="text1"/>
          <w:sz w:val="24"/>
        </w:rPr>
        <w:t xml:space="preserve"> Syracuse: Syracuse University Press, 1963.</w:t>
      </w:r>
    </w:p>
    <w:p w14:paraId="455E7BFD" w14:textId="3B9DB929"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Morton, Joseph. </w:t>
      </w:r>
      <w:r w:rsidRPr="006E5DEE">
        <w:rPr>
          <w:rFonts w:ascii="Times New Roman" w:hAnsi="Times New Roman" w:cs="Times New Roman"/>
          <w:i/>
          <w:iCs/>
          <w:color w:val="000000" w:themeColor="text1"/>
          <w:sz w:val="24"/>
        </w:rPr>
        <w:t>Shapers of the Great Debate at the Constitutional Convention of 1787: A Biographical Dictionary</w:t>
      </w:r>
      <w:r w:rsidRPr="006E5DEE">
        <w:rPr>
          <w:rFonts w:ascii="Times New Roman" w:hAnsi="Times New Roman" w:cs="Times New Roman"/>
          <w:color w:val="000000" w:themeColor="text1"/>
          <w:sz w:val="24"/>
        </w:rPr>
        <w:t>. Westport, CT: Greenwood Press, 2006.</w:t>
      </w:r>
    </w:p>
    <w:p w14:paraId="0073597B" w14:textId="2CD52EB7" w:rsidR="005D5FB3" w:rsidRPr="006E5DEE" w:rsidRDefault="00A16069" w:rsidP="00F12AA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Moya Pons, Frank. </w:t>
      </w:r>
      <w:r w:rsidRPr="006E5DEE">
        <w:rPr>
          <w:rFonts w:ascii="Times New Roman" w:hAnsi="Times New Roman" w:cs="Times New Roman"/>
          <w:i/>
          <w:iCs/>
          <w:color w:val="000000" w:themeColor="text1"/>
          <w:sz w:val="24"/>
        </w:rPr>
        <w:t>The Dominican Republic: A National History</w:t>
      </w:r>
      <w:r w:rsidRPr="006E5DEE">
        <w:rPr>
          <w:rFonts w:ascii="Times New Roman" w:hAnsi="Times New Roman" w:cs="Times New Roman"/>
          <w:color w:val="000000" w:themeColor="text1"/>
          <w:sz w:val="24"/>
        </w:rPr>
        <w:t>. Princeton, NJ: Markus Wiener Publishers, 1998.</w:t>
      </w:r>
    </w:p>
    <w:p w14:paraId="7E8633A2" w14:textId="3DEC3D19"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Mushkat, Jerome and Joseph G. Rayback. </w:t>
      </w:r>
      <w:r w:rsidRPr="006E5DEE">
        <w:rPr>
          <w:rFonts w:ascii="Times New Roman" w:hAnsi="Times New Roman" w:cs="Times New Roman"/>
          <w:i/>
          <w:iCs/>
          <w:color w:val="000000" w:themeColor="text1"/>
          <w:sz w:val="24"/>
        </w:rPr>
        <w:t>Martin Van Buren: Law, Politics, and the Shaping of Republican Ideology</w:t>
      </w:r>
      <w:r w:rsidRPr="006E5DEE">
        <w:rPr>
          <w:rFonts w:ascii="Times New Roman" w:hAnsi="Times New Roman" w:cs="Times New Roman"/>
          <w:color w:val="000000" w:themeColor="text1"/>
          <w:sz w:val="24"/>
        </w:rPr>
        <w:t>. DeKalb, IL: Northern Illinois Press, 1997.</w:t>
      </w:r>
    </w:p>
    <w:p w14:paraId="78316084" w14:textId="2AF0B94E"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Nash, Bradley D. with Milton S. Eisenhower, R. Gordon Hoxie, and William C. Spragens. </w:t>
      </w:r>
      <w:r w:rsidRPr="006E5DEE">
        <w:rPr>
          <w:rFonts w:ascii="Times New Roman" w:hAnsi="Times New Roman" w:cs="Times New Roman"/>
          <w:i/>
          <w:iCs/>
          <w:color w:val="000000" w:themeColor="text1"/>
          <w:sz w:val="24"/>
        </w:rPr>
        <w:t>Organizing and Staffing the Presidency</w:t>
      </w:r>
      <w:r w:rsidRPr="006E5DEE">
        <w:rPr>
          <w:rFonts w:ascii="Times New Roman" w:hAnsi="Times New Roman" w:cs="Times New Roman"/>
          <w:color w:val="000000" w:themeColor="text1"/>
          <w:sz w:val="24"/>
        </w:rPr>
        <w:t>. New York: Center for the Study of the Presidency, 1980.</w:t>
      </w:r>
    </w:p>
    <w:p w14:paraId="467DD635" w14:textId="7001BB47"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Neely Jr., Mark E. </w:t>
      </w:r>
      <w:r w:rsidRPr="006E5DEE">
        <w:rPr>
          <w:rFonts w:ascii="Times New Roman" w:hAnsi="Times New Roman" w:cs="Times New Roman"/>
          <w:i/>
          <w:iCs/>
          <w:color w:val="000000" w:themeColor="text1"/>
          <w:sz w:val="24"/>
        </w:rPr>
        <w:t>The Fate of Liberty: Abraham Lincoln and Civil Liberties</w:t>
      </w:r>
      <w:r w:rsidRPr="006E5DEE">
        <w:rPr>
          <w:rFonts w:ascii="Times New Roman" w:hAnsi="Times New Roman" w:cs="Times New Roman"/>
          <w:color w:val="000000" w:themeColor="text1"/>
          <w:sz w:val="24"/>
        </w:rPr>
        <w:t>. New York: Oxford University Press, 1991.</w:t>
      </w:r>
    </w:p>
    <w:p w14:paraId="74233183" w14:textId="0D7A79BF"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Neely Jr., Mark E. </w:t>
      </w:r>
      <w:r w:rsidRPr="006E5DEE">
        <w:rPr>
          <w:rFonts w:ascii="Times New Roman" w:hAnsi="Times New Roman" w:cs="Times New Roman"/>
          <w:i/>
          <w:iCs/>
          <w:color w:val="000000" w:themeColor="text1"/>
          <w:sz w:val="24"/>
        </w:rPr>
        <w:t>Lincoln and the Triumph of the Nation: Constitutional Conflict in the American Civil War</w:t>
      </w:r>
      <w:r w:rsidRPr="006E5DEE">
        <w:rPr>
          <w:rFonts w:ascii="Times New Roman" w:hAnsi="Times New Roman" w:cs="Times New Roman"/>
          <w:color w:val="000000" w:themeColor="text1"/>
          <w:sz w:val="24"/>
        </w:rPr>
        <w:t>. Chapel Hill: University of North Carolina Press, 2011.</w:t>
      </w:r>
    </w:p>
    <w:p w14:paraId="08BA07E9" w14:textId="2E9D5E0B"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Nelson, William Javier. </w:t>
      </w:r>
      <w:r w:rsidRPr="006E5DEE">
        <w:rPr>
          <w:rFonts w:ascii="Times New Roman" w:hAnsi="Times New Roman" w:cs="Times New Roman"/>
          <w:i/>
          <w:iCs/>
          <w:color w:val="000000" w:themeColor="text1"/>
          <w:sz w:val="24"/>
        </w:rPr>
        <w:t>Almost a Territory: America’s Attempt to Annex the Dominican Republic.</w:t>
      </w:r>
      <w:r w:rsidRPr="006E5DEE">
        <w:rPr>
          <w:rFonts w:ascii="Times New Roman" w:hAnsi="Times New Roman" w:cs="Times New Roman"/>
          <w:color w:val="000000" w:themeColor="text1"/>
          <w:sz w:val="24"/>
        </w:rPr>
        <w:t xml:space="preserve"> Newark: University of Delaware Press, 1990.</w:t>
      </w:r>
    </w:p>
    <w:p w14:paraId="7981DF9C" w14:textId="662D94AD"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Nester, William. </w:t>
      </w:r>
      <w:r w:rsidRPr="006E5DEE">
        <w:rPr>
          <w:rFonts w:ascii="Times New Roman" w:hAnsi="Times New Roman" w:cs="Times New Roman"/>
          <w:i/>
          <w:iCs/>
          <w:color w:val="000000" w:themeColor="text1"/>
          <w:sz w:val="24"/>
        </w:rPr>
        <w:t>The Age of Jackson and the Art of American Power, 1815-1848</w:t>
      </w:r>
      <w:r w:rsidRPr="006E5DEE">
        <w:rPr>
          <w:rFonts w:ascii="Times New Roman" w:hAnsi="Times New Roman" w:cs="Times New Roman"/>
          <w:color w:val="000000" w:themeColor="text1"/>
          <w:sz w:val="24"/>
        </w:rPr>
        <w:t>. Washington, DC: Potomac Books, 2013.</w:t>
      </w:r>
    </w:p>
    <w:p w14:paraId="198FB9E6" w14:textId="7DAD9207"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Nester, William. </w:t>
      </w:r>
      <w:r w:rsidRPr="006E5DEE">
        <w:rPr>
          <w:rFonts w:ascii="Times New Roman" w:hAnsi="Times New Roman" w:cs="Times New Roman"/>
          <w:i/>
          <w:iCs/>
          <w:color w:val="000000" w:themeColor="text1"/>
          <w:sz w:val="24"/>
        </w:rPr>
        <w:t>The Age of Lincoln and the Art of American Power, 1848-1876</w:t>
      </w:r>
      <w:r w:rsidRPr="006E5DEE">
        <w:rPr>
          <w:rFonts w:ascii="Times New Roman" w:hAnsi="Times New Roman" w:cs="Times New Roman"/>
          <w:color w:val="000000" w:themeColor="text1"/>
          <w:sz w:val="24"/>
        </w:rPr>
        <w:t>. Lincoln, NE: Potomac Books, an imprint of the University of Nebraska Press, 2013.</w:t>
      </w:r>
    </w:p>
    <w:p w14:paraId="32BD5C07" w14:textId="06C806F0"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Nevins, Allan. </w:t>
      </w:r>
      <w:r w:rsidRPr="006E5DEE">
        <w:rPr>
          <w:rFonts w:ascii="Times New Roman" w:hAnsi="Times New Roman" w:cs="Times New Roman"/>
          <w:i/>
          <w:iCs/>
          <w:color w:val="000000" w:themeColor="text1"/>
          <w:sz w:val="24"/>
        </w:rPr>
        <w:t>Hamilton Fish: The Inner History of the Grant Administration</w:t>
      </w:r>
      <w:r w:rsidRPr="006E5DEE">
        <w:rPr>
          <w:rFonts w:ascii="Times New Roman" w:hAnsi="Times New Roman" w:cs="Times New Roman"/>
          <w:color w:val="000000" w:themeColor="text1"/>
          <w:sz w:val="24"/>
        </w:rPr>
        <w:t>. 2 vols. New York, NY: Dodd, Mead, 1935.</w:t>
      </w:r>
    </w:p>
    <w:p w14:paraId="49C3C7DD" w14:textId="42BEEA59"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Nichols, Roy F. </w:t>
      </w:r>
      <w:r w:rsidRPr="006E5DEE">
        <w:rPr>
          <w:rFonts w:ascii="Times New Roman" w:hAnsi="Times New Roman" w:cs="Times New Roman"/>
          <w:i/>
          <w:iCs/>
          <w:color w:val="000000" w:themeColor="text1"/>
          <w:sz w:val="24"/>
        </w:rPr>
        <w:t>The Invention of the American Political Parties</w:t>
      </w:r>
      <w:r w:rsidRPr="006E5DEE">
        <w:rPr>
          <w:rFonts w:ascii="Times New Roman" w:hAnsi="Times New Roman" w:cs="Times New Roman"/>
          <w:color w:val="000000" w:themeColor="text1"/>
          <w:sz w:val="24"/>
        </w:rPr>
        <w:t>. New York, NY: Macmillan Company, 1967.</w:t>
      </w:r>
    </w:p>
    <w:p w14:paraId="3C64C6B8" w14:textId="313124E9"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Niven, John. </w:t>
      </w:r>
      <w:r w:rsidRPr="006E5DEE">
        <w:rPr>
          <w:rFonts w:ascii="Times New Roman" w:hAnsi="Times New Roman" w:cs="Times New Roman"/>
          <w:i/>
          <w:iCs/>
          <w:color w:val="000000" w:themeColor="text1"/>
          <w:sz w:val="24"/>
        </w:rPr>
        <w:t>Martin Van Buren: The Romantic Age of American Politics</w:t>
      </w:r>
      <w:r w:rsidRPr="006E5DEE">
        <w:rPr>
          <w:rFonts w:ascii="Times New Roman" w:hAnsi="Times New Roman" w:cs="Times New Roman"/>
          <w:color w:val="000000" w:themeColor="text1"/>
          <w:sz w:val="24"/>
        </w:rPr>
        <w:t>. New York: Oxford University Press, 1983.</w:t>
      </w:r>
    </w:p>
    <w:p w14:paraId="02825064" w14:textId="4561CA8C"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Novak, William J. </w:t>
      </w:r>
      <w:r w:rsidRPr="006E5DEE">
        <w:rPr>
          <w:rFonts w:ascii="Times New Roman" w:hAnsi="Times New Roman" w:cs="Times New Roman"/>
          <w:i/>
          <w:iCs/>
          <w:color w:val="000000" w:themeColor="text1"/>
          <w:sz w:val="24"/>
        </w:rPr>
        <w:t>The People's Welfare: Law and Regulation in Nineteenth-Century America.</w:t>
      </w:r>
      <w:r w:rsidRPr="006E5DEE">
        <w:rPr>
          <w:rFonts w:ascii="Times New Roman" w:hAnsi="Times New Roman" w:cs="Times New Roman"/>
          <w:color w:val="000000" w:themeColor="text1"/>
          <w:sz w:val="24"/>
        </w:rPr>
        <w:t xml:space="preserve"> Chapel Hill: University of North Carolina Press, 1997</w:t>
      </w:r>
    </w:p>
    <w:p w14:paraId="6CEE6681" w14:textId="53A436C6"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Olmsted, Henry King. </w:t>
      </w:r>
      <w:r w:rsidRPr="006E5DEE">
        <w:rPr>
          <w:rFonts w:ascii="Times New Roman" w:hAnsi="Times New Roman" w:cs="Times New Roman"/>
          <w:i/>
          <w:iCs/>
          <w:color w:val="000000" w:themeColor="text1"/>
          <w:sz w:val="24"/>
        </w:rPr>
        <w:t xml:space="preserve">Genealogy of the Olmsted Family in America: Embracing the Descendants of James and Richard Olmsted and Covering a Period of Nearly Three Centuries, 1632-1912. </w:t>
      </w:r>
      <w:r w:rsidRPr="006E5DEE">
        <w:rPr>
          <w:rFonts w:ascii="Times New Roman" w:hAnsi="Times New Roman" w:cs="Times New Roman"/>
          <w:color w:val="000000" w:themeColor="text1"/>
          <w:sz w:val="24"/>
        </w:rPr>
        <w:t>New York: A.T. De La Mare, 1912.</w:t>
      </w:r>
      <w:bookmarkStart w:id="108" w:name="_Hlk193883303"/>
    </w:p>
    <w:p w14:paraId="64EB34B7" w14:textId="5DD62292"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Ostrogorski, M. </w:t>
      </w:r>
      <w:r w:rsidRPr="006E5DEE">
        <w:rPr>
          <w:rFonts w:ascii="Times New Roman" w:hAnsi="Times New Roman" w:cs="Times New Roman"/>
          <w:i/>
          <w:iCs/>
          <w:color w:val="000000" w:themeColor="text1"/>
          <w:sz w:val="24"/>
        </w:rPr>
        <w:t>Democracy and the Party System in the United States: A Study in Extra-Constitutional Government</w:t>
      </w:r>
      <w:r w:rsidRPr="006E5DEE">
        <w:rPr>
          <w:rFonts w:ascii="Times New Roman" w:hAnsi="Times New Roman" w:cs="Times New Roman"/>
          <w:color w:val="000000" w:themeColor="text1"/>
          <w:sz w:val="24"/>
        </w:rPr>
        <w:t>. New York: The Macmillan Company, 1910.</w:t>
      </w:r>
      <w:bookmarkEnd w:id="108"/>
    </w:p>
    <w:p w14:paraId="263EC323" w14:textId="66B0F02A"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Patrick, Rembert Wallace. </w:t>
      </w:r>
      <w:r w:rsidRPr="006E5DEE">
        <w:rPr>
          <w:rFonts w:ascii="Times New Roman" w:hAnsi="Times New Roman" w:cs="Times New Roman"/>
          <w:i/>
          <w:iCs/>
          <w:color w:val="000000" w:themeColor="text1"/>
          <w:sz w:val="24"/>
        </w:rPr>
        <w:t>The Reconstruction of the Nation</w:t>
      </w:r>
      <w:r w:rsidRPr="006E5DEE">
        <w:rPr>
          <w:rFonts w:ascii="Times New Roman" w:hAnsi="Times New Roman" w:cs="Times New Roman"/>
          <w:color w:val="000000" w:themeColor="text1"/>
          <w:sz w:val="24"/>
        </w:rPr>
        <w:t>. New York, NY: Oxford Univ. Press, 1967.</w:t>
      </w:r>
    </w:p>
    <w:p w14:paraId="77DF6AA5" w14:textId="2CFA6176"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szCs w:val="24"/>
        </w:rPr>
      </w:pPr>
      <w:r w:rsidRPr="006E5DEE">
        <w:rPr>
          <w:rFonts w:ascii="Times New Roman" w:hAnsi="Times New Roman" w:cs="Times New Roman"/>
          <w:color w:val="000000" w:themeColor="text1"/>
          <w:sz w:val="24"/>
        </w:rPr>
        <w:t xml:space="preserve">Patterson Jr., Bradley H. </w:t>
      </w:r>
      <w:r w:rsidRPr="006E5DEE">
        <w:rPr>
          <w:rFonts w:ascii="Times New Roman" w:hAnsi="Times New Roman" w:cs="Times New Roman"/>
          <w:i/>
          <w:iCs/>
          <w:color w:val="000000" w:themeColor="text1"/>
          <w:sz w:val="24"/>
        </w:rPr>
        <w:t>The Ring of Power: The White House Staff and Its Expanding Role in Government</w:t>
      </w:r>
      <w:r w:rsidRPr="006E5DEE">
        <w:rPr>
          <w:rFonts w:ascii="Times New Roman" w:hAnsi="Times New Roman" w:cs="Times New Roman"/>
          <w:color w:val="000000" w:themeColor="text1"/>
          <w:sz w:val="24"/>
        </w:rPr>
        <w:t>. New York, NY: Basic Books Inc, 1988.</w:t>
      </w:r>
    </w:p>
    <w:p w14:paraId="386539E0" w14:textId="1C79BC6B"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szCs w:val="24"/>
        </w:rPr>
      </w:pPr>
      <w:r w:rsidRPr="006E5DEE">
        <w:rPr>
          <w:rFonts w:ascii="Times New Roman" w:hAnsi="Times New Roman" w:cs="Times New Roman"/>
          <w:color w:val="000000" w:themeColor="text1"/>
          <w:sz w:val="24"/>
          <w:szCs w:val="24"/>
        </w:rPr>
        <w:t xml:space="preserve">Peraino, Kevin. </w:t>
      </w:r>
      <w:r w:rsidRPr="006E5DEE">
        <w:rPr>
          <w:rFonts w:ascii="Times New Roman" w:hAnsi="Times New Roman" w:cs="Times New Roman"/>
          <w:i/>
          <w:iCs/>
          <w:color w:val="000000" w:themeColor="text1"/>
          <w:sz w:val="24"/>
          <w:szCs w:val="24"/>
        </w:rPr>
        <w:t>Lincoln in the World: The Making of a Statesman and the Dawn of American Power</w:t>
      </w:r>
      <w:r w:rsidRPr="006E5DEE">
        <w:rPr>
          <w:rFonts w:ascii="Times New Roman" w:hAnsi="Times New Roman" w:cs="Times New Roman"/>
          <w:color w:val="000000" w:themeColor="text1"/>
          <w:sz w:val="24"/>
          <w:szCs w:val="24"/>
        </w:rPr>
        <w:t>. New York: Crown Publishers, 2013.</w:t>
      </w:r>
    </w:p>
    <w:p w14:paraId="65E76C3B" w14:textId="053E1277"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szCs w:val="24"/>
        </w:rPr>
      </w:pPr>
      <w:r w:rsidRPr="006E5DEE">
        <w:rPr>
          <w:rFonts w:ascii="Times New Roman" w:hAnsi="Times New Roman" w:cs="Times New Roman"/>
          <w:color w:val="000000" w:themeColor="text1"/>
          <w:sz w:val="24"/>
          <w:szCs w:val="24"/>
        </w:rPr>
        <w:t xml:space="preserve">Perman, Michael. </w:t>
      </w:r>
      <w:r w:rsidRPr="006E5DEE">
        <w:rPr>
          <w:rFonts w:ascii="Times New Roman" w:hAnsi="Times New Roman" w:cs="Times New Roman"/>
          <w:i/>
          <w:iCs/>
          <w:color w:val="000000" w:themeColor="text1"/>
          <w:sz w:val="24"/>
          <w:szCs w:val="24"/>
        </w:rPr>
        <w:t>The Road to Redemption: Southern Politics, 1869-1879</w:t>
      </w:r>
      <w:r w:rsidRPr="006E5DEE">
        <w:rPr>
          <w:rFonts w:ascii="Times New Roman" w:hAnsi="Times New Roman" w:cs="Times New Roman"/>
          <w:color w:val="000000" w:themeColor="text1"/>
          <w:sz w:val="24"/>
          <w:szCs w:val="24"/>
        </w:rPr>
        <w:t>.Chapel Hill: University of North Carolina Press, 1984.</w:t>
      </w:r>
    </w:p>
    <w:p w14:paraId="1FDE97DE" w14:textId="39571E8C"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Perret, Geoffrey. </w:t>
      </w:r>
      <w:r w:rsidRPr="006E5DEE">
        <w:rPr>
          <w:rFonts w:ascii="Times New Roman" w:hAnsi="Times New Roman" w:cs="Times New Roman"/>
          <w:i/>
          <w:iCs/>
          <w:color w:val="000000" w:themeColor="text1"/>
          <w:sz w:val="24"/>
        </w:rPr>
        <w:t>Ulysses S. Grant: Soldier &amp; President</w:t>
      </w:r>
      <w:r w:rsidRPr="006E5DEE">
        <w:rPr>
          <w:rFonts w:ascii="Times New Roman" w:hAnsi="Times New Roman" w:cs="Times New Roman"/>
          <w:color w:val="000000" w:themeColor="text1"/>
          <w:sz w:val="24"/>
        </w:rPr>
        <w:t>. New York, NY: Random House, 1997.</w:t>
      </w:r>
      <w:bookmarkStart w:id="109" w:name="_Hlk193880738"/>
    </w:p>
    <w:p w14:paraId="51614978" w14:textId="318238B7"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Perry, Mark. </w:t>
      </w:r>
      <w:r w:rsidRPr="006E5DEE">
        <w:rPr>
          <w:rFonts w:ascii="Times New Roman" w:hAnsi="Times New Roman" w:cs="Times New Roman"/>
          <w:i/>
          <w:iCs/>
          <w:color w:val="000000" w:themeColor="text1"/>
          <w:sz w:val="24"/>
        </w:rPr>
        <w:t>Grant and Twain: The Story of an American Friendship</w:t>
      </w:r>
      <w:r w:rsidRPr="006E5DEE">
        <w:rPr>
          <w:rFonts w:ascii="Times New Roman" w:hAnsi="Times New Roman" w:cs="Times New Roman"/>
          <w:color w:val="000000" w:themeColor="text1"/>
          <w:sz w:val="24"/>
        </w:rPr>
        <w:t>. New York; Random House, 2005</w:t>
      </w:r>
      <w:r w:rsidR="00FE0880">
        <w:rPr>
          <w:rFonts w:ascii="Times New Roman" w:hAnsi="Times New Roman" w:cs="Times New Roman"/>
          <w:color w:val="000000" w:themeColor="text1"/>
          <w:sz w:val="24"/>
        </w:rPr>
        <w:t>.</w:t>
      </w:r>
    </w:p>
    <w:p w14:paraId="39D9D31D" w14:textId="6BC6812C"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Pessen, Edward, ed. </w:t>
      </w:r>
      <w:r w:rsidRPr="006E5DEE">
        <w:rPr>
          <w:rFonts w:ascii="Times New Roman" w:hAnsi="Times New Roman" w:cs="Times New Roman"/>
          <w:i/>
          <w:iCs/>
          <w:color w:val="000000" w:themeColor="text1"/>
          <w:sz w:val="24"/>
        </w:rPr>
        <w:t>New Perspectives on Jacksonian Parties and Politics</w:t>
      </w:r>
      <w:r w:rsidRPr="006E5DEE">
        <w:rPr>
          <w:rFonts w:ascii="Times New Roman" w:hAnsi="Times New Roman" w:cs="Times New Roman"/>
          <w:color w:val="000000" w:themeColor="text1"/>
          <w:sz w:val="24"/>
        </w:rPr>
        <w:t>. Boston: Allyn and Bacon, Inc., 1969.</w:t>
      </w:r>
    </w:p>
    <w:p w14:paraId="133F19DA" w14:textId="3FD87DDD"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Peters, Shawn Francis. </w:t>
      </w:r>
      <w:r w:rsidRPr="006E5DEE">
        <w:rPr>
          <w:rFonts w:ascii="Times New Roman" w:hAnsi="Times New Roman" w:cs="Times New Roman"/>
          <w:i/>
          <w:iCs/>
          <w:color w:val="000000" w:themeColor="text1"/>
          <w:sz w:val="24"/>
        </w:rPr>
        <w:t>When Bad Men Combine: The Star Route Scandal and the Twilight of Gilded Age Politics</w:t>
      </w:r>
      <w:r w:rsidRPr="006E5DEE">
        <w:rPr>
          <w:rFonts w:ascii="Times New Roman" w:hAnsi="Times New Roman" w:cs="Times New Roman"/>
          <w:color w:val="000000" w:themeColor="text1"/>
          <w:sz w:val="24"/>
        </w:rPr>
        <w:t>. Baton Rouge: Louisiana State University Press, 2023.</w:t>
      </w:r>
    </w:p>
    <w:p w14:paraId="102518B1" w14:textId="6F616432"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Peterson, Norma Lois. </w:t>
      </w:r>
      <w:r w:rsidRPr="006E5DEE">
        <w:rPr>
          <w:rFonts w:ascii="Times New Roman" w:hAnsi="Times New Roman" w:cs="Times New Roman"/>
          <w:i/>
          <w:iCs/>
          <w:color w:val="000000" w:themeColor="text1"/>
          <w:sz w:val="24"/>
        </w:rPr>
        <w:t>The Presidencies of William Henry Harrison and John Tyler</w:t>
      </w:r>
      <w:r w:rsidRPr="006E5DEE">
        <w:rPr>
          <w:rFonts w:ascii="Times New Roman" w:hAnsi="Times New Roman" w:cs="Times New Roman"/>
          <w:color w:val="000000" w:themeColor="text1"/>
          <w:sz w:val="24"/>
        </w:rPr>
        <w:t>. Lawrence: University of Kansas Press, 1989.</w:t>
      </w:r>
    </w:p>
    <w:p w14:paraId="46448819" w14:textId="064DB500"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Potter, David M. </w:t>
      </w:r>
      <w:r w:rsidRPr="006E5DEE">
        <w:rPr>
          <w:rFonts w:ascii="Times New Roman" w:hAnsi="Times New Roman" w:cs="Times New Roman"/>
          <w:i/>
          <w:iCs/>
          <w:color w:val="000000" w:themeColor="text1"/>
          <w:sz w:val="24"/>
        </w:rPr>
        <w:t>The Impending Crisis, 1848-1861</w:t>
      </w:r>
      <w:r w:rsidRPr="006E5DEE">
        <w:rPr>
          <w:rFonts w:ascii="Times New Roman" w:hAnsi="Times New Roman" w:cs="Times New Roman"/>
          <w:color w:val="000000" w:themeColor="text1"/>
          <w:sz w:val="24"/>
        </w:rPr>
        <w:t>. New York: Harper &amp; Row, 1976.</w:t>
      </w:r>
    </w:p>
    <w:p w14:paraId="23432C4E" w14:textId="6E256497"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Puleo, Stephen. </w:t>
      </w:r>
      <w:r w:rsidRPr="006E5DEE">
        <w:rPr>
          <w:rFonts w:ascii="Times New Roman" w:hAnsi="Times New Roman" w:cs="Times New Roman"/>
          <w:i/>
          <w:iCs/>
          <w:color w:val="000000" w:themeColor="text1"/>
          <w:sz w:val="24"/>
        </w:rPr>
        <w:t>The Great Abolitionist: Charles Sumner and the Fight for a More Perfect Union</w:t>
      </w:r>
      <w:r w:rsidRPr="006E5DEE">
        <w:rPr>
          <w:rFonts w:ascii="Times New Roman" w:hAnsi="Times New Roman" w:cs="Times New Roman"/>
          <w:color w:val="000000" w:themeColor="text1"/>
          <w:sz w:val="24"/>
        </w:rPr>
        <w:t>. New York, NY: St. Martin’s Press, 2024.</w:t>
      </w:r>
    </w:p>
    <w:p w14:paraId="2F4F2514" w14:textId="2B90D969"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Rable, George C. </w:t>
      </w:r>
      <w:r w:rsidRPr="006E5DEE">
        <w:rPr>
          <w:rFonts w:ascii="Times New Roman" w:hAnsi="Times New Roman" w:cs="Times New Roman"/>
          <w:i/>
          <w:iCs/>
          <w:color w:val="000000" w:themeColor="text1"/>
          <w:sz w:val="24"/>
        </w:rPr>
        <w:t>But There was No Peace: The Role of Violence in the Politics of Reconstruction</w:t>
      </w:r>
      <w:r w:rsidRPr="006E5DEE">
        <w:rPr>
          <w:rFonts w:ascii="Times New Roman" w:hAnsi="Times New Roman" w:cs="Times New Roman"/>
          <w:color w:val="000000" w:themeColor="text1"/>
          <w:sz w:val="24"/>
        </w:rPr>
        <w:t>. Athens, GA: University of Georgia Press, 1984.</w:t>
      </w:r>
    </w:p>
    <w:p w14:paraId="7536653E" w14:textId="6EF161FD"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Rable, George C. </w:t>
      </w:r>
      <w:r w:rsidRPr="006E5DEE">
        <w:rPr>
          <w:rFonts w:ascii="Times New Roman" w:hAnsi="Times New Roman" w:cs="Times New Roman"/>
          <w:i/>
          <w:iCs/>
          <w:color w:val="000000" w:themeColor="text1"/>
          <w:sz w:val="24"/>
        </w:rPr>
        <w:t>Conflict of Command: George McClellan, Abraham Lincoln, and the Politics of War</w:t>
      </w:r>
      <w:r w:rsidRPr="006E5DEE">
        <w:rPr>
          <w:rFonts w:ascii="Times New Roman" w:hAnsi="Times New Roman" w:cs="Times New Roman"/>
          <w:color w:val="000000" w:themeColor="text1"/>
          <w:sz w:val="24"/>
        </w:rPr>
        <w:t>. Baton Rouge: LSU Press, 2023.</w:t>
      </w:r>
    </w:p>
    <w:p w14:paraId="48CF4AFF" w14:textId="3D4926BD"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Rakove, Jack N. </w:t>
      </w:r>
      <w:r w:rsidRPr="006E5DEE">
        <w:rPr>
          <w:rFonts w:ascii="Times New Roman" w:hAnsi="Times New Roman" w:cs="Times New Roman"/>
          <w:i/>
          <w:iCs/>
          <w:color w:val="000000" w:themeColor="text1"/>
          <w:sz w:val="24"/>
        </w:rPr>
        <w:t>Original Meanings: Politics and Ideas in the Making of the Constitution</w:t>
      </w:r>
      <w:r w:rsidRPr="006E5DEE">
        <w:rPr>
          <w:rFonts w:ascii="Times New Roman" w:hAnsi="Times New Roman" w:cs="Times New Roman"/>
          <w:color w:val="000000" w:themeColor="text1"/>
          <w:sz w:val="24"/>
        </w:rPr>
        <w:t>. New York: Alfred A. Knopf, 1996.</w:t>
      </w:r>
    </w:p>
    <w:p w14:paraId="793E7D35" w14:textId="3A5FF601"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Rego, Paul M. </w:t>
      </w:r>
      <w:r w:rsidRPr="006E5DEE">
        <w:rPr>
          <w:rFonts w:ascii="Times New Roman" w:hAnsi="Times New Roman" w:cs="Times New Roman"/>
          <w:i/>
          <w:iCs/>
          <w:color w:val="000000" w:themeColor="text1"/>
          <w:sz w:val="24"/>
        </w:rPr>
        <w:t>Lyman Trumbull and the Second Founding of the United States</w:t>
      </w:r>
      <w:r w:rsidRPr="006E5DEE">
        <w:rPr>
          <w:rFonts w:ascii="Times New Roman" w:hAnsi="Times New Roman" w:cs="Times New Roman"/>
          <w:color w:val="000000" w:themeColor="text1"/>
          <w:sz w:val="24"/>
        </w:rPr>
        <w:t>. Lawrence, KS: University of Kansas Press, 2022.</w:t>
      </w:r>
      <w:bookmarkEnd w:id="109"/>
    </w:p>
    <w:p w14:paraId="247A3098" w14:textId="6A70B284"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Relyea, Harold C., Ed. </w:t>
      </w:r>
      <w:r w:rsidRPr="006E5DEE">
        <w:rPr>
          <w:rFonts w:ascii="Times New Roman" w:hAnsi="Times New Roman" w:cs="Times New Roman"/>
          <w:i/>
          <w:iCs/>
          <w:color w:val="000000" w:themeColor="text1"/>
          <w:sz w:val="24"/>
        </w:rPr>
        <w:t>The Executive Office of the President: A Historical, Biographical and Bibliographical Guide</w:t>
      </w:r>
      <w:r w:rsidRPr="006E5DEE">
        <w:rPr>
          <w:rFonts w:ascii="Times New Roman" w:hAnsi="Times New Roman" w:cs="Times New Roman"/>
          <w:color w:val="000000" w:themeColor="text1"/>
          <w:sz w:val="24"/>
        </w:rPr>
        <w:t>. Westport, CT: Greenwood Press, 1997.</w:t>
      </w:r>
    </w:p>
    <w:p w14:paraId="69B0C4D8" w14:textId="007D730F"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Richardson, Heather Cox. </w:t>
      </w:r>
      <w:r w:rsidRPr="006E5DEE">
        <w:rPr>
          <w:rFonts w:ascii="Times New Roman" w:hAnsi="Times New Roman" w:cs="Times New Roman"/>
          <w:i/>
          <w:iCs/>
          <w:color w:val="000000" w:themeColor="text1"/>
          <w:sz w:val="24"/>
        </w:rPr>
        <w:t>The Death of Reconstruction: Race, Labor, and Politics in the Post-Civil War North, 1865-1901.</w:t>
      </w:r>
      <w:r w:rsidRPr="006E5DEE">
        <w:rPr>
          <w:rFonts w:ascii="Times New Roman" w:hAnsi="Times New Roman" w:cs="Times New Roman"/>
          <w:color w:val="000000" w:themeColor="text1"/>
          <w:sz w:val="24"/>
        </w:rPr>
        <w:t xml:space="preserve"> Cambridge, MS: Harvard University Press, 2001.</w:t>
      </w:r>
    </w:p>
    <w:p w14:paraId="6CA6BE17" w14:textId="67B3B8A6"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Richardson, Heather Cox. </w:t>
      </w:r>
      <w:r w:rsidRPr="006E5DEE">
        <w:rPr>
          <w:rFonts w:ascii="Times New Roman" w:hAnsi="Times New Roman" w:cs="Times New Roman"/>
          <w:i/>
          <w:iCs/>
          <w:color w:val="000000" w:themeColor="text1"/>
          <w:sz w:val="24"/>
        </w:rPr>
        <w:t>West from Appomattox: The Reconstruction of America after the Civil War</w:t>
      </w:r>
      <w:r w:rsidRPr="006E5DEE">
        <w:rPr>
          <w:rFonts w:ascii="Times New Roman" w:hAnsi="Times New Roman" w:cs="Times New Roman"/>
          <w:color w:val="000000" w:themeColor="text1"/>
          <w:sz w:val="24"/>
        </w:rPr>
        <w:t xml:space="preserve">. New Haven, CT: Yale University Press, 2007. </w:t>
      </w:r>
    </w:p>
    <w:p w14:paraId="0792CD3E" w14:textId="74BFACF7"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Richardson, John P. </w:t>
      </w:r>
      <w:r w:rsidRPr="006E5DEE">
        <w:rPr>
          <w:rFonts w:ascii="Times New Roman" w:hAnsi="Times New Roman" w:cs="Times New Roman"/>
          <w:i/>
          <w:iCs/>
          <w:color w:val="000000" w:themeColor="text1"/>
          <w:sz w:val="24"/>
        </w:rPr>
        <w:t>Alexander Robey Shepherd: The Man Who Built the Nation’s Capital</w:t>
      </w:r>
      <w:r w:rsidRPr="006E5DEE">
        <w:rPr>
          <w:rFonts w:ascii="Times New Roman" w:hAnsi="Times New Roman" w:cs="Times New Roman"/>
          <w:color w:val="000000" w:themeColor="text1"/>
          <w:sz w:val="24"/>
        </w:rPr>
        <w:t>. Athens: Ohio University Press, 2016.</w:t>
      </w:r>
    </w:p>
    <w:p w14:paraId="7A4C0456" w14:textId="785B8447"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Rutland, Robert Allen. </w:t>
      </w:r>
      <w:r w:rsidRPr="006E5DEE">
        <w:rPr>
          <w:rFonts w:ascii="Times New Roman" w:hAnsi="Times New Roman" w:cs="Times New Roman"/>
          <w:i/>
          <w:iCs/>
          <w:color w:val="000000" w:themeColor="text1"/>
          <w:sz w:val="24"/>
        </w:rPr>
        <w:t>The Republicans: From Lincoln to Bush</w:t>
      </w:r>
      <w:r w:rsidRPr="006E5DEE">
        <w:rPr>
          <w:rFonts w:ascii="Times New Roman" w:hAnsi="Times New Roman" w:cs="Times New Roman"/>
          <w:color w:val="000000" w:themeColor="text1"/>
          <w:sz w:val="24"/>
        </w:rPr>
        <w:t>. Columbia, MO: University of Missouri Press, 1996.</w:t>
      </w:r>
    </w:p>
    <w:p w14:paraId="69D239A4" w14:textId="69EE7E11"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Saba, Roberto. </w:t>
      </w:r>
      <w:r w:rsidRPr="006E5DEE">
        <w:rPr>
          <w:rFonts w:ascii="Times New Roman" w:hAnsi="Times New Roman" w:cs="Times New Roman"/>
          <w:i/>
          <w:iCs/>
          <w:color w:val="000000" w:themeColor="text1"/>
          <w:sz w:val="24"/>
        </w:rPr>
        <w:t>American Mirror: The United States and Brazil in the Age of Emancipation</w:t>
      </w:r>
      <w:r w:rsidRPr="006E5DEE">
        <w:rPr>
          <w:rFonts w:ascii="Times New Roman" w:hAnsi="Times New Roman" w:cs="Times New Roman"/>
          <w:color w:val="000000" w:themeColor="text1"/>
          <w:sz w:val="24"/>
        </w:rPr>
        <w:t>. Princeton: Princeton University Press, 2021.</w:t>
      </w:r>
    </w:p>
    <w:p w14:paraId="5B991FE8" w14:textId="7D675020"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Sandler, Martin W. </w:t>
      </w:r>
      <w:r w:rsidRPr="006E5DEE">
        <w:rPr>
          <w:rFonts w:ascii="Times New Roman" w:hAnsi="Times New Roman" w:cs="Times New Roman"/>
          <w:i/>
          <w:iCs/>
          <w:color w:val="000000" w:themeColor="text1"/>
          <w:sz w:val="24"/>
        </w:rPr>
        <w:t>Iron Rails, Iron Men, and the Race to Link the Nation: The Story of the Transcontinental Railroad</w:t>
      </w:r>
      <w:r w:rsidRPr="006E5DEE">
        <w:rPr>
          <w:rFonts w:ascii="Times New Roman" w:hAnsi="Times New Roman" w:cs="Times New Roman"/>
          <w:color w:val="000000" w:themeColor="text1"/>
          <w:sz w:val="24"/>
        </w:rPr>
        <w:t>. Somerville, MA: Candlewick Press, 2015.</w:t>
      </w:r>
    </w:p>
    <w:p w14:paraId="26780238" w14:textId="7F79E8C9"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Savage, Kirk. </w:t>
      </w:r>
      <w:r w:rsidRPr="006E5DEE">
        <w:rPr>
          <w:rFonts w:ascii="Times New Roman" w:hAnsi="Times New Roman" w:cs="Times New Roman"/>
          <w:i/>
          <w:iCs/>
          <w:color w:val="000000" w:themeColor="text1"/>
          <w:sz w:val="24"/>
        </w:rPr>
        <w:t>Standing Soldiers, Kneeling Slaves: Race, War, and Monument in Nineteenth-Century America</w:t>
      </w:r>
      <w:r w:rsidRPr="006E5DEE">
        <w:rPr>
          <w:rFonts w:ascii="Times New Roman" w:hAnsi="Times New Roman" w:cs="Times New Roman"/>
          <w:color w:val="000000" w:themeColor="text1"/>
          <w:sz w:val="24"/>
        </w:rPr>
        <w:t>. Princeton: Princeton University Press, 1997.</w:t>
      </w:r>
    </w:p>
    <w:p w14:paraId="657F7359" w14:textId="1C69EB63" w:rsidR="00A16069"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Schlesinger, Arthur Jr., ed. </w:t>
      </w:r>
      <w:r w:rsidRPr="006E5DEE">
        <w:rPr>
          <w:rFonts w:ascii="Times New Roman" w:hAnsi="Times New Roman" w:cs="Times New Roman"/>
          <w:i/>
          <w:iCs/>
          <w:color w:val="000000" w:themeColor="text1"/>
          <w:sz w:val="24"/>
        </w:rPr>
        <w:t>History of American Presidential Elections, 1789–2008</w:t>
      </w:r>
      <w:r w:rsidRPr="006E5DEE">
        <w:rPr>
          <w:rFonts w:ascii="Times New Roman" w:hAnsi="Times New Roman" w:cs="Times New Roman"/>
          <w:color w:val="000000" w:themeColor="text1"/>
          <w:sz w:val="24"/>
        </w:rPr>
        <w:t xml:space="preserve">. 11 vols. New York: InfoBase Learning, 2011. </w:t>
      </w:r>
    </w:p>
    <w:p w14:paraId="6082C4FC" w14:textId="02E46F51"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Schlesinger, Arthur Jr., ed. </w:t>
      </w:r>
      <w:r w:rsidRPr="006E5DEE">
        <w:rPr>
          <w:rFonts w:ascii="Times New Roman" w:hAnsi="Times New Roman" w:cs="Times New Roman"/>
          <w:i/>
          <w:iCs/>
          <w:color w:val="000000" w:themeColor="text1"/>
          <w:sz w:val="24"/>
        </w:rPr>
        <w:t xml:space="preserve">History of U.S. Political Parties 1789-1972. </w:t>
      </w:r>
      <w:r w:rsidRPr="006E5DEE">
        <w:rPr>
          <w:rFonts w:ascii="Times New Roman" w:hAnsi="Times New Roman" w:cs="Times New Roman"/>
          <w:color w:val="000000" w:themeColor="text1"/>
          <w:sz w:val="24"/>
        </w:rPr>
        <w:t>4 vols. New York: Chelsea House, 1992.</w:t>
      </w:r>
    </w:p>
    <w:p w14:paraId="0D7FF0E4" w14:textId="108F397D"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Schoenrich, Otto. </w:t>
      </w:r>
      <w:r w:rsidRPr="006E5DEE">
        <w:rPr>
          <w:rFonts w:ascii="Times New Roman" w:hAnsi="Times New Roman" w:cs="Times New Roman"/>
          <w:i/>
          <w:iCs/>
          <w:color w:val="000000" w:themeColor="text1"/>
          <w:sz w:val="24"/>
        </w:rPr>
        <w:t>Santo Domingo: A Country with a Future</w:t>
      </w:r>
      <w:r w:rsidRPr="006E5DEE">
        <w:rPr>
          <w:rFonts w:ascii="Times New Roman" w:hAnsi="Times New Roman" w:cs="Times New Roman"/>
          <w:color w:val="000000" w:themeColor="text1"/>
          <w:sz w:val="24"/>
        </w:rPr>
        <w:t>. New York, NY: The Macmillan Company, 1918.</w:t>
      </w:r>
    </w:p>
    <w:p w14:paraId="0CFBC06B" w14:textId="619D39B1"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Scott, Pamela. </w:t>
      </w:r>
      <w:r w:rsidRPr="006E5DEE">
        <w:rPr>
          <w:rFonts w:ascii="Times New Roman" w:hAnsi="Times New Roman" w:cs="Times New Roman"/>
          <w:i/>
          <w:iCs/>
          <w:color w:val="000000" w:themeColor="text1"/>
          <w:sz w:val="24"/>
        </w:rPr>
        <w:t>Capital Engineers: The U.S. Army Corps of Engineers in the Development of Washington, D.C. 1790-2004</w:t>
      </w:r>
      <w:r w:rsidRPr="006E5DEE">
        <w:rPr>
          <w:rFonts w:ascii="Times New Roman" w:hAnsi="Times New Roman" w:cs="Times New Roman"/>
          <w:color w:val="000000" w:themeColor="text1"/>
          <w:sz w:val="24"/>
        </w:rPr>
        <w:t>. Alexandria, VA; Office of History, Headquarters, US Army Corps of Engineers, 2008.</w:t>
      </w:r>
    </w:p>
    <w:p w14:paraId="06B12453" w14:textId="67BB1E81"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Scott, Rebecca. </w:t>
      </w:r>
      <w:r w:rsidRPr="006E5DEE">
        <w:rPr>
          <w:rFonts w:ascii="Times New Roman" w:hAnsi="Times New Roman" w:cs="Times New Roman"/>
          <w:i/>
          <w:iCs/>
          <w:color w:val="000000" w:themeColor="text1"/>
          <w:sz w:val="24"/>
        </w:rPr>
        <w:t>Degrees of Freedom: Louisiana and Cuba after Slavery</w:t>
      </w:r>
      <w:r w:rsidRPr="006E5DEE">
        <w:rPr>
          <w:rFonts w:ascii="Times New Roman" w:hAnsi="Times New Roman" w:cs="Times New Roman"/>
          <w:color w:val="000000" w:themeColor="text1"/>
          <w:sz w:val="24"/>
        </w:rPr>
        <w:t>. Cambridge, MA: Belknap Press, 2008</w:t>
      </w:r>
      <w:bookmarkStart w:id="110" w:name="_Hlk187057224"/>
    </w:p>
    <w:p w14:paraId="1393780E" w14:textId="108E2796"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Sears, Stephen W</w:t>
      </w:r>
      <w:r w:rsidRPr="006E5DEE">
        <w:rPr>
          <w:rFonts w:ascii="Times New Roman" w:hAnsi="Times New Roman" w:cs="Times New Roman"/>
          <w:i/>
          <w:iCs/>
          <w:color w:val="000000" w:themeColor="text1"/>
          <w:sz w:val="24"/>
        </w:rPr>
        <w:t>. George B. McClellan: The Young Napoleon</w:t>
      </w:r>
      <w:r w:rsidRPr="006E5DEE">
        <w:rPr>
          <w:rFonts w:ascii="Times New Roman" w:hAnsi="Times New Roman" w:cs="Times New Roman"/>
          <w:color w:val="000000" w:themeColor="text1"/>
          <w:sz w:val="24"/>
        </w:rPr>
        <w:t>. Boston: Houghton Mifflin Harcourt, 2014.</w:t>
      </w:r>
    </w:p>
    <w:p w14:paraId="699309D1" w14:textId="38916E79"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Semmes, Ryan. </w:t>
      </w:r>
      <w:r w:rsidRPr="006E5DEE">
        <w:rPr>
          <w:rFonts w:ascii="Times New Roman" w:hAnsi="Times New Roman" w:cs="Times New Roman"/>
          <w:i/>
          <w:iCs/>
          <w:color w:val="000000" w:themeColor="text1"/>
          <w:sz w:val="24"/>
        </w:rPr>
        <w:t>Exporting Reconstruction: Ulysses S. Grant and a New Empire of Liberty</w:t>
      </w:r>
      <w:r w:rsidRPr="006E5DEE">
        <w:rPr>
          <w:rFonts w:ascii="Times New Roman" w:hAnsi="Times New Roman" w:cs="Times New Roman"/>
          <w:color w:val="000000" w:themeColor="text1"/>
          <w:sz w:val="24"/>
        </w:rPr>
        <w:t>. Columbia, SC: University of South Carolina Press, 2024.</w:t>
      </w:r>
      <w:bookmarkEnd w:id="110"/>
    </w:p>
    <w:p w14:paraId="34E7DBC2" w14:textId="32E3DEAE"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Sharkey, Robert. </w:t>
      </w:r>
      <w:r w:rsidRPr="006E5DEE">
        <w:rPr>
          <w:rFonts w:ascii="Times New Roman" w:hAnsi="Times New Roman" w:cs="Times New Roman"/>
          <w:i/>
          <w:iCs/>
          <w:color w:val="000000" w:themeColor="text1"/>
          <w:sz w:val="24"/>
        </w:rPr>
        <w:t>Money, Class, and Party: An Economic Study of Civil War and Reconstruction.</w:t>
      </w:r>
      <w:r w:rsidRPr="006E5DEE">
        <w:rPr>
          <w:rFonts w:ascii="Times New Roman" w:hAnsi="Times New Roman" w:cs="Times New Roman"/>
          <w:color w:val="000000" w:themeColor="text1"/>
          <w:sz w:val="24"/>
        </w:rPr>
        <w:t xml:space="preserve"> Baltimore: The Johns Hopkins Press, 1951.</w:t>
      </w:r>
    </w:p>
    <w:p w14:paraId="4EFE799F" w14:textId="6AE2985E"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Sharp, James Roger. </w:t>
      </w:r>
      <w:r w:rsidRPr="006E5DEE">
        <w:rPr>
          <w:rFonts w:ascii="Times New Roman" w:hAnsi="Times New Roman" w:cs="Times New Roman"/>
          <w:i/>
          <w:iCs/>
          <w:color w:val="000000" w:themeColor="text1"/>
          <w:sz w:val="24"/>
        </w:rPr>
        <w:t>American Politics in the Early Republic: The New Nation in Crisis</w:t>
      </w:r>
      <w:r w:rsidRPr="006E5DEE">
        <w:rPr>
          <w:rFonts w:ascii="Times New Roman" w:hAnsi="Times New Roman" w:cs="Times New Roman"/>
          <w:color w:val="000000" w:themeColor="text1"/>
          <w:sz w:val="24"/>
        </w:rPr>
        <w:t>. New Haven: Yale University Press, 1993.</w:t>
      </w:r>
    </w:p>
    <w:p w14:paraId="16ED4C9C" w14:textId="11FC4237"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Shelden, Rachel A. </w:t>
      </w:r>
      <w:r w:rsidRPr="006E5DEE">
        <w:rPr>
          <w:rFonts w:ascii="Times New Roman" w:hAnsi="Times New Roman" w:cs="Times New Roman"/>
          <w:i/>
          <w:iCs/>
          <w:color w:val="000000" w:themeColor="text1"/>
          <w:sz w:val="24"/>
        </w:rPr>
        <w:t>Washington Brotherhood: Politics, Social Life, and the Coming of the Civil War</w:t>
      </w:r>
      <w:r w:rsidRPr="006E5DEE">
        <w:rPr>
          <w:rFonts w:ascii="Times New Roman" w:hAnsi="Times New Roman" w:cs="Times New Roman"/>
          <w:color w:val="000000" w:themeColor="text1"/>
          <w:sz w:val="24"/>
        </w:rPr>
        <w:t>. Chapel Hill: University of North Carolina Press, 2013.</w:t>
      </w:r>
    </w:p>
    <w:p w14:paraId="38B4C66A" w14:textId="1584F965"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Silbey, Joel. </w:t>
      </w:r>
      <w:r w:rsidRPr="006E5DEE">
        <w:rPr>
          <w:rFonts w:ascii="Times New Roman" w:hAnsi="Times New Roman" w:cs="Times New Roman"/>
          <w:i/>
          <w:iCs/>
          <w:color w:val="000000" w:themeColor="text1"/>
          <w:sz w:val="24"/>
        </w:rPr>
        <w:t xml:space="preserve">The American Political Nation, 1838–1893. </w:t>
      </w:r>
      <w:r w:rsidRPr="006E5DEE">
        <w:rPr>
          <w:rFonts w:ascii="Times New Roman" w:hAnsi="Times New Roman" w:cs="Times New Roman"/>
          <w:color w:val="000000" w:themeColor="text1"/>
          <w:sz w:val="24"/>
        </w:rPr>
        <w:t>Stanford, CA: Stanford University Press, 1991.</w:t>
      </w:r>
    </w:p>
    <w:p w14:paraId="6F5C00D2" w14:textId="2960611F"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Silbey, Joel H. </w:t>
      </w:r>
      <w:r w:rsidRPr="006E5DEE">
        <w:rPr>
          <w:rFonts w:ascii="Times New Roman" w:hAnsi="Times New Roman" w:cs="Times New Roman"/>
          <w:i/>
          <w:iCs/>
          <w:color w:val="000000" w:themeColor="text1"/>
          <w:sz w:val="24"/>
        </w:rPr>
        <w:t>Martin Van Buren and the Emergence of American Popular Politics</w:t>
      </w:r>
      <w:r w:rsidRPr="006E5DEE">
        <w:rPr>
          <w:rFonts w:ascii="Times New Roman" w:hAnsi="Times New Roman" w:cs="Times New Roman"/>
          <w:color w:val="000000" w:themeColor="text1"/>
          <w:sz w:val="24"/>
        </w:rPr>
        <w:t>. Lanham, MD: Rowman &amp; Littlefield Publishers, Inc., 2002.</w:t>
      </w:r>
    </w:p>
    <w:p w14:paraId="6BA755BC" w14:textId="717ABC66"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Simon, John Y. </w:t>
      </w:r>
      <w:r w:rsidRPr="006E5DEE">
        <w:rPr>
          <w:rFonts w:ascii="Times New Roman" w:hAnsi="Times New Roman" w:cs="Times New Roman"/>
          <w:i/>
          <w:iCs/>
          <w:color w:val="000000" w:themeColor="text1"/>
          <w:sz w:val="24"/>
        </w:rPr>
        <w:t>Grant and Halleck: Contrasts in Command.</w:t>
      </w:r>
      <w:r w:rsidRPr="006E5DEE">
        <w:rPr>
          <w:rFonts w:ascii="Times New Roman" w:hAnsi="Times New Roman" w:cs="Times New Roman"/>
          <w:color w:val="000000" w:themeColor="text1"/>
          <w:sz w:val="24"/>
        </w:rPr>
        <w:t xml:space="preserve"> Frank L. Klement Lectures, No. 5. Milwaukee, WI: Marquette University Press, 1996.</w:t>
      </w:r>
    </w:p>
    <w:p w14:paraId="0BA993E9" w14:textId="0C9A829A"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Simpson, Brooks D. </w:t>
      </w:r>
      <w:r w:rsidRPr="006E5DEE">
        <w:rPr>
          <w:rFonts w:ascii="Times New Roman" w:hAnsi="Times New Roman" w:cs="Times New Roman"/>
          <w:i/>
          <w:iCs/>
          <w:color w:val="000000" w:themeColor="text1"/>
          <w:sz w:val="24"/>
        </w:rPr>
        <w:t>Let Us Have Peace: Ulysses S. Grant and the Politics of War and Reconstruction, 1861-1868.</w:t>
      </w:r>
      <w:r w:rsidRPr="006E5DEE">
        <w:rPr>
          <w:rFonts w:ascii="Times New Roman" w:hAnsi="Times New Roman" w:cs="Times New Roman"/>
          <w:color w:val="000000" w:themeColor="text1"/>
          <w:sz w:val="24"/>
        </w:rPr>
        <w:t xml:space="preserve"> Chapel Hill: University of North Carolina Press, 1991.</w:t>
      </w:r>
    </w:p>
    <w:p w14:paraId="13916708" w14:textId="1E911701"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Simpson, Brooks. </w:t>
      </w:r>
      <w:r w:rsidRPr="006E5DEE">
        <w:rPr>
          <w:rFonts w:ascii="Times New Roman" w:hAnsi="Times New Roman" w:cs="Times New Roman"/>
          <w:i/>
          <w:iCs/>
          <w:color w:val="000000" w:themeColor="text1"/>
          <w:sz w:val="24"/>
        </w:rPr>
        <w:t>The Reconstruction Presidents</w:t>
      </w:r>
      <w:r w:rsidRPr="006E5DEE">
        <w:rPr>
          <w:rFonts w:ascii="Times New Roman" w:hAnsi="Times New Roman" w:cs="Times New Roman"/>
          <w:color w:val="000000" w:themeColor="text1"/>
          <w:sz w:val="24"/>
        </w:rPr>
        <w:t>. Lawrence: University Press of Kansas, 1998.</w:t>
      </w:r>
    </w:p>
    <w:p w14:paraId="0FDCBEA1" w14:textId="3F2C38A9"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Sinha, Manisha. </w:t>
      </w:r>
      <w:r w:rsidRPr="006E5DEE">
        <w:rPr>
          <w:rFonts w:ascii="Times New Roman" w:hAnsi="Times New Roman" w:cs="Times New Roman"/>
          <w:i/>
          <w:iCs/>
          <w:color w:val="000000" w:themeColor="text1"/>
          <w:sz w:val="24"/>
        </w:rPr>
        <w:t>The Rise and Fall of the Second American Republic: Reconstruction, 1860-1920</w:t>
      </w:r>
      <w:r w:rsidRPr="006E5DEE">
        <w:rPr>
          <w:rFonts w:ascii="Times New Roman" w:hAnsi="Times New Roman" w:cs="Times New Roman"/>
          <w:color w:val="000000" w:themeColor="text1"/>
          <w:sz w:val="24"/>
        </w:rPr>
        <w:t>. New York: Liveright, 2024.</w:t>
      </w:r>
    </w:p>
    <w:p w14:paraId="1D6D4B0D" w14:textId="1E86872F"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Slap, Andrew L. </w:t>
      </w:r>
      <w:r w:rsidRPr="006E5DEE">
        <w:rPr>
          <w:rFonts w:ascii="Times New Roman" w:hAnsi="Times New Roman" w:cs="Times New Roman"/>
          <w:i/>
          <w:iCs/>
          <w:color w:val="000000" w:themeColor="text1"/>
          <w:sz w:val="24"/>
        </w:rPr>
        <w:t>The Doom of Reconstruction: The Liberal Republicans in the Civil War Era</w:t>
      </w:r>
      <w:r w:rsidRPr="006E5DEE">
        <w:rPr>
          <w:rFonts w:ascii="Times New Roman" w:hAnsi="Times New Roman" w:cs="Times New Roman"/>
          <w:color w:val="000000" w:themeColor="text1"/>
          <w:sz w:val="24"/>
        </w:rPr>
        <w:t>. New York: Fordham University Press, 2006.</w:t>
      </w:r>
    </w:p>
    <w:p w14:paraId="5F3EE469" w14:textId="29FCDD1C"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Slaughter, Thomas P. </w:t>
      </w:r>
      <w:r w:rsidRPr="006E5DEE">
        <w:rPr>
          <w:rFonts w:ascii="Times New Roman" w:hAnsi="Times New Roman" w:cs="Times New Roman"/>
          <w:i/>
          <w:iCs/>
          <w:color w:val="000000" w:themeColor="text1"/>
          <w:sz w:val="24"/>
        </w:rPr>
        <w:t>The Whiskey Rebellion: Frontier Epilogue to the American Revolution.</w:t>
      </w:r>
      <w:r w:rsidRPr="006E5DEE">
        <w:rPr>
          <w:rFonts w:ascii="Times New Roman" w:hAnsi="Times New Roman" w:cs="Times New Roman"/>
          <w:color w:val="000000" w:themeColor="text1"/>
          <w:sz w:val="24"/>
        </w:rPr>
        <w:t xml:space="preserve"> New York: Oxford University Press, 1986.</w:t>
      </w:r>
    </w:p>
    <w:p w14:paraId="05EED425" w14:textId="64BB3623"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Smith, Adam I.P. </w:t>
      </w:r>
      <w:r w:rsidRPr="006E5DEE">
        <w:rPr>
          <w:rFonts w:ascii="Times New Roman" w:hAnsi="Times New Roman" w:cs="Times New Roman"/>
          <w:i/>
          <w:iCs/>
          <w:color w:val="000000" w:themeColor="text1"/>
          <w:sz w:val="24"/>
        </w:rPr>
        <w:t>No Party Now: Politics in the Civil War North</w:t>
      </w:r>
      <w:r w:rsidRPr="006E5DEE">
        <w:rPr>
          <w:rFonts w:ascii="Times New Roman" w:hAnsi="Times New Roman" w:cs="Times New Roman"/>
          <w:color w:val="000000" w:themeColor="text1"/>
          <w:sz w:val="24"/>
        </w:rPr>
        <w:t>. New York: Oxford University Press, 2006.</w:t>
      </w:r>
    </w:p>
    <w:p w14:paraId="4CB3E70D" w14:textId="0C4CD3C3" w:rsidR="005D5FB3" w:rsidRPr="006E5DEE" w:rsidRDefault="00A16069" w:rsidP="0074689B">
      <w:pPr>
        <w:spacing w:after="0" w:line="480" w:lineRule="auto"/>
        <w:ind w:left="720" w:hanging="720"/>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Smith, Culver H. </w:t>
      </w:r>
      <w:r w:rsidRPr="006E5DEE">
        <w:rPr>
          <w:rFonts w:ascii="Times New Roman" w:hAnsi="Times New Roman" w:cs="Times New Roman"/>
          <w:i/>
          <w:iCs/>
          <w:color w:val="000000" w:themeColor="text1"/>
          <w:sz w:val="24"/>
          <w:szCs w:val="24"/>
        </w:rPr>
        <w:t xml:space="preserve">The Press, Politics, and Patronage: The American Government’s Use of Newspapers, 1789-1875. </w:t>
      </w:r>
      <w:r w:rsidRPr="006E5DEE">
        <w:rPr>
          <w:rFonts w:ascii="Times New Roman" w:hAnsi="Times New Roman" w:cs="Times New Roman"/>
          <w:color w:val="000000" w:themeColor="text1"/>
          <w:sz w:val="24"/>
          <w:szCs w:val="24"/>
        </w:rPr>
        <w:t>Athens, GA: University of Georgia Press, 1977.</w:t>
      </w:r>
    </w:p>
    <w:p w14:paraId="076A6BE8" w14:textId="3A9F02CB"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Smith, Howard K. </w:t>
      </w:r>
      <w:r w:rsidRPr="006E5DEE">
        <w:rPr>
          <w:rFonts w:ascii="Times New Roman" w:hAnsi="Times New Roman" w:cs="Times New Roman"/>
          <w:i/>
          <w:iCs/>
          <w:color w:val="000000" w:themeColor="text1"/>
          <w:sz w:val="24"/>
        </w:rPr>
        <w:t>Washington DC: The Story of Our Nation’s Capital</w:t>
      </w:r>
      <w:r w:rsidRPr="006E5DEE">
        <w:rPr>
          <w:rFonts w:ascii="Times New Roman" w:hAnsi="Times New Roman" w:cs="Times New Roman"/>
          <w:color w:val="000000" w:themeColor="text1"/>
          <w:sz w:val="24"/>
        </w:rPr>
        <w:t>. New York: Random House, 1967.</w:t>
      </w:r>
    </w:p>
    <w:p w14:paraId="425F6277" w14:textId="013AF938" w:rsidR="005D5FB3" w:rsidRPr="0074689B"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Smith, Jean Edward. </w:t>
      </w:r>
      <w:r w:rsidRPr="006E5DEE">
        <w:rPr>
          <w:rFonts w:ascii="Times New Roman" w:hAnsi="Times New Roman" w:cs="Times New Roman"/>
          <w:i/>
          <w:iCs/>
          <w:color w:val="000000" w:themeColor="text1"/>
          <w:sz w:val="24"/>
        </w:rPr>
        <w:t>Grant</w:t>
      </w:r>
      <w:r w:rsidRPr="006E5DEE">
        <w:rPr>
          <w:rFonts w:ascii="Times New Roman" w:hAnsi="Times New Roman" w:cs="Times New Roman"/>
          <w:color w:val="000000" w:themeColor="text1"/>
          <w:sz w:val="24"/>
        </w:rPr>
        <w:t>. New York, NY: Simon &amp; Schuster, 2001.</w:t>
      </w:r>
    </w:p>
    <w:p w14:paraId="27873F12" w14:textId="4E779A28"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Smith, John David &amp; J. Vincent Lowery, eds. </w:t>
      </w:r>
      <w:r w:rsidRPr="006E5DEE">
        <w:rPr>
          <w:rStyle w:val="Emphasis"/>
          <w:rFonts w:ascii="Times New Roman" w:hAnsi="Times New Roman" w:cs="Times New Roman"/>
          <w:color w:val="000000" w:themeColor="text1"/>
          <w:sz w:val="24"/>
          <w:szCs w:val="24"/>
        </w:rPr>
        <w:t>The Dunning School: Historians, Race, and the Meaning of Reconstruction</w:t>
      </w:r>
      <w:r w:rsidRPr="006E5DEE">
        <w:rPr>
          <w:rFonts w:ascii="Times New Roman" w:hAnsi="Times New Roman" w:cs="Times New Roman"/>
          <w:color w:val="000000" w:themeColor="text1"/>
          <w:sz w:val="24"/>
          <w:szCs w:val="24"/>
        </w:rPr>
        <w:t xml:space="preserve">. Lexington: University Press of Kentucky, 2013. </w:t>
      </w:r>
    </w:p>
    <w:p w14:paraId="1D4EC6B0" w14:textId="5D61CEF1" w:rsidR="005D5FB3"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Stampp, Kenneth M. </w:t>
      </w:r>
      <w:r w:rsidRPr="006E5DEE">
        <w:rPr>
          <w:rFonts w:ascii="Times New Roman" w:hAnsi="Times New Roman" w:cs="Times New Roman"/>
          <w:i/>
          <w:iCs/>
          <w:color w:val="000000" w:themeColor="text1"/>
          <w:sz w:val="24"/>
        </w:rPr>
        <w:t>The Era of Reconstruction: America after the Civil War, 1865-1877</w:t>
      </w:r>
      <w:r w:rsidRPr="006E5DEE">
        <w:rPr>
          <w:rFonts w:ascii="Times New Roman" w:hAnsi="Times New Roman" w:cs="Times New Roman"/>
          <w:color w:val="000000" w:themeColor="text1"/>
          <w:sz w:val="24"/>
        </w:rPr>
        <w:t>. New York: Alfred Knopf, 1965.</w:t>
      </w:r>
    </w:p>
    <w:p w14:paraId="2AFFA77B" w14:textId="7D18DB0A"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Stevens, Walter B. </w:t>
      </w:r>
      <w:r w:rsidRPr="006E5DEE">
        <w:rPr>
          <w:rFonts w:ascii="Times New Roman" w:hAnsi="Times New Roman" w:cs="Times New Roman"/>
          <w:i/>
          <w:iCs/>
          <w:color w:val="000000" w:themeColor="text1"/>
          <w:sz w:val="24"/>
        </w:rPr>
        <w:t>Grant in St. Louis</w:t>
      </w:r>
      <w:r w:rsidRPr="006E5DEE">
        <w:rPr>
          <w:rFonts w:ascii="Times New Roman" w:hAnsi="Times New Roman" w:cs="Times New Roman"/>
          <w:color w:val="000000" w:themeColor="text1"/>
          <w:sz w:val="24"/>
        </w:rPr>
        <w:t>. St. Louis: Franklin Club, 1916.</w:t>
      </w:r>
    </w:p>
    <w:p w14:paraId="33D171C0" w14:textId="3D981847"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Stewart, David O. </w:t>
      </w:r>
      <w:r w:rsidRPr="006E5DEE">
        <w:rPr>
          <w:rFonts w:ascii="Times New Roman" w:hAnsi="Times New Roman" w:cs="Times New Roman"/>
          <w:i/>
          <w:iCs/>
          <w:color w:val="000000" w:themeColor="text1"/>
          <w:sz w:val="24"/>
        </w:rPr>
        <w:t>Impeached: The Trial of President Andrew Johnson and the Fight for Lincoln’s Legacy</w:t>
      </w:r>
      <w:r w:rsidRPr="006E5DEE">
        <w:rPr>
          <w:rFonts w:ascii="Times New Roman" w:hAnsi="Times New Roman" w:cs="Times New Roman"/>
          <w:color w:val="000000" w:themeColor="text1"/>
          <w:sz w:val="24"/>
        </w:rPr>
        <w:t>. New York: Simon &amp; Schuster, 2009.</w:t>
      </w:r>
    </w:p>
    <w:p w14:paraId="43AA0653" w14:textId="0EE82932"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Summers, Mark Wahlgren. </w:t>
      </w:r>
      <w:r w:rsidRPr="006E5DEE">
        <w:rPr>
          <w:rFonts w:ascii="Times New Roman" w:hAnsi="Times New Roman" w:cs="Times New Roman"/>
          <w:i/>
          <w:iCs/>
          <w:color w:val="000000" w:themeColor="text1"/>
          <w:sz w:val="24"/>
          <w:szCs w:val="24"/>
        </w:rPr>
        <w:t>A Dangerous Stir: Fear, Paranoia, and the Making of Reconstruction</w:t>
      </w:r>
      <w:r w:rsidRPr="006E5DEE">
        <w:rPr>
          <w:rFonts w:ascii="Times New Roman" w:hAnsi="Times New Roman" w:cs="Times New Roman"/>
          <w:color w:val="000000" w:themeColor="text1"/>
          <w:sz w:val="24"/>
          <w:szCs w:val="24"/>
        </w:rPr>
        <w:t>. Chapel Hill, NC: University of North Carolina Press, 2009.</w:t>
      </w:r>
      <w:bookmarkStart w:id="111" w:name="_Hlk193879306"/>
    </w:p>
    <w:p w14:paraId="53BAED3D" w14:textId="7B812EFD"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Summers, Mark Wahlgren. </w:t>
      </w:r>
      <w:r w:rsidRPr="006E5DEE">
        <w:rPr>
          <w:rFonts w:ascii="Times New Roman" w:hAnsi="Times New Roman" w:cs="Times New Roman"/>
          <w:i/>
          <w:iCs/>
          <w:color w:val="000000" w:themeColor="text1"/>
          <w:sz w:val="24"/>
        </w:rPr>
        <w:t>The Era of Good Stealings</w:t>
      </w:r>
      <w:r w:rsidRPr="006E5DEE">
        <w:rPr>
          <w:rFonts w:ascii="Times New Roman" w:hAnsi="Times New Roman" w:cs="Times New Roman"/>
          <w:color w:val="000000" w:themeColor="text1"/>
          <w:sz w:val="24"/>
        </w:rPr>
        <w:t>. New York, NY: Oxford University, 1993.</w:t>
      </w:r>
    </w:p>
    <w:p w14:paraId="4A7D8A03" w14:textId="25F49939"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Summers, Mark Wahlgren. </w:t>
      </w:r>
      <w:r w:rsidRPr="006E5DEE">
        <w:rPr>
          <w:rFonts w:ascii="Times New Roman" w:hAnsi="Times New Roman" w:cs="Times New Roman"/>
          <w:i/>
          <w:iCs/>
          <w:color w:val="000000" w:themeColor="text1"/>
          <w:sz w:val="24"/>
        </w:rPr>
        <w:t>The Ordeal of the Reunion: A New History of Reconstruction</w:t>
      </w:r>
      <w:r w:rsidRPr="006E5DEE">
        <w:rPr>
          <w:rFonts w:ascii="Times New Roman" w:hAnsi="Times New Roman" w:cs="Times New Roman"/>
          <w:color w:val="000000" w:themeColor="text1"/>
          <w:sz w:val="24"/>
        </w:rPr>
        <w:t>. Chapel Hill: University of North Carolina Press, 2014.</w:t>
      </w:r>
      <w:bookmarkEnd w:id="111"/>
    </w:p>
    <w:p w14:paraId="0AE5A4F2" w14:textId="295FBDE3"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Summers, Mark Wahlgren. </w:t>
      </w:r>
      <w:r w:rsidRPr="006E5DEE">
        <w:rPr>
          <w:rFonts w:ascii="Times New Roman" w:hAnsi="Times New Roman" w:cs="Times New Roman"/>
          <w:i/>
          <w:iCs/>
          <w:color w:val="000000" w:themeColor="text1"/>
          <w:sz w:val="24"/>
        </w:rPr>
        <w:t>Party Games: Getting, Keeping, and Using Power in Gilded Age Politics</w:t>
      </w:r>
      <w:r w:rsidRPr="006E5DEE">
        <w:rPr>
          <w:rFonts w:ascii="Times New Roman" w:hAnsi="Times New Roman" w:cs="Times New Roman"/>
          <w:color w:val="000000" w:themeColor="text1"/>
          <w:sz w:val="24"/>
        </w:rPr>
        <w:t xml:space="preserve">. Chapel Hill: University of North Carolina Press, 2004.  </w:t>
      </w:r>
    </w:p>
    <w:p w14:paraId="351F4AEF" w14:textId="5904703A"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Summers, Mark Wahlgren. </w:t>
      </w:r>
      <w:r w:rsidRPr="006E5DEE">
        <w:rPr>
          <w:rFonts w:ascii="Times New Roman" w:hAnsi="Times New Roman" w:cs="Times New Roman"/>
          <w:i/>
          <w:iCs/>
          <w:color w:val="000000" w:themeColor="text1"/>
          <w:sz w:val="24"/>
        </w:rPr>
        <w:t>The Plundering Generation: Corruption and the Crisis of the Union, 1849-1861</w:t>
      </w:r>
      <w:r w:rsidRPr="006E5DEE">
        <w:rPr>
          <w:rFonts w:ascii="Times New Roman" w:hAnsi="Times New Roman" w:cs="Times New Roman"/>
          <w:color w:val="000000" w:themeColor="text1"/>
          <w:sz w:val="24"/>
        </w:rPr>
        <w:t>. New York: Oxford University Press, 1987.</w:t>
      </w:r>
    </w:p>
    <w:p w14:paraId="75755EE7" w14:textId="26F58C97" w:rsidR="00A16069"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Summers, Mark Wahlgren. </w:t>
      </w:r>
      <w:r w:rsidRPr="006E5DEE">
        <w:rPr>
          <w:rFonts w:ascii="Times New Roman" w:hAnsi="Times New Roman" w:cs="Times New Roman"/>
          <w:i/>
          <w:iCs/>
          <w:color w:val="000000" w:themeColor="text1"/>
          <w:sz w:val="24"/>
        </w:rPr>
        <w:t>The Press Gang: Newspapers and Politics, 1865-1878</w:t>
      </w:r>
      <w:r w:rsidRPr="006E5DEE">
        <w:rPr>
          <w:rFonts w:ascii="Times New Roman" w:hAnsi="Times New Roman" w:cs="Times New Roman"/>
          <w:color w:val="000000" w:themeColor="text1"/>
          <w:sz w:val="24"/>
        </w:rPr>
        <w:t>. Chapel Hill, NC: University of North Carolina Press, 1994.</w:t>
      </w:r>
    </w:p>
    <w:p w14:paraId="361017CC" w14:textId="1A5234D8"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Summers, Mark Wahlgren. </w:t>
      </w:r>
      <w:r w:rsidRPr="006E5DEE">
        <w:rPr>
          <w:rFonts w:ascii="Times New Roman" w:hAnsi="Times New Roman" w:cs="Times New Roman"/>
          <w:i/>
          <w:iCs/>
          <w:color w:val="000000" w:themeColor="text1"/>
          <w:sz w:val="24"/>
        </w:rPr>
        <w:t>Railroads, Reconstruction, and the Gospel of Prosperity: Aid Under the Radical Republicans, 1865-1877.</w:t>
      </w:r>
      <w:r w:rsidRPr="006E5DEE">
        <w:rPr>
          <w:rFonts w:ascii="Times New Roman" w:hAnsi="Times New Roman" w:cs="Times New Roman"/>
          <w:color w:val="000000" w:themeColor="text1"/>
          <w:sz w:val="24"/>
        </w:rPr>
        <w:t xml:space="preserve"> Princeton: Princeton University Press, 1984.</w:t>
      </w:r>
    </w:p>
    <w:p w14:paraId="69679F15" w14:textId="5EC1F8CA"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Swann, Leonard Alexander. </w:t>
      </w:r>
      <w:r w:rsidRPr="006E5DEE">
        <w:rPr>
          <w:rFonts w:ascii="Times New Roman" w:hAnsi="Times New Roman" w:cs="Times New Roman"/>
          <w:i/>
          <w:iCs/>
          <w:color w:val="000000" w:themeColor="text1"/>
          <w:sz w:val="24"/>
        </w:rPr>
        <w:t>John Roach: Maritime Entrepreneur: The Years as Naval Contractor, 1862-1886.</w:t>
      </w:r>
      <w:r w:rsidRPr="006E5DEE">
        <w:rPr>
          <w:rFonts w:ascii="Times New Roman" w:hAnsi="Times New Roman" w:cs="Times New Roman"/>
          <w:color w:val="000000" w:themeColor="text1"/>
          <w:sz w:val="24"/>
        </w:rPr>
        <w:t xml:space="preserve"> Annapolis, MD: United States Naval Institute, 1965.</w:t>
      </w:r>
    </w:p>
    <w:p w14:paraId="39134761" w14:textId="527251AC"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Swint, Kerwin C. </w:t>
      </w:r>
      <w:r w:rsidRPr="006E5DEE">
        <w:rPr>
          <w:rFonts w:ascii="Times New Roman" w:hAnsi="Times New Roman" w:cs="Times New Roman"/>
          <w:i/>
          <w:iCs/>
          <w:color w:val="000000" w:themeColor="text1"/>
          <w:sz w:val="24"/>
        </w:rPr>
        <w:t>Mudslingers: The Top 25 Negative Political Campaigns of All Time</w:t>
      </w:r>
      <w:r w:rsidRPr="006E5DEE">
        <w:rPr>
          <w:rFonts w:ascii="Times New Roman" w:hAnsi="Times New Roman" w:cs="Times New Roman"/>
          <w:color w:val="000000" w:themeColor="text1"/>
          <w:sz w:val="24"/>
        </w:rPr>
        <w:t>. Westport, CT: Praeger, 2006.</w:t>
      </w:r>
    </w:p>
    <w:p w14:paraId="08CF8C1D" w14:textId="06B409BB"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Tansill, Charles Callan. </w:t>
      </w:r>
      <w:r w:rsidRPr="006E5DEE">
        <w:rPr>
          <w:rFonts w:ascii="Times New Roman" w:hAnsi="Times New Roman" w:cs="Times New Roman"/>
          <w:i/>
          <w:iCs/>
          <w:color w:val="000000" w:themeColor="text1"/>
          <w:sz w:val="24"/>
        </w:rPr>
        <w:t>The Purchase of the Danish West Indies</w:t>
      </w:r>
      <w:r w:rsidRPr="006E5DEE">
        <w:rPr>
          <w:rFonts w:ascii="Times New Roman" w:hAnsi="Times New Roman" w:cs="Times New Roman"/>
          <w:color w:val="000000" w:themeColor="text1"/>
          <w:sz w:val="24"/>
        </w:rPr>
        <w:t>. Baltimore: Johns Hopkins Press, 1932.</w:t>
      </w:r>
    </w:p>
    <w:p w14:paraId="12FB39E2" w14:textId="43E60108"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Tansill, Charles Callan. </w:t>
      </w:r>
      <w:r w:rsidRPr="006E5DEE">
        <w:rPr>
          <w:rFonts w:ascii="Times New Roman" w:hAnsi="Times New Roman" w:cs="Times New Roman"/>
          <w:i/>
          <w:iCs/>
          <w:color w:val="000000" w:themeColor="text1"/>
          <w:sz w:val="24"/>
        </w:rPr>
        <w:t>The United States and Santo Domingo, 1798-1873: A Chapter in Caribbean Diplomacy</w:t>
      </w:r>
      <w:r w:rsidRPr="006E5DEE">
        <w:rPr>
          <w:rFonts w:ascii="Times New Roman" w:hAnsi="Times New Roman" w:cs="Times New Roman"/>
          <w:color w:val="000000" w:themeColor="text1"/>
          <w:sz w:val="24"/>
        </w:rPr>
        <w:t>. Baltimore: Johns Hopkins Press, 1938.</w:t>
      </w:r>
    </w:p>
    <w:p w14:paraId="4DA8D943" w14:textId="69C26F4A"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Thompson, C. Mildred. </w:t>
      </w:r>
      <w:r w:rsidRPr="006E5DEE">
        <w:rPr>
          <w:rFonts w:ascii="Times New Roman" w:hAnsi="Times New Roman" w:cs="Times New Roman"/>
          <w:i/>
          <w:iCs/>
          <w:color w:val="000000" w:themeColor="text1"/>
          <w:sz w:val="24"/>
          <w:szCs w:val="24"/>
        </w:rPr>
        <w:t>Reconstruction in Georgia, Economic, Social, Political, 1865-1872</w:t>
      </w:r>
      <w:r w:rsidRPr="006E5DEE">
        <w:rPr>
          <w:rFonts w:ascii="Times New Roman" w:hAnsi="Times New Roman" w:cs="Times New Roman"/>
          <w:color w:val="000000" w:themeColor="text1"/>
          <w:sz w:val="24"/>
          <w:szCs w:val="24"/>
        </w:rPr>
        <w:t>. New York: Longmans, Green, and Company, 1915.</w:t>
      </w:r>
    </w:p>
    <w:p w14:paraId="62571C1F" w14:textId="63344C7D"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Tindall, William. </w:t>
      </w:r>
      <w:r w:rsidRPr="006E5DEE">
        <w:rPr>
          <w:rFonts w:ascii="Times New Roman" w:hAnsi="Times New Roman" w:cs="Times New Roman"/>
          <w:i/>
          <w:iCs/>
          <w:color w:val="000000" w:themeColor="text1"/>
          <w:sz w:val="24"/>
        </w:rPr>
        <w:t>Standard History of the City of Washington from a Study of the Original Sources</w:t>
      </w:r>
      <w:r w:rsidRPr="006E5DEE">
        <w:rPr>
          <w:rFonts w:ascii="Times New Roman" w:hAnsi="Times New Roman" w:cs="Times New Roman"/>
          <w:color w:val="000000" w:themeColor="text1"/>
          <w:sz w:val="24"/>
        </w:rPr>
        <w:t>. Knoxville, TN: HW and Crew Co., 1914.</w:t>
      </w:r>
    </w:p>
    <w:p w14:paraId="7522C16C" w14:textId="686732BF"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Trefousse, Hans L. </w:t>
      </w:r>
      <w:r w:rsidRPr="006E5DEE">
        <w:rPr>
          <w:rFonts w:ascii="Times New Roman" w:hAnsi="Times New Roman" w:cs="Times New Roman"/>
          <w:i/>
          <w:iCs/>
          <w:color w:val="000000" w:themeColor="text1"/>
          <w:sz w:val="24"/>
          <w:szCs w:val="24"/>
        </w:rPr>
        <w:t>Carl Schurz: A Biography</w:t>
      </w:r>
      <w:r w:rsidRPr="006E5DEE">
        <w:rPr>
          <w:rFonts w:ascii="Times New Roman" w:hAnsi="Times New Roman" w:cs="Times New Roman"/>
          <w:color w:val="000000" w:themeColor="text1"/>
          <w:sz w:val="24"/>
          <w:szCs w:val="24"/>
        </w:rPr>
        <w:t>. New York, NY: Fordham University Press, 1998.</w:t>
      </w:r>
      <w:bookmarkStart w:id="112" w:name="_Hlk193883474"/>
    </w:p>
    <w:p w14:paraId="685303A0" w14:textId="5A12B356"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Trefousse, Hans L. </w:t>
      </w:r>
      <w:r w:rsidRPr="006E5DEE">
        <w:rPr>
          <w:rFonts w:ascii="Times New Roman" w:hAnsi="Times New Roman" w:cs="Times New Roman"/>
          <w:i/>
          <w:iCs/>
          <w:color w:val="000000" w:themeColor="text1"/>
          <w:sz w:val="24"/>
        </w:rPr>
        <w:t>The Radical Republicans: Lincoln’s Vanguard for Racial Justice.</w:t>
      </w:r>
      <w:r w:rsidRPr="006E5DEE">
        <w:rPr>
          <w:rFonts w:ascii="Times New Roman" w:hAnsi="Times New Roman" w:cs="Times New Roman"/>
          <w:color w:val="000000" w:themeColor="text1"/>
          <w:sz w:val="24"/>
        </w:rPr>
        <w:t xml:space="preserve"> New York: Knopf, 1969.</w:t>
      </w:r>
    </w:p>
    <w:p w14:paraId="5F03AEFF" w14:textId="1A76BDF1"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United States Civil Service Commission. </w:t>
      </w:r>
      <w:r w:rsidRPr="006E5DEE">
        <w:rPr>
          <w:rFonts w:ascii="Times New Roman" w:hAnsi="Times New Roman" w:cs="Times New Roman"/>
          <w:i/>
          <w:iCs/>
          <w:color w:val="000000" w:themeColor="text1"/>
          <w:sz w:val="24"/>
        </w:rPr>
        <w:t>History of the Federal Civil Service, 1789 to the Present</w:t>
      </w:r>
      <w:r w:rsidRPr="006E5DEE">
        <w:rPr>
          <w:rFonts w:ascii="Times New Roman" w:hAnsi="Times New Roman" w:cs="Times New Roman"/>
          <w:color w:val="000000" w:themeColor="text1"/>
          <w:sz w:val="24"/>
        </w:rPr>
        <w:t>. Washington, DC: United States Government Printing Office, 1941.</w:t>
      </w:r>
    </w:p>
    <w:p w14:paraId="346E279B" w14:textId="586175E8"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Van Riper, Paul. </w:t>
      </w:r>
      <w:r w:rsidRPr="006E5DEE">
        <w:rPr>
          <w:rFonts w:ascii="Times New Roman" w:hAnsi="Times New Roman" w:cs="Times New Roman"/>
          <w:i/>
          <w:iCs/>
          <w:color w:val="000000" w:themeColor="text1"/>
          <w:sz w:val="24"/>
          <w:szCs w:val="24"/>
        </w:rPr>
        <w:t>History of the United States Civil Service</w:t>
      </w:r>
      <w:r w:rsidRPr="006E5DEE">
        <w:rPr>
          <w:rFonts w:ascii="Times New Roman" w:hAnsi="Times New Roman" w:cs="Times New Roman"/>
          <w:color w:val="000000" w:themeColor="text1"/>
          <w:sz w:val="24"/>
          <w:szCs w:val="24"/>
        </w:rPr>
        <w:t>. Westport, CT: Greenwood Press, 1958.</w:t>
      </w:r>
      <w:bookmarkEnd w:id="112"/>
    </w:p>
    <w:p w14:paraId="6681DC97" w14:textId="30BC1228"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Varon, Elizabeth. </w:t>
      </w:r>
      <w:r w:rsidRPr="006E5DEE">
        <w:rPr>
          <w:rFonts w:ascii="Times New Roman" w:hAnsi="Times New Roman" w:cs="Times New Roman"/>
          <w:i/>
          <w:iCs/>
          <w:color w:val="000000" w:themeColor="text1"/>
          <w:sz w:val="24"/>
          <w:szCs w:val="24"/>
        </w:rPr>
        <w:t>Longstreet: The Confederate General Who Defied the South</w:t>
      </w:r>
      <w:r w:rsidRPr="006E5DEE">
        <w:rPr>
          <w:rFonts w:ascii="Times New Roman" w:hAnsi="Times New Roman" w:cs="Times New Roman"/>
          <w:color w:val="000000" w:themeColor="text1"/>
          <w:sz w:val="24"/>
          <w:szCs w:val="24"/>
        </w:rPr>
        <w:t>. New York: Simon &amp; Schuster, 2023.</w:t>
      </w:r>
    </w:p>
    <w:p w14:paraId="3C96A022" w14:textId="3A1155B5"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Vinovskis, Maris A., ed. </w:t>
      </w:r>
      <w:r w:rsidRPr="006E5DEE">
        <w:rPr>
          <w:rFonts w:ascii="Times New Roman" w:hAnsi="Times New Roman" w:cs="Times New Roman"/>
          <w:i/>
          <w:iCs/>
          <w:color w:val="000000" w:themeColor="text1"/>
          <w:sz w:val="24"/>
          <w:szCs w:val="24"/>
        </w:rPr>
        <w:t>Toward a Social History of the American Civil War: Exploratory Essays.</w:t>
      </w:r>
      <w:r w:rsidRPr="006E5DEE">
        <w:rPr>
          <w:rFonts w:ascii="Times New Roman" w:hAnsi="Times New Roman" w:cs="Times New Roman"/>
          <w:color w:val="000000" w:themeColor="text1"/>
          <w:sz w:val="24"/>
          <w:szCs w:val="24"/>
        </w:rPr>
        <w:t xml:space="preserve"> New York: Cambridge University Press, 1990.</w:t>
      </w:r>
    </w:p>
    <w:p w14:paraId="419AEB74" w14:textId="4611DE0A"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Ward, Geoffrey. </w:t>
      </w:r>
      <w:r w:rsidRPr="006E5DEE">
        <w:rPr>
          <w:rFonts w:ascii="Times New Roman" w:hAnsi="Times New Roman" w:cs="Times New Roman"/>
          <w:i/>
          <w:iCs/>
          <w:color w:val="000000" w:themeColor="text1"/>
          <w:sz w:val="24"/>
        </w:rPr>
        <w:t>A Disposition to Be Rich: How a Small-Town Pastor’s Son Ruined an American President, Brought on a Wall Street Crash, and Made Himself the Best-Hated Man in the United States</w:t>
      </w:r>
      <w:r w:rsidRPr="006E5DEE">
        <w:rPr>
          <w:rFonts w:ascii="Times New Roman" w:hAnsi="Times New Roman" w:cs="Times New Roman"/>
          <w:color w:val="000000" w:themeColor="text1"/>
          <w:sz w:val="24"/>
        </w:rPr>
        <w:t>. New York: Knopf, 2012.</w:t>
      </w:r>
    </w:p>
    <w:p w14:paraId="6BEDE58A" w14:textId="798A16D5" w:rsidR="00A16069"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Watson, Harry L. </w:t>
      </w:r>
      <w:r w:rsidRPr="006E5DEE">
        <w:rPr>
          <w:rFonts w:ascii="Times New Roman" w:hAnsi="Times New Roman" w:cs="Times New Roman"/>
          <w:i/>
          <w:iCs/>
          <w:color w:val="000000" w:themeColor="text1"/>
          <w:sz w:val="24"/>
          <w:szCs w:val="24"/>
        </w:rPr>
        <w:t>Jacksonian Politics and Community Conflict: The Emergence of the Second American Party System in Cumberland County, North Carolina</w:t>
      </w:r>
      <w:r w:rsidRPr="006E5DEE">
        <w:rPr>
          <w:rFonts w:ascii="Times New Roman" w:hAnsi="Times New Roman" w:cs="Times New Roman"/>
          <w:color w:val="000000" w:themeColor="text1"/>
          <w:sz w:val="24"/>
          <w:szCs w:val="24"/>
        </w:rPr>
        <w:t>. Baton Rouge: Louisiana State University Press, 1981.</w:t>
      </w:r>
    </w:p>
    <w:p w14:paraId="2AF44B21" w14:textId="368004F1"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Watson, Harry L. </w:t>
      </w:r>
      <w:r w:rsidRPr="006E5DEE">
        <w:rPr>
          <w:rFonts w:ascii="Times New Roman" w:hAnsi="Times New Roman" w:cs="Times New Roman"/>
          <w:i/>
          <w:iCs/>
          <w:color w:val="000000" w:themeColor="text1"/>
          <w:sz w:val="24"/>
          <w:szCs w:val="24"/>
        </w:rPr>
        <w:t>Liberty and Power: The Politics of Jacksonian America</w:t>
      </w:r>
      <w:r w:rsidRPr="006E5DEE">
        <w:rPr>
          <w:rFonts w:ascii="Times New Roman" w:hAnsi="Times New Roman" w:cs="Times New Roman"/>
          <w:color w:val="000000" w:themeColor="text1"/>
          <w:sz w:val="24"/>
          <w:szCs w:val="24"/>
        </w:rPr>
        <w:t>. New York: Hill &amp; Wang, 1990.</w:t>
      </w:r>
    </w:p>
    <w:p w14:paraId="1EA2BC50" w14:textId="684A6D30"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Waugh, Joan. </w:t>
      </w:r>
      <w:r w:rsidRPr="006E5DEE">
        <w:rPr>
          <w:rFonts w:ascii="Times New Roman" w:hAnsi="Times New Roman" w:cs="Times New Roman"/>
          <w:i/>
          <w:iCs/>
          <w:color w:val="000000" w:themeColor="text1"/>
          <w:sz w:val="24"/>
        </w:rPr>
        <w:t>U.S. Grant: American Hero, American Myth</w:t>
      </w:r>
      <w:r w:rsidRPr="006E5DEE">
        <w:rPr>
          <w:rFonts w:ascii="Times New Roman" w:hAnsi="Times New Roman" w:cs="Times New Roman"/>
          <w:color w:val="000000" w:themeColor="text1"/>
          <w:sz w:val="24"/>
        </w:rPr>
        <w:t>. Chapel Hill: The University of North Carolina Press, 2009.</w:t>
      </w:r>
    </w:p>
    <w:p w14:paraId="13CB0BCF" w14:textId="0A4BA9E6"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Wead, Doug. </w:t>
      </w:r>
      <w:r w:rsidRPr="006E5DEE">
        <w:rPr>
          <w:rFonts w:ascii="Times New Roman" w:hAnsi="Times New Roman" w:cs="Times New Roman"/>
          <w:i/>
          <w:iCs/>
          <w:color w:val="000000" w:themeColor="text1"/>
          <w:sz w:val="24"/>
        </w:rPr>
        <w:t>All the Presidents’ Children: Triumph and Tragedy in the Lives of America’s First Families</w:t>
      </w:r>
      <w:r w:rsidRPr="006E5DEE">
        <w:rPr>
          <w:rFonts w:ascii="Times New Roman" w:hAnsi="Times New Roman" w:cs="Times New Roman"/>
          <w:color w:val="000000" w:themeColor="text1"/>
          <w:sz w:val="24"/>
        </w:rPr>
        <w:t>. New York: Atria Books, 2003.</w:t>
      </w:r>
    </w:p>
    <w:p w14:paraId="1DD1FA4C" w14:textId="13C19FC5"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Webb, Ross L. </w:t>
      </w:r>
      <w:r w:rsidRPr="006E5DEE">
        <w:rPr>
          <w:rFonts w:ascii="Times New Roman" w:hAnsi="Times New Roman" w:cs="Times New Roman"/>
          <w:i/>
          <w:iCs/>
          <w:color w:val="000000" w:themeColor="text1"/>
          <w:sz w:val="24"/>
          <w:szCs w:val="24"/>
        </w:rPr>
        <w:t>Benjamin Helm Bristow: Border State Politician</w:t>
      </w:r>
      <w:r w:rsidRPr="006E5DEE">
        <w:rPr>
          <w:rFonts w:ascii="Times New Roman" w:hAnsi="Times New Roman" w:cs="Times New Roman"/>
          <w:color w:val="000000" w:themeColor="text1"/>
          <w:sz w:val="24"/>
          <w:szCs w:val="24"/>
        </w:rPr>
        <w:t>. Lexington, Ky: The University Press of Kentucky, 1969.</w:t>
      </w:r>
      <w:bookmarkStart w:id="113" w:name="_Hlk187057386"/>
    </w:p>
    <w:p w14:paraId="7F4D18C2" w14:textId="061AF96C"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Wert, Jeffry D. </w:t>
      </w:r>
      <w:r w:rsidRPr="006E5DEE">
        <w:rPr>
          <w:rFonts w:ascii="Times New Roman" w:hAnsi="Times New Roman" w:cs="Times New Roman"/>
          <w:i/>
          <w:iCs/>
          <w:color w:val="000000" w:themeColor="text1"/>
          <w:sz w:val="24"/>
        </w:rPr>
        <w:t>Civil War Barons: The Tycoons, Entrepreneurs, Inventors, and Visionaries Who Forged Victory and Shaped a Nation</w:t>
      </w:r>
      <w:r w:rsidRPr="006E5DEE">
        <w:rPr>
          <w:rFonts w:ascii="Times New Roman" w:hAnsi="Times New Roman" w:cs="Times New Roman"/>
          <w:color w:val="000000" w:themeColor="text1"/>
          <w:sz w:val="24"/>
        </w:rPr>
        <w:t>. New York: Da Capo Press, 2018.</w:t>
      </w:r>
    </w:p>
    <w:p w14:paraId="7F697ACC" w14:textId="53DF6832"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Wharton, Vernon L. </w:t>
      </w:r>
      <w:r w:rsidRPr="006E5DEE">
        <w:rPr>
          <w:rFonts w:ascii="Times New Roman" w:hAnsi="Times New Roman" w:cs="Times New Roman"/>
          <w:i/>
          <w:iCs/>
          <w:color w:val="000000" w:themeColor="text1"/>
          <w:sz w:val="24"/>
        </w:rPr>
        <w:t>The Negro in Mississippi, 1865-1890</w:t>
      </w:r>
      <w:r w:rsidRPr="006E5DEE">
        <w:rPr>
          <w:rFonts w:ascii="Times New Roman" w:hAnsi="Times New Roman" w:cs="Times New Roman"/>
          <w:color w:val="000000" w:themeColor="text1"/>
          <w:sz w:val="24"/>
        </w:rPr>
        <w:t>. Chapel Hill: UNC Press, 1947.</w:t>
      </w:r>
    </w:p>
    <w:p w14:paraId="60E5FDF3" w14:textId="3CAD1656"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White, Richard. </w:t>
      </w:r>
      <w:r w:rsidRPr="006E5DEE">
        <w:rPr>
          <w:rFonts w:ascii="Times New Roman" w:hAnsi="Times New Roman" w:cs="Times New Roman"/>
          <w:i/>
          <w:iCs/>
          <w:color w:val="000000" w:themeColor="text1"/>
          <w:sz w:val="24"/>
        </w:rPr>
        <w:t>The Republic for Which It Stands: The United States during Reconstruction and the Gilded Age, 1865-1896</w:t>
      </w:r>
      <w:r w:rsidRPr="006E5DEE">
        <w:rPr>
          <w:rFonts w:ascii="Times New Roman" w:hAnsi="Times New Roman" w:cs="Times New Roman"/>
          <w:color w:val="000000" w:themeColor="text1"/>
          <w:sz w:val="24"/>
        </w:rPr>
        <w:t>. New York, NY: Oxford University Press, 2017.</w:t>
      </w:r>
      <w:bookmarkStart w:id="114" w:name="_Hlk187051957"/>
      <w:bookmarkEnd w:id="113"/>
    </w:p>
    <w:p w14:paraId="6F7FC8AA" w14:textId="573EC8B8" w:rsidR="005D5FB3" w:rsidRPr="006E5DEE" w:rsidRDefault="00A16069" w:rsidP="00FE0880">
      <w:pPr>
        <w:spacing w:after="0" w:line="480" w:lineRule="auto"/>
        <w:ind w:left="720" w:hanging="720"/>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White, Ronald C. </w:t>
      </w:r>
      <w:r w:rsidRPr="006E5DEE">
        <w:rPr>
          <w:rFonts w:ascii="Times New Roman" w:hAnsi="Times New Roman" w:cs="Times New Roman"/>
          <w:i/>
          <w:iCs/>
          <w:color w:val="000000" w:themeColor="text1"/>
          <w:sz w:val="24"/>
        </w:rPr>
        <w:t>American Ulysses: A Life of Ulysses S. Grant</w:t>
      </w:r>
      <w:r w:rsidRPr="006E5DEE">
        <w:rPr>
          <w:rFonts w:ascii="Times New Roman" w:hAnsi="Times New Roman" w:cs="Times New Roman"/>
          <w:color w:val="000000" w:themeColor="text1"/>
          <w:sz w:val="24"/>
        </w:rPr>
        <w:t>. New York, NY: Random House, 2016.</w:t>
      </w:r>
    </w:p>
    <w:p w14:paraId="43BC9E8D" w14:textId="1EA70EC4"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Whyte, James H. </w:t>
      </w:r>
      <w:r w:rsidRPr="006E5DEE">
        <w:rPr>
          <w:rFonts w:ascii="Times New Roman" w:hAnsi="Times New Roman" w:cs="Times New Roman"/>
          <w:i/>
          <w:iCs/>
          <w:color w:val="000000" w:themeColor="text1"/>
          <w:sz w:val="24"/>
        </w:rPr>
        <w:t>The Uncivil War: Washington During the Reconstruction, 1865-1878</w:t>
      </w:r>
      <w:r w:rsidRPr="006E5DEE">
        <w:rPr>
          <w:rFonts w:ascii="Times New Roman" w:hAnsi="Times New Roman" w:cs="Times New Roman"/>
          <w:color w:val="000000" w:themeColor="text1"/>
          <w:sz w:val="24"/>
        </w:rPr>
        <w:t>. New York: Twayne Publishers, 1958.</w:t>
      </w:r>
      <w:bookmarkEnd w:id="114"/>
    </w:p>
    <w:p w14:paraId="53C65037" w14:textId="21B083D7" w:rsidR="005D5FB3" w:rsidRPr="00FE0880"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lastRenderedPageBreak/>
        <w:t xml:space="preserve">Wiarda, Howard J. </w:t>
      </w:r>
      <w:r w:rsidRPr="006E5DEE">
        <w:rPr>
          <w:rFonts w:ascii="Times New Roman" w:hAnsi="Times New Roman" w:cs="Times New Roman"/>
          <w:i/>
          <w:iCs/>
          <w:color w:val="000000" w:themeColor="text1"/>
          <w:sz w:val="24"/>
          <w:szCs w:val="24"/>
        </w:rPr>
        <w:t>The Dominican Republic: Nation in Transition</w:t>
      </w:r>
      <w:r w:rsidRPr="006E5DEE">
        <w:rPr>
          <w:rFonts w:ascii="Times New Roman" w:hAnsi="Times New Roman" w:cs="Times New Roman"/>
          <w:color w:val="000000" w:themeColor="text1"/>
          <w:sz w:val="24"/>
          <w:szCs w:val="24"/>
        </w:rPr>
        <w:t>. New York, NY: Praeger, 1969.</w:t>
      </w:r>
    </w:p>
    <w:p w14:paraId="7590F79A" w14:textId="0BBE8475"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 xml:space="preserve">Wiarda, Howard J. and Michael J. Kryzanek. </w:t>
      </w:r>
      <w:r w:rsidRPr="006E5DEE">
        <w:rPr>
          <w:rFonts w:ascii="Times New Roman" w:hAnsi="Times New Roman" w:cs="Times New Roman"/>
          <w:i/>
          <w:iCs/>
          <w:color w:val="000000" w:themeColor="text1"/>
          <w:sz w:val="24"/>
          <w:szCs w:val="24"/>
        </w:rPr>
        <w:t>The Dominican Republic: A Caribbean Crucible</w:t>
      </w:r>
      <w:r w:rsidRPr="006E5DEE">
        <w:rPr>
          <w:rFonts w:ascii="Times New Roman" w:hAnsi="Times New Roman" w:cs="Times New Roman"/>
          <w:color w:val="000000" w:themeColor="text1"/>
          <w:sz w:val="24"/>
          <w:szCs w:val="24"/>
        </w:rPr>
        <w:t>. Second Edition. Boulder, CO: Westview Press, 1992.</w:t>
      </w:r>
    </w:p>
    <w:p w14:paraId="6E0E10AC" w14:textId="26EC3C92"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Williamson, Joel. </w:t>
      </w:r>
      <w:r w:rsidRPr="006E5DEE">
        <w:rPr>
          <w:rFonts w:ascii="Times New Roman" w:hAnsi="Times New Roman" w:cs="Times New Roman"/>
          <w:i/>
          <w:iCs/>
          <w:color w:val="000000" w:themeColor="text1"/>
          <w:sz w:val="24"/>
        </w:rPr>
        <w:t>After Slavery: The Negro in South Carolina during Reconstruction, 1861-1877</w:t>
      </w:r>
      <w:r w:rsidRPr="006E5DEE">
        <w:rPr>
          <w:rFonts w:ascii="Times New Roman" w:hAnsi="Times New Roman" w:cs="Times New Roman"/>
          <w:color w:val="000000" w:themeColor="text1"/>
          <w:sz w:val="24"/>
        </w:rPr>
        <w:t>. Chapel Hill: UNC Press, 1965.</w:t>
      </w:r>
    </w:p>
    <w:p w14:paraId="73BB1845" w14:textId="4FDC6C21"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Wineapple, Brenda. </w:t>
      </w:r>
      <w:r w:rsidRPr="006E5DEE">
        <w:rPr>
          <w:rFonts w:ascii="Times New Roman" w:hAnsi="Times New Roman" w:cs="Times New Roman"/>
          <w:i/>
          <w:iCs/>
          <w:color w:val="000000" w:themeColor="text1"/>
          <w:sz w:val="24"/>
        </w:rPr>
        <w:t>The Impeachers: The Trial of Andrew Johnson and the Dream of a Just Nation.</w:t>
      </w:r>
      <w:r w:rsidRPr="006E5DEE">
        <w:rPr>
          <w:rFonts w:ascii="Times New Roman" w:hAnsi="Times New Roman" w:cs="Times New Roman"/>
          <w:color w:val="000000" w:themeColor="text1"/>
          <w:sz w:val="24"/>
        </w:rPr>
        <w:t xml:space="preserve"> New York: Random House, 2019. </w:t>
      </w:r>
    </w:p>
    <w:p w14:paraId="512AAF9A" w14:textId="562D0594"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Winkle, Kenneth J. </w:t>
      </w:r>
      <w:r w:rsidRPr="006E5DEE">
        <w:rPr>
          <w:rFonts w:ascii="Times New Roman" w:hAnsi="Times New Roman" w:cs="Times New Roman"/>
          <w:i/>
          <w:iCs/>
          <w:color w:val="000000" w:themeColor="text1"/>
          <w:sz w:val="24"/>
        </w:rPr>
        <w:t>Lincoln’s Citadel: The Civil War in Washington DC</w:t>
      </w:r>
      <w:r w:rsidRPr="006E5DEE">
        <w:rPr>
          <w:rFonts w:ascii="Times New Roman" w:hAnsi="Times New Roman" w:cs="Times New Roman"/>
          <w:color w:val="000000" w:themeColor="text1"/>
          <w:sz w:val="24"/>
        </w:rPr>
        <w:t>. New York: WW Norton and Company, 2014.</w:t>
      </w:r>
    </w:p>
    <w:p w14:paraId="1BF6E6DD" w14:textId="183BE592"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Wister, Owen. </w:t>
      </w:r>
      <w:r w:rsidRPr="006E5DEE">
        <w:rPr>
          <w:rFonts w:ascii="Times New Roman" w:hAnsi="Times New Roman" w:cs="Times New Roman"/>
          <w:i/>
          <w:iCs/>
          <w:color w:val="000000" w:themeColor="text1"/>
          <w:sz w:val="24"/>
        </w:rPr>
        <w:t>U.S. Grant and the Seven Ages of Washington.</w:t>
      </w:r>
      <w:r w:rsidRPr="006E5DEE">
        <w:rPr>
          <w:rFonts w:ascii="Times New Roman" w:hAnsi="Times New Roman" w:cs="Times New Roman"/>
          <w:color w:val="000000" w:themeColor="text1"/>
          <w:sz w:val="24"/>
        </w:rPr>
        <w:t xml:space="preserve"> New York: The Macmillan Company, 1928.</w:t>
      </w:r>
    </w:p>
    <w:p w14:paraId="30E4213B" w14:textId="6D9F867A" w:rsidR="00A16069" w:rsidRPr="006E5DEE" w:rsidRDefault="00A16069"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Wood, Gordon S. </w:t>
      </w:r>
      <w:r w:rsidRPr="006E5DEE">
        <w:rPr>
          <w:rFonts w:ascii="Times New Roman" w:hAnsi="Times New Roman" w:cs="Times New Roman"/>
          <w:i/>
          <w:iCs/>
          <w:color w:val="000000" w:themeColor="text1"/>
          <w:sz w:val="24"/>
        </w:rPr>
        <w:t>The Creation of the American Republic, 1776-1787</w:t>
      </w:r>
      <w:r w:rsidRPr="006E5DEE">
        <w:rPr>
          <w:rFonts w:ascii="Times New Roman" w:hAnsi="Times New Roman" w:cs="Times New Roman"/>
          <w:color w:val="000000" w:themeColor="text1"/>
          <w:sz w:val="24"/>
        </w:rPr>
        <w:t>. Chapel Hill, NC: University of North Carolina Press, 1969 (new preface 1998).</w:t>
      </w:r>
    </w:p>
    <w:p w14:paraId="234056AE" w14:textId="4CE2CD9B"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Woodward, Bob and Carl Bernstein. </w:t>
      </w:r>
      <w:r w:rsidRPr="006E5DEE">
        <w:rPr>
          <w:rFonts w:ascii="Times New Roman" w:hAnsi="Times New Roman" w:cs="Times New Roman"/>
          <w:i/>
          <w:iCs/>
          <w:color w:val="000000" w:themeColor="text1"/>
          <w:sz w:val="24"/>
        </w:rPr>
        <w:t>All the Presidents Men</w:t>
      </w:r>
      <w:r w:rsidRPr="006E5DEE">
        <w:rPr>
          <w:rFonts w:ascii="Times New Roman" w:hAnsi="Times New Roman" w:cs="Times New Roman"/>
          <w:color w:val="000000" w:themeColor="text1"/>
          <w:sz w:val="24"/>
        </w:rPr>
        <w:t>. New York: Simon and Schuster, 1974.</w:t>
      </w:r>
    </w:p>
    <w:p w14:paraId="132C4862" w14:textId="33F69CA9" w:rsidR="005D5FB3" w:rsidRPr="006E5DEE"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Woodward, C. Vann, Ed. </w:t>
      </w:r>
      <w:r w:rsidRPr="006E5DEE">
        <w:rPr>
          <w:rFonts w:ascii="Times New Roman" w:hAnsi="Times New Roman" w:cs="Times New Roman"/>
          <w:i/>
          <w:iCs/>
          <w:color w:val="000000" w:themeColor="text1"/>
          <w:sz w:val="24"/>
        </w:rPr>
        <w:t>Responses of the Presidents to Charges of Misconduct</w:t>
      </w:r>
      <w:r w:rsidRPr="006E5DEE">
        <w:rPr>
          <w:rFonts w:ascii="Times New Roman" w:hAnsi="Times New Roman" w:cs="Times New Roman"/>
          <w:color w:val="000000" w:themeColor="text1"/>
          <w:sz w:val="24"/>
        </w:rPr>
        <w:t>. New York, NY: Delacorte Press, 1974.</w:t>
      </w:r>
    </w:p>
    <w:p w14:paraId="13E34D63" w14:textId="16E4C1B5" w:rsidR="00C5488C" w:rsidRDefault="00A16069" w:rsidP="00FE0880">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Woodward, C. Vann. </w:t>
      </w:r>
      <w:r w:rsidRPr="006E5DEE">
        <w:rPr>
          <w:rFonts w:ascii="Times New Roman" w:hAnsi="Times New Roman" w:cs="Times New Roman"/>
          <w:i/>
          <w:iCs/>
          <w:color w:val="000000" w:themeColor="text1"/>
          <w:sz w:val="24"/>
        </w:rPr>
        <w:t>Reunion and Reaction: The Compromise of 1877 and the End of Reconstruction</w:t>
      </w:r>
      <w:r w:rsidRPr="006E5DEE">
        <w:rPr>
          <w:rFonts w:ascii="Times New Roman" w:hAnsi="Times New Roman" w:cs="Times New Roman"/>
          <w:color w:val="000000" w:themeColor="text1"/>
          <w:sz w:val="24"/>
        </w:rPr>
        <w:t>. New York: Oxford University Press, 1951.</w:t>
      </w:r>
    </w:p>
    <w:p w14:paraId="414A8751" w14:textId="77777777" w:rsidR="00FE0880" w:rsidRDefault="00FE0880" w:rsidP="00FE0880">
      <w:pPr>
        <w:spacing w:after="0" w:line="480" w:lineRule="auto"/>
        <w:ind w:left="720" w:hanging="720"/>
        <w:contextualSpacing/>
        <w:rPr>
          <w:rFonts w:ascii="Times New Roman" w:hAnsi="Times New Roman" w:cs="Times New Roman"/>
          <w:color w:val="000000" w:themeColor="text1"/>
          <w:sz w:val="24"/>
        </w:rPr>
      </w:pPr>
    </w:p>
    <w:p w14:paraId="28C8A2D2" w14:textId="77777777" w:rsidR="00FE0880" w:rsidRDefault="00FE0880" w:rsidP="00FE0880">
      <w:pPr>
        <w:spacing w:after="0" w:line="480" w:lineRule="auto"/>
        <w:ind w:left="720" w:hanging="720"/>
        <w:contextualSpacing/>
        <w:rPr>
          <w:rFonts w:ascii="Times New Roman" w:hAnsi="Times New Roman" w:cs="Times New Roman"/>
          <w:color w:val="000000" w:themeColor="text1"/>
          <w:sz w:val="24"/>
        </w:rPr>
      </w:pPr>
    </w:p>
    <w:p w14:paraId="0D654E9C" w14:textId="77777777" w:rsidR="00FE0880" w:rsidRPr="006E5DEE" w:rsidRDefault="00FE0880" w:rsidP="00FE0880">
      <w:pPr>
        <w:spacing w:after="0" w:line="480" w:lineRule="auto"/>
        <w:ind w:left="720" w:hanging="720"/>
        <w:contextualSpacing/>
        <w:rPr>
          <w:rFonts w:ascii="Times New Roman" w:hAnsi="Times New Roman" w:cs="Times New Roman"/>
          <w:color w:val="000000" w:themeColor="text1"/>
          <w:sz w:val="24"/>
        </w:rPr>
      </w:pPr>
    </w:p>
    <w:p w14:paraId="4222278F" w14:textId="34A10036" w:rsidR="00A16069" w:rsidRPr="006E5DEE" w:rsidRDefault="00A16069" w:rsidP="0074689B">
      <w:pPr>
        <w:spacing w:before="100" w:beforeAutospacing="1" w:after="100" w:afterAutospacing="1" w:line="480" w:lineRule="auto"/>
        <w:rPr>
          <w:rFonts w:ascii="Times New Roman" w:eastAsia="Times New Roman" w:hAnsi="Times New Roman" w:cs="Times New Roman"/>
          <w:color w:val="000000" w:themeColor="text1"/>
          <w:sz w:val="24"/>
          <w:szCs w:val="24"/>
          <w:u w:val="single"/>
        </w:rPr>
      </w:pPr>
      <w:r w:rsidRPr="006E5DEE">
        <w:rPr>
          <w:rFonts w:ascii="Times New Roman" w:eastAsia="Times New Roman" w:hAnsi="Times New Roman" w:cs="Times New Roman"/>
          <w:color w:val="000000" w:themeColor="text1"/>
          <w:sz w:val="24"/>
          <w:szCs w:val="24"/>
          <w:u w:val="single"/>
        </w:rPr>
        <w:lastRenderedPageBreak/>
        <w:t>Secondary Sources: Articles, Book Chapters, Dissertations and Websites</w:t>
      </w:r>
    </w:p>
    <w:p w14:paraId="7946796C" w14:textId="0039CC1D" w:rsidR="005D5FB3" w:rsidRPr="00B07FCC" w:rsidRDefault="00A16069" w:rsidP="00B07FCC">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“11</w:t>
      </w:r>
      <w:r w:rsidRPr="006E5DEE">
        <w:rPr>
          <w:rFonts w:ascii="Times New Roman" w:hAnsi="Times New Roman" w:cs="Times New Roman"/>
          <w:color w:val="000000" w:themeColor="text1"/>
          <w:sz w:val="24"/>
          <w:vertAlign w:val="superscript"/>
        </w:rPr>
        <w:t>th</w:t>
      </w:r>
      <w:r w:rsidRPr="006E5DEE">
        <w:rPr>
          <w:rFonts w:ascii="Times New Roman" w:hAnsi="Times New Roman" w:cs="Times New Roman"/>
          <w:color w:val="000000" w:themeColor="text1"/>
          <w:sz w:val="24"/>
        </w:rPr>
        <w:t xml:space="preserve"> Street Bridge: Anacostia Park.” </w:t>
      </w:r>
      <w:r w:rsidRPr="006E5DEE">
        <w:rPr>
          <w:rFonts w:ascii="Times New Roman" w:hAnsi="Times New Roman" w:cs="Times New Roman"/>
          <w:i/>
          <w:iCs/>
          <w:color w:val="000000" w:themeColor="text1"/>
          <w:sz w:val="24"/>
        </w:rPr>
        <w:t>National Parks Service</w:t>
      </w:r>
      <w:r w:rsidRPr="006E5DEE">
        <w:rPr>
          <w:rFonts w:ascii="Times New Roman" w:hAnsi="Times New Roman" w:cs="Times New Roman"/>
          <w:color w:val="000000" w:themeColor="text1"/>
          <w:sz w:val="24"/>
        </w:rPr>
        <w:t>.</w:t>
      </w:r>
    </w:p>
    <w:p w14:paraId="4F4A9AA5" w14:textId="4458173A" w:rsidR="005D5FB3" w:rsidRPr="00B07FCC" w:rsidRDefault="00A16069" w:rsidP="00B07FCC">
      <w:pPr>
        <w:spacing w:after="0"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“150 Years of History." United States Secret Service. Accessed April 28, 2021. </w:t>
      </w:r>
      <w:hyperlink r:id="rId31" w:history="1">
        <w:r w:rsidRPr="006E5DEE">
          <w:rPr>
            <w:rStyle w:val="Hyperlink"/>
            <w:rFonts w:ascii="Times New Roman" w:eastAsia="Times New Roman" w:hAnsi="Times New Roman" w:cs="Times New Roman"/>
            <w:color w:val="000000" w:themeColor="text1"/>
            <w:sz w:val="24"/>
            <w:szCs w:val="24"/>
          </w:rPr>
          <w:t>https://www.secretservice.gov/about/history/150-years</w:t>
        </w:r>
      </w:hyperlink>
      <w:r w:rsidRPr="006E5DEE">
        <w:rPr>
          <w:rFonts w:ascii="Times New Roman" w:eastAsia="Times New Roman" w:hAnsi="Times New Roman" w:cs="Times New Roman"/>
          <w:color w:val="000000" w:themeColor="text1"/>
          <w:sz w:val="24"/>
          <w:szCs w:val="24"/>
        </w:rPr>
        <w:t xml:space="preserve">. </w:t>
      </w:r>
    </w:p>
    <w:p w14:paraId="4804AE86" w14:textId="027FE9BC"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 Comparison of Polls of Presidential Greatness*." Three Presidential Views of Presidential Power. Accessed July 20, 2022. </w:t>
      </w:r>
      <w:hyperlink r:id="rId32" w:history="1">
        <w:r w:rsidRPr="006E5DEE">
          <w:rPr>
            <w:rStyle w:val="Hyperlink"/>
            <w:rFonts w:ascii="Times New Roman" w:hAnsi="Times New Roman" w:cs="Times New Roman"/>
            <w:color w:val="000000" w:themeColor="text1"/>
            <w:sz w:val="24"/>
          </w:rPr>
          <w:t>http://classes.maxwell.syr.edu/hst341/presgreatness.htm</w:t>
        </w:r>
      </w:hyperlink>
      <w:r w:rsidRPr="006E5DEE">
        <w:rPr>
          <w:rFonts w:ascii="Times New Roman" w:hAnsi="Times New Roman" w:cs="Times New Roman"/>
          <w:color w:val="000000" w:themeColor="text1"/>
          <w:sz w:val="24"/>
        </w:rPr>
        <w:t>.</w:t>
      </w:r>
    </w:p>
    <w:p w14:paraId="31DDDF1A" w14:textId="0036951C"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"A.C. Richards." A.C. Richards. Accessed April 4, 2021. </w:t>
      </w:r>
      <w:hyperlink r:id="rId33" w:history="1">
        <w:r w:rsidRPr="006E5DEE">
          <w:rPr>
            <w:rStyle w:val="Hyperlink"/>
            <w:rFonts w:ascii="Times New Roman" w:hAnsi="Times New Roman" w:cs="Times New Roman"/>
            <w:color w:val="000000" w:themeColor="text1"/>
            <w:sz w:val="24"/>
          </w:rPr>
          <w:t>https://mpdc.dc.gov/biography/ac-richards</w:t>
        </w:r>
      </w:hyperlink>
      <w:r w:rsidRPr="006E5DEE">
        <w:rPr>
          <w:rFonts w:ascii="Times New Roman" w:hAnsi="Times New Roman" w:cs="Times New Roman"/>
          <w:color w:val="000000" w:themeColor="text1"/>
          <w:sz w:val="24"/>
        </w:rPr>
        <w:t xml:space="preserve">. </w:t>
      </w:r>
    </w:p>
    <w:p w14:paraId="2D98FC74" w14:textId="49031569"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"Alexandria Gazette." </w:t>
      </w:r>
      <w:r w:rsidRPr="006E5DEE">
        <w:rPr>
          <w:rFonts w:ascii="Times New Roman" w:hAnsi="Times New Roman" w:cs="Times New Roman"/>
          <w:i/>
          <w:iCs/>
          <w:color w:val="000000" w:themeColor="text1"/>
          <w:sz w:val="24"/>
        </w:rPr>
        <w:t>Chronicling America</w:t>
      </w:r>
      <w:r w:rsidRPr="006E5DEE">
        <w:rPr>
          <w:rFonts w:ascii="Times New Roman" w:hAnsi="Times New Roman" w:cs="Times New Roman"/>
          <w:color w:val="000000" w:themeColor="text1"/>
          <w:sz w:val="24"/>
        </w:rPr>
        <w:t xml:space="preserve">. Accessed April 26, 2021. </w:t>
      </w:r>
      <w:hyperlink r:id="rId34" w:history="1">
        <w:r w:rsidRPr="006E5DEE">
          <w:rPr>
            <w:rStyle w:val="Hyperlink"/>
            <w:rFonts w:ascii="Times New Roman" w:hAnsi="Times New Roman" w:cs="Times New Roman"/>
            <w:color w:val="000000" w:themeColor="text1"/>
            <w:sz w:val="24"/>
          </w:rPr>
          <w:t>https://chroniclingamerica.loc.gov/lccn/sn85025007/</w:t>
        </w:r>
      </w:hyperlink>
      <w:r w:rsidRPr="006E5DEE">
        <w:rPr>
          <w:rFonts w:ascii="Times New Roman" w:hAnsi="Times New Roman" w:cs="Times New Roman"/>
          <w:color w:val="000000" w:themeColor="text1"/>
          <w:sz w:val="24"/>
        </w:rPr>
        <w:t>.</w:t>
      </w:r>
    </w:p>
    <w:p w14:paraId="41F1011B" w14:textId="16593D80"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Barreyre, Nicolas. “The Politics of Economic Crises: The Panic of 1873, the End of Reconstruction, and the Realignment of American Politics.” </w:t>
      </w:r>
      <w:r w:rsidRPr="006E5DEE">
        <w:rPr>
          <w:rFonts w:ascii="Times New Roman" w:hAnsi="Times New Roman" w:cs="Times New Roman"/>
          <w:i/>
          <w:iCs/>
          <w:color w:val="000000" w:themeColor="text1"/>
          <w:sz w:val="24"/>
        </w:rPr>
        <w:t>Journal of the Gilded Age and Progressive Era</w:t>
      </w:r>
      <w:r w:rsidRPr="006E5DEE">
        <w:rPr>
          <w:rFonts w:ascii="Times New Roman" w:hAnsi="Times New Roman" w:cs="Times New Roman"/>
          <w:color w:val="000000" w:themeColor="text1"/>
          <w:sz w:val="24"/>
        </w:rPr>
        <w:t>. 10.4 (2011): 403-423.</w:t>
      </w:r>
    </w:p>
    <w:p w14:paraId="5EB3596B" w14:textId="78991157" w:rsidR="005817DC" w:rsidRPr="006E5DEE" w:rsidRDefault="005817DC"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Benedict, Michael Les. “Southern Democrats in the Crisis of 1876-1877: A Reconsideration of Reunion and Reaction.” </w:t>
      </w:r>
      <w:r w:rsidRPr="006E5DEE">
        <w:rPr>
          <w:rFonts w:ascii="Times New Roman" w:hAnsi="Times New Roman" w:cs="Times New Roman"/>
          <w:i/>
          <w:iCs/>
          <w:color w:val="000000" w:themeColor="text1"/>
          <w:sz w:val="24"/>
        </w:rPr>
        <w:t>Journal of Southern History</w:t>
      </w:r>
      <w:r w:rsidRPr="006E5DEE">
        <w:rPr>
          <w:rFonts w:ascii="Times New Roman" w:hAnsi="Times New Roman" w:cs="Times New Roman"/>
          <w:color w:val="000000" w:themeColor="text1"/>
          <w:sz w:val="24"/>
        </w:rPr>
        <w:t>. 6</w:t>
      </w:r>
      <w:r w:rsidR="002A0A46" w:rsidRPr="006E5DEE">
        <w:rPr>
          <w:rFonts w:ascii="Times New Roman" w:hAnsi="Times New Roman" w:cs="Times New Roman"/>
          <w:color w:val="000000" w:themeColor="text1"/>
          <w:sz w:val="24"/>
        </w:rPr>
        <w:t>.</w:t>
      </w:r>
      <w:r w:rsidRPr="006E5DEE">
        <w:rPr>
          <w:rFonts w:ascii="Times New Roman" w:hAnsi="Times New Roman" w:cs="Times New Roman"/>
          <w:color w:val="000000" w:themeColor="text1"/>
          <w:sz w:val="24"/>
        </w:rPr>
        <w:t>4 (November 1980): 489-524.</w:t>
      </w:r>
    </w:p>
    <w:p w14:paraId="65A52752" w14:textId="233B3F80"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Bonekemper III, Edward H. “The Butcher’s Bill: Ulysses S. Grant is Often Referred to as a ‘Butcher,’ But Does Robert E. Lee Actually Deserve That Title?” </w:t>
      </w:r>
      <w:r w:rsidRPr="006E5DEE">
        <w:rPr>
          <w:rFonts w:ascii="Times New Roman" w:hAnsi="Times New Roman" w:cs="Times New Roman"/>
          <w:i/>
          <w:iCs/>
          <w:color w:val="000000" w:themeColor="text1"/>
          <w:sz w:val="24"/>
        </w:rPr>
        <w:t>Civil War Times</w:t>
      </w:r>
      <w:r w:rsidRPr="006E5DEE">
        <w:rPr>
          <w:rFonts w:ascii="Times New Roman" w:hAnsi="Times New Roman" w:cs="Times New Roman"/>
          <w:color w:val="000000" w:themeColor="text1"/>
          <w:sz w:val="24"/>
        </w:rPr>
        <w:t xml:space="preserve"> 52, no. 1 (April 2011) 36-43.</w:t>
      </w:r>
    </w:p>
    <w:p w14:paraId="04A18025" w14:textId="32FFE5F2"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Boynton, H.V. “The Washington Safe Burglary Conspiracy.” </w:t>
      </w:r>
      <w:r w:rsidRPr="006E5DEE">
        <w:rPr>
          <w:rFonts w:ascii="Times New Roman" w:hAnsi="Times New Roman" w:cs="Times New Roman"/>
          <w:i/>
          <w:iCs/>
          <w:color w:val="000000" w:themeColor="text1"/>
          <w:sz w:val="24"/>
        </w:rPr>
        <w:t>American Law Review</w:t>
      </w:r>
      <w:r w:rsidRPr="006E5DEE">
        <w:rPr>
          <w:rFonts w:ascii="Times New Roman" w:hAnsi="Times New Roman" w:cs="Times New Roman"/>
          <w:color w:val="000000" w:themeColor="text1"/>
          <w:sz w:val="24"/>
        </w:rPr>
        <w:t xml:space="preserve"> 11, no. 3 (April 1877): 401-446.</w:t>
      </w:r>
    </w:p>
    <w:p w14:paraId="0634F952" w14:textId="1E254397"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Broxmeyer, Jeffrey D. “Bringing The ‘Ring’ Back In: The Politics </w:t>
      </w:r>
      <w:r w:rsidR="005D5FB3" w:rsidRPr="006E5DEE">
        <w:rPr>
          <w:rFonts w:ascii="Times New Roman" w:hAnsi="Times New Roman" w:cs="Times New Roman"/>
          <w:color w:val="000000" w:themeColor="text1"/>
          <w:sz w:val="24"/>
        </w:rPr>
        <w:t>o</w:t>
      </w:r>
      <w:r w:rsidRPr="006E5DEE">
        <w:rPr>
          <w:rFonts w:ascii="Times New Roman" w:hAnsi="Times New Roman" w:cs="Times New Roman"/>
          <w:color w:val="000000" w:themeColor="text1"/>
          <w:sz w:val="24"/>
        </w:rPr>
        <w:t xml:space="preserve">f Booty Capitalism.” </w:t>
      </w:r>
      <w:r w:rsidRPr="006E5DEE">
        <w:rPr>
          <w:rFonts w:ascii="Times New Roman" w:hAnsi="Times New Roman" w:cs="Times New Roman"/>
          <w:i/>
          <w:iCs/>
          <w:color w:val="000000" w:themeColor="text1"/>
          <w:sz w:val="24"/>
        </w:rPr>
        <w:t>The Journal of the Gilded Age and Progressive Era</w:t>
      </w:r>
      <w:r w:rsidRPr="006E5DEE">
        <w:rPr>
          <w:rFonts w:ascii="Times New Roman" w:hAnsi="Times New Roman" w:cs="Times New Roman"/>
          <w:color w:val="000000" w:themeColor="text1"/>
          <w:sz w:val="24"/>
        </w:rPr>
        <w:t xml:space="preserve"> 19, no. 2 (2020): 235–245.</w:t>
      </w:r>
    </w:p>
    <w:p w14:paraId="6ACF3041" w14:textId="169EC70F"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Burr, Charles R. “A Brief History of Anacostia, Its Name, Origin, and Progress.” </w:t>
      </w:r>
      <w:r w:rsidRPr="006E5DEE">
        <w:rPr>
          <w:rFonts w:ascii="Times New Roman" w:hAnsi="Times New Roman" w:cs="Times New Roman"/>
          <w:i/>
          <w:iCs/>
          <w:color w:val="000000" w:themeColor="text1"/>
          <w:sz w:val="24"/>
        </w:rPr>
        <w:t>Records of the Columbia Historical Society</w:t>
      </w:r>
      <w:r w:rsidRPr="006E5DEE">
        <w:rPr>
          <w:rFonts w:ascii="Times New Roman" w:hAnsi="Times New Roman" w:cs="Times New Roman"/>
          <w:color w:val="000000" w:themeColor="text1"/>
          <w:sz w:val="24"/>
        </w:rPr>
        <w:t>, Washington, 1920.</w:t>
      </w:r>
    </w:p>
    <w:p w14:paraId="711030EB" w14:textId="64473DB3"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Campbell, James E. "Party Systems and Realignments in the United States, 1868–2004", </w:t>
      </w:r>
      <w:r w:rsidRPr="006E5DEE">
        <w:rPr>
          <w:rFonts w:ascii="Times New Roman" w:hAnsi="Times New Roman" w:cs="Times New Roman"/>
          <w:i/>
          <w:iCs/>
          <w:color w:val="000000" w:themeColor="text1"/>
          <w:sz w:val="24"/>
        </w:rPr>
        <w:t>Social Science History</w:t>
      </w:r>
      <w:r w:rsidRPr="006E5DEE">
        <w:rPr>
          <w:rFonts w:ascii="Times New Roman" w:hAnsi="Times New Roman" w:cs="Times New Roman"/>
          <w:color w:val="000000" w:themeColor="text1"/>
          <w:sz w:val="24"/>
        </w:rPr>
        <w:t>, Fall 2006, vol. 30, issue 3. pp. 359–386</w:t>
      </w:r>
    </w:p>
    <w:p w14:paraId="2A7B40CF" w14:textId="1C16DF29"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Carson, Gerald, and Mike Veach. "The Great Whiskey Steal." In </w:t>
      </w:r>
      <w:r w:rsidRPr="006E5DEE">
        <w:rPr>
          <w:rFonts w:ascii="Times New Roman" w:hAnsi="Times New Roman" w:cs="Times New Roman"/>
          <w:i/>
          <w:iCs/>
          <w:color w:val="000000" w:themeColor="text1"/>
          <w:sz w:val="24"/>
        </w:rPr>
        <w:t>The Social History of Bourbon</w:t>
      </w:r>
      <w:r w:rsidRPr="006E5DEE">
        <w:rPr>
          <w:rFonts w:ascii="Times New Roman" w:hAnsi="Times New Roman" w:cs="Times New Roman"/>
          <w:color w:val="000000" w:themeColor="text1"/>
          <w:sz w:val="24"/>
        </w:rPr>
        <w:t xml:space="preserve">, 114-27. University Press of Kentucky, 1963. </w:t>
      </w:r>
    </w:p>
    <w:p w14:paraId="67DA81C4" w14:textId="347BE749" w:rsidR="005D5FB3" w:rsidRPr="006E5DEE" w:rsidRDefault="00A16069" w:rsidP="00B07FCC">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Cashin, Joan E. “The Material World of Mary Todd Lincoln: Her Households in Peace and War.” In </w:t>
      </w:r>
      <w:r w:rsidRPr="006E5DEE">
        <w:rPr>
          <w:rFonts w:ascii="Times New Roman" w:hAnsi="Times New Roman" w:cs="Times New Roman"/>
          <w:i/>
          <w:iCs/>
          <w:color w:val="000000" w:themeColor="text1"/>
          <w:sz w:val="24"/>
        </w:rPr>
        <w:t>Household War: How Americans Lived and Fought the Civil War</w:t>
      </w:r>
      <w:r w:rsidRPr="006E5DEE">
        <w:rPr>
          <w:rFonts w:ascii="Times New Roman" w:hAnsi="Times New Roman" w:cs="Times New Roman"/>
          <w:color w:val="000000" w:themeColor="text1"/>
          <w:sz w:val="24"/>
        </w:rPr>
        <w:t>. Athens: University of Georgia Press, 2020. 19-34.</w:t>
      </w:r>
    </w:p>
    <w:p w14:paraId="5B67B5FB" w14:textId="41F04624"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Cooney, Ruthie. “The National Mall Was Once Home to a Huge Government Fish Farm That Wreaked Havoc on US Fisheries.” </w:t>
      </w:r>
      <w:r w:rsidRPr="006E5DEE">
        <w:rPr>
          <w:rFonts w:ascii="Times New Roman" w:hAnsi="Times New Roman" w:cs="Times New Roman"/>
          <w:i/>
          <w:iCs/>
          <w:color w:val="000000" w:themeColor="text1"/>
          <w:sz w:val="24"/>
        </w:rPr>
        <w:t>Boundary Stones</w:t>
      </w:r>
      <w:r w:rsidRPr="006E5DEE">
        <w:rPr>
          <w:rFonts w:ascii="Times New Roman" w:hAnsi="Times New Roman" w:cs="Times New Roman"/>
          <w:color w:val="000000" w:themeColor="text1"/>
          <w:sz w:val="24"/>
        </w:rPr>
        <w:t>. November 4, 2022.</w:t>
      </w:r>
    </w:p>
    <w:p w14:paraId="5DF5037E" w14:textId="39BFB8AE"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Cox, Jacob. “How Ebenezer Hoar Ceased to Be Attorney General.” </w:t>
      </w:r>
      <w:r w:rsidRPr="006E5DEE">
        <w:rPr>
          <w:rFonts w:ascii="Times New Roman" w:hAnsi="Times New Roman" w:cs="Times New Roman"/>
          <w:i/>
          <w:iCs/>
          <w:color w:val="000000" w:themeColor="text1"/>
          <w:sz w:val="24"/>
        </w:rPr>
        <w:t>Atlantic Monthly</w:t>
      </w:r>
      <w:r w:rsidRPr="006E5DEE">
        <w:rPr>
          <w:rFonts w:ascii="Times New Roman" w:hAnsi="Times New Roman" w:cs="Times New Roman"/>
          <w:color w:val="000000" w:themeColor="text1"/>
          <w:sz w:val="24"/>
        </w:rPr>
        <w:t xml:space="preserve"> 76, August 1895. </w:t>
      </w:r>
    </w:p>
    <w:p w14:paraId="11D57945" w14:textId="0B1CD0BE"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Davis, Henry E. "The Safe Burglary Case: An Episode and a Factor in the District's Development." </w:t>
      </w:r>
      <w:r w:rsidRPr="006E5DEE">
        <w:rPr>
          <w:rFonts w:ascii="Times New Roman" w:hAnsi="Times New Roman" w:cs="Times New Roman"/>
          <w:i/>
          <w:iCs/>
          <w:color w:val="000000" w:themeColor="text1"/>
          <w:sz w:val="24"/>
        </w:rPr>
        <w:t>Records of the Columbia Historical Society, Washington, D.C</w:t>
      </w:r>
      <w:r w:rsidRPr="006E5DEE">
        <w:rPr>
          <w:rFonts w:ascii="Times New Roman" w:hAnsi="Times New Roman" w:cs="Times New Roman"/>
          <w:color w:val="000000" w:themeColor="text1"/>
          <w:sz w:val="24"/>
        </w:rPr>
        <w:t>. 25 (1923): 140-81.</w:t>
      </w:r>
    </w:p>
    <w:p w14:paraId="40C4DF78" w14:textId="6B80C138"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Downs, James. “Colorblindness in the demographic death toll of the Civil War.” </w:t>
      </w:r>
      <w:r w:rsidRPr="006E5DEE">
        <w:rPr>
          <w:rFonts w:ascii="Times New Roman" w:hAnsi="Times New Roman" w:cs="Times New Roman"/>
          <w:i/>
          <w:iCs/>
          <w:color w:val="000000" w:themeColor="text1"/>
          <w:sz w:val="24"/>
        </w:rPr>
        <w:t>Oxford University Press Blog</w:t>
      </w:r>
      <w:r w:rsidRPr="006E5DEE">
        <w:rPr>
          <w:rFonts w:ascii="Times New Roman" w:hAnsi="Times New Roman" w:cs="Times New Roman"/>
          <w:color w:val="000000" w:themeColor="text1"/>
          <w:sz w:val="24"/>
        </w:rPr>
        <w:t>, April 13, 2012</w:t>
      </w:r>
    </w:p>
    <w:p w14:paraId="1CC05086" w14:textId="45816406" w:rsidR="005D5FB3" w:rsidRPr="006E5DEE" w:rsidRDefault="00A16069" w:rsidP="00B07FCC">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“The East Room.” </w:t>
      </w:r>
      <w:r w:rsidRPr="006E5DEE">
        <w:rPr>
          <w:rFonts w:ascii="Times New Roman" w:hAnsi="Times New Roman" w:cs="Times New Roman"/>
          <w:i/>
          <w:iCs/>
          <w:color w:val="000000" w:themeColor="text1"/>
          <w:sz w:val="24"/>
        </w:rPr>
        <w:t>White House Historical Association</w:t>
      </w:r>
      <w:r w:rsidRPr="006E5DEE">
        <w:rPr>
          <w:rFonts w:ascii="Times New Roman" w:hAnsi="Times New Roman" w:cs="Times New Roman"/>
          <w:color w:val="000000" w:themeColor="text1"/>
          <w:sz w:val="24"/>
        </w:rPr>
        <w:t xml:space="preserve">. </w:t>
      </w:r>
      <w:hyperlink r:id="rId35" w:history="1">
        <w:r w:rsidRPr="006E5DEE">
          <w:rPr>
            <w:rStyle w:val="Hyperlink"/>
            <w:rFonts w:ascii="Times New Roman" w:hAnsi="Times New Roman" w:cs="Times New Roman"/>
            <w:color w:val="000000" w:themeColor="text1"/>
            <w:sz w:val="24"/>
          </w:rPr>
          <w:t>https://www.whitehousehistory.org/white-house-tour/the-east-room</w:t>
        </w:r>
      </w:hyperlink>
      <w:r w:rsidRPr="006E5DEE">
        <w:rPr>
          <w:rFonts w:ascii="Times New Roman" w:hAnsi="Times New Roman" w:cs="Times New Roman"/>
          <w:color w:val="000000" w:themeColor="text1"/>
          <w:sz w:val="24"/>
        </w:rPr>
        <w:t xml:space="preserve">. </w:t>
      </w:r>
    </w:p>
    <w:p w14:paraId="160736AD" w14:textId="0FE71C90" w:rsidR="005D5FB3" w:rsidRPr="006E5DEE" w:rsidRDefault="00A16069" w:rsidP="00B07FCC">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“Eisenhower Executive Office Building.” </w:t>
      </w:r>
      <w:r w:rsidRPr="006E5DEE">
        <w:rPr>
          <w:rFonts w:ascii="Times New Roman" w:hAnsi="Times New Roman" w:cs="Times New Roman"/>
          <w:i/>
          <w:iCs/>
          <w:color w:val="000000" w:themeColor="text1"/>
          <w:sz w:val="24"/>
        </w:rPr>
        <w:t>The White House</w:t>
      </w:r>
      <w:r w:rsidRPr="006E5DEE">
        <w:rPr>
          <w:rFonts w:ascii="Times New Roman" w:hAnsi="Times New Roman" w:cs="Times New Roman"/>
          <w:color w:val="000000" w:themeColor="text1"/>
          <w:sz w:val="24"/>
        </w:rPr>
        <w:t xml:space="preserve">, July 12, 2022. </w:t>
      </w:r>
      <w:hyperlink r:id="rId36" w:history="1">
        <w:r w:rsidRPr="006E5DEE">
          <w:rPr>
            <w:rStyle w:val="Hyperlink"/>
            <w:rFonts w:ascii="Times New Roman" w:hAnsi="Times New Roman" w:cs="Times New Roman"/>
            <w:color w:val="000000" w:themeColor="text1"/>
            <w:sz w:val="24"/>
          </w:rPr>
          <w:t>https://whitehouse.gov/about-the-white-house/the-grounds/eisenhower-executive-office-building/</w:t>
        </w:r>
      </w:hyperlink>
      <w:r w:rsidRPr="006E5DEE">
        <w:rPr>
          <w:rFonts w:ascii="Times New Roman" w:hAnsi="Times New Roman" w:cs="Times New Roman"/>
          <w:color w:val="000000" w:themeColor="text1"/>
          <w:sz w:val="24"/>
        </w:rPr>
        <w:t xml:space="preserve">. </w:t>
      </w:r>
    </w:p>
    <w:p w14:paraId="1B85B20B" w14:textId="27193DDA" w:rsidR="005D5FB3" w:rsidRPr="006E5DEE" w:rsidRDefault="00A16069" w:rsidP="00E53609">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Elazar, Daniel. “Civil War and Preservation of American Federalism.” </w:t>
      </w:r>
      <w:r w:rsidRPr="006E5DEE">
        <w:rPr>
          <w:rFonts w:ascii="Times New Roman" w:hAnsi="Times New Roman" w:cs="Times New Roman"/>
          <w:i/>
          <w:iCs/>
          <w:color w:val="000000" w:themeColor="text1"/>
          <w:sz w:val="24"/>
        </w:rPr>
        <w:t>Publius</w:t>
      </w:r>
      <w:r w:rsidRPr="006E5DEE">
        <w:rPr>
          <w:rFonts w:ascii="Times New Roman" w:hAnsi="Times New Roman" w:cs="Times New Roman"/>
          <w:color w:val="000000" w:themeColor="text1"/>
          <w:sz w:val="24"/>
        </w:rPr>
        <w:t xml:space="preserve"> vol 1,</w:t>
      </w:r>
      <w:r w:rsidR="00B07FCC">
        <w:rPr>
          <w:rFonts w:ascii="Times New Roman" w:hAnsi="Times New Roman" w:cs="Times New Roman"/>
          <w:color w:val="000000" w:themeColor="text1"/>
          <w:sz w:val="24"/>
        </w:rPr>
        <w:t xml:space="preserve"> </w:t>
      </w:r>
      <w:r w:rsidRPr="006E5DEE">
        <w:rPr>
          <w:rFonts w:ascii="Times New Roman" w:hAnsi="Times New Roman" w:cs="Times New Roman"/>
          <w:color w:val="000000" w:themeColor="text1"/>
          <w:sz w:val="24"/>
        </w:rPr>
        <w:t>no 1 (1971).</w:t>
      </w:r>
    </w:p>
    <w:p w14:paraId="31A88B34" w14:textId="0E66A07A" w:rsidR="005D5FB3" w:rsidRPr="006E5DEE" w:rsidRDefault="00A16069" w:rsidP="00E53609">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"Evening Star." </w:t>
      </w:r>
      <w:r w:rsidRPr="006E5DEE">
        <w:rPr>
          <w:rFonts w:ascii="Times New Roman" w:hAnsi="Times New Roman" w:cs="Times New Roman"/>
          <w:i/>
          <w:iCs/>
          <w:color w:val="000000" w:themeColor="text1"/>
          <w:sz w:val="24"/>
        </w:rPr>
        <w:t>Chronicling America</w:t>
      </w:r>
      <w:r w:rsidRPr="006E5DEE">
        <w:rPr>
          <w:rFonts w:ascii="Times New Roman" w:hAnsi="Times New Roman" w:cs="Times New Roman"/>
          <w:color w:val="000000" w:themeColor="text1"/>
          <w:sz w:val="24"/>
        </w:rPr>
        <w:t xml:space="preserve">. Accessed April 26, 2021. </w:t>
      </w:r>
      <w:hyperlink r:id="rId37" w:history="1">
        <w:r w:rsidRPr="006E5DEE">
          <w:rPr>
            <w:rStyle w:val="Hyperlink"/>
            <w:rFonts w:ascii="Times New Roman" w:hAnsi="Times New Roman" w:cs="Times New Roman"/>
            <w:color w:val="000000" w:themeColor="text1"/>
            <w:sz w:val="24"/>
          </w:rPr>
          <w:t>https://chroniclingamerica.loc.gov/lccn/sn83045462/</w:t>
        </w:r>
      </w:hyperlink>
      <w:r w:rsidRPr="006E5DEE">
        <w:rPr>
          <w:rFonts w:ascii="Times New Roman" w:hAnsi="Times New Roman" w:cs="Times New Roman"/>
          <w:color w:val="000000" w:themeColor="text1"/>
          <w:sz w:val="24"/>
        </w:rPr>
        <w:t xml:space="preserve">. </w:t>
      </w:r>
    </w:p>
    <w:p w14:paraId="224DD61C" w14:textId="1227185A" w:rsidR="005D5FB3" w:rsidRPr="00E53609" w:rsidRDefault="00A16069" w:rsidP="00E53609">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"Federal Judicial Center." Humphreys, David Campbell | Federal Judicial Center. Accessed April 26, 2021. https://www.fjc.gov/node/1382541.</w:t>
      </w:r>
    </w:p>
    <w:p w14:paraId="6B8871ED" w14:textId="7DD53E23" w:rsidR="00C5488C" w:rsidRPr="00B448F1" w:rsidRDefault="00A16069" w:rsidP="00B448F1">
      <w:pPr>
        <w:spacing w:after="0" w:line="480" w:lineRule="auto"/>
        <w:ind w:left="720" w:hanging="720"/>
        <w:rPr>
          <w:rFonts w:ascii="Times New Roman" w:eastAsia="Times New Roman" w:hAnsi="Times New Roman" w:cs="Times New Roman"/>
          <w:color w:val="000000" w:themeColor="text1"/>
          <w:sz w:val="28"/>
          <w:szCs w:val="28"/>
        </w:rPr>
      </w:pPr>
      <w:r w:rsidRPr="006E5DEE">
        <w:rPr>
          <w:rFonts w:ascii="Times New Roman" w:hAnsi="Times New Roman" w:cs="Times New Roman"/>
          <w:color w:val="000000" w:themeColor="text1"/>
          <w:sz w:val="24"/>
          <w:szCs w:val="24"/>
        </w:rPr>
        <w:t xml:space="preserve">Fish, Carl Russell. “Lincoln and the Patronage.” </w:t>
      </w:r>
      <w:r w:rsidRPr="006E5DEE">
        <w:rPr>
          <w:rFonts w:ascii="Times New Roman" w:hAnsi="Times New Roman" w:cs="Times New Roman"/>
          <w:i/>
          <w:iCs/>
          <w:color w:val="000000" w:themeColor="text1"/>
          <w:sz w:val="24"/>
          <w:szCs w:val="24"/>
        </w:rPr>
        <w:t>The American Historical Review</w:t>
      </w:r>
      <w:r w:rsidRPr="006E5DEE">
        <w:rPr>
          <w:rFonts w:ascii="Times New Roman" w:hAnsi="Times New Roman" w:cs="Times New Roman"/>
          <w:color w:val="000000" w:themeColor="text1"/>
          <w:sz w:val="24"/>
          <w:szCs w:val="24"/>
        </w:rPr>
        <w:t xml:space="preserve"> 8, no. 1 (1902): 53–69.</w:t>
      </w:r>
    </w:p>
    <w:p w14:paraId="03A3DA7F" w14:textId="78BDB22F" w:rsidR="005D5FB3" w:rsidRPr="00B448F1" w:rsidRDefault="00A16069" w:rsidP="00B448F1">
      <w:pPr>
        <w:spacing w:after="0" w:line="480" w:lineRule="auto"/>
        <w:ind w:left="720" w:hanging="720"/>
        <w:rPr>
          <w:rFonts w:ascii="Times New Roman" w:eastAsia="Times New Roman" w:hAnsi="Times New Roman" w:cs="Times New Roman"/>
          <w:color w:val="000000" w:themeColor="text1"/>
          <w:sz w:val="28"/>
          <w:szCs w:val="28"/>
        </w:rPr>
      </w:pPr>
      <w:r w:rsidRPr="006E5DEE">
        <w:rPr>
          <w:rFonts w:ascii="Times New Roman" w:hAnsi="Times New Roman" w:cs="Times New Roman"/>
          <w:color w:val="000000" w:themeColor="text1"/>
          <w:sz w:val="24"/>
          <w:szCs w:val="24"/>
        </w:rPr>
        <w:t xml:space="preserve">Friedrich, Carl Joachim. “The Rise and Decline of the Spoils Tradition.” </w:t>
      </w:r>
      <w:r w:rsidRPr="006E5DEE">
        <w:rPr>
          <w:rFonts w:ascii="Times New Roman" w:hAnsi="Times New Roman" w:cs="Times New Roman"/>
          <w:i/>
          <w:iCs/>
          <w:color w:val="000000" w:themeColor="text1"/>
          <w:sz w:val="24"/>
          <w:szCs w:val="24"/>
        </w:rPr>
        <w:t>The Annals of the American Academy of Political and Social Science</w:t>
      </w:r>
      <w:r w:rsidRPr="006E5DEE">
        <w:rPr>
          <w:rFonts w:ascii="Times New Roman" w:hAnsi="Times New Roman" w:cs="Times New Roman"/>
          <w:color w:val="000000" w:themeColor="text1"/>
          <w:sz w:val="24"/>
          <w:szCs w:val="24"/>
        </w:rPr>
        <w:t>. Vol. 189, Improved Personnel in Government Service, January 1937.</w:t>
      </w:r>
    </w:p>
    <w:p w14:paraId="24C6348E" w14:textId="20699D74" w:rsidR="005D5FB3" w:rsidRPr="006E5DEE" w:rsidRDefault="005D5FB3" w:rsidP="00B448F1">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Glymph, Thavolia. “‘I’m a Radical Black Girl’: Black Women Unionists and the Politics of Civil War History.” </w:t>
      </w:r>
      <w:r w:rsidRPr="006E5DEE">
        <w:rPr>
          <w:rFonts w:ascii="Times New Roman" w:hAnsi="Times New Roman" w:cs="Times New Roman"/>
          <w:i/>
          <w:iCs/>
          <w:color w:val="000000" w:themeColor="text1"/>
          <w:sz w:val="24"/>
        </w:rPr>
        <w:t>Journal of the Civil War Era</w:t>
      </w:r>
      <w:r w:rsidRPr="006E5DEE">
        <w:rPr>
          <w:rFonts w:ascii="Times New Roman" w:hAnsi="Times New Roman" w:cs="Times New Roman"/>
          <w:color w:val="000000" w:themeColor="text1"/>
          <w:sz w:val="24"/>
        </w:rPr>
        <w:t>, vol. 8, no. 3 (September 2018): 359-387.</w:t>
      </w:r>
    </w:p>
    <w:p w14:paraId="03B1A336" w14:textId="0ECA1FAB" w:rsidR="005D5FB3" w:rsidRPr="006E5DEE" w:rsidRDefault="00A16069" w:rsidP="00B448F1">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Goff, John S. “John Titus, Chief Justice of Arizona, 1870-1874.” </w:t>
      </w:r>
      <w:r w:rsidRPr="006E5DEE">
        <w:rPr>
          <w:rFonts w:ascii="Times New Roman" w:hAnsi="Times New Roman" w:cs="Times New Roman"/>
          <w:i/>
          <w:iCs/>
          <w:color w:val="000000" w:themeColor="text1"/>
          <w:sz w:val="24"/>
        </w:rPr>
        <w:t>Arizona and the West</w:t>
      </w:r>
      <w:r w:rsidRPr="006E5DEE">
        <w:rPr>
          <w:rFonts w:ascii="Times New Roman" w:hAnsi="Times New Roman" w:cs="Times New Roman"/>
          <w:color w:val="000000" w:themeColor="text1"/>
          <w:sz w:val="24"/>
        </w:rPr>
        <w:t>. 14.1 (Spring 1972).</w:t>
      </w:r>
    </w:p>
    <w:p w14:paraId="58400CA5" w14:textId="7B2DA342" w:rsidR="00EF62F4" w:rsidRPr="006E5DEE" w:rsidRDefault="00EF62F4" w:rsidP="00B448F1">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“Governor Alexander Robey Shepherd.” </w:t>
      </w:r>
      <w:r w:rsidRPr="006E5DEE">
        <w:rPr>
          <w:rFonts w:ascii="Times New Roman" w:hAnsi="Times New Roman" w:cs="Times New Roman"/>
          <w:i/>
          <w:iCs/>
          <w:color w:val="000000" w:themeColor="text1"/>
          <w:sz w:val="24"/>
        </w:rPr>
        <w:t xml:space="preserve">The Association of the Oldest Inhabitants of D.C. </w:t>
      </w:r>
      <w:hyperlink r:id="rId38" w:history="1">
        <w:r w:rsidRPr="006E5DEE">
          <w:rPr>
            <w:rStyle w:val="Hyperlink"/>
            <w:rFonts w:ascii="Times New Roman" w:hAnsi="Times New Roman" w:cs="Times New Roman"/>
            <w:color w:val="000000" w:themeColor="text1"/>
            <w:sz w:val="24"/>
          </w:rPr>
          <w:t>https://www.aoidc.org/governor-shepherd.html</w:t>
        </w:r>
      </w:hyperlink>
      <w:r w:rsidRPr="006E5DEE">
        <w:rPr>
          <w:rFonts w:ascii="Times New Roman" w:hAnsi="Times New Roman" w:cs="Times New Roman"/>
          <w:color w:val="000000" w:themeColor="text1"/>
          <w:sz w:val="24"/>
        </w:rPr>
        <w:t xml:space="preserve"> </w:t>
      </w:r>
    </w:p>
    <w:p w14:paraId="2E907B69" w14:textId="20DD0766" w:rsidR="005D5FB3" w:rsidRPr="006E5DEE" w:rsidRDefault="00A16069" w:rsidP="00B448F1">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Guyatt, Nicholas, “America’s Conservatory: Race, Reconstruction, and the Santo Domingo Debate,” </w:t>
      </w:r>
      <w:r w:rsidRPr="006E5DEE">
        <w:rPr>
          <w:rFonts w:ascii="Times New Roman" w:hAnsi="Times New Roman" w:cs="Times New Roman"/>
          <w:i/>
          <w:iCs/>
          <w:color w:val="000000" w:themeColor="text1"/>
          <w:sz w:val="24"/>
        </w:rPr>
        <w:t>Journal of American History</w:t>
      </w:r>
      <w:r w:rsidRPr="006E5DEE">
        <w:rPr>
          <w:rFonts w:ascii="Times New Roman" w:hAnsi="Times New Roman" w:cs="Times New Roman"/>
          <w:color w:val="000000" w:themeColor="text1"/>
          <w:sz w:val="24"/>
        </w:rPr>
        <w:t>, vol 97, March 2011</w:t>
      </w:r>
    </w:p>
    <w:p w14:paraId="329341FA" w14:textId="5A71A799" w:rsidR="005D5FB3" w:rsidRPr="006E5DEE" w:rsidRDefault="00A16069" w:rsidP="00B448F1">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Hacker, David J., “Recounting the Dead.” </w:t>
      </w:r>
      <w:r w:rsidRPr="006E5DEE">
        <w:rPr>
          <w:rFonts w:ascii="Times New Roman" w:hAnsi="Times New Roman" w:cs="Times New Roman"/>
          <w:i/>
          <w:iCs/>
          <w:color w:val="000000" w:themeColor="text1"/>
          <w:sz w:val="24"/>
        </w:rPr>
        <w:t>New York Times</w:t>
      </w:r>
      <w:r w:rsidRPr="006E5DEE">
        <w:rPr>
          <w:rFonts w:ascii="Times New Roman" w:hAnsi="Times New Roman" w:cs="Times New Roman"/>
          <w:color w:val="000000" w:themeColor="text1"/>
          <w:sz w:val="24"/>
        </w:rPr>
        <w:t>, September 20, 2011.</w:t>
      </w:r>
    </w:p>
    <w:p w14:paraId="0D433898" w14:textId="553786BA" w:rsidR="00CA4C62" w:rsidRPr="006E5DEE" w:rsidRDefault="00FB4587" w:rsidP="00B448F1">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Harlow, </w:t>
      </w:r>
      <w:r w:rsidR="00CA4C62" w:rsidRPr="006E5DEE">
        <w:rPr>
          <w:rFonts w:ascii="Times New Roman" w:hAnsi="Times New Roman" w:cs="Times New Roman"/>
          <w:color w:val="000000" w:themeColor="text1"/>
          <w:sz w:val="24"/>
        </w:rPr>
        <w:t xml:space="preserve">Luke, ed. “The Future of Reconstruction Studies.” </w:t>
      </w:r>
      <w:r w:rsidR="00CA4C62" w:rsidRPr="006E5DEE">
        <w:rPr>
          <w:rFonts w:ascii="Times New Roman" w:hAnsi="Times New Roman" w:cs="Times New Roman"/>
          <w:i/>
          <w:iCs/>
          <w:color w:val="000000" w:themeColor="text1"/>
          <w:sz w:val="24"/>
        </w:rPr>
        <w:t>Journal of the Civil War Era</w:t>
      </w:r>
      <w:r w:rsidR="00CA4C62" w:rsidRPr="006E5DEE">
        <w:rPr>
          <w:rFonts w:ascii="Times New Roman" w:hAnsi="Times New Roman" w:cs="Times New Roman"/>
          <w:color w:val="000000" w:themeColor="text1"/>
          <w:sz w:val="24"/>
        </w:rPr>
        <w:t xml:space="preserve"> 7.1 (March 2017), full forum with nine authors. </w:t>
      </w:r>
      <w:hyperlink r:id="rId39" w:history="1">
        <w:r w:rsidR="00CA4C62" w:rsidRPr="006E5DEE">
          <w:rPr>
            <w:rStyle w:val="Hyperlink"/>
            <w:rFonts w:ascii="Times New Roman" w:hAnsi="Times New Roman" w:cs="Times New Roman"/>
            <w:color w:val="000000" w:themeColor="text1"/>
            <w:sz w:val="24"/>
          </w:rPr>
          <w:t>http://www.journalofthecivilwarera.org/forum-the-future-of-reconstruction-studies/</w:t>
        </w:r>
      </w:hyperlink>
      <w:r w:rsidR="00CA4C62" w:rsidRPr="006E5DEE">
        <w:rPr>
          <w:rFonts w:ascii="Times New Roman" w:hAnsi="Times New Roman" w:cs="Times New Roman"/>
          <w:color w:val="000000" w:themeColor="text1"/>
          <w:sz w:val="24"/>
        </w:rPr>
        <w:t xml:space="preserve"> </w:t>
      </w:r>
    </w:p>
    <w:p w14:paraId="5FC5BF9E" w14:textId="4E3867DC" w:rsidR="005D5FB3" w:rsidRPr="006E5DEE" w:rsidRDefault="00A16069" w:rsidP="00B448F1">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Helmuth, Allison Suppan. “‘Chocolate City, Rest in Peace’: White Space-Claiming and the Exclusion of Black People in Washington, DC.” </w:t>
      </w:r>
      <w:r w:rsidRPr="006E5DEE">
        <w:rPr>
          <w:rFonts w:ascii="Times New Roman" w:hAnsi="Times New Roman" w:cs="Times New Roman"/>
          <w:i/>
          <w:iCs/>
          <w:color w:val="000000" w:themeColor="text1"/>
          <w:sz w:val="24"/>
        </w:rPr>
        <w:t>City &amp; Community</w:t>
      </w:r>
      <w:r w:rsidRPr="006E5DEE">
        <w:rPr>
          <w:rFonts w:ascii="Times New Roman" w:hAnsi="Times New Roman" w:cs="Times New Roman"/>
          <w:color w:val="000000" w:themeColor="text1"/>
          <w:sz w:val="24"/>
        </w:rPr>
        <w:t xml:space="preserve"> vol 18, no 3 (2019): 746-769.</w:t>
      </w:r>
    </w:p>
    <w:p w14:paraId="16432578" w14:textId="64F5380A" w:rsidR="005D5FB3" w:rsidRPr="006E5DEE" w:rsidRDefault="00A16069" w:rsidP="00B448F1">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“History of the Chain Bridge,” in Mike High, </w:t>
      </w:r>
      <w:r w:rsidRPr="006E5DEE">
        <w:rPr>
          <w:rFonts w:ascii="Times New Roman" w:hAnsi="Times New Roman" w:cs="Times New Roman"/>
          <w:i/>
          <w:iCs/>
          <w:color w:val="000000" w:themeColor="text1"/>
          <w:sz w:val="24"/>
        </w:rPr>
        <w:t>The C&amp;O Canal: Companion</w:t>
      </w:r>
      <w:r w:rsidRPr="006E5DEE">
        <w:rPr>
          <w:rFonts w:ascii="Times New Roman" w:hAnsi="Times New Roman" w:cs="Times New Roman"/>
          <w:color w:val="000000" w:themeColor="text1"/>
          <w:sz w:val="24"/>
        </w:rPr>
        <w:t>. Baltimore: Johns Hopkins University Press, 2001.</w:t>
      </w:r>
    </w:p>
    <w:p w14:paraId="2F70F396" w14:textId="2E73BEA9" w:rsidR="005D5FB3" w:rsidRPr="006E5DEE" w:rsidRDefault="00A16069" w:rsidP="00B448F1">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Holt, Michael F. "The Primacy of Party Reasserted". </w:t>
      </w:r>
      <w:r w:rsidRPr="006E5DEE">
        <w:rPr>
          <w:rFonts w:ascii="Times New Roman" w:hAnsi="Times New Roman" w:cs="Times New Roman"/>
          <w:i/>
          <w:iCs/>
          <w:color w:val="000000" w:themeColor="text1"/>
          <w:sz w:val="24"/>
        </w:rPr>
        <w:t>Journal of American History</w:t>
      </w:r>
      <w:r w:rsidRPr="006E5DEE">
        <w:rPr>
          <w:rFonts w:ascii="Times New Roman" w:hAnsi="Times New Roman" w:cs="Times New Roman"/>
          <w:color w:val="000000" w:themeColor="text1"/>
          <w:sz w:val="24"/>
        </w:rPr>
        <w:t xml:space="preserve"> 86.1 (1999): 151–157. </w:t>
      </w:r>
    </w:p>
    <w:p w14:paraId="232CB832" w14:textId="3AD999E5" w:rsidR="005D5FB3" w:rsidRPr="008162B4"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Hoogenboom, Ari. “Thomas Jenckes and Civil Service Reform.” </w:t>
      </w:r>
      <w:r w:rsidRPr="006E5DEE">
        <w:rPr>
          <w:rFonts w:ascii="Times New Roman" w:hAnsi="Times New Roman" w:cs="Times New Roman"/>
          <w:i/>
          <w:iCs/>
          <w:color w:val="000000" w:themeColor="text1"/>
          <w:sz w:val="24"/>
        </w:rPr>
        <w:t>Mississippi Valley Historical Review</w:t>
      </w:r>
      <w:r w:rsidRPr="006E5DEE">
        <w:rPr>
          <w:rFonts w:ascii="Times New Roman" w:hAnsi="Times New Roman" w:cs="Times New Roman"/>
          <w:color w:val="000000" w:themeColor="text1"/>
          <w:sz w:val="24"/>
        </w:rPr>
        <w:t>, vol 47, no 4 (March 1961): 636-658.</w:t>
      </w:r>
    </w:p>
    <w:p w14:paraId="5B62227D" w14:textId="7AC022D6" w:rsidR="005D5FB3" w:rsidRPr="006E5DEE"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eastAsia="Times New Roman" w:hAnsi="Times New Roman" w:cs="Times New Roman"/>
          <w:color w:val="000000" w:themeColor="text1"/>
          <w:sz w:val="24"/>
          <w:szCs w:val="24"/>
        </w:rPr>
        <w:t xml:space="preserve">Hopper, Jennifer Rose. "Reexamining the Nineteenth-Century Presidency and Partisan Press: The Case of President Grant and the Whiskey Ring Scandal." </w:t>
      </w:r>
      <w:r w:rsidRPr="006E5DEE">
        <w:rPr>
          <w:rFonts w:ascii="Times New Roman" w:eastAsia="Times New Roman" w:hAnsi="Times New Roman" w:cs="Times New Roman"/>
          <w:i/>
          <w:iCs/>
          <w:color w:val="000000" w:themeColor="text1"/>
          <w:sz w:val="24"/>
          <w:szCs w:val="24"/>
        </w:rPr>
        <w:t>Social Science History</w:t>
      </w:r>
      <w:r w:rsidRPr="006E5DEE">
        <w:rPr>
          <w:rFonts w:ascii="Times New Roman" w:eastAsia="Times New Roman" w:hAnsi="Times New Roman" w:cs="Times New Roman"/>
          <w:color w:val="000000" w:themeColor="text1"/>
          <w:sz w:val="24"/>
          <w:szCs w:val="24"/>
        </w:rPr>
        <w:t xml:space="preserve"> 42, no. 1 (2018): 109-133</w:t>
      </w:r>
      <w:r w:rsidR="008162B4">
        <w:rPr>
          <w:rFonts w:ascii="Times New Roman" w:eastAsia="Times New Roman" w:hAnsi="Times New Roman" w:cs="Times New Roman"/>
          <w:color w:val="000000" w:themeColor="text1"/>
          <w:sz w:val="24"/>
          <w:szCs w:val="24"/>
        </w:rPr>
        <w:t>.</w:t>
      </w:r>
    </w:p>
    <w:p w14:paraId="39F357F8" w14:textId="380570BE" w:rsidR="005D5FB3" w:rsidRPr="008162B4"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Howe, T. O. "Is the Republican Party in Its Death-Struggle?" </w:t>
      </w:r>
      <w:r w:rsidRPr="006E5DEE">
        <w:rPr>
          <w:rFonts w:ascii="Times New Roman" w:hAnsi="Times New Roman" w:cs="Times New Roman"/>
          <w:i/>
          <w:iCs/>
          <w:color w:val="000000" w:themeColor="text1"/>
          <w:sz w:val="24"/>
        </w:rPr>
        <w:t>The North American Review</w:t>
      </w:r>
      <w:r w:rsidRPr="006E5DEE">
        <w:rPr>
          <w:rFonts w:ascii="Times New Roman" w:hAnsi="Times New Roman" w:cs="Times New Roman"/>
          <w:color w:val="000000" w:themeColor="text1"/>
          <w:sz w:val="24"/>
        </w:rPr>
        <w:t xml:space="preserve"> 126, no. 262 (1878): 381-403. </w:t>
      </w:r>
      <w:hyperlink r:id="rId40" w:history="1">
        <w:r w:rsidRPr="006E5DEE">
          <w:rPr>
            <w:rFonts w:ascii="Times New Roman" w:hAnsi="Times New Roman" w:cs="Times New Roman"/>
            <w:color w:val="000000" w:themeColor="text1"/>
            <w:sz w:val="24"/>
            <w:u w:val="single"/>
          </w:rPr>
          <w:t>http://www.jstor.org.proxyau.wrlc.org/stable/25110202</w:t>
        </w:r>
      </w:hyperlink>
      <w:r w:rsidRPr="006E5DEE">
        <w:rPr>
          <w:rFonts w:ascii="Times New Roman" w:hAnsi="Times New Roman" w:cs="Times New Roman"/>
          <w:color w:val="000000" w:themeColor="text1"/>
          <w:sz w:val="24"/>
        </w:rPr>
        <w:t>.</w:t>
      </w:r>
    </w:p>
    <w:p w14:paraId="79D00037" w14:textId="43C2EC62" w:rsidR="005D5FB3" w:rsidRPr="008162B4"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eastAsia="Times New Roman" w:hAnsi="Times New Roman" w:cs="Times New Roman"/>
          <w:color w:val="000000" w:themeColor="text1"/>
          <w:sz w:val="24"/>
          <w:szCs w:val="24"/>
        </w:rPr>
        <w:t xml:space="preserve">Kaplan, Mike. “Grant’s Drinking or…The Beast That Will Not Die.” </w:t>
      </w:r>
      <w:r w:rsidRPr="006E5DEE">
        <w:rPr>
          <w:rFonts w:ascii="Times New Roman" w:eastAsia="Times New Roman" w:hAnsi="Times New Roman" w:cs="Times New Roman"/>
          <w:i/>
          <w:iCs/>
          <w:color w:val="000000" w:themeColor="text1"/>
          <w:sz w:val="24"/>
          <w:szCs w:val="24"/>
        </w:rPr>
        <w:t>Journal of Military History</w:t>
      </w:r>
      <w:r w:rsidRPr="006E5DEE">
        <w:rPr>
          <w:rFonts w:ascii="Times New Roman" w:eastAsia="Times New Roman" w:hAnsi="Times New Roman" w:cs="Times New Roman"/>
          <w:color w:val="000000" w:themeColor="text1"/>
          <w:sz w:val="24"/>
          <w:szCs w:val="24"/>
        </w:rPr>
        <w:t xml:space="preserve"> 79, no. 4 (October 2015): 1109-1119</w:t>
      </w:r>
      <w:r w:rsidR="000D0F90" w:rsidRPr="006E5DEE">
        <w:rPr>
          <w:rFonts w:ascii="Times New Roman" w:eastAsia="Times New Roman" w:hAnsi="Times New Roman" w:cs="Times New Roman"/>
          <w:color w:val="000000" w:themeColor="text1"/>
          <w:sz w:val="24"/>
          <w:szCs w:val="24"/>
        </w:rPr>
        <w:t>.</w:t>
      </w:r>
    </w:p>
    <w:p w14:paraId="14CCC305" w14:textId="3C6DDE32" w:rsidR="00C5488C" w:rsidRPr="008162B4"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eastAsia="Times New Roman" w:hAnsi="Times New Roman" w:cs="Times New Roman"/>
          <w:color w:val="000000" w:themeColor="text1"/>
          <w:sz w:val="24"/>
          <w:szCs w:val="24"/>
        </w:rPr>
        <w:t>Klitzman, Zachary. “Who’s the Boss?: Alexander Shepherd, the D.C. Territorial Government and the Boss Charge.” Master’s Dissertation, American University, 2016.</w:t>
      </w:r>
    </w:p>
    <w:p w14:paraId="260C5DAC" w14:textId="5DF1F516" w:rsidR="00C5488C" w:rsidRPr="008162B4"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eastAsia="Times New Roman" w:hAnsi="Times New Roman" w:cs="Times New Roman"/>
          <w:color w:val="000000" w:themeColor="text1"/>
          <w:sz w:val="24"/>
          <w:szCs w:val="24"/>
        </w:rPr>
        <w:t xml:space="preserve">Lane, Charles. "In the 19th Century, A Different Secret Service, but Not Without Controversy." </w:t>
      </w:r>
      <w:r w:rsidRPr="006E5DEE">
        <w:rPr>
          <w:rFonts w:ascii="Times New Roman" w:eastAsia="Times New Roman" w:hAnsi="Times New Roman" w:cs="Times New Roman"/>
          <w:i/>
          <w:iCs/>
          <w:color w:val="000000" w:themeColor="text1"/>
          <w:sz w:val="24"/>
          <w:szCs w:val="24"/>
        </w:rPr>
        <w:t>The Washington Post</w:t>
      </w:r>
      <w:r w:rsidRPr="006E5DEE">
        <w:rPr>
          <w:rFonts w:ascii="Times New Roman" w:eastAsia="Times New Roman" w:hAnsi="Times New Roman" w:cs="Times New Roman"/>
          <w:color w:val="000000" w:themeColor="text1"/>
          <w:sz w:val="24"/>
          <w:szCs w:val="24"/>
        </w:rPr>
        <w:t xml:space="preserve">. October 01, 2014. Accessed April 7, 2021. </w:t>
      </w:r>
      <w:hyperlink r:id="rId41" w:history="1">
        <w:r w:rsidRPr="006E5DEE">
          <w:rPr>
            <w:rStyle w:val="Hyperlink"/>
            <w:rFonts w:ascii="Times New Roman" w:eastAsia="Times New Roman" w:hAnsi="Times New Roman" w:cs="Times New Roman"/>
            <w:color w:val="000000" w:themeColor="text1"/>
            <w:sz w:val="24"/>
            <w:szCs w:val="24"/>
          </w:rPr>
          <w:t>https://www.washingtonpost.com/opinions/charles-lane-the-secret-service-endured-controversy-long-before-julia-pierson/2014/10/01/c34f1ec8-497c-11e4-a046-120a8a855cca_story.html</w:t>
        </w:r>
      </w:hyperlink>
      <w:r w:rsidRPr="006E5DEE">
        <w:rPr>
          <w:rFonts w:ascii="Times New Roman" w:eastAsia="Times New Roman" w:hAnsi="Times New Roman" w:cs="Times New Roman"/>
          <w:color w:val="000000" w:themeColor="text1"/>
          <w:sz w:val="24"/>
          <w:szCs w:val="24"/>
        </w:rPr>
        <w:t>.</w:t>
      </w:r>
    </w:p>
    <w:p w14:paraId="3B49C02B" w14:textId="26542D6D" w:rsidR="005D5FB3" w:rsidRPr="008162B4"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eastAsia="Times New Roman" w:hAnsi="Times New Roman" w:cs="Times New Roman"/>
          <w:color w:val="000000" w:themeColor="text1"/>
          <w:sz w:val="24"/>
          <w:szCs w:val="24"/>
        </w:rPr>
        <w:lastRenderedPageBreak/>
        <w:t xml:space="preserve">Lessoff, Alan and James J. Connoly. “From political insult to political theory: The boss, the machine, and the pluralist city.” </w:t>
      </w:r>
      <w:r w:rsidRPr="006E5DEE">
        <w:rPr>
          <w:rFonts w:ascii="Times New Roman" w:eastAsia="Times New Roman" w:hAnsi="Times New Roman" w:cs="Times New Roman"/>
          <w:i/>
          <w:iCs/>
          <w:color w:val="000000" w:themeColor="text1"/>
          <w:sz w:val="24"/>
          <w:szCs w:val="24"/>
        </w:rPr>
        <w:t>Journal of Policy History</w:t>
      </w:r>
      <w:r w:rsidRPr="006E5DEE">
        <w:rPr>
          <w:rFonts w:ascii="Times New Roman" w:eastAsia="Times New Roman" w:hAnsi="Times New Roman" w:cs="Times New Roman"/>
          <w:color w:val="000000" w:themeColor="text1"/>
          <w:sz w:val="24"/>
          <w:szCs w:val="24"/>
        </w:rPr>
        <w:t>. 25.2 (2013).</w:t>
      </w:r>
    </w:p>
    <w:p w14:paraId="0FC1EA55" w14:textId="065F7FAD" w:rsidR="005D5FB3" w:rsidRPr="006E5DEE"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eastAsia="Times New Roman" w:hAnsi="Times New Roman" w:cs="Times New Roman"/>
          <w:color w:val="000000" w:themeColor="text1"/>
          <w:sz w:val="24"/>
          <w:szCs w:val="24"/>
        </w:rPr>
        <w:t>Lingley, Charles Ramsdell</w:t>
      </w:r>
      <w:r w:rsidRPr="006E5DEE">
        <w:rPr>
          <w:rFonts w:ascii="Times New Roman" w:eastAsia="Times New Roman" w:hAnsi="Times New Roman" w:cs="Times New Roman"/>
          <w:i/>
          <w:iCs/>
          <w:color w:val="000000" w:themeColor="text1"/>
          <w:sz w:val="24"/>
          <w:szCs w:val="24"/>
        </w:rPr>
        <w:t xml:space="preserve">. </w:t>
      </w:r>
      <w:r w:rsidRPr="006E5DEE">
        <w:rPr>
          <w:rFonts w:ascii="Times New Roman" w:eastAsia="Times New Roman" w:hAnsi="Times New Roman" w:cs="Times New Roman"/>
          <w:color w:val="000000" w:themeColor="text1"/>
          <w:sz w:val="24"/>
          <w:szCs w:val="24"/>
        </w:rPr>
        <w:t xml:space="preserve">“Orville E. Babcock” in Johnson, Allen (ed.), </w:t>
      </w:r>
      <w:r w:rsidRPr="006E5DEE">
        <w:rPr>
          <w:rFonts w:ascii="Times New Roman" w:eastAsia="Times New Roman" w:hAnsi="Times New Roman" w:cs="Times New Roman"/>
          <w:i/>
          <w:iCs/>
          <w:color w:val="000000" w:themeColor="text1"/>
          <w:sz w:val="24"/>
          <w:szCs w:val="24"/>
        </w:rPr>
        <w:t xml:space="preserve">Dictionary of American Biography Vol. 1. </w:t>
      </w:r>
      <w:r w:rsidRPr="006E5DEE">
        <w:rPr>
          <w:rFonts w:ascii="Times New Roman" w:eastAsia="Times New Roman" w:hAnsi="Times New Roman" w:cs="Times New Roman"/>
          <w:color w:val="000000" w:themeColor="text1"/>
          <w:sz w:val="24"/>
          <w:szCs w:val="24"/>
        </w:rPr>
        <w:t>New York: Charles Scribner's Sons. p. 460.</w:t>
      </w:r>
    </w:p>
    <w:p w14:paraId="5B1D0628" w14:textId="18B1B17E" w:rsidR="005D5FB3" w:rsidRPr="006E5DEE"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Lynch, G. Patrick. "U.S. Presidential Elections in the Nineteenth Century: Why Culture and the Economy Both Mattered". </w:t>
      </w:r>
      <w:r w:rsidRPr="006E5DEE">
        <w:rPr>
          <w:rFonts w:ascii="Times New Roman" w:hAnsi="Times New Roman" w:cs="Times New Roman"/>
          <w:i/>
          <w:iCs/>
          <w:color w:val="000000" w:themeColor="text1"/>
          <w:sz w:val="24"/>
        </w:rPr>
        <w:t>Polity</w:t>
      </w:r>
      <w:r w:rsidRPr="006E5DEE">
        <w:rPr>
          <w:rFonts w:ascii="Times New Roman" w:hAnsi="Times New Roman" w:cs="Times New Roman"/>
          <w:color w:val="000000" w:themeColor="text1"/>
          <w:sz w:val="24"/>
        </w:rPr>
        <w:t xml:space="preserve"> 35.1 (2002).</w:t>
      </w:r>
    </w:p>
    <w:p w14:paraId="318E15E8" w14:textId="73F2F79A" w:rsidR="005D5FB3"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“Mary Lincoln.” </w:t>
      </w:r>
      <w:r w:rsidRPr="006E5DEE">
        <w:rPr>
          <w:rFonts w:ascii="Times New Roman" w:hAnsi="Times New Roman" w:cs="Times New Roman"/>
          <w:i/>
          <w:iCs/>
          <w:color w:val="000000" w:themeColor="text1"/>
          <w:sz w:val="24"/>
        </w:rPr>
        <w:t>White House Historical Association.</w:t>
      </w:r>
      <w:r w:rsidRPr="006E5DEE">
        <w:rPr>
          <w:rFonts w:ascii="Times New Roman" w:hAnsi="Times New Roman" w:cs="Times New Roman"/>
          <w:color w:val="000000" w:themeColor="text1"/>
          <w:sz w:val="24"/>
        </w:rPr>
        <w:t xml:space="preserve"> </w:t>
      </w:r>
      <w:hyperlink r:id="rId42" w:history="1">
        <w:r w:rsidRPr="006E5DEE">
          <w:rPr>
            <w:rStyle w:val="Hyperlink"/>
            <w:rFonts w:ascii="Times New Roman" w:hAnsi="Times New Roman" w:cs="Times New Roman"/>
            <w:color w:val="000000" w:themeColor="text1"/>
            <w:sz w:val="24"/>
          </w:rPr>
          <w:t>https://whitehousehistory.org/bios/mary-lincoln</w:t>
        </w:r>
      </w:hyperlink>
      <w:r w:rsidRPr="006E5DEE">
        <w:rPr>
          <w:rFonts w:ascii="Times New Roman" w:hAnsi="Times New Roman" w:cs="Times New Roman"/>
          <w:color w:val="000000" w:themeColor="text1"/>
          <w:sz w:val="24"/>
        </w:rPr>
        <w:t xml:space="preserve">. </w:t>
      </w:r>
    </w:p>
    <w:p w14:paraId="013B4F7B" w14:textId="4B11BE10" w:rsidR="005D5FB3"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szCs w:val="24"/>
        </w:rPr>
        <w:t>Matherne, Max. ""The Jacksonian Reformation: Political Patronage and Republican Identity". " PhD diss., University of Tennessee, 2019.</w:t>
      </w:r>
    </w:p>
    <w:p w14:paraId="4338FB43" w14:textId="02B5540B" w:rsidR="005D5FB3"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eastAsia="Times New Roman" w:hAnsi="Times New Roman" w:cs="Times New Roman"/>
          <w:color w:val="000000" w:themeColor="text1"/>
          <w:sz w:val="24"/>
          <w:szCs w:val="24"/>
        </w:rPr>
        <w:t xml:space="preserve">May, Robert E., “Lobbyists for Commercial Empire: Jane Cazneau, William Cazneau, and U.S. Caribbean Policy, 1846-1878.” </w:t>
      </w:r>
      <w:r w:rsidRPr="006E5DEE">
        <w:rPr>
          <w:rFonts w:ascii="Times New Roman" w:eastAsia="Times New Roman" w:hAnsi="Times New Roman" w:cs="Times New Roman"/>
          <w:i/>
          <w:iCs/>
          <w:color w:val="000000" w:themeColor="text1"/>
          <w:sz w:val="24"/>
          <w:szCs w:val="24"/>
        </w:rPr>
        <w:t>Pacific Historical Review</w:t>
      </w:r>
      <w:r w:rsidRPr="006E5DEE">
        <w:rPr>
          <w:rFonts w:ascii="Times New Roman" w:eastAsia="Times New Roman" w:hAnsi="Times New Roman" w:cs="Times New Roman"/>
          <w:color w:val="000000" w:themeColor="text1"/>
          <w:sz w:val="24"/>
          <w:szCs w:val="24"/>
        </w:rPr>
        <w:t xml:space="preserve"> 48 (1979): 383-412.</w:t>
      </w:r>
    </w:p>
    <w:p w14:paraId="75E9C1A6" w14:textId="0165D083" w:rsidR="005D5FB3"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eastAsia="Times New Roman" w:hAnsi="Times New Roman" w:cs="Times New Roman"/>
          <w:i/>
          <w:iCs/>
          <w:color w:val="000000" w:themeColor="text1"/>
          <w:sz w:val="24"/>
          <w:szCs w:val="24"/>
        </w:rPr>
        <w:t>Merriam-Webster.com Dictionary</w:t>
      </w:r>
      <w:r w:rsidRPr="006E5DEE">
        <w:rPr>
          <w:rFonts w:ascii="Times New Roman" w:eastAsia="Times New Roman" w:hAnsi="Times New Roman" w:cs="Times New Roman"/>
          <w:color w:val="000000" w:themeColor="text1"/>
          <w:sz w:val="24"/>
          <w:szCs w:val="24"/>
        </w:rPr>
        <w:t xml:space="preserve">, s.v. “politico,” accessed June 14, 2023, </w:t>
      </w:r>
      <w:hyperlink r:id="rId43" w:history="1">
        <w:r w:rsidRPr="006E5DEE">
          <w:rPr>
            <w:rStyle w:val="Hyperlink"/>
            <w:rFonts w:ascii="Times New Roman" w:eastAsia="Times New Roman" w:hAnsi="Times New Roman" w:cs="Times New Roman"/>
            <w:color w:val="000000" w:themeColor="text1"/>
            <w:sz w:val="24"/>
            <w:szCs w:val="24"/>
          </w:rPr>
          <w:t>https://www.merriam-webster.com/dictionary/politico</w:t>
        </w:r>
      </w:hyperlink>
      <w:r w:rsidRPr="006E5DEE">
        <w:rPr>
          <w:rFonts w:ascii="Times New Roman" w:eastAsia="Times New Roman" w:hAnsi="Times New Roman" w:cs="Times New Roman"/>
          <w:color w:val="000000" w:themeColor="text1"/>
          <w:sz w:val="24"/>
          <w:szCs w:val="24"/>
        </w:rPr>
        <w:t xml:space="preserve">. </w:t>
      </w:r>
    </w:p>
    <w:p w14:paraId="3B7C14C1" w14:textId="39FCF301" w:rsidR="005D5FB3" w:rsidRPr="006E5DEE" w:rsidRDefault="00A16069" w:rsidP="008162B4">
      <w:pPr>
        <w:spacing w:after="0"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Minta, Anna. “Planning a National Pantheon: Monuments in Washington, D.C. and the Creation of Symbolic Space.” In Klaus Benesch, Jeffrey Meilke, David E. Nye, &amp; Miles Orvell, eds. </w:t>
      </w:r>
      <w:r w:rsidRPr="006E5DEE">
        <w:rPr>
          <w:rFonts w:ascii="Times New Roman" w:eastAsia="Times New Roman" w:hAnsi="Times New Roman" w:cs="Times New Roman"/>
          <w:i/>
          <w:iCs/>
          <w:color w:val="000000" w:themeColor="text1"/>
          <w:sz w:val="24"/>
          <w:szCs w:val="24"/>
        </w:rPr>
        <w:t>Public Space and the Ideology of Place in American Culture</w:t>
      </w:r>
      <w:r w:rsidRPr="006E5DEE">
        <w:rPr>
          <w:rFonts w:ascii="Times New Roman" w:eastAsia="Times New Roman" w:hAnsi="Times New Roman" w:cs="Times New Roman"/>
          <w:color w:val="000000" w:themeColor="text1"/>
          <w:sz w:val="24"/>
          <w:szCs w:val="24"/>
        </w:rPr>
        <w:t>. New York: Rodolpi B. V., 2009. 21-50.</w:t>
      </w:r>
    </w:p>
    <w:p w14:paraId="664798C5" w14:textId="38034DCA" w:rsidR="005D5FB3" w:rsidRPr="006E5DEE" w:rsidRDefault="00A16069" w:rsidP="008162B4">
      <w:pPr>
        <w:spacing w:after="0"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Moore, James Tice. “Origins of the Solid South: Redeemer Democrats and the Popular Will, 1870-1900.” </w:t>
      </w:r>
      <w:r w:rsidRPr="006E5DEE">
        <w:rPr>
          <w:rFonts w:ascii="Times New Roman" w:eastAsia="Times New Roman" w:hAnsi="Times New Roman" w:cs="Times New Roman"/>
          <w:i/>
          <w:iCs/>
          <w:color w:val="000000" w:themeColor="text1"/>
          <w:sz w:val="24"/>
          <w:szCs w:val="24"/>
        </w:rPr>
        <w:t>Southern Studies</w:t>
      </w:r>
      <w:r w:rsidRPr="006E5DEE">
        <w:rPr>
          <w:rFonts w:ascii="Times New Roman" w:eastAsia="Times New Roman" w:hAnsi="Times New Roman" w:cs="Times New Roman"/>
          <w:color w:val="000000" w:themeColor="text1"/>
          <w:sz w:val="24"/>
          <w:szCs w:val="24"/>
        </w:rPr>
        <w:t xml:space="preserve"> 22.3 (1983): 285-301.</w:t>
      </w:r>
    </w:p>
    <w:p w14:paraId="57DAC1FE" w14:textId="71CC22B6" w:rsidR="005D5FB3"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Murphey, Hermon King. “The Northern Railroads and the Civil War,” </w:t>
      </w:r>
      <w:r w:rsidRPr="006E5DEE">
        <w:rPr>
          <w:rFonts w:ascii="Times New Roman" w:eastAsia="Times New Roman" w:hAnsi="Times New Roman" w:cs="Times New Roman"/>
          <w:i/>
          <w:iCs/>
          <w:color w:val="000000" w:themeColor="text1"/>
          <w:sz w:val="24"/>
          <w:szCs w:val="24"/>
        </w:rPr>
        <w:t>The Mississippi Valley Historical Review</w:t>
      </w:r>
      <w:r w:rsidRPr="006E5DEE">
        <w:rPr>
          <w:rFonts w:ascii="Times New Roman" w:eastAsia="Times New Roman" w:hAnsi="Times New Roman" w:cs="Times New Roman"/>
          <w:color w:val="000000" w:themeColor="text1"/>
          <w:sz w:val="24"/>
          <w:szCs w:val="24"/>
        </w:rPr>
        <w:t>, 5, No. 3 (December 1918), 324-338.</w:t>
      </w:r>
    </w:p>
    <w:p w14:paraId="05B01388" w14:textId="3F5C8246" w:rsidR="005D5FB3"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lastRenderedPageBreak/>
        <w:t xml:space="preserve">Novak, William J. "The Myth of the "Weak" American State." </w:t>
      </w:r>
      <w:r w:rsidRPr="006E5DEE">
        <w:rPr>
          <w:rFonts w:ascii="Times New Roman" w:eastAsia="Times New Roman" w:hAnsi="Times New Roman" w:cs="Times New Roman"/>
          <w:i/>
          <w:iCs/>
          <w:color w:val="000000" w:themeColor="text1"/>
          <w:sz w:val="24"/>
          <w:szCs w:val="24"/>
        </w:rPr>
        <w:t>The American Historical Review</w:t>
      </w:r>
      <w:r w:rsidRPr="006E5DEE">
        <w:rPr>
          <w:rFonts w:ascii="Times New Roman" w:eastAsia="Times New Roman" w:hAnsi="Times New Roman" w:cs="Times New Roman"/>
          <w:color w:val="000000" w:themeColor="text1"/>
          <w:sz w:val="24"/>
          <w:szCs w:val="24"/>
        </w:rPr>
        <w:t xml:space="preserve"> 113, no. 3 (2008): 752-772.</w:t>
      </w:r>
      <w:r w:rsidR="000D0F90" w:rsidRPr="006E5DEE">
        <w:rPr>
          <w:rFonts w:ascii="Times New Roman" w:eastAsia="Times New Roman" w:hAnsi="Times New Roman" w:cs="Times New Roman"/>
          <w:color w:val="000000" w:themeColor="text1"/>
          <w:sz w:val="24"/>
          <w:szCs w:val="24"/>
        </w:rPr>
        <w:t xml:space="preserve"> </w:t>
      </w:r>
    </w:p>
    <w:p w14:paraId="7F1AF9AB" w14:textId="5AFE8F78" w:rsidR="005D5FB3" w:rsidRPr="006E5DEE" w:rsidRDefault="00A16069" w:rsidP="008162B4">
      <w:pPr>
        <w:spacing w:after="0" w:line="480" w:lineRule="auto"/>
        <w:ind w:left="720" w:hanging="720"/>
        <w:rPr>
          <w:rFonts w:ascii="Times New Roman" w:hAnsi="Times New Roman" w:cs="Times New Roman"/>
          <w:color w:val="000000" w:themeColor="text1"/>
          <w:sz w:val="24"/>
          <w:szCs w:val="24"/>
        </w:rPr>
      </w:pPr>
      <w:r w:rsidRPr="006E5DEE">
        <w:rPr>
          <w:rFonts w:ascii="Times New Roman" w:hAnsi="Times New Roman" w:cs="Times New Roman"/>
          <w:color w:val="000000" w:themeColor="text1"/>
          <w:sz w:val="24"/>
          <w:szCs w:val="24"/>
        </w:rPr>
        <w:t xml:space="preserve">Peabody, Bruce G. and Scott E. Gant, “The Twice and Future President: Constitutional Interstices and the Twenty-Second Amendment.” </w:t>
      </w:r>
      <w:r w:rsidRPr="006E5DEE">
        <w:rPr>
          <w:rFonts w:ascii="Times New Roman" w:hAnsi="Times New Roman" w:cs="Times New Roman"/>
          <w:i/>
          <w:iCs/>
          <w:color w:val="000000" w:themeColor="text1"/>
          <w:sz w:val="24"/>
          <w:szCs w:val="24"/>
        </w:rPr>
        <w:t>Minnesota Law Review</w:t>
      </w:r>
      <w:r w:rsidRPr="006E5DEE">
        <w:rPr>
          <w:rFonts w:ascii="Times New Roman" w:hAnsi="Times New Roman" w:cs="Times New Roman"/>
          <w:color w:val="000000" w:themeColor="text1"/>
          <w:sz w:val="24"/>
          <w:szCs w:val="24"/>
        </w:rPr>
        <w:t xml:space="preserve"> (1999).</w:t>
      </w:r>
    </w:p>
    <w:p w14:paraId="32CC8CEA" w14:textId="0E6259E1" w:rsidR="005D5FB3" w:rsidRPr="006E5DEE" w:rsidRDefault="00A16069" w:rsidP="0074689B">
      <w:pPr>
        <w:spacing w:after="0" w:line="480" w:lineRule="auto"/>
        <w:ind w:left="720" w:hanging="720"/>
        <w:rPr>
          <w:rFonts w:ascii="Times New Roman" w:hAnsi="Times New Roman" w:cs="Times New Roman"/>
          <w:color w:val="000000" w:themeColor="text1"/>
          <w:sz w:val="24"/>
          <w:szCs w:val="24"/>
        </w:rPr>
      </w:pPr>
      <w:r w:rsidRPr="006E5DEE">
        <w:rPr>
          <w:rFonts w:ascii="Times New Roman" w:hAnsi="Times New Roman" w:cs="Times New Roman"/>
          <w:color w:val="000000" w:themeColor="text1"/>
          <w:sz w:val="24"/>
          <w:szCs w:val="24"/>
        </w:rPr>
        <w:t xml:space="preserve">“Politico.” Encyclopædia Britannica. Accessed June 14, 2023. </w:t>
      </w:r>
      <w:hyperlink r:id="rId44" w:history="1">
        <w:r w:rsidRPr="006E5DEE">
          <w:rPr>
            <w:rStyle w:val="Hyperlink"/>
            <w:rFonts w:ascii="Times New Roman" w:eastAsiaTheme="majorEastAsia" w:hAnsi="Times New Roman" w:cs="Times New Roman"/>
            <w:color w:val="000000" w:themeColor="text1"/>
            <w:sz w:val="24"/>
            <w:szCs w:val="24"/>
          </w:rPr>
          <w:t>https://www.britannica.com/dictionary/politico</w:t>
        </w:r>
      </w:hyperlink>
      <w:r w:rsidRPr="006E5DEE">
        <w:rPr>
          <w:rFonts w:ascii="Times New Roman" w:hAnsi="Times New Roman" w:cs="Times New Roman"/>
          <w:color w:val="000000" w:themeColor="text1"/>
          <w:sz w:val="24"/>
          <w:szCs w:val="24"/>
        </w:rPr>
        <w:t xml:space="preserve">.  </w:t>
      </w:r>
      <w:bookmarkStart w:id="115" w:name="_Hlk70690238"/>
    </w:p>
    <w:p w14:paraId="71C02A94" w14:textId="72D2D8D7" w:rsidR="005D5FB3" w:rsidRPr="006E5DEE" w:rsidRDefault="00A16069" w:rsidP="008162B4">
      <w:pPr>
        <w:spacing w:after="0" w:line="480" w:lineRule="auto"/>
        <w:ind w:left="720" w:hanging="720"/>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"Presidential Historians Survey 2017." C-SPAN. 2021. Accessed July 20, 2022. </w:t>
      </w:r>
      <w:hyperlink r:id="rId45" w:history="1">
        <w:r w:rsidRPr="006E5DEE">
          <w:rPr>
            <w:rStyle w:val="Hyperlink"/>
            <w:rFonts w:ascii="Times New Roman" w:hAnsi="Times New Roman" w:cs="Times New Roman"/>
            <w:color w:val="000000" w:themeColor="text1"/>
            <w:sz w:val="24"/>
          </w:rPr>
          <w:t>https://www.c-span.org/presidentsurvey2021/?page=overall</w:t>
        </w:r>
      </w:hyperlink>
      <w:r w:rsidRPr="006E5DEE">
        <w:rPr>
          <w:rFonts w:ascii="Times New Roman" w:hAnsi="Times New Roman" w:cs="Times New Roman"/>
          <w:color w:val="000000" w:themeColor="text1"/>
          <w:sz w:val="24"/>
        </w:rPr>
        <w:t xml:space="preserve"> </w:t>
      </w:r>
    </w:p>
    <w:p w14:paraId="30054A05" w14:textId="1DD59FAD" w:rsidR="00C5488C"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Rives, Timothy. "Grant, Babcock, and the Whiskey Ring." </w:t>
      </w:r>
      <w:r w:rsidRPr="006E5DEE">
        <w:rPr>
          <w:rFonts w:ascii="Times New Roman" w:hAnsi="Times New Roman" w:cs="Times New Roman"/>
          <w:i/>
          <w:iCs/>
          <w:color w:val="000000" w:themeColor="text1"/>
          <w:sz w:val="24"/>
        </w:rPr>
        <w:t>Prologue Magazine</w:t>
      </w:r>
      <w:r w:rsidRPr="006E5DEE">
        <w:rPr>
          <w:rFonts w:ascii="Times New Roman" w:hAnsi="Times New Roman" w:cs="Times New Roman"/>
          <w:color w:val="000000" w:themeColor="text1"/>
          <w:sz w:val="24"/>
        </w:rPr>
        <w:t xml:space="preserve"> 32, no. 3 (Fall 2000)</w:t>
      </w:r>
      <w:bookmarkEnd w:id="115"/>
      <w:r w:rsidRPr="006E5DEE">
        <w:rPr>
          <w:rFonts w:ascii="Times New Roman" w:hAnsi="Times New Roman" w:cs="Times New Roman"/>
          <w:color w:val="000000" w:themeColor="text1"/>
          <w:sz w:val="24"/>
        </w:rPr>
        <w:t xml:space="preserve">. </w:t>
      </w:r>
      <w:hyperlink r:id="rId46" w:history="1">
        <w:r w:rsidRPr="006E5DEE">
          <w:rPr>
            <w:rStyle w:val="Hyperlink"/>
            <w:rFonts w:ascii="Times New Roman" w:hAnsi="Times New Roman" w:cs="Times New Roman"/>
            <w:color w:val="000000" w:themeColor="text1"/>
            <w:sz w:val="24"/>
          </w:rPr>
          <w:t>https://www.archives.gov/publications/prologue/2000/fall/whiskey-ring-1.html</w:t>
        </w:r>
      </w:hyperlink>
      <w:r w:rsidRPr="006E5DEE">
        <w:rPr>
          <w:rFonts w:ascii="Times New Roman" w:hAnsi="Times New Roman" w:cs="Times New Roman"/>
          <w:color w:val="000000" w:themeColor="text1"/>
          <w:sz w:val="24"/>
        </w:rPr>
        <w:t xml:space="preserve">. </w:t>
      </w:r>
    </w:p>
    <w:p w14:paraId="34C3CC41" w14:textId="275B7528" w:rsidR="005D5FB3"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Schlesinger, Arthur M. "Our Presidents: A Rating by 75 Historians". </w:t>
      </w:r>
      <w:r w:rsidRPr="006E5DEE">
        <w:rPr>
          <w:rFonts w:ascii="Times New Roman" w:eastAsia="Times New Roman" w:hAnsi="Times New Roman" w:cs="Times New Roman"/>
          <w:i/>
          <w:iCs/>
          <w:color w:val="000000" w:themeColor="text1"/>
          <w:sz w:val="24"/>
          <w:szCs w:val="24"/>
        </w:rPr>
        <w:t>The New York Times</w:t>
      </w:r>
      <w:r w:rsidRPr="006E5DEE">
        <w:rPr>
          <w:rFonts w:ascii="Times New Roman" w:eastAsia="Times New Roman" w:hAnsi="Times New Roman" w:cs="Times New Roman"/>
          <w:color w:val="000000" w:themeColor="text1"/>
          <w:sz w:val="24"/>
          <w:szCs w:val="24"/>
        </w:rPr>
        <w:t>. July 1962. pp. 12–13, 40–41, 43.</w:t>
      </w:r>
    </w:p>
    <w:p w14:paraId="7C36B942" w14:textId="7AAA5A0B" w:rsidR="005D5FB3" w:rsidRPr="006E5DEE" w:rsidRDefault="00A16069" w:rsidP="008162B4">
      <w:pPr>
        <w:pStyle w:val="NormalWeb"/>
        <w:spacing w:before="0" w:beforeAutospacing="0" w:after="0" w:afterAutospacing="0" w:line="480" w:lineRule="auto"/>
        <w:ind w:left="720" w:hanging="720"/>
        <w:rPr>
          <w:color w:val="000000" w:themeColor="text1"/>
        </w:rPr>
      </w:pPr>
      <w:r w:rsidRPr="006E5DEE">
        <w:rPr>
          <w:color w:val="000000" w:themeColor="text1"/>
        </w:rPr>
        <w:t xml:space="preserve">Servis, Joe. “The Surrender Meeting.” National Parks Service, June 14, 2022. </w:t>
      </w:r>
      <w:hyperlink r:id="rId47" w:history="1">
        <w:r w:rsidRPr="006E5DEE">
          <w:rPr>
            <w:rStyle w:val="Hyperlink"/>
            <w:rFonts w:eastAsiaTheme="majorEastAsia"/>
            <w:color w:val="000000" w:themeColor="text1"/>
          </w:rPr>
          <w:t>https://www.nps.gov/apco/learn/historyculture/the-surrender-meeting.htm</w:t>
        </w:r>
      </w:hyperlink>
      <w:r w:rsidRPr="006E5DEE">
        <w:rPr>
          <w:color w:val="000000" w:themeColor="text1"/>
        </w:rPr>
        <w:t xml:space="preserve"> </w:t>
      </w:r>
    </w:p>
    <w:p w14:paraId="4B0E1F60" w14:textId="744D4204" w:rsidR="005D5FB3" w:rsidRPr="006E5DEE"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Shelden, Rachel A. "The Politics of Continuity and Change in the Long Civil War Era". </w:t>
      </w:r>
      <w:r w:rsidRPr="006E5DEE">
        <w:rPr>
          <w:rFonts w:ascii="Times New Roman" w:hAnsi="Times New Roman" w:cs="Times New Roman"/>
          <w:i/>
          <w:iCs/>
          <w:color w:val="000000" w:themeColor="text1"/>
          <w:sz w:val="24"/>
        </w:rPr>
        <w:t>Civil War History</w:t>
      </w:r>
      <w:r w:rsidRPr="006E5DEE">
        <w:rPr>
          <w:rFonts w:ascii="Times New Roman" w:hAnsi="Times New Roman" w:cs="Times New Roman"/>
          <w:color w:val="000000" w:themeColor="text1"/>
          <w:sz w:val="24"/>
        </w:rPr>
        <w:t xml:space="preserve"> 65.4 (2019): 319–341.</w:t>
      </w:r>
    </w:p>
    <w:p w14:paraId="7947D429" w14:textId="52EA948E" w:rsidR="005D5FB3" w:rsidRPr="006E5DEE"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Simkins, Francis B. “New Viewpoints of Southern Reconstruction,” </w:t>
      </w:r>
      <w:r w:rsidRPr="006E5DEE">
        <w:rPr>
          <w:rFonts w:ascii="Times New Roman" w:hAnsi="Times New Roman" w:cs="Times New Roman"/>
          <w:i/>
          <w:iCs/>
          <w:color w:val="000000" w:themeColor="text1"/>
          <w:sz w:val="24"/>
        </w:rPr>
        <w:t>Journal of Southern History</w:t>
      </w:r>
      <w:r w:rsidRPr="006E5DEE">
        <w:rPr>
          <w:rFonts w:ascii="Times New Roman" w:hAnsi="Times New Roman" w:cs="Times New Roman"/>
          <w:color w:val="000000" w:themeColor="text1"/>
          <w:sz w:val="24"/>
        </w:rPr>
        <w:t xml:space="preserve"> 5 February 1939: 49-61.</w:t>
      </w:r>
    </w:p>
    <w:p w14:paraId="342A8450" w14:textId="0C51E43B" w:rsidR="005D5FB3" w:rsidRPr="006E5DEE"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“The Ten Best Secretaries of State…” </w:t>
      </w:r>
      <w:r w:rsidRPr="008162B4">
        <w:rPr>
          <w:rFonts w:ascii="Times New Roman" w:hAnsi="Times New Roman" w:cs="Times New Roman"/>
          <w:i/>
          <w:iCs/>
          <w:color w:val="000000" w:themeColor="text1"/>
          <w:sz w:val="24"/>
        </w:rPr>
        <w:t>American Heritage</w:t>
      </w:r>
      <w:r w:rsidRPr="006E5DEE">
        <w:rPr>
          <w:rFonts w:ascii="Times New Roman" w:hAnsi="Times New Roman" w:cs="Times New Roman"/>
          <w:color w:val="000000" w:themeColor="text1"/>
          <w:sz w:val="24"/>
        </w:rPr>
        <w:t>, 33v1. December 1981.</w:t>
      </w:r>
    </w:p>
    <w:p w14:paraId="78F6E444" w14:textId="3CAD5A57" w:rsidR="005D5FB3"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“There Was Something Fishy Going on There… National Mall and Memorial Park, Washington Monument.” </w:t>
      </w:r>
      <w:r w:rsidRPr="006E5DEE">
        <w:rPr>
          <w:rFonts w:ascii="Times New Roman" w:hAnsi="Times New Roman" w:cs="Times New Roman"/>
          <w:i/>
          <w:iCs/>
          <w:color w:val="000000" w:themeColor="text1"/>
          <w:sz w:val="24"/>
        </w:rPr>
        <w:t>National Parks Service</w:t>
      </w:r>
      <w:r w:rsidRPr="006E5DEE">
        <w:rPr>
          <w:rFonts w:ascii="Times New Roman" w:hAnsi="Times New Roman" w:cs="Times New Roman"/>
          <w:color w:val="000000" w:themeColor="text1"/>
          <w:sz w:val="24"/>
        </w:rPr>
        <w:t xml:space="preserve">. </w:t>
      </w:r>
      <w:hyperlink r:id="rId48" w:history="1">
        <w:r w:rsidRPr="006E5DEE">
          <w:rPr>
            <w:rStyle w:val="Hyperlink"/>
            <w:rFonts w:ascii="Times New Roman" w:hAnsi="Times New Roman" w:cs="Times New Roman"/>
            <w:color w:val="000000" w:themeColor="text1"/>
            <w:sz w:val="24"/>
          </w:rPr>
          <w:t>https://www.nps.gov/articles/000/babcocklake.htm</w:t>
        </w:r>
      </w:hyperlink>
      <w:r w:rsidRPr="006E5DEE">
        <w:rPr>
          <w:rFonts w:ascii="Times New Roman" w:hAnsi="Times New Roman" w:cs="Times New Roman"/>
          <w:color w:val="000000" w:themeColor="text1"/>
          <w:sz w:val="24"/>
        </w:rPr>
        <w:t xml:space="preserve">. </w:t>
      </w:r>
    </w:p>
    <w:p w14:paraId="3F78EEFF" w14:textId="616F8A34" w:rsidR="005D5FB3" w:rsidRPr="008162B4" w:rsidRDefault="00A16069" w:rsidP="008162B4">
      <w:pPr>
        <w:spacing w:after="0"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Thomas, Christopher A. “The Lincoln Memorial and Its Architect, Henry Bacon.” Ph.D. diss., Yale University, 1990.</w:t>
      </w:r>
    </w:p>
    <w:p w14:paraId="41BA5C39" w14:textId="0F15DB7D" w:rsidR="005D5FB3" w:rsidRPr="006E5DEE"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Trelease, Allen W. “Who Were the Scalawags?” </w:t>
      </w:r>
      <w:r w:rsidRPr="006E5DEE">
        <w:rPr>
          <w:rFonts w:ascii="Times New Roman" w:hAnsi="Times New Roman" w:cs="Times New Roman"/>
          <w:i/>
          <w:iCs/>
          <w:color w:val="000000" w:themeColor="text1"/>
          <w:sz w:val="24"/>
        </w:rPr>
        <w:t>Journal of Southern History</w:t>
      </w:r>
      <w:r w:rsidRPr="006E5DEE">
        <w:rPr>
          <w:rFonts w:ascii="Times New Roman" w:hAnsi="Times New Roman" w:cs="Times New Roman"/>
          <w:color w:val="000000" w:themeColor="text1"/>
          <w:sz w:val="24"/>
        </w:rPr>
        <w:t xml:space="preserve"> 29, November 1963: 445-468. </w:t>
      </w:r>
    </w:p>
    <w:p w14:paraId="7536AE6F" w14:textId="549201C8" w:rsidR="005D5FB3" w:rsidRPr="008162B4"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Voss-Hubbard, Mark. "The 'Third Party Tradition' Reconsidered: Third Parties and American Public Life, 1830–1900". </w:t>
      </w:r>
      <w:r w:rsidRPr="006E5DEE">
        <w:rPr>
          <w:rFonts w:ascii="Times New Roman" w:hAnsi="Times New Roman" w:cs="Times New Roman"/>
          <w:i/>
          <w:iCs/>
          <w:color w:val="000000" w:themeColor="text1"/>
          <w:sz w:val="24"/>
        </w:rPr>
        <w:t>Journal of American History</w:t>
      </w:r>
      <w:r w:rsidRPr="006E5DEE">
        <w:rPr>
          <w:rFonts w:ascii="Times New Roman" w:hAnsi="Times New Roman" w:cs="Times New Roman"/>
          <w:color w:val="000000" w:themeColor="text1"/>
          <w:sz w:val="24"/>
        </w:rPr>
        <w:t xml:space="preserve"> 86.1 (1999). 121–150. </w:t>
      </w:r>
    </w:p>
    <w:p w14:paraId="0F30D497" w14:textId="005B386A" w:rsidR="005D5FB3" w:rsidRPr="006E5DEE" w:rsidRDefault="00A16069" w:rsidP="008162B4">
      <w:pPr>
        <w:spacing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“The Washington Conspiracy Case.” </w:t>
      </w:r>
      <w:r w:rsidRPr="006E5DEE">
        <w:rPr>
          <w:rFonts w:ascii="Times New Roman" w:eastAsia="Times New Roman" w:hAnsi="Times New Roman" w:cs="Times New Roman"/>
          <w:i/>
          <w:iCs/>
          <w:color w:val="000000" w:themeColor="text1"/>
          <w:sz w:val="24"/>
          <w:szCs w:val="24"/>
        </w:rPr>
        <w:t>American Law Review, 1874-1875</w:t>
      </w:r>
      <w:r w:rsidRPr="006E5DEE">
        <w:rPr>
          <w:rFonts w:ascii="Times New Roman" w:eastAsia="Times New Roman" w:hAnsi="Times New Roman" w:cs="Times New Roman"/>
          <w:color w:val="000000" w:themeColor="text1"/>
          <w:sz w:val="24"/>
          <w:szCs w:val="24"/>
        </w:rPr>
        <w:t xml:space="preserve"> 9, no. 1 (October 1874): 351-359.</w:t>
      </w:r>
    </w:p>
    <w:p w14:paraId="492E3276" w14:textId="0C52B675" w:rsidR="008162B4" w:rsidRDefault="00A16069" w:rsidP="008162B4">
      <w:pPr>
        <w:spacing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Woodward, C. Vann. “The Lowest Ebb.” </w:t>
      </w:r>
      <w:r w:rsidRPr="006E5DEE">
        <w:rPr>
          <w:rFonts w:ascii="Times New Roman" w:eastAsia="Times New Roman" w:hAnsi="Times New Roman" w:cs="Times New Roman"/>
          <w:i/>
          <w:iCs/>
          <w:color w:val="000000" w:themeColor="text1"/>
          <w:sz w:val="24"/>
          <w:szCs w:val="24"/>
        </w:rPr>
        <w:t>American Heritage</w:t>
      </w:r>
      <w:r w:rsidRPr="006E5DEE">
        <w:rPr>
          <w:rFonts w:ascii="Times New Roman" w:eastAsia="Times New Roman" w:hAnsi="Times New Roman" w:cs="Times New Roman"/>
          <w:color w:val="000000" w:themeColor="text1"/>
          <w:sz w:val="24"/>
          <w:szCs w:val="24"/>
        </w:rPr>
        <w:t xml:space="preserve"> vol 8, issue 3 (April 1957)</w:t>
      </w:r>
    </w:p>
    <w:p w14:paraId="787E2C84" w14:textId="77777777" w:rsidR="008162B4" w:rsidRPr="006E5DEE" w:rsidRDefault="008162B4" w:rsidP="008162B4">
      <w:pPr>
        <w:spacing w:line="480" w:lineRule="auto"/>
        <w:ind w:left="720" w:hanging="720"/>
        <w:contextualSpacing/>
        <w:rPr>
          <w:rFonts w:ascii="Times New Roman" w:eastAsia="Times New Roman" w:hAnsi="Times New Roman" w:cs="Times New Roman"/>
          <w:color w:val="000000" w:themeColor="text1"/>
          <w:sz w:val="24"/>
          <w:szCs w:val="24"/>
        </w:rPr>
      </w:pPr>
    </w:p>
    <w:p w14:paraId="371CBD07" w14:textId="0EFA6A40" w:rsidR="000D0F90" w:rsidRPr="006E5DEE" w:rsidRDefault="000D0F90" w:rsidP="0074689B">
      <w:pPr>
        <w:spacing w:after="100" w:afterAutospacing="1" w:line="480" w:lineRule="auto"/>
        <w:rPr>
          <w:rFonts w:ascii="Times New Roman" w:eastAsia="Times New Roman" w:hAnsi="Times New Roman" w:cs="Times New Roman"/>
          <w:color w:val="000000" w:themeColor="text1"/>
          <w:sz w:val="24"/>
          <w:szCs w:val="24"/>
          <w:u w:val="single"/>
        </w:rPr>
      </w:pPr>
      <w:r w:rsidRPr="006E5DEE">
        <w:rPr>
          <w:rFonts w:ascii="Times New Roman" w:eastAsia="Times New Roman" w:hAnsi="Times New Roman" w:cs="Times New Roman"/>
          <w:color w:val="000000" w:themeColor="text1"/>
          <w:sz w:val="24"/>
          <w:szCs w:val="24"/>
          <w:u w:val="single"/>
        </w:rPr>
        <w:t>Primary Sources- Manuscript Collections</w:t>
      </w:r>
    </w:p>
    <w:p w14:paraId="648C9141" w14:textId="77777777" w:rsidR="000D0F90" w:rsidRPr="006E5DEE" w:rsidRDefault="000D0F90" w:rsidP="0074689B">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Alexander Robey Shepherd Papers, Kiplinger Research Library, DC History Center</w:t>
      </w:r>
    </w:p>
    <w:p w14:paraId="7FAD5109" w14:textId="7BFFB783" w:rsidR="000D0F90" w:rsidRPr="006E5DEE" w:rsidRDefault="000D0F90" w:rsidP="0074689B">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Alexander Robey Shepherd, Library of Congress</w:t>
      </w:r>
    </w:p>
    <w:p w14:paraId="370AD216" w14:textId="7C772D5F" w:rsidR="000D0F90" w:rsidRPr="006E5DEE" w:rsidRDefault="000D0F90" w:rsidP="0074689B">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Benjamin Helm Bristow Papers, Library of Congress</w:t>
      </w:r>
    </w:p>
    <w:p w14:paraId="352A6DBC" w14:textId="22F481E5" w:rsidR="000D0F90" w:rsidRPr="006E5DEE" w:rsidRDefault="005D5FB3" w:rsidP="0074689B">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C</w:t>
      </w:r>
      <w:r w:rsidR="000D0F90" w:rsidRPr="006E5DEE">
        <w:rPr>
          <w:rFonts w:ascii="Times New Roman" w:eastAsia="Times New Roman" w:hAnsi="Times New Roman" w:cs="Times New Roman"/>
          <w:color w:val="000000" w:themeColor="text1"/>
          <w:sz w:val="24"/>
          <w:szCs w:val="24"/>
        </w:rPr>
        <w:t>arl Schurz Papers, Library of Congress</w:t>
      </w:r>
    </w:p>
    <w:p w14:paraId="37C093AC" w14:textId="50718B81" w:rsidR="000D0F90" w:rsidRPr="006E5DEE" w:rsidRDefault="000D0F90" w:rsidP="0074689B">
      <w:pPr>
        <w:spacing w:after="0" w:line="480" w:lineRule="auto"/>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Charles Sumner Papers, Princeton University Library</w:t>
      </w:r>
    </w:p>
    <w:p w14:paraId="71EE072C" w14:textId="6FAAF5F7" w:rsidR="000D0F90" w:rsidRPr="006E5DEE" w:rsidRDefault="000D0F90"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Diplomatic Instructions, Special Missions, American Hemisphere, Records of the Department of State, Record Group 59, NARA</w:t>
      </w:r>
    </w:p>
    <w:p w14:paraId="53960D15" w14:textId="13C4665F" w:rsidR="000D0F90" w:rsidRPr="006E5DEE" w:rsidRDefault="000D0F90"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Dispatches of Special Agents of the Department of State, Records of the Department of State, Record Group 59, NARA.</w:t>
      </w:r>
    </w:p>
    <w:p w14:paraId="3E80C043" w14:textId="11E9453B" w:rsidR="000D0F90" w:rsidRPr="006E5DEE" w:rsidRDefault="000D0F90"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Dispatches from US Consuls in Santo Domingo, Records of the Department of State, Record Group 59, NARA.</w:t>
      </w:r>
    </w:p>
    <w:p w14:paraId="6C5C97D0" w14:textId="6A9F2865" w:rsidR="000D0F90" w:rsidRPr="006E5DEE" w:rsidRDefault="000D0F90"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Elihu Washburne Papers, Library of Congress</w:t>
      </w:r>
    </w:p>
    <w:p w14:paraId="3738FFB9" w14:textId="30DAE5E6" w:rsidR="000D0F90" w:rsidRPr="006E5DEE" w:rsidRDefault="000D0F90"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Hamilton Fish Diary, Hamilton Fish Papers, Library of Congress</w:t>
      </w:r>
    </w:p>
    <w:p w14:paraId="20B72B1C" w14:textId="5266B831" w:rsidR="000D0F90" w:rsidRPr="006E5DEE" w:rsidRDefault="000D0F90" w:rsidP="0074689B">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Hamilton Fish Papers, Library of Congress</w:t>
      </w:r>
    </w:p>
    <w:p w14:paraId="2DFD8EEA" w14:textId="421FE02A" w:rsidR="000D0F90" w:rsidRPr="006E5DEE" w:rsidRDefault="000D0F90"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J.C. Bancroft Davis Papers, Library of Congress</w:t>
      </w:r>
    </w:p>
    <w:p w14:paraId="73607442" w14:textId="59AAFB9E" w:rsidR="000D0F90" w:rsidRPr="006E5DEE" w:rsidRDefault="000D0F90"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John Marshall Harlan Papers, Library of Congress</w:t>
      </w:r>
    </w:p>
    <w:p w14:paraId="5658EC3B" w14:textId="4DAAB489" w:rsidR="000D0F90" w:rsidRPr="006E5DEE" w:rsidRDefault="000D0F90"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Joseph W. Fabens Papers and Fabens Family Papers, Peabody Essex Museum</w:t>
      </w:r>
    </w:p>
    <w:p w14:paraId="2C6B6EC6" w14:textId="388A43DD" w:rsidR="000D0F90" w:rsidRPr="006E5DEE" w:rsidRDefault="000D0F90" w:rsidP="0074689B">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Military Service Records, NARA</w:t>
      </w:r>
    </w:p>
    <w:p w14:paraId="30856584" w14:textId="3F41B6D6" w:rsidR="000D0F90" w:rsidRPr="006E5DEE" w:rsidRDefault="000D0F90" w:rsidP="0074689B">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Nathaniel P. Banks Papers, Library of Congress</w:t>
      </w:r>
    </w:p>
    <w:p w14:paraId="08944CA7" w14:textId="1D4C6ACE" w:rsidR="000D0F90" w:rsidRPr="006E5DEE" w:rsidRDefault="000D0F90" w:rsidP="0074689B">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National Archives </w:t>
      </w:r>
    </w:p>
    <w:p w14:paraId="3C4D5206" w14:textId="72C8D382" w:rsidR="000D0F90" w:rsidRPr="006E5DEE" w:rsidRDefault="000D0F90" w:rsidP="0074689B">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Notes from the Legation of the Dominican Republic, Records of the Department of State, Record Group 59, NARA</w:t>
      </w:r>
    </w:p>
    <w:p w14:paraId="1A4FD356" w14:textId="0EE1C620" w:rsidR="005D5FB3" w:rsidRPr="006E5DEE" w:rsidRDefault="000D0F90" w:rsidP="0074689B">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Orville Babcock Diary, Orville Babcock Papers, Ulysses S. Grant Presidential Library</w:t>
      </w:r>
    </w:p>
    <w:p w14:paraId="472DEADB" w14:textId="42E96558" w:rsidR="005D5FB3" w:rsidRPr="006E5DEE" w:rsidRDefault="000D0F90" w:rsidP="0074689B">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Orville Babcock Papers, Newberry Library</w:t>
      </w:r>
    </w:p>
    <w:p w14:paraId="2209268A" w14:textId="3079922C" w:rsidR="005D5FB3" w:rsidRPr="006E5DEE" w:rsidRDefault="000D0F90" w:rsidP="0074689B">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Orville Babcock Papers, Ulysses S. Grant Presidential Library</w:t>
      </w:r>
    </w:p>
    <w:p w14:paraId="3F154346" w14:textId="3198080C" w:rsidR="005D5FB3" w:rsidRPr="006E5DEE" w:rsidRDefault="000D0F90" w:rsidP="0074689B">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Public Record Office Microfilm Records, Library of Congress</w:t>
      </w:r>
    </w:p>
    <w:p w14:paraId="22310CE5" w14:textId="463670F4" w:rsidR="005D5FB3" w:rsidRPr="006E5DEE" w:rsidRDefault="000D0F90" w:rsidP="0074689B">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Raymond J. Perry Papers, University of Rhode Island</w:t>
      </w:r>
    </w:p>
    <w:p w14:paraId="37C09983" w14:textId="2DC2B89C" w:rsidR="000D0F90" w:rsidRPr="006E5DEE" w:rsidRDefault="000D0F90" w:rsidP="0074689B">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Ulysses S. Grant Papers, Library of Congress</w:t>
      </w:r>
    </w:p>
    <w:p w14:paraId="37F07900" w14:textId="112D23A3" w:rsidR="005A68F8" w:rsidRPr="008162B4" w:rsidRDefault="000D0F90"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Ulysses S. Grant Papers, Ulysses S. Grant Presidential Librar</w:t>
      </w:r>
      <w:r w:rsidR="008162B4">
        <w:rPr>
          <w:rFonts w:ascii="Times New Roman" w:hAnsi="Times New Roman" w:cs="Times New Roman"/>
          <w:color w:val="000000" w:themeColor="text1"/>
          <w:sz w:val="24"/>
        </w:rPr>
        <w:t>y</w:t>
      </w:r>
    </w:p>
    <w:p w14:paraId="0E4078B7" w14:textId="77777777" w:rsidR="005A68F8" w:rsidRPr="006E5DEE" w:rsidRDefault="005A68F8" w:rsidP="0074689B">
      <w:pPr>
        <w:spacing w:before="100" w:beforeAutospacing="1" w:after="100" w:afterAutospacing="1" w:line="480" w:lineRule="auto"/>
        <w:rPr>
          <w:rFonts w:ascii="Times New Roman" w:eastAsia="Times New Roman" w:hAnsi="Times New Roman" w:cs="Times New Roman"/>
          <w:color w:val="000000" w:themeColor="text1"/>
          <w:sz w:val="24"/>
          <w:szCs w:val="24"/>
          <w:u w:val="single"/>
        </w:rPr>
      </w:pPr>
      <w:r w:rsidRPr="006E5DEE">
        <w:rPr>
          <w:rFonts w:ascii="Times New Roman" w:eastAsia="Times New Roman" w:hAnsi="Times New Roman" w:cs="Times New Roman"/>
          <w:color w:val="000000" w:themeColor="text1"/>
          <w:sz w:val="24"/>
          <w:szCs w:val="24"/>
          <w:u w:val="single"/>
        </w:rPr>
        <w:t>Primary Sources- Periodicals &amp; Online Databases</w:t>
      </w:r>
    </w:p>
    <w:p w14:paraId="5A63BB2D"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 xml:space="preserve">Alexandria Gazette </w:t>
      </w:r>
      <w:r w:rsidRPr="006E5DEE">
        <w:rPr>
          <w:rFonts w:ascii="Times New Roman" w:hAnsi="Times New Roman" w:cs="Times New Roman"/>
          <w:color w:val="000000" w:themeColor="text1"/>
          <w:sz w:val="24"/>
        </w:rPr>
        <w:t>(Alexandria, D.C.)</w:t>
      </w:r>
    </w:p>
    <w:p w14:paraId="3F109E1D" w14:textId="77777777" w:rsidR="005A68F8" w:rsidRPr="006E5DEE" w:rsidRDefault="005A68F8" w:rsidP="0074689B">
      <w:pPr>
        <w:spacing w:after="0" w:line="480" w:lineRule="auto"/>
        <w:ind w:left="36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 xml:space="preserve">Atchison Globe </w:t>
      </w:r>
      <w:r w:rsidRPr="006E5DEE">
        <w:rPr>
          <w:rFonts w:ascii="Times New Roman" w:eastAsia="Times New Roman" w:hAnsi="Times New Roman" w:cs="Times New Roman"/>
          <w:color w:val="000000" w:themeColor="text1"/>
          <w:sz w:val="24"/>
          <w:szCs w:val="24"/>
        </w:rPr>
        <w:t>(Atchison, KS)</w:t>
      </w:r>
    </w:p>
    <w:p w14:paraId="7B8EA688" w14:textId="77777777" w:rsidR="005A68F8" w:rsidRPr="006E5DEE" w:rsidRDefault="005A68F8" w:rsidP="0074689B">
      <w:pPr>
        <w:spacing w:after="0" w:line="480" w:lineRule="auto"/>
        <w:ind w:left="36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Bangor Whig and Courier</w:t>
      </w:r>
      <w:r w:rsidRPr="006E5DEE">
        <w:rPr>
          <w:rFonts w:ascii="Times New Roman" w:eastAsia="Times New Roman" w:hAnsi="Times New Roman" w:cs="Times New Roman"/>
          <w:color w:val="000000" w:themeColor="text1"/>
          <w:sz w:val="24"/>
          <w:szCs w:val="24"/>
        </w:rPr>
        <w:t xml:space="preserve"> </w:t>
      </w:r>
    </w:p>
    <w:p w14:paraId="2A97B41B"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Boston Daily Advertiser</w:t>
      </w:r>
    </w:p>
    <w:p w14:paraId="18E53DA9"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Cairo Bulletin</w:t>
      </w:r>
    </w:p>
    <w:p w14:paraId="2D7B4BAC"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 xml:space="preserve">Cheyenne Daily Leader </w:t>
      </w:r>
      <w:r w:rsidRPr="006E5DEE">
        <w:rPr>
          <w:rFonts w:ascii="Times New Roman" w:hAnsi="Times New Roman" w:cs="Times New Roman"/>
          <w:color w:val="000000" w:themeColor="text1"/>
          <w:sz w:val="24"/>
        </w:rPr>
        <w:t xml:space="preserve">(Cheyenne, WY) </w:t>
      </w:r>
    </w:p>
    <w:p w14:paraId="6E12BFB4"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lastRenderedPageBreak/>
        <w:t>Chicago Daily Tribune</w:t>
      </w:r>
    </w:p>
    <w:p w14:paraId="60513B66"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Chronicling America</w:t>
      </w:r>
    </w:p>
    <w:p w14:paraId="27609E2F"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Cleveland Daily Herald</w:t>
      </w:r>
    </w:p>
    <w:p w14:paraId="40A13AA7"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Columbian Centinel</w:t>
      </w:r>
      <w:r w:rsidRPr="006E5DEE">
        <w:rPr>
          <w:rFonts w:ascii="Times New Roman" w:hAnsi="Times New Roman" w:cs="Times New Roman"/>
          <w:color w:val="000000" w:themeColor="text1"/>
          <w:sz w:val="24"/>
        </w:rPr>
        <w:t xml:space="preserve"> (Boston, MA)</w:t>
      </w:r>
    </w:p>
    <w:p w14:paraId="045400BF"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 xml:space="preserve">Daily Evening Bulletin </w:t>
      </w:r>
      <w:r w:rsidRPr="006E5DEE">
        <w:rPr>
          <w:rFonts w:ascii="Times New Roman" w:hAnsi="Times New Roman" w:cs="Times New Roman"/>
          <w:color w:val="000000" w:themeColor="text1"/>
          <w:sz w:val="24"/>
        </w:rPr>
        <w:t>(San Francisco)</w:t>
      </w:r>
    </w:p>
    <w:p w14:paraId="25AD5E54"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 xml:space="preserve">Democratic Advocate </w:t>
      </w:r>
      <w:r w:rsidRPr="006E5DEE">
        <w:rPr>
          <w:rFonts w:ascii="Times New Roman" w:hAnsi="Times New Roman" w:cs="Times New Roman"/>
          <w:color w:val="000000" w:themeColor="text1"/>
          <w:sz w:val="24"/>
        </w:rPr>
        <w:t>(Westminster, MD)</w:t>
      </w:r>
    </w:p>
    <w:p w14:paraId="0708862D"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Evening Star</w:t>
      </w:r>
      <w:r w:rsidRPr="006E5DEE">
        <w:rPr>
          <w:rFonts w:ascii="Times New Roman" w:hAnsi="Times New Roman" w:cs="Times New Roman"/>
          <w:color w:val="000000" w:themeColor="text1"/>
          <w:sz w:val="24"/>
        </w:rPr>
        <w:t xml:space="preserve"> (Washington, DC)</w:t>
      </w:r>
    </w:p>
    <w:p w14:paraId="6D100EAA"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 xml:space="preserve">Fayetteville Observer </w:t>
      </w:r>
      <w:r w:rsidRPr="006E5DEE">
        <w:rPr>
          <w:rFonts w:ascii="Times New Roman" w:hAnsi="Times New Roman" w:cs="Times New Roman"/>
          <w:color w:val="000000" w:themeColor="text1"/>
          <w:sz w:val="24"/>
        </w:rPr>
        <w:t>(Fayetteville, NC)</w:t>
      </w:r>
    </w:p>
    <w:p w14:paraId="1C0F70F1" w14:textId="77777777" w:rsidR="005A68F8" w:rsidRPr="006E5DEE" w:rsidRDefault="005A68F8" w:rsidP="0074689B">
      <w:pPr>
        <w:spacing w:after="0" w:line="480" w:lineRule="auto"/>
        <w:ind w:left="360"/>
        <w:contextualSpacing/>
        <w:rPr>
          <w:rFonts w:ascii="Times New Roman" w:hAnsi="Times New Roman" w:cs="Times New Roman"/>
          <w:i/>
          <w:iCs/>
          <w:color w:val="000000" w:themeColor="text1"/>
          <w:sz w:val="24"/>
        </w:rPr>
      </w:pPr>
      <w:r w:rsidRPr="006E5DEE">
        <w:rPr>
          <w:rFonts w:ascii="Times New Roman" w:hAnsi="Times New Roman" w:cs="Times New Roman"/>
          <w:i/>
          <w:iCs/>
          <w:color w:val="000000" w:themeColor="text1"/>
          <w:sz w:val="24"/>
        </w:rPr>
        <w:t>Frank Leslie’s Illustrated</w:t>
      </w:r>
    </w:p>
    <w:p w14:paraId="2345661C" w14:textId="795F8917" w:rsidR="000A495E" w:rsidRPr="006E5DEE" w:rsidRDefault="000A495E"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Harper’s Weekly</w:t>
      </w:r>
    </w:p>
    <w:p w14:paraId="176C97A8"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 xml:space="preserve">Helena Weekly Herald </w:t>
      </w:r>
      <w:r w:rsidRPr="006E5DEE">
        <w:rPr>
          <w:rFonts w:ascii="Times New Roman" w:hAnsi="Times New Roman" w:cs="Times New Roman"/>
          <w:color w:val="000000" w:themeColor="text1"/>
          <w:sz w:val="24"/>
        </w:rPr>
        <w:t>(Helena, MT)</w:t>
      </w:r>
    </w:p>
    <w:p w14:paraId="3C02D429"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 xml:space="preserve">Highland Weekly News </w:t>
      </w:r>
      <w:r w:rsidRPr="006E5DEE">
        <w:rPr>
          <w:rFonts w:ascii="Times New Roman" w:hAnsi="Times New Roman" w:cs="Times New Roman"/>
          <w:color w:val="000000" w:themeColor="text1"/>
          <w:sz w:val="24"/>
        </w:rPr>
        <w:t>(Hillsboro, OH)</w:t>
      </w:r>
    </w:p>
    <w:p w14:paraId="5391F159"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The Independent</w:t>
      </w:r>
    </w:p>
    <w:p w14:paraId="20E4D5F9" w14:textId="77777777" w:rsidR="005A68F8" w:rsidRPr="006E5DEE" w:rsidRDefault="005A68F8" w:rsidP="0074689B">
      <w:pPr>
        <w:spacing w:after="0" w:line="480" w:lineRule="auto"/>
        <w:ind w:left="36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Maine Farmer</w:t>
      </w:r>
    </w:p>
    <w:p w14:paraId="05F187DA" w14:textId="77777777" w:rsidR="005A68F8" w:rsidRPr="006E5DEE" w:rsidRDefault="005A68F8" w:rsidP="0074689B">
      <w:pPr>
        <w:spacing w:after="0" w:line="480" w:lineRule="auto"/>
        <w:ind w:left="36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Mariposa Gazette</w:t>
      </w:r>
      <w:r w:rsidRPr="006E5DEE">
        <w:rPr>
          <w:rFonts w:ascii="Times New Roman" w:hAnsi="Times New Roman" w:cs="Times New Roman"/>
          <w:color w:val="000000" w:themeColor="text1"/>
          <w:sz w:val="24"/>
        </w:rPr>
        <w:t xml:space="preserve"> (Mariposa, CA)</w:t>
      </w:r>
    </w:p>
    <w:p w14:paraId="1DF57A3C"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 xml:space="preserve">Millheim Journal </w:t>
      </w:r>
      <w:r w:rsidRPr="006E5DEE">
        <w:rPr>
          <w:rFonts w:ascii="Times New Roman" w:eastAsia="Times New Roman" w:hAnsi="Times New Roman" w:cs="Times New Roman"/>
          <w:color w:val="000000" w:themeColor="text1"/>
          <w:sz w:val="24"/>
          <w:szCs w:val="24"/>
        </w:rPr>
        <w:t>(Millheim, PA)</w:t>
      </w:r>
    </w:p>
    <w:p w14:paraId="6D5F0093"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 xml:space="preserve">Milwaukee Daily Sentinel </w:t>
      </w:r>
    </w:p>
    <w:p w14:paraId="70A5EAC1"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Milwaukee Journal</w:t>
      </w:r>
    </w:p>
    <w:p w14:paraId="282BE8EC"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Morristown Gazette</w:t>
      </w:r>
    </w:p>
    <w:p w14:paraId="3793747C"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 xml:space="preserve">National Republican </w:t>
      </w:r>
      <w:r w:rsidRPr="006E5DEE">
        <w:rPr>
          <w:rFonts w:ascii="Times New Roman" w:eastAsia="Times New Roman" w:hAnsi="Times New Roman" w:cs="Times New Roman"/>
          <w:color w:val="000000" w:themeColor="text1"/>
          <w:sz w:val="24"/>
          <w:szCs w:val="24"/>
        </w:rPr>
        <w:t>(Washington, DC)</w:t>
      </w:r>
    </w:p>
    <w:p w14:paraId="2EE88F37"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New York Herald</w:t>
      </w:r>
    </w:p>
    <w:p w14:paraId="2ACB067A"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New York Sun</w:t>
      </w:r>
    </w:p>
    <w:p w14:paraId="49C43376"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New York Times</w:t>
      </w:r>
    </w:p>
    <w:p w14:paraId="06F7181A"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hAnsi="Times New Roman" w:cs="Times New Roman"/>
          <w:i/>
          <w:iCs/>
          <w:color w:val="000000" w:themeColor="text1"/>
          <w:sz w:val="24"/>
        </w:rPr>
        <w:lastRenderedPageBreak/>
        <w:t>New York Tribune</w:t>
      </w:r>
    </w:p>
    <w:p w14:paraId="506455F1"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hAnsi="Times New Roman" w:cs="Times New Roman"/>
          <w:i/>
          <w:iCs/>
          <w:color w:val="000000" w:themeColor="text1"/>
          <w:sz w:val="24"/>
        </w:rPr>
        <w:t>New York World</w:t>
      </w:r>
    </w:p>
    <w:p w14:paraId="3441D6BE"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hAnsi="Times New Roman" w:cs="Times New Roman"/>
          <w:i/>
          <w:iCs/>
          <w:color w:val="000000" w:themeColor="text1"/>
          <w:sz w:val="24"/>
        </w:rPr>
        <w:t xml:space="preserve">North American </w:t>
      </w:r>
      <w:r w:rsidRPr="006E5DEE">
        <w:rPr>
          <w:rFonts w:ascii="Times New Roman" w:hAnsi="Times New Roman" w:cs="Times New Roman"/>
          <w:color w:val="000000" w:themeColor="text1"/>
          <w:sz w:val="24"/>
        </w:rPr>
        <w:t>(Philadelphia, PA)</w:t>
      </w:r>
    </w:p>
    <w:p w14:paraId="5CD808D8"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Oshkosh Daily Northwestern</w:t>
      </w:r>
      <w:r w:rsidRPr="006E5DEE">
        <w:rPr>
          <w:rFonts w:ascii="Times New Roman" w:eastAsia="Times New Roman" w:hAnsi="Times New Roman" w:cs="Times New Roman"/>
          <w:color w:val="000000" w:themeColor="text1"/>
          <w:sz w:val="24"/>
          <w:szCs w:val="24"/>
        </w:rPr>
        <w:t xml:space="preserve"> (Oshkosh, WI)</w:t>
      </w:r>
    </w:p>
    <w:p w14:paraId="66D82DCB"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hAnsi="Times New Roman" w:cs="Times New Roman"/>
          <w:i/>
          <w:iCs/>
          <w:color w:val="000000" w:themeColor="text1"/>
          <w:sz w:val="24"/>
        </w:rPr>
        <w:t xml:space="preserve">Palatka Daily News </w:t>
      </w:r>
      <w:r w:rsidRPr="006E5DEE">
        <w:rPr>
          <w:rFonts w:ascii="Times New Roman" w:hAnsi="Times New Roman" w:cs="Times New Roman"/>
          <w:color w:val="000000" w:themeColor="text1"/>
          <w:sz w:val="24"/>
        </w:rPr>
        <w:t>(Palatka, FL)</w:t>
      </w:r>
    </w:p>
    <w:p w14:paraId="0E61B119" w14:textId="77777777" w:rsidR="005A68F8" w:rsidRPr="006E5DEE" w:rsidRDefault="005A68F8" w:rsidP="0074689B">
      <w:pPr>
        <w:spacing w:after="0" w:line="480" w:lineRule="auto"/>
        <w:ind w:left="360"/>
        <w:contextualSpacing/>
        <w:rPr>
          <w:rFonts w:ascii="Times New Roman" w:eastAsia="Times New Roman" w:hAnsi="Times New Roman" w:cs="Times New Roman"/>
          <w:i/>
          <w:iCs/>
          <w:color w:val="000000" w:themeColor="text1"/>
          <w:sz w:val="24"/>
          <w:szCs w:val="24"/>
        </w:rPr>
      </w:pPr>
      <w:r w:rsidRPr="006E5DEE">
        <w:rPr>
          <w:rFonts w:ascii="Times New Roman" w:eastAsia="Times New Roman" w:hAnsi="Times New Roman" w:cs="Times New Roman"/>
          <w:i/>
          <w:iCs/>
          <w:color w:val="000000" w:themeColor="text1"/>
          <w:sz w:val="24"/>
          <w:szCs w:val="24"/>
        </w:rPr>
        <w:t>Philadelphia Press</w:t>
      </w:r>
    </w:p>
    <w:p w14:paraId="4BC8678F" w14:textId="4AEAB960" w:rsidR="000A495E" w:rsidRPr="006E5DEE" w:rsidRDefault="000A495E"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Puck’s Magazine</w:t>
      </w:r>
    </w:p>
    <w:p w14:paraId="54D3B238"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 xml:space="preserve">Rocky Mountain News </w:t>
      </w:r>
      <w:r w:rsidRPr="006E5DEE">
        <w:rPr>
          <w:rFonts w:ascii="Times New Roman" w:eastAsia="Times New Roman" w:hAnsi="Times New Roman" w:cs="Times New Roman"/>
          <w:color w:val="000000" w:themeColor="text1"/>
          <w:sz w:val="24"/>
          <w:szCs w:val="24"/>
        </w:rPr>
        <w:t>(Denver, CO)</w:t>
      </w:r>
    </w:p>
    <w:p w14:paraId="5868F9A4" w14:textId="77777777" w:rsidR="005A68F8" w:rsidRPr="006E5DEE" w:rsidRDefault="005A68F8" w:rsidP="0074689B">
      <w:pPr>
        <w:spacing w:after="0" w:line="480" w:lineRule="auto"/>
        <w:ind w:left="36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Savannah Morning News</w:t>
      </w:r>
    </w:p>
    <w:p w14:paraId="4E3DE69D" w14:textId="77777777" w:rsidR="005A68F8" w:rsidRPr="006E5DEE" w:rsidRDefault="005A68F8" w:rsidP="0074689B">
      <w:pPr>
        <w:spacing w:after="0" w:line="480" w:lineRule="auto"/>
        <w:ind w:left="360"/>
        <w:contextualSpacing/>
        <w:rPr>
          <w:rFonts w:ascii="Times New Roman" w:hAnsi="Times New Roman" w:cs="Times New Roman"/>
          <w:i/>
          <w:iCs/>
          <w:color w:val="000000" w:themeColor="text1"/>
          <w:sz w:val="24"/>
        </w:rPr>
      </w:pPr>
      <w:r w:rsidRPr="006E5DEE">
        <w:rPr>
          <w:rFonts w:ascii="Times New Roman" w:hAnsi="Times New Roman" w:cs="Times New Roman"/>
          <w:i/>
          <w:iCs/>
          <w:color w:val="000000" w:themeColor="text1"/>
          <w:sz w:val="24"/>
        </w:rPr>
        <w:t>St. Louis Daily Globe-Democrat</w:t>
      </w:r>
    </w:p>
    <w:p w14:paraId="37C4ED4D" w14:textId="77777777" w:rsidR="005A68F8" w:rsidRPr="006E5DEE" w:rsidRDefault="005A68F8" w:rsidP="0074689B">
      <w:pPr>
        <w:spacing w:after="0" w:line="480" w:lineRule="auto"/>
        <w:ind w:left="36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Washington Post</w:t>
      </w:r>
    </w:p>
    <w:p w14:paraId="18D07BC4" w14:textId="77777777" w:rsidR="005A68F8" w:rsidRPr="006E5DEE" w:rsidRDefault="005A68F8" w:rsidP="0074689B">
      <w:pPr>
        <w:spacing w:after="0" w:line="480" w:lineRule="auto"/>
        <w:ind w:left="36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The Weekly Register</w:t>
      </w:r>
      <w:r w:rsidRPr="006E5DEE">
        <w:rPr>
          <w:rFonts w:ascii="Times New Roman" w:eastAsia="Times New Roman" w:hAnsi="Times New Roman" w:cs="Times New Roman"/>
          <w:color w:val="000000" w:themeColor="text1"/>
          <w:sz w:val="24"/>
          <w:szCs w:val="24"/>
        </w:rPr>
        <w:t xml:space="preserve"> (Point Pleasant, VA)</w:t>
      </w:r>
    </w:p>
    <w:p w14:paraId="160EBEBE" w14:textId="0BBCE76E" w:rsidR="00C5488C" w:rsidRDefault="005A68F8" w:rsidP="008162B4">
      <w:pPr>
        <w:spacing w:line="480" w:lineRule="auto"/>
        <w:ind w:left="36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 xml:space="preserve">Wilmington Daily Commercial </w:t>
      </w:r>
      <w:r w:rsidRPr="006E5DEE">
        <w:rPr>
          <w:rFonts w:ascii="Times New Roman" w:eastAsia="Times New Roman" w:hAnsi="Times New Roman" w:cs="Times New Roman"/>
          <w:color w:val="000000" w:themeColor="text1"/>
          <w:sz w:val="24"/>
          <w:szCs w:val="24"/>
        </w:rPr>
        <w:t>(Wilmington, DE)</w:t>
      </w:r>
    </w:p>
    <w:p w14:paraId="2832ACAE" w14:textId="77777777" w:rsidR="005A68F8" w:rsidRPr="006E5DEE" w:rsidRDefault="005A68F8" w:rsidP="008162B4">
      <w:pPr>
        <w:spacing w:after="0" w:line="480" w:lineRule="auto"/>
        <w:rPr>
          <w:rFonts w:ascii="Times New Roman" w:eastAsia="Times New Roman" w:hAnsi="Times New Roman" w:cs="Times New Roman"/>
          <w:color w:val="000000" w:themeColor="text1"/>
          <w:sz w:val="24"/>
          <w:szCs w:val="24"/>
          <w:u w:val="single"/>
        </w:rPr>
      </w:pPr>
      <w:r w:rsidRPr="006E5DEE">
        <w:rPr>
          <w:rFonts w:ascii="Times New Roman" w:eastAsia="Times New Roman" w:hAnsi="Times New Roman" w:cs="Times New Roman"/>
          <w:color w:val="000000" w:themeColor="text1"/>
          <w:sz w:val="24"/>
          <w:szCs w:val="24"/>
          <w:u w:val="single"/>
        </w:rPr>
        <w:t>Primary Sources- Printed Primary Source Collections</w:t>
      </w:r>
    </w:p>
    <w:p w14:paraId="2B06236A" w14:textId="09430A6A" w:rsidR="005D5FB3" w:rsidRPr="006E5DEE" w:rsidRDefault="005A68F8"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Hayes, Rutherford B. with Charles Richard Williams, ed. </w:t>
      </w:r>
      <w:r w:rsidRPr="006E5DEE">
        <w:rPr>
          <w:rFonts w:ascii="Times New Roman" w:hAnsi="Times New Roman" w:cs="Times New Roman"/>
          <w:i/>
          <w:iCs/>
          <w:color w:val="000000" w:themeColor="text1"/>
          <w:sz w:val="24"/>
        </w:rPr>
        <w:t>Diary and Letters of Rutherford Birchard Hayes</w:t>
      </w:r>
      <w:r w:rsidRPr="006E5DEE">
        <w:rPr>
          <w:rFonts w:ascii="Times New Roman" w:hAnsi="Times New Roman" w:cs="Times New Roman"/>
          <w:color w:val="000000" w:themeColor="text1"/>
          <w:sz w:val="24"/>
        </w:rPr>
        <w:t xml:space="preserve">. Columbus: Ohio State Archaeological and Historical Society, 1924. </w:t>
      </w:r>
    </w:p>
    <w:p w14:paraId="226ECDC9" w14:textId="6BF32938" w:rsidR="005D5FB3" w:rsidRPr="006E5DEE" w:rsidRDefault="005A68F8"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Hill, Michael. </w:t>
      </w:r>
      <w:r w:rsidRPr="006E5DEE">
        <w:rPr>
          <w:rFonts w:ascii="Times New Roman" w:hAnsi="Times New Roman" w:cs="Times New Roman"/>
          <w:i/>
          <w:iCs/>
          <w:color w:val="000000" w:themeColor="text1"/>
          <w:sz w:val="24"/>
        </w:rPr>
        <w:t>Elihu Washburne: The Diary and Letters of America’s Minister to France During the Siege and Commune of Paris</w:t>
      </w:r>
      <w:r w:rsidRPr="006E5DEE">
        <w:rPr>
          <w:rFonts w:ascii="Times New Roman" w:hAnsi="Times New Roman" w:cs="Times New Roman"/>
          <w:color w:val="000000" w:themeColor="text1"/>
          <w:sz w:val="24"/>
        </w:rPr>
        <w:t>. New York: Simon &amp; Schuster, 2012.</w:t>
      </w:r>
    </w:p>
    <w:p w14:paraId="0D8289F7" w14:textId="6A8149B2" w:rsidR="00C5488C" w:rsidRPr="006E5DEE" w:rsidRDefault="005A68F8"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Kesler, Charles K., ed., with Alexander Hamilton, James Madison, and John Jay. </w:t>
      </w:r>
      <w:r w:rsidRPr="006E5DEE">
        <w:rPr>
          <w:rFonts w:ascii="Times New Roman" w:hAnsi="Times New Roman" w:cs="Times New Roman"/>
          <w:i/>
          <w:iCs/>
          <w:color w:val="000000" w:themeColor="text1"/>
          <w:sz w:val="24"/>
        </w:rPr>
        <w:t>The Federalist Papers</w:t>
      </w:r>
      <w:r w:rsidRPr="006E5DEE">
        <w:rPr>
          <w:rFonts w:ascii="Times New Roman" w:hAnsi="Times New Roman" w:cs="Times New Roman"/>
          <w:color w:val="000000" w:themeColor="text1"/>
          <w:sz w:val="24"/>
        </w:rPr>
        <w:t>. New York: Signet Classic, 1999.</w:t>
      </w:r>
    </w:p>
    <w:p w14:paraId="21627415" w14:textId="4EFF5842" w:rsidR="005D5FB3" w:rsidRPr="006E5DEE" w:rsidRDefault="005A68F8" w:rsidP="008162B4">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Palmer, Beverly Wilson, ed. </w:t>
      </w:r>
      <w:r w:rsidRPr="006E5DEE">
        <w:rPr>
          <w:rFonts w:ascii="Times New Roman" w:eastAsia="Times New Roman" w:hAnsi="Times New Roman" w:cs="Times New Roman"/>
          <w:i/>
          <w:iCs/>
          <w:color w:val="000000" w:themeColor="text1"/>
          <w:sz w:val="24"/>
          <w:szCs w:val="24"/>
        </w:rPr>
        <w:t>The Selected Letters of Charles Sumner</w:t>
      </w:r>
      <w:r w:rsidRPr="006E5DEE">
        <w:rPr>
          <w:rFonts w:ascii="Times New Roman" w:eastAsia="Times New Roman" w:hAnsi="Times New Roman" w:cs="Times New Roman"/>
          <w:color w:val="000000" w:themeColor="text1"/>
          <w:sz w:val="24"/>
          <w:szCs w:val="24"/>
        </w:rPr>
        <w:t>. Boston: Northeastern University Press, 1990.</w:t>
      </w:r>
    </w:p>
    <w:p w14:paraId="3EBCE6AB" w14:textId="34E9C72A" w:rsidR="005D5FB3" w:rsidRPr="006E5DEE" w:rsidRDefault="005A68F8" w:rsidP="008162B4">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Pierce, Edward L., </w:t>
      </w:r>
      <w:r w:rsidRPr="006E5DEE">
        <w:rPr>
          <w:rFonts w:ascii="Times New Roman" w:eastAsia="Times New Roman" w:hAnsi="Times New Roman" w:cs="Times New Roman"/>
          <w:i/>
          <w:iCs/>
          <w:color w:val="000000" w:themeColor="text1"/>
          <w:sz w:val="24"/>
          <w:szCs w:val="24"/>
        </w:rPr>
        <w:t>Memoir and Letters of Charles Sumner</w:t>
      </w:r>
      <w:r w:rsidRPr="006E5DEE">
        <w:rPr>
          <w:rFonts w:ascii="Times New Roman" w:eastAsia="Times New Roman" w:hAnsi="Times New Roman" w:cs="Times New Roman"/>
          <w:color w:val="000000" w:themeColor="text1"/>
          <w:sz w:val="24"/>
          <w:szCs w:val="24"/>
        </w:rPr>
        <w:t>. Boston: Roberts Brothers, 1894.</w:t>
      </w:r>
    </w:p>
    <w:p w14:paraId="0D563494" w14:textId="078A56B3" w:rsidR="00C5488C" w:rsidRPr="006E5DEE" w:rsidRDefault="005A68F8" w:rsidP="008162B4">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lastRenderedPageBreak/>
        <w:t xml:space="preserve">Richardson, James D., ed. </w:t>
      </w:r>
      <w:r w:rsidRPr="006E5DEE">
        <w:rPr>
          <w:rFonts w:ascii="Times New Roman" w:eastAsia="Times New Roman" w:hAnsi="Times New Roman" w:cs="Times New Roman"/>
          <w:i/>
          <w:iCs/>
          <w:color w:val="000000" w:themeColor="text1"/>
          <w:sz w:val="24"/>
          <w:szCs w:val="24"/>
        </w:rPr>
        <w:t>Compilation of the Messages and Papers of the Presidents</w:t>
      </w:r>
      <w:r w:rsidRPr="006E5DEE">
        <w:rPr>
          <w:rFonts w:ascii="Times New Roman" w:eastAsia="Times New Roman" w:hAnsi="Times New Roman" w:cs="Times New Roman"/>
          <w:color w:val="000000" w:themeColor="text1"/>
          <w:sz w:val="24"/>
          <w:szCs w:val="24"/>
        </w:rPr>
        <w:t>. Washington: Bureau of National Literature and Arts, 1903.</w:t>
      </w:r>
    </w:p>
    <w:p w14:paraId="3346BE33" w14:textId="612CCC98" w:rsidR="001A15A7" w:rsidRPr="008162B4" w:rsidRDefault="005A68F8" w:rsidP="008162B4">
      <w:pPr>
        <w:spacing w:before="100" w:beforeAutospacing="1"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Simon, John, ed. </w:t>
      </w:r>
      <w:r w:rsidRPr="006E5DEE">
        <w:rPr>
          <w:rFonts w:ascii="Times New Roman" w:eastAsia="Times New Roman" w:hAnsi="Times New Roman" w:cs="Times New Roman"/>
          <w:i/>
          <w:iCs/>
          <w:color w:val="000000" w:themeColor="text1"/>
          <w:sz w:val="24"/>
          <w:szCs w:val="24"/>
        </w:rPr>
        <w:t>The Papers of Ulysses S. Grant</w:t>
      </w:r>
      <w:r w:rsidRPr="006E5DEE">
        <w:rPr>
          <w:rFonts w:ascii="Times New Roman" w:eastAsia="Times New Roman" w:hAnsi="Times New Roman" w:cs="Times New Roman"/>
          <w:color w:val="000000" w:themeColor="text1"/>
          <w:sz w:val="24"/>
          <w:szCs w:val="24"/>
        </w:rPr>
        <w:t>. 31 vols. Carbondale: Southern Illinois University Press, 2009.</w:t>
      </w:r>
    </w:p>
    <w:p w14:paraId="1F580A59" w14:textId="0EB1CC92" w:rsidR="00BD2A52" w:rsidRPr="008162B4" w:rsidRDefault="005A68F8"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Sumner, Charles with Edward L. Pierce, ed. </w:t>
      </w:r>
      <w:r w:rsidRPr="006E5DEE">
        <w:rPr>
          <w:rFonts w:ascii="Times New Roman" w:hAnsi="Times New Roman" w:cs="Times New Roman"/>
          <w:i/>
          <w:iCs/>
          <w:color w:val="000000" w:themeColor="text1"/>
          <w:sz w:val="24"/>
        </w:rPr>
        <w:t>Memoir and letters of Charles Sumner</w:t>
      </w:r>
      <w:r w:rsidRPr="006E5DEE">
        <w:rPr>
          <w:rFonts w:ascii="Times New Roman" w:hAnsi="Times New Roman" w:cs="Times New Roman"/>
          <w:color w:val="000000" w:themeColor="text1"/>
          <w:sz w:val="24"/>
        </w:rPr>
        <w:t>. Boston: Roberts Brothers, 1894.</w:t>
      </w:r>
    </w:p>
    <w:p w14:paraId="1B1EA5DF" w14:textId="5601BF59" w:rsidR="00A16069" w:rsidRPr="008162B4" w:rsidRDefault="00A16069" w:rsidP="0074689B">
      <w:pPr>
        <w:spacing w:after="0" w:line="480" w:lineRule="auto"/>
        <w:contextualSpacing/>
        <w:rPr>
          <w:rFonts w:ascii="Times New Roman" w:hAnsi="Times New Roman" w:cs="Times New Roman"/>
          <w:color w:val="000000" w:themeColor="text1"/>
          <w:sz w:val="24"/>
          <w:u w:val="single"/>
        </w:rPr>
      </w:pPr>
      <w:r w:rsidRPr="006E5DEE">
        <w:rPr>
          <w:rFonts w:ascii="Times New Roman" w:hAnsi="Times New Roman" w:cs="Times New Roman"/>
          <w:color w:val="000000" w:themeColor="text1"/>
          <w:sz w:val="24"/>
          <w:u w:val="single"/>
        </w:rPr>
        <w:t>Primary Sources- Government Documents</w:t>
      </w:r>
    </w:p>
    <w:p w14:paraId="5DDBA010" w14:textId="1C16B005" w:rsidR="00C5488C" w:rsidRPr="006E5DEE"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44</w:t>
      </w:r>
      <w:r w:rsidRPr="006E5DEE">
        <w:rPr>
          <w:rFonts w:ascii="Times New Roman" w:hAnsi="Times New Roman" w:cs="Times New Roman"/>
          <w:color w:val="000000" w:themeColor="text1"/>
          <w:sz w:val="24"/>
          <w:vertAlign w:val="superscript"/>
        </w:rPr>
        <w:t>th</w:t>
      </w:r>
      <w:r w:rsidRPr="006E5DEE">
        <w:rPr>
          <w:rFonts w:ascii="Times New Roman" w:hAnsi="Times New Roman" w:cs="Times New Roman"/>
          <w:color w:val="000000" w:themeColor="text1"/>
          <w:sz w:val="24"/>
        </w:rPr>
        <w:t xml:space="preserve"> Congress, 1</w:t>
      </w:r>
      <w:r w:rsidRPr="006E5DEE">
        <w:rPr>
          <w:rFonts w:ascii="Times New Roman" w:hAnsi="Times New Roman" w:cs="Times New Roman"/>
          <w:color w:val="000000" w:themeColor="text1"/>
          <w:sz w:val="24"/>
          <w:vertAlign w:val="superscript"/>
        </w:rPr>
        <w:t>st</w:t>
      </w:r>
      <w:r w:rsidRPr="006E5DEE">
        <w:rPr>
          <w:rFonts w:ascii="Times New Roman" w:hAnsi="Times New Roman" w:cs="Times New Roman"/>
          <w:color w:val="000000" w:themeColor="text1"/>
          <w:sz w:val="24"/>
        </w:rPr>
        <w:t xml:space="preserve"> session. Index to the Miscellaneous Documents of the House of representatives, Miscellaneous Document 186, </w:t>
      </w:r>
      <w:r w:rsidRPr="006E5DEE">
        <w:rPr>
          <w:rFonts w:ascii="Times New Roman" w:hAnsi="Times New Roman" w:cs="Times New Roman"/>
          <w:i/>
          <w:iCs/>
          <w:color w:val="000000" w:themeColor="text1"/>
          <w:sz w:val="24"/>
        </w:rPr>
        <w:t>Whiskey Frauds Testimony</w:t>
      </w:r>
      <w:r w:rsidRPr="006E5DEE">
        <w:rPr>
          <w:rFonts w:ascii="Times New Roman" w:hAnsi="Times New Roman" w:cs="Times New Roman"/>
          <w:color w:val="000000" w:themeColor="text1"/>
          <w:sz w:val="24"/>
        </w:rPr>
        <w:t>. Washington D.C., Government Printing Office, 1873.</w:t>
      </w:r>
    </w:p>
    <w:p w14:paraId="0A545D40" w14:textId="2D6B7EDE"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An Act to provide for the more efficient Government of the Rebel States</w:t>
      </w:r>
      <w:r w:rsidRPr="006E5DEE">
        <w:rPr>
          <w:rFonts w:ascii="Times New Roman" w:eastAsia="Times New Roman" w:hAnsi="Times New Roman" w:cs="Times New Roman"/>
          <w:color w:val="000000" w:themeColor="text1"/>
          <w:sz w:val="24"/>
          <w:szCs w:val="24"/>
        </w:rPr>
        <w:t xml:space="preserve">, c.153, </w:t>
      </w:r>
      <w:r w:rsidRPr="006E5DEE">
        <w:rPr>
          <w:rFonts w:ascii="Times New Roman" w:eastAsia="Times New Roman" w:hAnsi="Times New Roman" w:cs="Times New Roman"/>
          <w:i/>
          <w:iCs/>
          <w:color w:val="000000" w:themeColor="text1"/>
          <w:sz w:val="24"/>
          <w:szCs w:val="24"/>
        </w:rPr>
        <w:t>U.S. Statutes at Large</w:t>
      </w:r>
      <w:r w:rsidRPr="006E5DEE">
        <w:rPr>
          <w:rFonts w:ascii="Times New Roman" w:eastAsia="Times New Roman" w:hAnsi="Times New Roman" w:cs="Times New Roman"/>
          <w:color w:val="000000" w:themeColor="text1"/>
          <w:sz w:val="24"/>
          <w:szCs w:val="24"/>
        </w:rPr>
        <w:t xml:space="preserve"> 14 (1867): 428-430</w:t>
      </w:r>
    </w:p>
    <w:p w14:paraId="0B00C2C7" w14:textId="0FEED654" w:rsidR="001A15A7"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An Act supplementary to an Act entitled “An Act to provide for the more efficient Government of the Rebel States,” passed March second, eighteen hundred and sixty-seven, and to facilitate Restoration</w:t>
      </w:r>
      <w:r w:rsidRPr="006E5DEE">
        <w:rPr>
          <w:rFonts w:ascii="Times New Roman" w:eastAsia="Times New Roman" w:hAnsi="Times New Roman" w:cs="Times New Roman"/>
          <w:color w:val="000000" w:themeColor="text1"/>
          <w:sz w:val="24"/>
          <w:szCs w:val="24"/>
        </w:rPr>
        <w:t xml:space="preserve">, c.6, </w:t>
      </w:r>
      <w:r w:rsidRPr="006E5DEE">
        <w:rPr>
          <w:rFonts w:ascii="Times New Roman" w:eastAsia="Times New Roman" w:hAnsi="Times New Roman" w:cs="Times New Roman"/>
          <w:i/>
          <w:iCs/>
          <w:color w:val="000000" w:themeColor="text1"/>
          <w:sz w:val="24"/>
          <w:szCs w:val="24"/>
        </w:rPr>
        <w:t>U.S. Statutes at Large</w:t>
      </w:r>
      <w:r w:rsidRPr="006E5DEE">
        <w:rPr>
          <w:rFonts w:ascii="Times New Roman" w:eastAsia="Times New Roman" w:hAnsi="Times New Roman" w:cs="Times New Roman"/>
          <w:color w:val="000000" w:themeColor="text1"/>
          <w:sz w:val="24"/>
          <w:szCs w:val="24"/>
        </w:rPr>
        <w:t xml:space="preserve"> 15 (1867): 2-5</w:t>
      </w:r>
    </w:p>
    <w:p w14:paraId="3B12EFE5" w14:textId="58A11986" w:rsidR="001A15A7"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An Act supplementary to an Act entitled “An Act to provide for the more efficient Government of the Rebel States,” passed on the second day of March, eighteen hundred and sixty-seven, and the Act supplementary thereto, passed on the twenty-third day of March, eighteen hundred and sixty-seven</w:t>
      </w:r>
      <w:r w:rsidRPr="006E5DEE">
        <w:rPr>
          <w:rFonts w:ascii="Times New Roman" w:eastAsia="Times New Roman" w:hAnsi="Times New Roman" w:cs="Times New Roman"/>
          <w:color w:val="000000" w:themeColor="text1"/>
          <w:sz w:val="24"/>
          <w:szCs w:val="24"/>
        </w:rPr>
        <w:t xml:space="preserve">, c.30, </w:t>
      </w:r>
      <w:r w:rsidRPr="006E5DEE">
        <w:rPr>
          <w:rFonts w:ascii="Times New Roman" w:eastAsia="Times New Roman" w:hAnsi="Times New Roman" w:cs="Times New Roman"/>
          <w:i/>
          <w:iCs/>
          <w:color w:val="000000" w:themeColor="text1"/>
          <w:sz w:val="24"/>
          <w:szCs w:val="24"/>
        </w:rPr>
        <w:t>U.S. Statutes at Large</w:t>
      </w:r>
      <w:r w:rsidRPr="006E5DEE">
        <w:rPr>
          <w:rFonts w:ascii="Times New Roman" w:eastAsia="Times New Roman" w:hAnsi="Times New Roman" w:cs="Times New Roman"/>
          <w:color w:val="000000" w:themeColor="text1"/>
          <w:sz w:val="24"/>
          <w:szCs w:val="24"/>
        </w:rPr>
        <w:t xml:space="preserve"> 15 (1867): 14-16</w:t>
      </w:r>
    </w:p>
    <w:p w14:paraId="256832AC" w14:textId="375D0EAF" w:rsidR="001A15A7"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An Act to Amend the Act passed March twenty-third, eighteen hundred and sixty-seven, entitled “An Act supplementary to ‘An Act to provide for the more efficient Government of the rebel States,’ passed March second, eighteen hundred and sixty-seven, and to facilitate their Restoration</w:t>
      </w:r>
      <w:r w:rsidRPr="006E5DEE">
        <w:rPr>
          <w:rFonts w:ascii="Times New Roman" w:eastAsia="Times New Roman" w:hAnsi="Times New Roman" w:cs="Times New Roman"/>
          <w:color w:val="000000" w:themeColor="text1"/>
          <w:sz w:val="24"/>
          <w:szCs w:val="24"/>
        </w:rPr>
        <w:t xml:space="preserve">,” c.25, </w:t>
      </w:r>
      <w:r w:rsidRPr="006E5DEE">
        <w:rPr>
          <w:rFonts w:ascii="Times New Roman" w:eastAsia="Times New Roman" w:hAnsi="Times New Roman" w:cs="Times New Roman"/>
          <w:i/>
          <w:iCs/>
          <w:color w:val="000000" w:themeColor="text1"/>
          <w:sz w:val="24"/>
          <w:szCs w:val="24"/>
        </w:rPr>
        <w:t>U.S. Statutes at Large</w:t>
      </w:r>
      <w:r w:rsidRPr="006E5DEE">
        <w:rPr>
          <w:rFonts w:ascii="Times New Roman" w:eastAsia="Times New Roman" w:hAnsi="Times New Roman" w:cs="Times New Roman"/>
          <w:color w:val="000000" w:themeColor="text1"/>
          <w:sz w:val="24"/>
          <w:szCs w:val="24"/>
        </w:rPr>
        <w:t xml:space="preserve"> 15 (1868): 41</w:t>
      </w:r>
      <w:r w:rsidR="000D0F90" w:rsidRPr="006E5DEE">
        <w:rPr>
          <w:rFonts w:ascii="Times New Roman" w:eastAsia="Times New Roman" w:hAnsi="Times New Roman" w:cs="Times New Roman"/>
          <w:color w:val="000000" w:themeColor="text1"/>
          <w:sz w:val="24"/>
          <w:szCs w:val="24"/>
        </w:rPr>
        <w:t>.</w:t>
      </w:r>
    </w:p>
    <w:p w14:paraId="498452E6" w14:textId="080923B9" w:rsidR="001A15A7" w:rsidRPr="008162B4" w:rsidRDefault="00A16069" w:rsidP="008162B4">
      <w:pPr>
        <w:spacing w:after="0" w:line="480" w:lineRule="auto"/>
        <w:ind w:left="720" w:hanging="720"/>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lastRenderedPageBreak/>
        <w:t>Congressional Globe</w:t>
      </w:r>
    </w:p>
    <w:p w14:paraId="1944FD6B" w14:textId="61AC2302" w:rsidR="001A15A7" w:rsidRPr="006E5DEE"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Congressional Record</w:t>
      </w:r>
    </w:p>
    <w:p w14:paraId="41AB15E6" w14:textId="23C7E369" w:rsidR="001A15A7" w:rsidRPr="008162B4" w:rsidRDefault="00A16069" w:rsidP="008162B4">
      <w:pPr>
        <w:spacing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House Committee for the District of Columbia, </w:t>
      </w:r>
      <w:r w:rsidRPr="006E5DEE">
        <w:rPr>
          <w:rFonts w:ascii="Times New Roman" w:hAnsi="Times New Roman" w:cs="Times New Roman"/>
          <w:i/>
          <w:iCs/>
          <w:color w:val="000000" w:themeColor="text1"/>
          <w:sz w:val="24"/>
        </w:rPr>
        <w:t>Affairs in the District of Columbia</w:t>
      </w:r>
      <w:r w:rsidRPr="006E5DEE">
        <w:rPr>
          <w:rFonts w:ascii="Times New Roman" w:hAnsi="Times New Roman" w:cs="Times New Roman"/>
          <w:color w:val="000000" w:themeColor="text1"/>
          <w:sz w:val="24"/>
        </w:rPr>
        <w:t>, 42</w:t>
      </w:r>
      <w:r w:rsidRPr="006E5DEE">
        <w:rPr>
          <w:rFonts w:ascii="Times New Roman" w:hAnsi="Times New Roman" w:cs="Times New Roman"/>
          <w:color w:val="000000" w:themeColor="text1"/>
          <w:sz w:val="24"/>
          <w:vertAlign w:val="superscript"/>
        </w:rPr>
        <w:t>nd</w:t>
      </w:r>
      <w:r w:rsidRPr="006E5DEE">
        <w:rPr>
          <w:rFonts w:ascii="Times New Roman" w:hAnsi="Times New Roman" w:cs="Times New Roman"/>
          <w:color w:val="000000" w:themeColor="text1"/>
          <w:sz w:val="24"/>
        </w:rPr>
        <w:t xml:space="preserve"> Congress, 2</w:t>
      </w:r>
      <w:r w:rsidRPr="006E5DEE">
        <w:rPr>
          <w:rFonts w:ascii="Times New Roman" w:hAnsi="Times New Roman" w:cs="Times New Roman"/>
          <w:color w:val="000000" w:themeColor="text1"/>
          <w:sz w:val="24"/>
          <w:vertAlign w:val="superscript"/>
        </w:rPr>
        <w:t>nd</w:t>
      </w:r>
      <w:r w:rsidRPr="006E5DEE">
        <w:rPr>
          <w:rFonts w:ascii="Times New Roman" w:hAnsi="Times New Roman" w:cs="Times New Roman"/>
          <w:color w:val="000000" w:themeColor="text1"/>
          <w:sz w:val="24"/>
        </w:rPr>
        <w:t xml:space="preserve"> Session, 1872, H. Rep. 72.</w:t>
      </w:r>
    </w:p>
    <w:p w14:paraId="0C828335" w14:textId="466C0B43" w:rsidR="001A15A7"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 xml:space="preserve">Jacobellis v. Ohio, 378 U.S. at 184 </w:t>
      </w:r>
      <w:r w:rsidRPr="006E5DEE">
        <w:rPr>
          <w:rFonts w:ascii="Times New Roman" w:hAnsi="Times New Roman" w:cs="Times New Roman"/>
          <w:color w:val="000000" w:themeColor="text1"/>
          <w:sz w:val="24"/>
        </w:rPr>
        <w:t>(1964) (Stewart, J., concurring)</w:t>
      </w:r>
    </w:p>
    <w:p w14:paraId="6EA8AA27" w14:textId="39F8D432" w:rsidR="001A15A7"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Journal of the Executive Proceedings of the Senate of the United States</w:t>
      </w:r>
    </w:p>
    <w:p w14:paraId="773E6AEF" w14:textId="19F14740" w:rsidR="001A15A7" w:rsidRPr="006E5DEE" w:rsidRDefault="00A16069" w:rsidP="008162B4">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Senate Report No. 234, 41</w:t>
      </w:r>
      <w:r w:rsidRPr="006E5DEE">
        <w:rPr>
          <w:rFonts w:ascii="Times New Roman" w:eastAsia="Times New Roman" w:hAnsi="Times New Roman" w:cs="Times New Roman"/>
          <w:color w:val="000000" w:themeColor="text1"/>
          <w:sz w:val="24"/>
          <w:szCs w:val="24"/>
          <w:vertAlign w:val="superscript"/>
        </w:rPr>
        <w:t>st</w:t>
      </w:r>
      <w:r w:rsidRPr="006E5DEE">
        <w:rPr>
          <w:rFonts w:ascii="Times New Roman" w:eastAsia="Times New Roman" w:hAnsi="Times New Roman" w:cs="Times New Roman"/>
          <w:color w:val="000000" w:themeColor="text1"/>
          <w:sz w:val="24"/>
          <w:szCs w:val="24"/>
        </w:rPr>
        <w:t xml:space="preserve"> Congress, 2</w:t>
      </w:r>
      <w:r w:rsidRPr="006E5DEE">
        <w:rPr>
          <w:rFonts w:ascii="Times New Roman" w:eastAsia="Times New Roman" w:hAnsi="Times New Roman" w:cs="Times New Roman"/>
          <w:color w:val="000000" w:themeColor="text1"/>
          <w:sz w:val="24"/>
          <w:szCs w:val="24"/>
          <w:vertAlign w:val="superscript"/>
        </w:rPr>
        <w:t>nd</w:t>
      </w:r>
      <w:r w:rsidRPr="006E5DEE">
        <w:rPr>
          <w:rFonts w:ascii="Times New Roman" w:eastAsia="Times New Roman" w:hAnsi="Times New Roman" w:cs="Times New Roman"/>
          <w:color w:val="000000" w:themeColor="text1"/>
          <w:sz w:val="24"/>
          <w:szCs w:val="24"/>
        </w:rPr>
        <w:t xml:space="preserve"> Session, also referred to as the Hatch Report.</w:t>
      </w:r>
    </w:p>
    <w:p w14:paraId="4301421E" w14:textId="22523F8F" w:rsidR="00C5488C" w:rsidRPr="006E5DEE" w:rsidRDefault="00A16069" w:rsidP="0074689B">
      <w:pPr>
        <w:spacing w:before="100" w:beforeAutospacing="1" w:after="100" w:afterAutospacing="1"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Senate Executive Documents</w:t>
      </w:r>
    </w:p>
    <w:p w14:paraId="7DC4F275" w14:textId="584727DB" w:rsidR="001A15A7" w:rsidRPr="008162B4" w:rsidRDefault="00A16069" w:rsidP="008162B4">
      <w:pPr>
        <w:spacing w:before="100" w:beforeAutospacing="1"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Testimony before the Select Commitee Concerning the Whiskey Frauds</w:t>
      </w:r>
      <w:r w:rsidRPr="006E5DEE">
        <w:rPr>
          <w:rFonts w:ascii="Times New Roman" w:eastAsia="Times New Roman" w:hAnsi="Times New Roman" w:cs="Times New Roman"/>
          <w:color w:val="000000" w:themeColor="text1"/>
          <w:sz w:val="24"/>
          <w:szCs w:val="24"/>
        </w:rPr>
        <w:t>, 556 (1876) (testimony of Edwards Pierrepont, David P. Dyer, et al.).</w:t>
      </w:r>
    </w:p>
    <w:p w14:paraId="4C3C02A8" w14:textId="3CD0F2F2" w:rsidR="00C5488C"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The United States of America vs. Orville Babcock and Others</w:t>
      </w:r>
      <w:r w:rsidRPr="006E5DEE">
        <w:rPr>
          <w:rFonts w:ascii="Times New Roman" w:eastAsia="Times New Roman" w:hAnsi="Times New Roman" w:cs="Times New Roman"/>
          <w:color w:val="000000" w:themeColor="text1"/>
          <w:sz w:val="24"/>
          <w:szCs w:val="24"/>
        </w:rPr>
        <w:t>, Circuit Court, E.D. Missouri,1876. Court Record courtesy of Harvard Law School Library. Washington: Gibson Brothers, 1876.</w:t>
      </w:r>
    </w:p>
    <w:p w14:paraId="037E3C9F" w14:textId="07967808" w:rsidR="00A16069" w:rsidRPr="006E5DEE" w:rsidRDefault="00A16069" w:rsidP="0074689B">
      <w:pPr>
        <w:spacing w:after="100" w:afterAutospacing="1"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United States Statutes at Large</w:t>
      </w:r>
    </w:p>
    <w:p w14:paraId="5EADC858" w14:textId="37050774" w:rsidR="00A16069" w:rsidRPr="008162B4" w:rsidRDefault="001A15A7" w:rsidP="0074689B">
      <w:pPr>
        <w:spacing w:after="0" w:line="480" w:lineRule="auto"/>
        <w:contextualSpacing/>
        <w:rPr>
          <w:rFonts w:ascii="Times New Roman" w:hAnsi="Times New Roman" w:cs="Times New Roman"/>
          <w:color w:val="000000" w:themeColor="text1"/>
          <w:sz w:val="24"/>
          <w:u w:val="single"/>
        </w:rPr>
      </w:pPr>
      <w:r w:rsidRPr="006E5DEE">
        <w:rPr>
          <w:rFonts w:ascii="Times New Roman" w:hAnsi="Times New Roman" w:cs="Times New Roman"/>
          <w:color w:val="000000" w:themeColor="text1"/>
          <w:sz w:val="24"/>
          <w:u w:val="single"/>
        </w:rPr>
        <w:t xml:space="preserve">Other </w:t>
      </w:r>
      <w:r w:rsidR="00A16069" w:rsidRPr="006E5DEE">
        <w:rPr>
          <w:rFonts w:ascii="Times New Roman" w:hAnsi="Times New Roman" w:cs="Times New Roman"/>
          <w:color w:val="000000" w:themeColor="text1"/>
          <w:sz w:val="24"/>
          <w:u w:val="single"/>
        </w:rPr>
        <w:t>Primary Sources</w:t>
      </w:r>
      <w:r w:rsidR="00BD2A52" w:rsidRPr="006E5DEE">
        <w:rPr>
          <w:rFonts w:ascii="Times New Roman" w:hAnsi="Times New Roman" w:cs="Times New Roman"/>
          <w:color w:val="000000" w:themeColor="text1"/>
          <w:sz w:val="24"/>
          <w:u w:val="single"/>
        </w:rPr>
        <w:t>-</w:t>
      </w:r>
    </w:p>
    <w:p w14:paraId="53A0F350" w14:textId="56FBC94D" w:rsidR="001A15A7"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 xml:space="preserve">Annual Report of the Light-House Board of the United States to the Secretary of Treasury for the Fiscal Year Ended June 30, 1898. </w:t>
      </w:r>
      <w:r w:rsidRPr="006E5DEE">
        <w:rPr>
          <w:rFonts w:ascii="Times New Roman" w:hAnsi="Times New Roman" w:cs="Times New Roman"/>
          <w:color w:val="000000" w:themeColor="text1"/>
          <w:sz w:val="24"/>
        </w:rPr>
        <w:t>Washington D.C.: Government Printing Office, 1898.</w:t>
      </w:r>
    </w:p>
    <w:p w14:paraId="6D854FAA" w14:textId="146678D9" w:rsidR="001A15A7"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Annual Report of the Secretary of the Treasury, 1874</w:t>
      </w:r>
      <w:r w:rsidRPr="006E5DEE">
        <w:rPr>
          <w:rFonts w:ascii="Times New Roman" w:eastAsia="Times New Roman" w:hAnsi="Times New Roman" w:cs="Times New Roman"/>
          <w:color w:val="000000" w:themeColor="text1"/>
          <w:sz w:val="24"/>
          <w:szCs w:val="24"/>
        </w:rPr>
        <w:t>.</w:t>
      </w:r>
    </w:p>
    <w:p w14:paraId="05AFE742" w14:textId="3A36E98F" w:rsidR="001A15A7" w:rsidRPr="006E5DEE"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Babcock, Orville to General John Rawlins, October 5, 1866. In Edwin Stanton. </w:t>
      </w:r>
      <w:r w:rsidRPr="006E5DEE">
        <w:rPr>
          <w:rFonts w:ascii="Times New Roman" w:hAnsi="Times New Roman" w:cs="Times New Roman"/>
          <w:i/>
          <w:iCs/>
          <w:color w:val="000000" w:themeColor="text1"/>
          <w:sz w:val="24"/>
        </w:rPr>
        <w:t>Military Posts: Letter from the Secretary of War in Answer to A resolution of the House of the 5</w:t>
      </w:r>
      <w:r w:rsidRPr="006E5DEE">
        <w:rPr>
          <w:rFonts w:ascii="Times New Roman" w:hAnsi="Times New Roman" w:cs="Times New Roman"/>
          <w:i/>
          <w:iCs/>
          <w:color w:val="000000" w:themeColor="text1"/>
          <w:sz w:val="24"/>
          <w:vertAlign w:val="superscript"/>
        </w:rPr>
        <w:t>th</w:t>
      </w:r>
      <w:r w:rsidRPr="006E5DEE">
        <w:rPr>
          <w:rFonts w:ascii="Times New Roman" w:hAnsi="Times New Roman" w:cs="Times New Roman"/>
          <w:i/>
          <w:iCs/>
          <w:color w:val="000000" w:themeColor="text1"/>
          <w:sz w:val="24"/>
        </w:rPr>
        <w:t xml:space="preserve"> December, transmitting a report of inspection of military posts</w:t>
      </w:r>
      <w:r w:rsidRPr="006E5DEE">
        <w:rPr>
          <w:rFonts w:ascii="Times New Roman" w:hAnsi="Times New Roman" w:cs="Times New Roman"/>
          <w:color w:val="000000" w:themeColor="text1"/>
          <w:sz w:val="24"/>
        </w:rPr>
        <w:t>. House of Representatives, 39</w:t>
      </w:r>
      <w:r w:rsidRPr="006E5DEE">
        <w:rPr>
          <w:rFonts w:ascii="Times New Roman" w:hAnsi="Times New Roman" w:cs="Times New Roman"/>
          <w:color w:val="000000" w:themeColor="text1"/>
          <w:sz w:val="24"/>
          <w:vertAlign w:val="superscript"/>
        </w:rPr>
        <w:t>th</w:t>
      </w:r>
      <w:r w:rsidRPr="006E5DEE">
        <w:rPr>
          <w:rFonts w:ascii="Times New Roman" w:hAnsi="Times New Roman" w:cs="Times New Roman"/>
          <w:color w:val="000000" w:themeColor="text1"/>
          <w:sz w:val="24"/>
        </w:rPr>
        <w:t xml:space="preserve"> Congress, 2</w:t>
      </w:r>
      <w:r w:rsidRPr="006E5DEE">
        <w:rPr>
          <w:rFonts w:ascii="Times New Roman" w:hAnsi="Times New Roman" w:cs="Times New Roman"/>
          <w:color w:val="000000" w:themeColor="text1"/>
          <w:sz w:val="24"/>
          <w:vertAlign w:val="superscript"/>
        </w:rPr>
        <w:t>nd</w:t>
      </w:r>
      <w:r w:rsidRPr="006E5DEE">
        <w:rPr>
          <w:rFonts w:ascii="Times New Roman" w:hAnsi="Times New Roman" w:cs="Times New Roman"/>
          <w:color w:val="000000" w:themeColor="text1"/>
          <w:sz w:val="24"/>
        </w:rPr>
        <w:t xml:space="preserve"> Session, Executive Document 20.</w:t>
      </w:r>
    </w:p>
    <w:p w14:paraId="1EDD0EB3" w14:textId="67AAECC9" w:rsidR="00102CF2" w:rsidRPr="006E5DEE" w:rsidRDefault="00102CF2"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Barnard, George N., photographer. </w:t>
      </w:r>
      <w:r w:rsidRPr="006E5DEE">
        <w:rPr>
          <w:rFonts w:ascii="Times New Roman" w:hAnsi="Times New Roman" w:cs="Times New Roman"/>
          <w:i/>
          <w:iCs/>
          <w:color w:val="000000" w:themeColor="text1"/>
          <w:sz w:val="24"/>
        </w:rPr>
        <w:t xml:space="preserve">Colonels Orlando M. Poe and Orville E. Babcock at Fort Sanders, Knoxville, Tenn. </w:t>
      </w:r>
      <w:r w:rsidRPr="006E5DEE">
        <w:rPr>
          <w:rFonts w:ascii="Times New Roman" w:hAnsi="Times New Roman" w:cs="Times New Roman"/>
          <w:color w:val="000000" w:themeColor="text1"/>
          <w:sz w:val="24"/>
        </w:rPr>
        <w:t xml:space="preserve">[Photographed between 1861-1865, printed later]. Courtesy of the Library of Congress. </w:t>
      </w:r>
      <w:hyperlink r:id="rId49" w:history="1">
        <w:r w:rsidRPr="006E5DEE">
          <w:rPr>
            <w:rStyle w:val="Hyperlink"/>
            <w:rFonts w:ascii="Times New Roman" w:hAnsi="Times New Roman" w:cs="Times New Roman"/>
            <w:color w:val="000000" w:themeColor="text1"/>
            <w:sz w:val="24"/>
          </w:rPr>
          <w:t>https://www.loc.gov/item/2014646408/</w:t>
        </w:r>
      </w:hyperlink>
      <w:r w:rsidRPr="006E5DEE">
        <w:rPr>
          <w:rFonts w:ascii="Times New Roman" w:hAnsi="Times New Roman" w:cs="Times New Roman"/>
          <w:color w:val="000000" w:themeColor="text1"/>
          <w:sz w:val="24"/>
        </w:rPr>
        <w:t xml:space="preserve">. </w:t>
      </w:r>
    </w:p>
    <w:p w14:paraId="7873242F" w14:textId="234AD30F" w:rsidR="001A15A7" w:rsidRPr="006E5DEE"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Boynton, H.V. “The Washington Safe Burglary Conspiracy.” </w:t>
      </w:r>
      <w:r w:rsidRPr="006E5DEE">
        <w:rPr>
          <w:rFonts w:ascii="Times New Roman" w:hAnsi="Times New Roman" w:cs="Times New Roman"/>
          <w:i/>
          <w:iCs/>
          <w:color w:val="000000" w:themeColor="text1"/>
          <w:sz w:val="24"/>
        </w:rPr>
        <w:t>American Law Review</w:t>
      </w:r>
      <w:r w:rsidRPr="006E5DEE">
        <w:rPr>
          <w:rFonts w:ascii="Times New Roman" w:hAnsi="Times New Roman" w:cs="Times New Roman"/>
          <w:color w:val="000000" w:themeColor="text1"/>
          <w:sz w:val="24"/>
        </w:rPr>
        <w:t xml:space="preserve"> 11, no. 3 (April 1877): 401-446.</w:t>
      </w:r>
    </w:p>
    <w:p w14:paraId="588734C9" w14:textId="088F997B" w:rsidR="001A15A7" w:rsidRPr="008162B4"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Boynton, H.V. “The Whiskey Ring.” </w:t>
      </w:r>
      <w:r w:rsidRPr="006E5DEE">
        <w:rPr>
          <w:rFonts w:ascii="Times New Roman" w:hAnsi="Times New Roman" w:cs="Times New Roman"/>
          <w:i/>
          <w:iCs/>
          <w:color w:val="000000" w:themeColor="text1"/>
          <w:sz w:val="24"/>
        </w:rPr>
        <w:t>North American Review</w:t>
      </w:r>
      <w:r w:rsidRPr="006E5DEE">
        <w:rPr>
          <w:rFonts w:ascii="Times New Roman" w:hAnsi="Times New Roman" w:cs="Times New Roman"/>
          <w:color w:val="000000" w:themeColor="text1"/>
          <w:sz w:val="24"/>
        </w:rPr>
        <w:t xml:space="preserve"> 123 (October 1876). 299-300.</w:t>
      </w:r>
    </w:p>
    <w:p w14:paraId="51D9A6D0" w14:textId="07FFAB8D" w:rsidR="00F0280C" w:rsidRPr="006E5DEE" w:rsidRDefault="00F0280C" w:rsidP="008162B4">
      <w:pPr>
        <w:spacing w:before="240" w:after="0" w:line="480" w:lineRule="auto"/>
        <w:ind w:left="720" w:hanging="720"/>
        <w:contextualSpacing/>
        <w:rPr>
          <w:rFonts w:ascii="Times New Roman" w:hAnsi="Times New Roman" w:cs="Times New Roman"/>
          <w:color w:val="000000" w:themeColor="text1"/>
          <w:sz w:val="24"/>
          <w:szCs w:val="24"/>
        </w:rPr>
      </w:pPr>
      <w:r w:rsidRPr="006E5DEE">
        <w:rPr>
          <w:rFonts w:ascii="Times New Roman" w:hAnsi="Times New Roman" w:cs="Times New Roman"/>
          <w:color w:val="000000" w:themeColor="text1"/>
          <w:sz w:val="24"/>
          <w:szCs w:val="24"/>
        </w:rPr>
        <w:t xml:space="preserve">Brady, Matthew. </w:t>
      </w:r>
      <w:r w:rsidRPr="006E5DEE">
        <w:rPr>
          <w:rFonts w:ascii="Times New Roman" w:hAnsi="Times New Roman" w:cs="Times New Roman"/>
          <w:i/>
          <w:iCs/>
          <w:color w:val="000000" w:themeColor="text1"/>
          <w:sz w:val="24"/>
          <w:szCs w:val="24"/>
        </w:rPr>
        <w:t>Benjamin Helm Bristow</w:t>
      </w:r>
      <w:r w:rsidRPr="006E5DEE">
        <w:rPr>
          <w:rFonts w:ascii="Times New Roman" w:hAnsi="Times New Roman" w:cs="Times New Roman"/>
          <w:color w:val="000000" w:themeColor="text1"/>
          <w:sz w:val="24"/>
          <w:szCs w:val="24"/>
        </w:rPr>
        <w:t xml:space="preserve">. Photograph. Photo Courtesy of the Library of Congress. </w:t>
      </w:r>
      <w:hyperlink r:id="rId50" w:history="1">
        <w:r w:rsidRPr="006E5DEE">
          <w:rPr>
            <w:rStyle w:val="Hyperlink"/>
            <w:rFonts w:ascii="Times New Roman" w:hAnsi="Times New Roman" w:cs="Times New Roman"/>
            <w:color w:val="000000" w:themeColor="text1"/>
            <w:sz w:val="24"/>
            <w:szCs w:val="24"/>
          </w:rPr>
          <w:t>https://loc.gov/pictures/resource/cwpbh.03702/</w:t>
        </w:r>
      </w:hyperlink>
      <w:r w:rsidRPr="006E5DEE">
        <w:rPr>
          <w:rFonts w:ascii="Times New Roman" w:hAnsi="Times New Roman" w:cs="Times New Roman"/>
          <w:color w:val="000000" w:themeColor="text1"/>
          <w:sz w:val="24"/>
          <w:szCs w:val="24"/>
        </w:rPr>
        <w:t xml:space="preserve"> </w:t>
      </w:r>
    </w:p>
    <w:p w14:paraId="7D1C9373" w14:textId="7664E59C" w:rsidR="001A15A7" w:rsidRPr="008162B4" w:rsidRDefault="00A16069" w:rsidP="008162B4">
      <w:pPr>
        <w:spacing w:before="240" w:after="0" w:line="480" w:lineRule="auto"/>
        <w:ind w:left="720" w:hanging="720"/>
        <w:contextualSpacing/>
        <w:rPr>
          <w:rFonts w:ascii="Times New Roman" w:hAnsi="Times New Roman" w:cs="Times New Roman"/>
          <w:color w:val="000000" w:themeColor="text1"/>
          <w:sz w:val="28"/>
          <w:szCs w:val="24"/>
        </w:rPr>
      </w:pPr>
      <w:r w:rsidRPr="006E5DEE">
        <w:rPr>
          <w:rFonts w:ascii="Times New Roman" w:hAnsi="Times New Roman" w:cs="Times New Roman"/>
          <w:color w:val="000000" w:themeColor="text1"/>
          <w:sz w:val="24"/>
          <w:szCs w:val="24"/>
        </w:rPr>
        <w:t xml:space="preserve">Brocket, Linus Pierpont. </w:t>
      </w:r>
      <w:r w:rsidRPr="006E5DEE">
        <w:rPr>
          <w:rFonts w:ascii="Times New Roman" w:hAnsi="Times New Roman" w:cs="Times New Roman"/>
          <w:i/>
          <w:iCs/>
          <w:color w:val="000000" w:themeColor="text1"/>
          <w:sz w:val="24"/>
          <w:szCs w:val="24"/>
        </w:rPr>
        <w:t xml:space="preserve">Our Great Captains: Grant, Sherman, Thomas, Sheridan, and Farragut. </w:t>
      </w:r>
      <w:r w:rsidRPr="006E5DEE">
        <w:rPr>
          <w:rFonts w:ascii="Times New Roman" w:hAnsi="Times New Roman" w:cs="Times New Roman"/>
          <w:color w:val="000000" w:themeColor="text1"/>
          <w:sz w:val="24"/>
          <w:szCs w:val="24"/>
        </w:rPr>
        <w:t>Bedford, MA: Applewood Books, 1865.</w:t>
      </w:r>
    </w:p>
    <w:p w14:paraId="70C42180" w14:textId="17C98404" w:rsidR="001A15A7" w:rsidRPr="006E5DEE"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Cox, Jacob, “How Ebenezer Hoar Ceased to Be Attorney General,” </w:t>
      </w:r>
      <w:r w:rsidRPr="006E5DEE">
        <w:rPr>
          <w:rFonts w:ascii="Times New Roman" w:hAnsi="Times New Roman" w:cs="Times New Roman"/>
          <w:i/>
          <w:iCs/>
          <w:color w:val="000000" w:themeColor="text1"/>
          <w:sz w:val="24"/>
        </w:rPr>
        <w:t>Atlantic Monthly</w:t>
      </w:r>
      <w:r w:rsidRPr="006E5DEE">
        <w:rPr>
          <w:rFonts w:ascii="Times New Roman" w:hAnsi="Times New Roman" w:cs="Times New Roman"/>
          <w:color w:val="000000" w:themeColor="text1"/>
          <w:sz w:val="24"/>
        </w:rPr>
        <w:t xml:space="preserve"> 76, August 1895.</w:t>
      </w:r>
    </w:p>
    <w:p w14:paraId="44F55A85" w14:textId="48C1CB8C" w:rsidR="001A15A7" w:rsidRPr="006E5DEE"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Dayton, L.M. </w:t>
      </w:r>
      <w:r w:rsidRPr="006E5DEE">
        <w:rPr>
          <w:rFonts w:ascii="Times New Roman" w:hAnsi="Times New Roman" w:cs="Times New Roman"/>
          <w:i/>
          <w:iCs/>
          <w:color w:val="000000" w:themeColor="text1"/>
          <w:sz w:val="24"/>
        </w:rPr>
        <w:t>Report of the Proceedings of the Society of the Army of Tennessee at the Seventh Annual Meeting Held at Toledo, Ohio. October 15</w:t>
      </w:r>
      <w:r w:rsidRPr="006E5DEE">
        <w:rPr>
          <w:rFonts w:ascii="Times New Roman" w:hAnsi="Times New Roman" w:cs="Times New Roman"/>
          <w:i/>
          <w:iCs/>
          <w:color w:val="000000" w:themeColor="text1"/>
          <w:sz w:val="24"/>
          <w:vertAlign w:val="superscript"/>
        </w:rPr>
        <w:t>th</w:t>
      </w:r>
      <w:r w:rsidRPr="006E5DEE">
        <w:rPr>
          <w:rFonts w:ascii="Times New Roman" w:hAnsi="Times New Roman" w:cs="Times New Roman"/>
          <w:i/>
          <w:iCs/>
          <w:color w:val="000000" w:themeColor="text1"/>
          <w:sz w:val="24"/>
        </w:rPr>
        <w:t xml:space="preserve"> and 16</w:t>
      </w:r>
      <w:r w:rsidRPr="006E5DEE">
        <w:rPr>
          <w:rFonts w:ascii="Times New Roman" w:hAnsi="Times New Roman" w:cs="Times New Roman"/>
          <w:i/>
          <w:iCs/>
          <w:color w:val="000000" w:themeColor="text1"/>
          <w:sz w:val="24"/>
          <w:vertAlign w:val="superscript"/>
        </w:rPr>
        <w:t>th</w:t>
      </w:r>
      <w:r w:rsidRPr="006E5DEE">
        <w:rPr>
          <w:rFonts w:ascii="Times New Roman" w:hAnsi="Times New Roman" w:cs="Times New Roman"/>
          <w:i/>
          <w:iCs/>
          <w:color w:val="000000" w:themeColor="text1"/>
          <w:sz w:val="24"/>
        </w:rPr>
        <w:t xml:space="preserve">. </w:t>
      </w:r>
      <w:r w:rsidRPr="006E5DEE">
        <w:rPr>
          <w:rFonts w:ascii="Times New Roman" w:hAnsi="Times New Roman" w:cs="Times New Roman"/>
          <w:color w:val="000000" w:themeColor="text1"/>
          <w:sz w:val="24"/>
        </w:rPr>
        <w:t>Cincinnati: Published by the Society, 1877.</w:t>
      </w:r>
    </w:p>
    <w:p w14:paraId="43E069C3" w14:textId="4DAA96B2" w:rsidR="001A15A7" w:rsidRPr="006E5DEE"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Dickens, Charles. </w:t>
      </w:r>
      <w:r w:rsidRPr="006E5DEE">
        <w:rPr>
          <w:rFonts w:ascii="Times New Roman" w:hAnsi="Times New Roman" w:cs="Times New Roman"/>
          <w:i/>
          <w:iCs/>
          <w:color w:val="000000" w:themeColor="text1"/>
          <w:sz w:val="24"/>
        </w:rPr>
        <w:t>American Notes for General Circulation</w:t>
      </w:r>
      <w:r w:rsidRPr="006E5DEE">
        <w:rPr>
          <w:rFonts w:ascii="Times New Roman" w:hAnsi="Times New Roman" w:cs="Times New Roman"/>
          <w:color w:val="000000" w:themeColor="text1"/>
          <w:sz w:val="24"/>
        </w:rPr>
        <w:t>. 2 vols. London, 1842.</w:t>
      </w:r>
    </w:p>
    <w:p w14:paraId="060414B5" w14:textId="24640687" w:rsidR="001A15A7" w:rsidRPr="006E5DEE"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Dillon, John Forrest. </w:t>
      </w:r>
      <w:r w:rsidRPr="006E5DEE">
        <w:rPr>
          <w:rFonts w:ascii="Times New Roman" w:hAnsi="Times New Roman" w:cs="Times New Roman"/>
          <w:i/>
          <w:iCs/>
          <w:color w:val="000000" w:themeColor="text1"/>
          <w:sz w:val="24"/>
        </w:rPr>
        <w:t>Cases Determined in the United States Circuit Courts for the Eighth Circuit</w:t>
      </w:r>
      <w:r w:rsidRPr="006E5DEE">
        <w:rPr>
          <w:rFonts w:ascii="Times New Roman" w:hAnsi="Times New Roman" w:cs="Times New Roman"/>
          <w:color w:val="000000" w:themeColor="text1"/>
          <w:sz w:val="24"/>
        </w:rPr>
        <w:t>. Davenport, IA: Day, Egbert, &amp; Fidlar, 1876.</w:t>
      </w:r>
    </w:p>
    <w:p w14:paraId="0B77D15B" w14:textId="2C5B370B" w:rsidR="001A15A7" w:rsidRPr="008162B4"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Dyer, David Patterson. </w:t>
      </w:r>
      <w:r w:rsidRPr="006E5DEE">
        <w:rPr>
          <w:rFonts w:ascii="Times New Roman" w:hAnsi="Times New Roman" w:cs="Times New Roman"/>
          <w:i/>
          <w:iCs/>
          <w:color w:val="000000" w:themeColor="text1"/>
          <w:sz w:val="24"/>
        </w:rPr>
        <w:t xml:space="preserve">Autobiography and Reminiscences. </w:t>
      </w:r>
      <w:r w:rsidRPr="006E5DEE">
        <w:rPr>
          <w:rFonts w:ascii="Times New Roman" w:hAnsi="Times New Roman" w:cs="Times New Roman"/>
          <w:color w:val="000000" w:themeColor="text1"/>
          <w:sz w:val="24"/>
        </w:rPr>
        <w:t>St. Louis: William Harvey Miner, 1922.</w:t>
      </w:r>
    </w:p>
    <w:p w14:paraId="3E98DF54" w14:textId="425B7E35" w:rsidR="00C5488C" w:rsidRPr="006E5DEE"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The Federal Cases: Cases Argued in the Circuit and District Courts of the United States</w:t>
      </w:r>
      <w:r w:rsidRPr="006E5DEE">
        <w:rPr>
          <w:rFonts w:ascii="Times New Roman" w:hAnsi="Times New Roman" w:cs="Times New Roman"/>
          <w:color w:val="000000" w:themeColor="text1"/>
          <w:sz w:val="24"/>
        </w:rPr>
        <w:t>. St. Paul, MN: West Publishing, 1896.</w:t>
      </w:r>
    </w:p>
    <w:p w14:paraId="44353527" w14:textId="4B058F98" w:rsidR="001A15A7"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lastRenderedPageBreak/>
        <w:t xml:space="preserve">“Fifth L.H. District (Lighthouses of the Atlantic from Delaware Bay to Cape Lookout (larger size)) - Antique Map, 1904.” Accessed March 15, 2023. </w:t>
      </w:r>
      <w:hyperlink r:id="rId51" w:history="1">
        <w:r w:rsidRPr="006E5DEE">
          <w:rPr>
            <w:rStyle w:val="Hyperlink"/>
            <w:rFonts w:ascii="Times New Roman" w:eastAsia="Times New Roman" w:hAnsi="Times New Roman" w:cs="Times New Roman"/>
            <w:color w:val="000000" w:themeColor="text1"/>
            <w:sz w:val="24"/>
            <w:szCs w:val="24"/>
          </w:rPr>
          <w:t>https://mapsofantiquity.com/products/fifth-l-h-district-lighthouses-of-the-atlantic-from-delaware-bay-to-cape-lookout-larger-size-u-s-light-house-service-1904?srsltid=AfmBOoqzLYjpx-DJVw1UeJuX9HP7cqdb-TZWThkwu5AlsGP18j-srOhm</w:t>
        </w:r>
      </w:hyperlink>
      <w:r w:rsidRPr="006E5DEE">
        <w:rPr>
          <w:rFonts w:ascii="Times New Roman" w:eastAsia="Times New Roman" w:hAnsi="Times New Roman" w:cs="Times New Roman"/>
          <w:color w:val="000000" w:themeColor="text1"/>
          <w:sz w:val="24"/>
          <w:szCs w:val="24"/>
        </w:rPr>
        <w:t xml:space="preserve"> </w:t>
      </w:r>
    </w:p>
    <w:p w14:paraId="0B20382A" w14:textId="2F6299FA" w:rsidR="00D44BD7" w:rsidRPr="008162B4" w:rsidRDefault="00D44BD7" w:rsidP="008162B4">
      <w:pPr>
        <w:spacing w:after="0" w:line="480" w:lineRule="auto"/>
        <w:ind w:left="720" w:hanging="720"/>
        <w:contextualSpacing/>
        <w:rPr>
          <w:rFonts w:ascii="Times New Roman" w:hAnsi="Times New Roman" w:cs="Times New Roman"/>
          <w:color w:val="000000" w:themeColor="text1"/>
          <w:sz w:val="28"/>
          <w:szCs w:val="24"/>
        </w:rPr>
      </w:pPr>
      <w:r w:rsidRPr="008162B4">
        <w:rPr>
          <w:rFonts w:ascii="Times New Roman" w:hAnsi="Times New Roman" w:cs="Times New Roman"/>
          <w:i/>
          <w:iCs/>
          <w:color w:val="000000" w:themeColor="text1"/>
          <w:sz w:val="24"/>
          <w:szCs w:val="24"/>
        </w:rPr>
        <w:t xml:space="preserve">Gen. Horace Porter, U.S.A. </w:t>
      </w:r>
      <w:r w:rsidRPr="008162B4">
        <w:rPr>
          <w:rFonts w:ascii="Times New Roman" w:hAnsi="Times New Roman" w:cs="Times New Roman"/>
          <w:color w:val="000000" w:themeColor="text1"/>
          <w:sz w:val="24"/>
          <w:szCs w:val="24"/>
        </w:rPr>
        <w:t xml:space="preserve">[Between 1860 and 1875]. Courtesy of the Library of Congress. </w:t>
      </w:r>
      <w:hyperlink r:id="rId52" w:history="1">
        <w:r w:rsidRPr="008162B4">
          <w:rPr>
            <w:rStyle w:val="Hyperlink"/>
            <w:rFonts w:ascii="Times New Roman" w:hAnsi="Times New Roman" w:cs="Times New Roman"/>
            <w:color w:val="000000" w:themeColor="text1"/>
            <w:sz w:val="24"/>
            <w:szCs w:val="24"/>
          </w:rPr>
          <w:t>https://www.loc.gov/item/2017894198/</w:t>
        </w:r>
      </w:hyperlink>
      <w:r w:rsidRPr="008162B4">
        <w:rPr>
          <w:rFonts w:ascii="Times New Roman" w:hAnsi="Times New Roman" w:cs="Times New Roman"/>
          <w:color w:val="000000" w:themeColor="text1"/>
          <w:sz w:val="24"/>
          <w:szCs w:val="24"/>
        </w:rPr>
        <w:t xml:space="preserve">. </w:t>
      </w:r>
    </w:p>
    <w:p w14:paraId="08057E93" w14:textId="74B9EAE7" w:rsidR="008136A3" w:rsidRPr="006E5DEE" w:rsidRDefault="008136A3"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Garfield, James. </w:t>
      </w:r>
      <w:r w:rsidR="00C5488C" w:rsidRPr="006E5DEE">
        <w:rPr>
          <w:rFonts w:ascii="Times New Roman" w:hAnsi="Times New Roman" w:cs="Times New Roman"/>
          <w:color w:val="000000" w:themeColor="text1"/>
          <w:sz w:val="24"/>
        </w:rPr>
        <w:t>“</w:t>
      </w:r>
      <w:r w:rsidRPr="006E5DEE">
        <w:rPr>
          <w:rFonts w:ascii="Times New Roman" w:hAnsi="Times New Roman" w:cs="Times New Roman"/>
          <w:color w:val="000000" w:themeColor="text1"/>
          <w:sz w:val="24"/>
        </w:rPr>
        <w:t>Inaugural Address.</w:t>
      </w:r>
      <w:r w:rsidR="00C5488C" w:rsidRPr="006E5DEE">
        <w:rPr>
          <w:rFonts w:ascii="Times New Roman" w:hAnsi="Times New Roman" w:cs="Times New Roman"/>
          <w:color w:val="000000" w:themeColor="text1"/>
          <w:sz w:val="24"/>
        </w:rPr>
        <w:t>”</w:t>
      </w:r>
      <w:r w:rsidRPr="006E5DEE">
        <w:rPr>
          <w:rFonts w:ascii="Times New Roman" w:hAnsi="Times New Roman" w:cs="Times New Roman"/>
          <w:color w:val="000000" w:themeColor="text1"/>
          <w:sz w:val="24"/>
        </w:rPr>
        <w:t xml:space="preserve"> March 4, 1881.</w:t>
      </w:r>
    </w:p>
    <w:p w14:paraId="1A05B010" w14:textId="1B758D04" w:rsidR="001A15A7"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"Gen. Babcock Drowned".</w:t>
      </w:r>
      <w:r w:rsidRPr="006E5DEE">
        <w:rPr>
          <w:rFonts w:ascii="Times New Roman" w:hAnsi="Times New Roman" w:cs="Times New Roman"/>
          <w:i/>
          <w:iCs/>
          <w:color w:val="000000" w:themeColor="text1"/>
          <w:sz w:val="24"/>
        </w:rPr>
        <w:t xml:space="preserve"> New York Times. </w:t>
      </w:r>
      <w:r w:rsidRPr="006E5DEE">
        <w:rPr>
          <w:rFonts w:ascii="Times New Roman" w:hAnsi="Times New Roman" w:cs="Times New Roman"/>
          <w:color w:val="000000" w:themeColor="text1"/>
          <w:sz w:val="24"/>
        </w:rPr>
        <w:t>June 4, 1884.</w:t>
      </w:r>
    </w:p>
    <w:p w14:paraId="20353C19" w14:textId="07AF97EA"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Grant, Ulysses S. </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Fifth Annual Message to Congress,</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 xml:space="preserve"> December 1, 1873.</w:t>
      </w:r>
    </w:p>
    <w:p w14:paraId="2955D6F8" w14:textId="7663AE17"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Grant, Ulysses S. </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First Annual Message to Congress,</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 xml:space="preserve"> December 6, 1869.</w:t>
      </w:r>
    </w:p>
    <w:p w14:paraId="61C9F231" w14:textId="691AB07F" w:rsidR="001A15A7"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Grant, Ulysses S. </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Fourth Annual Message to Congress,</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 xml:space="preserve"> December 2, 1872. </w:t>
      </w:r>
    </w:p>
    <w:p w14:paraId="5E89EDC8" w14:textId="3FF1F9FD" w:rsidR="001A15A7" w:rsidRPr="008162B4" w:rsidRDefault="00A16069" w:rsidP="008162B4">
      <w:pPr>
        <w:spacing w:after="0" w:line="480" w:lineRule="auto"/>
        <w:ind w:left="720" w:hanging="720"/>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Grant, Ulysses S. “Reasons Why San Domingo Should Be Annexed to the United States,” 1869.</w:t>
      </w:r>
    </w:p>
    <w:p w14:paraId="39AA8FF1" w14:textId="4110306F"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Grant, Ulysses S. </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Second Annual Message to Congress,</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 xml:space="preserve"> December 5, 1870. </w:t>
      </w:r>
    </w:p>
    <w:p w14:paraId="2451CCE6" w14:textId="251EDDC7"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Grant, Ulysses S. </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Sixth Annual Message to Congress,</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 xml:space="preserve"> December 7, 1874.</w:t>
      </w:r>
    </w:p>
    <w:p w14:paraId="19C3746C" w14:textId="2C2EF1C3" w:rsidR="001A15A7"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Grant, Ulysses S. </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Third Annual Message to Congress,</w:t>
      </w:r>
      <w:r w:rsidR="001A51DF" w:rsidRPr="006E5DEE">
        <w:rPr>
          <w:rFonts w:ascii="Times New Roman" w:eastAsia="Times New Roman" w:hAnsi="Times New Roman" w:cs="Times New Roman"/>
          <w:color w:val="000000" w:themeColor="text1"/>
          <w:sz w:val="24"/>
          <w:szCs w:val="24"/>
        </w:rPr>
        <w:t>”</w:t>
      </w:r>
      <w:r w:rsidRPr="006E5DEE">
        <w:rPr>
          <w:rFonts w:ascii="Times New Roman" w:eastAsia="Times New Roman" w:hAnsi="Times New Roman" w:cs="Times New Roman"/>
          <w:color w:val="000000" w:themeColor="text1"/>
          <w:sz w:val="24"/>
          <w:szCs w:val="24"/>
        </w:rPr>
        <w:t xml:space="preserve"> December 4, 1871.</w:t>
      </w:r>
    </w:p>
    <w:p w14:paraId="53C4A956" w14:textId="1FFD90D8" w:rsidR="001A15A7" w:rsidRPr="006E5DEE" w:rsidRDefault="00A16069" w:rsidP="008162B4">
      <w:pPr>
        <w:spacing w:after="0" w:line="480" w:lineRule="auto"/>
        <w:ind w:left="720" w:hanging="720"/>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Grant, Ulysses S. </w:t>
      </w:r>
      <w:r w:rsidR="001A51DF" w:rsidRPr="006E5DEE">
        <w:rPr>
          <w:rFonts w:ascii="Times New Roman" w:hAnsi="Times New Roman" w:cs="Times New Roman"/>
          <w:color w:val="000000" w:themeColor="text1"/>
          <w:sz w:val="24"/>
        </w:rPr>
        <w:t>“</w:t>
      </w:r>
      <w:r w:rsidRPr="006E5DEE">
        <w:rPr>
          <w:rFonts w:ascii="Times New Roman" w:hAnsi="Times New Roman" w:cs="Times New Roman"/>
          <w:color w:val="000000" w:themeColor="text1"/>
          <w:sz w:val="24"/>
        </w:rPr>
        <w:t>Sixth Annual Message to Congress,</w:t>
      </w:r>
      <w:r w:rsidR="001A51DF" w:rsidRPr="006E5DEE">
        <w:rPr>
          <w:rFonts w:ascii="Times New Roman" w:hAnsi="Times New Roman" w:cs="Times New Roman"/>
          <w:color w:val="000000" w:themeColor="text1"/>
          <w:sz w:val="24"/>
        </w:rPr>
        <w:t>”</w:t>
      </w:r>
      <w:r w:rsidRPr="006E5DEE">
        <w:rPr>
          <w:rFonts w:ascii="Times New Roman" w:hAnsi="Times New Roman" w:cs="Times New Roman"/>
          <w:color w:val="000000" w:themeColor="text1"/>
          <w:sz w:val="24"/>
        </w:rPr>
        <w:t xml:space="preserve"> December 7, 1874. </w:t>
      </w:r>
    </w:p>
    <w:p w14:paraId="501BF352" w14:textId="5DAA817D" w:rsidR="001A15A7" w:rsidRPr="008162B4" w:rsidRDefault="00A16069" w:rsidP="008162B4">
      <w:pPr>
        <w:spacing w:after="0" w:line="480" w:lineRule="auto"/>
        <w:ind w:left="720" w:hanging="720"/>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Grant, Ulysses S. </w:t>
      </w:r>
      <w:r w:rsidR="001A51DF" w:rsidRPr="006E5DEE">
        <w:rPr>
          <w:rFonts w:ascii="Times New Roman" w:hAnsi="Times New Roman" w:cs="Times New Roman"/>
          <w:color w:val="000000" w:themeColor="text1"/>
          <w:sz w:val="24"/>
        </w:rPr>
        <w:t>“</w:t>
      </w:r>
      <w:r w:rsidRPr="006E5DEE">
        <w:rPr>
          <w:rFonts w:ascii="Times New Roman" w:hAnsi="Times New Roman" w:cs="Times New Roman"/>
          <w:color w:val="000000" w:themeColor="text1"/>
          <w:sz w:val="24"/>
        </w:rPr>
        <w:t>Veto Message on Monetary Legislation,</w:t>
      </w:r>
      <w:r w:rsidR="001A51DF" w:rsidRPr="006E5DEE">
        <w:rPr>
          <w:rFonts w:ascii="Times New Roman" w:hAnsi="Times New Roman" w:cs="Times New Roman"/>
          <w:color w:val="000000" w:themeColor="text1"/>
          <w:sz w:val="24"/>
        </w:rPr>
        <w:t>”</w:t>
      </w:r>
      <w:r w:rsidRPr="006E5DEE">
        <w:rPr>
          <w:rFonts w:ascii="Times New Roman" w:hAnsi="Times New Roman" w:cs="Times New Roman"/>
          <w:color w:val="000000" w:themeColor="text1"/>
          <w:sz w:val="24"/>
        </w:rPr>
        <w:t xml:space="preserve"> April 22, 1874.</w:t>
      </w:r>
    </w:p>
    <w:p w14:paraId="0256053C" w14:textId="71367C23" w:rsidR="001A15A7" w:rsidRPr="006E5DEE"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eastAsia="Times New Roman" w:hAnsi="Times New Roman" w:cs="Times New Roman"/>
          <w:color w:val="000000" w:themeColor="text1"/>
          <w:sz w:val="24"/>
          <w:szCs w:val="24"/>
        </w:rPr>
        <w:t xml:space="preserve">Grant, Ulysses S. and John F. Marszalek, ed. with David S. Nolan and Louie P. Gallo. </w:t>
      </w:r>
      <w:r w:rsidRPr="006E5DEE">
        <w:rPr>
          <w:rFonts w:ascii="Times New Roman" w:eastAsia="Times New Roman" w:hAnsi="Times New Roman" w:cs="Times New Roman"/>
          <w:i/>
          <w:iCs/>
          <w:color w:val="000000" w:themeColor="text1"/>
          <w:sz w:val="24"/>
          <w:szCs w:val="24"/>
        </w:rPr>
        <w:t>The Personal Memoirs of Ulysses S. Grant</w:t>
      </w:r>
      <w:r w:rsidRPr="006E5DEE">
        <w:rPr>
          <w:rFonts w:ascii="Times New Roman" w:eastAsia="Times New Roman" w:hAnsi="Times New Roman" w:cs="Times New Roman"/>
          <w:color w:val="000000" w:themeColor="text1"/>
          <w:sz w:val="24"/>
          <w:szCs w:val="24"/>
        </w:rPr>
        <w:t>. The Complete Annotated Edition. Cambridge, MA: Belknap Press, 2017.</w:t>
      </w:r>
    </w:p>
    <w:p w14:paraId="3D70BDFB" w14:textId="524541DA" w:rsidR="001A15A7" w:rsidRPr="006E5DEE"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Hallum, John. </w:t>
      </w:r>
      <w:r w:rsidRPr="006E5DEE">
        <w:rPr>
          <w:rFonts w:ascii="Times New Roman" w:hAnsi="Times New Roman" w:cs="Times New Roman"/>
          <w:i/>
          <w:iCs/>
          <w:color w:val="000000" w:themeColor="text1"/>
          <w:sz w:val="24"/>
        </w:rPr>
        <w:t>The Diary of an Old Lawyer</w:t>
      </w:r>
      <w:r w:rsidRPr="006E5DEE">
        <w:rPr>
          <w:rFonts w:ascii="Times New Roman" w:hAnsi="Times New Roman" w:cs="Times New Roman"/>
          <w:color w:val="000000" w:themeColor="text1"/>
          <w:sz w:val="24"/>
        </w:rPr>
        <w:t>. Nashville: Southwestern Publishing House, 1895.</w:t>
      </w:r>
    </w:p>
    <w:p w14:paraId="79C90AB4" w14:textId="1072B1E1" w:rsidR="001E7C6A" w:rsidRPr="006E5DEE" w:rsidRDefault="001E7C6A" w:rsidP="0074689B">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lastRenderedPageBreak/>
        <w:t>Hamilton Fish.</w:t>
      </w:r>
      <w:r w:rsidRPr="006E5DEE">
        <w:rPr>
          <w:rFonts w:ascii="Times New Roman" w:hAnsi="Times New Roman" w:cs="Times New Roman"/>
          <w:color w:val="000000" w:themeColor="text1"/>
          <w:sz w:val="24"/>
        </w:rPr>
        <w:t xml:space="preserve"> [No Date Recorded on Caption Card]. Photograph. Courtesy of Library Congress. </w:t>
      </w:r>
      <w:hyperlink r:id="rId53" w:history="1">
        <w:r w:rsidRPr="006E5DEE">
          <w:rPr>
            <w:rStyle w:val="Hyperlink"/>
            <w:rFonts w:ascii="Times New Roman" w:hAnsi="Times New Roman" w:cs="Times New Roman"/>
            <w:color w:val="000000" w:themeColor="text1"/>
            <w:sz w:val="24"/>
          </w:rPr>
          <w:t>https://www.loc.gov/item/2004671906/</w:t>
        </w:r>
      </w:hyperlink>
      <w:r w:rsidRPr="006E5DEE">
        <w:rPr>
          <w:rFonts w:ascii="Times New Roman" w:hAnsi="Times New Roman" w:cs="Times New Roman"/>
          <w:color w:val="000000" w:themeColor="text1"/>
          <w:sz w:val="24"/>
        </w:rPr>
        <w:t xml:space="preserve">. </w:t>
      </w:r>
    </w:p>
    <w:p w14:paraId="781CE0B3" w14:textId="45FC1AD7" w:rsidR="001A15A7" w:rsidRPr="006E5DEE"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Howe, T. O. "Is the Republican Party in Its Death-Struggle?" </w:t>
      </w:r>
      <w:r w:rsidRPr="006E5DEE">
        <w:rPr>
          <w:rFonts w:ascii="Times New Roman" w:hAnsi="Times New Roman" w:cs="Times New Roman"/>
          <w:i/>
          <w:iCs/>
          <w:color w:val="000000" w:themeColor="text1"/>
          <w:sz w:val="24"/>
        </w:rPr>
        <w:t>The North American Review</w:t>
      </w:r>
      <w:r w:rsidRPr="006E5DEE">
        <w:rPr>
          <w:rFonts w:ascii="Times New Roman" w:hAnsi="Times New Roman" w:cs="Times New Roman"/>
          <w:color w:val="000000" w:themeColor="text1"/>
          <w:sz w:val="24"/>
        </w:rPr>
        <w:t xml:space="preserve"> 126, no. 262 (1878): 381-403.</w:t>
      </w:r>
    </w:p>
    <w:p w14:paraId="2089A004" w14:textId="739E915B" w:rsidR="001A15A7" w:rsidRPr="006E5DEE"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Joyce, John. </w:t>
      </w:r>
      <w:r w:rsidRPr="006E5DEE">
        <w:rPr>
          <w:rFonts w:ascii="Times New Roman" w:hAnsi="Times New Roman" w:cs="Times New Roman"/>
          <w:i/>
          <w:iCs/>
          <w:color w:val="000000" w:themeColor="text1"/>
          <w:sz w:val="24"/>
        </w:rPr>
        <w:t>A Checkered Life</w:t>
      </w:r>
      <w:r w:rsidRPr="006E5DEE">
        <w:rPr>
          <w:rFonts w:ascii="Times New Roman" w:hAnsi="Times New Roman" w:cs="Times New Roman"/>
          <w:color w:val="000000" w:themeColor="text1"/>
          <w:sz w:val="24"/>
        </w:rPr>
        <w:t>. Chicago: S.P. Rounds, 1883.</w:t>
      </w:r>
    </w:p>
    <w:p w14:paraId="70A3CACF" w14:textId="253B3570" w:rsidR="001A15A7" w:rsidRPr="008162B4"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Keim, DeB. Randolph, </w:t>
      </w:r>
      <w:r w:rsidRPr="006E5DEE">
        <w:rPr>
          <w:rFonts w:ascii="Times New Roman" w:hAnsi="Times New Roman" w:cs="Times New Roman"/>
          <w:i/>
          <w:iCs/>
          <w:color w:val="000000" w:themeColor="text1"/>
          <w:sz w:val="24"/>
        </w:rPr>
        <w:t>San Domingo</w:t>
      </w:r>
      <w:r w:rsidRPr="006E5DEE">
        <w:rPr>
          <w:rFonts w:ascii="Times New Roman" w:hAnsi="Times New Roman" w:cs="Times New Roman"/>
          <w:color w:val="000000" w:themeColor="text1"/>
          <w:sz w:val="24"/>
        </w:rPr>
        <w:t>. Philadelphia: Claxton, Remsen, and Haffelfinger, 1870.</w:t>
      </w:r>
    </w:p>
    <w:p w14:paraId="15239123" w14:textId="6B7DDA62" w:rsidR="001A15A7" w:rsidRPr="008162B4"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eastAsia="Times New Roman" w:hAnsi="Times New Roman" w:cs="Times New Roman"/>
          <w:color w:val="000000" w:themeColor="text1"/>
          <w:sz w:val="24"/>
          <w:szCs w:val="24"/>
        </w:rPr>
        <w:t xml:space="preserve">McDonald, Gen. John, </w:t>
      </w:r>
      <w:r w:rsidRPr="006E5DEE">
        <w:rPr>
          <w:rFonts w:ascii="Times New Roman" w:eastAsia="Times New Roman" w:hAnsi="Times New Roman" w:cs="Times New Roman"/>
          <w:i/>
          <w:iCs/>
          <w:color w:val="000000" w:themeColor="text1"/>
          <w:sz w:val="24"/>
          <w:szCs w:val="24"/>
        </w:rPr>
        <w:t>Secrets of the Great Whiskey Ring: And Eighteen Months in the Penitentiary. Containing a Complete Exposure of the Illicit Whiskey Frauds Culminating in 1875, with Documentary Proofs. to which is Added the Author's Remarkable Experiences while a Convict in the Missouri Penitentiary, at Jefferson City</w:t>
      </w:r>
      <w:r w:rsidRPr="006E5DEE">
        <w:rPr>
          <w:rFonts w:ascii="Times New Roman" w:eastAsia="Times New Roman" w:hAnsi="Times New Roman" w:cs="Times New Roman"/>
          <w:color w:val="000000" w:themeColor="text1"/>
          <w:sz w:val="24"/>
          <w:szCs w:val="24"/>
        </w:rPr>
        <w:t>. St. Louis, Mo: W. S. Bryan, 1880.</w:t>
      </w:r>
    </w:p>
    <w:p w14:paraId="258480B5" w14:textId="134AEC81" w:rsidR="001A15A7" w:rsidRPr="008162B4" w:rsidRDefault="00A16069" w:rsidP="008162B4">
      <w:pPr>
        <w:spacing w:before="240" w:after="0"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More About The Washington Tammany: Its Tool in Congress Unmasked, Letter From John H. Crane to Norton P. Chapman, Delegate in Congress from the District of Columbia, In Which the Frauds of the District Ring are Shown Up, and the Mendacious Falsehoods of Their Delegate in Congress Exposed</w:t>
      </w:r>
      <w:r w:rsidRPr="006E5DEE">
        <w:rPr>
          <w:rFonts w:ascii="Times New Roman" w:eastAsia="Times New Roman" w:hAnsi="Times New Roman" w:cs="Times New Roman"/>
          <w:color w:val="000000" w:themeColor="text1"/>
          <w:sz w:val="24"/>
          <w:szCs w:val="24"/>
        </w:rPr>
        <w:t>. Washington: Harvard University, February 21, 1873</w:t>
      </w:r>
      <w:r w:rsidR="008162B4">
        <w:rPr>
          <w:rFonts w:ascii="Times New Roman" w:eastAsia="Times New Roman" w:hAnsi="Times New Roman" w:cs="Times New Roman"/>
          <w:color w:val="000000" w:themeColor="text1"/>
          <w:sz w:val="24"/>
          <w:szCs w:val="24"/>
        </w:rPr>
        <w:t>.</w:t>
      </w:r>
    </w:p>
    <w:p w14:paraId="2AA12203" w14:textId="3C5FBDE5" w:rsidR="001A15A7" w:rsidRPr="006E5DEE" w:rsidRDefault="00991A32" w:rsidP="008162B4">
      <w:pPr>
        <w:pStyle w:val="NormalWeb"/>
        <w:spacing w:before="0" w:beforeAutospacing="0" w:after="0" w:afterAutospacing="0" w:line="480" w:lineRule="auto"/>
        <w:ind w:left="720" w:hanging="720"/>
        <w:rPr>
          <w:color w:val="000000" w:themeColor="text1"/>
        </w:rPr>
      </w:pPr>
      <w:r w:rsidRPr="006E5DEE">
        <w:rPr>
          <w:color w:val="000000" w:themeColor="text1"/>
        </w:rPr>
        <w:t xml:space="preserve">Nast, Thomas. “Peace in Union.” Originally 1895. </w:t>
      </w:r>
      <w:r w:rsidRPr="006E5DEE">
        <w:rPr>
          <w:i/>
          <w:iCs/>
          <w:color w:val="000000" w:themeColor="text1"/>
        </w:rPr>
        <w:t>ThomasNast.com</w:t>
      </w:r>
      <w:r w:rsidRPr="006E5DEE">
        <w:rPr>
          <w:color w:val="000000" w:themeColor="text1"/>
        </w:rPr>
        <w:t xml:space="preserve">, November 16, 2022. </w:t>
      </w:r>
      <w:hyperlink r:id="rId54" w:history="1">
        <w:r w:rsidRPr="006E5DEE">
          <w:rPr>
            <w:rStyle w:val="Hyperlink"/>
            <w:color w:val="000000" w:themeColor="text1"/>
          </w:rPr>
          <w:t>https://thomasnast.com/cartoons/peace-in-union/</w:t>
        </w:r>
      </w:hyperlink>
      <w:r w:rsidRPr="006E5DEE">
        <w:rPr>
          <w:color w:val="000000" w:themeColor="text1"/>
        </w:rPr>
        <w:t xml:space="preserve">. </w:t>
      </w:r>
    </w:p>
    <w:p w14:paraId="30C619DB" w14:textId="4004DA66"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Pincus, Lionel, and Princess Firyal Map Division, The New York Public Library. "Sixth l. h. district" </w:t>
      </w:r>
      <w:r w:rsidRPr="006E5DEE">
        <w:rPr>
          <w:rFonts w:ascii="Times New Roman" w:eastAsia="Times New Roman" w:hAnsi="Times New Roman" w:cs="Times New Roman"/>
          <w:i/>
          <w:iCs/>
          <w:color w:val="000000" w:themeColor="text1"/>
          <w:sz w:val="24"/>
          <w:szCs w:val="24"/>
        </w:rPr>
        <w:t>New York Public Library Digital Collections</w:t>
      </w:r>
      <w:r w:rsidRPr="006E5DEE">
        <w:rPr>
          <w:rFonts w:ascii="Times New Roman" w:eastAsia="Times New Roman" w:hAnsi="Times New Roman" w:cs="Times New Roman"/>
          <w:color w:val="000000" w:themeColor="text1"/>
          <w:sz w:val="24"/>
          <w:szCs w:val="24"/>
        </w:rPr>
        <w:t xml:space="preserve">. Accessed March 15, 2023 </w:t>
      </w:r>
    </w:p>
    <w:p w14:paraId="72EEEA6E" w14:textId="153B5D97" w:rsidR="001A15A7" w:rsidRPr="006E5DEE" w:rsidRDefault="00A16069" w:rsidP="008162B4">
      <w:pPr>
        <w:spacing w:before="240" w:after="0"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Poore. Benjamin Perley. </w:t>
      </w:r>
      <w:r w:rsidRPr="006E5DEE">
        <w:rPr>
          <w:rFonts w:ascii="Times New Roman" w:eastAsia="Times New Roman" w:hAnsi="Times New Roman" w:cs="Times New Roman"/>
          <w:i/>
          <w:iCs/>
          <w:color w:val="000000" w:themeColor="text1"/>
          <w:sz w:val="24"/>
          <w:szCs w:val="24"/>
        </w:rPr>
        <w:t>Perley’s Reminiscences of Sixty Years in the National Metropolis</w:t>
      </w:r>
      <w:r w:rsidRPr="006E5DEE">
        <w:rPr>
          <w:rFonts w:ascii="Times New Roman" w:eastAsia="Times New Roman" w:hAnsi="Times New Roman" w:cs="Times New Roman"/>
          <w:color w:val="000000" w:themeColor="text1"/>
          <w:sz w:val="24"/>
          <w:szCs w:val="24"/>
        </w:rPr>
        <w:t>. Philadelphia: Hubbard Brothers, 1886.</w:t>
      </w:r>
    </w:p>
    <w:p w14:paraId="0755D360" w14:textId="218217DD" w:rsidR="001A15A7" w:rsidRPr="006E5DEE" w:rsidRDefault="00A16069" w:rsidP="008162B4">
      <w:pPr>
        <w:spacing w:before="240" w:after="0"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lastRenderedPageBreak/>
        <w:t xml:space="preserve">Porter, Gen. Horace with Wayne C. Temple, ed. </w:t>
      </w:r>
      <w:r w:rsidRPr="006E5DEE">
        <w:rPr>
          <w:rFonts w:ascii="Times New Roman" w:eastAsia="Times New Roman" w:hAnsi="Times New Roman" w:cs="Times New Roman"/>
          <w:i/>
          <w:iCs/>
          <w:color w:val="000000" w:themeColor="text1"/>
          <w:sz w:val="24"/>
          <w:szCs w:val="24"/>
        </w:rPr>
        <w:t>Campaigning with Grant</w:t>
      </w:r>
      <w:r w:rsidRPr="006E5DEE">
        <w:rPr>
          <w:rFonts w:ascii="Times New Roman" w:eastAsia="Times New Roman" w:hAnsi="Times New Roman" w:cs="Times New Roman"/>
          <w:color w:val="000000" w:themeColor="text1"/>
          <w:sz w:val="24"/>
          <w:szCs w:val="24"/>
        </w:rPr>
        <w:t>. New York: Bonanza Books, 1897.</w:t>
      </w:r>
    </w:p>
    <w:p w14:paraId="075BC07B" w14:textId="16DA40FF" w:rsidR="001A15A7" w:rsidRPr="008162B4" w:rsidRDefault="00A16069" w:rsidP="008162B4">
      <w:pPr>
        <w:spacing w:before="240" w:after="0"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Porter, Gen. Horace. “Personal Traits of General Grant.” </w:t>
      </w:r>
      <w:r w:rsidRPr="006E5DEE">
        <w:rPr>
          <w:rFonts w:ascii="Times New Roman" w:eastAsia="Times New Roman" w:hAnsi="Times New Roman" w:cs="Times New Roman"/>
          <w:i/>
          <w:iCs/>
          <w:color w:val="000000" w:themeColor="text1"/>
          <w:sz w:val="24"/>
          <w:szCs w:val="24"/>
        </w:rPr>
        <w:t>McClure’s Magazine</w:t>
      </w:r>
      <w:r w:rsidRPr="006E5DEE">
        <w:rPr>
          <w:rFonts w:ascii="Times New Roman" w:eastAsia="Times New Roman" w:hAnsi="Times New Roman" w:cs="Times New Roman"/>
          <w:color w:val="000000" w:themeColor="text1"/>
          <w:sz w:val="24"/>
          <w:szCs w:val="24"/>
        </w:rPr>
        <w:t xml:space="preserve"> vol. II, no. 6 (May 1894).</w:t>
      </w:r>
    </w:p>
    <w:p w14:paraId="5812C93D" w14:textId="4DFC2398" w:rsidR="001A15A7" w:rsidRPr="008162B4"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t xml:space="preserve">Reid, Whitelaw with C. Vann Woodward, ed. </w:t>
      </w:r>
      <w:r w:rsidRPr="006E5DEE">
        <w:rPr>
          <w:rFonts w:ascii="Times New Roman" w:hAnsi="Times New Roman" w:cs="Times New Roman"/>
          <w:i/>
          <w:iCs/>
          <w:color w:val="000000" w:themeColor="text1"/>
          <w:sz w:val="24"/>
        </w:rPr>
        <w:t>After the War: A Tour of the Southern States, 1865-1866.</w:t>
      </w:r>
      <w:r w:rsidRPr="006E5DEE">
        <w:rPr>
          <w:rFonts w:ascii="Times New Roman" w:hAnsi="Times New Roman" w:cs="Times New Roman"/>
          <w:color w:val="000000" w:themeColor="text1"/>
          <w:sz w:val="24"/>
        </w:rPr>
        <w:t xml:space="preserve"> New York: Harper Torchbooks, 1965.</w:t>
      </w:r>
    </w:p>
    <w:p w14:paraId="3632B703" w14:textId="5CEE5775" w:rsidR="001A15A7" w:rsidRPr="008162B4" w:rsidRDefault="00A16069" w:rsidP="008162B4">
      <w:pPr>
        <w:spacing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i/>
          <w:iCs/>
          <w:color w:val="000000" w:themeColor="text1"/>
          <w:sz w:val="24"/>
        </w:rPr>
        <w:t>Report of the Chief of Engineers</w:t>
      </w:r>
      <w:r w:rsidRPr="006E5DEE">
        <w:rPr>
          <w:rFonts w:ascii="Times New Roman" w:hAnsi="Times New Roman" w:cs="Times New Roman"/>
          <w:color w:val="000000" w:themeColor="text1"/>
          <w:sz w:val="24"/>
        </w:rPr>
        <w:t>, 42</w:t>
      </w:r>
      <w:r w:rsidRPr="006E5DEE">
        <w:rPr>
          <w:rFonts w:ascii="Times New Roman" w:hAnsi="Times New Roman" w:cs="Times New Roman"/>
          <w:color w:val="000000" w:themeColor="text1"/>
          <w:sz w:val="24"/>
          <w:vertAlign w:val="superscript"/>
        </w:rPr>
        <w:t>nd</w:t>
      </w:r>
      <w:r w:rsidRPr="006E5DEE">
        <w:rPr>
          <w:rFonts w:ascii="Times New Roman" w:hAnsi="Times New Roman" w:cs="Times New Roman"/>
          <w:color w:val="000000" w:themeColor="text1"/>
          <w:sz w:val="24"/>
        </w:rPr>
        <w:t xml:space="preserve"> Congress, 2</w:t>
      </w:r>
      <w:r w:rsidRPr="006E5DEE">
        <w:rPr>
          <w:rFonts w:ascii="Times New Roman" w:hAnsi="Times New Roman" w:cs="Times New Roman"/>
          <w:color w:val="000000" w:themeColor="text1"/>
          <w:sz w:val="24"/>
          <w:vertAlign w:val="superscript"/>
        </w:rPr>
        <w:t>nd</w:t>
      </w:r>
      <w:r w:rsidRPr="006E5DEE">
        <w:rPr>
          <w:rFonts w:ascii="Times New Roman" w:hAnsi="Times New Roman" w:cs="Times New Roman"/>
          <w:color w:val="000000" w:themeColor="text1"/>
          <w:sz w:val="24"/>
        </w:rPr>
        <w:t xml:space="preserve"> sess. H. Exdoc 1 (1871).</w:t>
      </w:r>
    </w:p>
    <w:p w14:paraId="14DA98CF" w14:textId="3E9E0A28" w:rsidR="00CA2480" w:rsidRPr="006E5DEE" w:rsidRDefault="00CA2480"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Schile</w:t>
      </w:r>
      <w:r w:rsidR="00091725" w:rsidRPr="006E5DEE">
        <w:rPr>
          <w:rFonts w:ascii="Times New Roman" w:eastAsia="Times New Roman" w:hAnsi="Times New Roman" w:cs="Times New Roman"/>
          <w:color w:val="000000" w:themeColor="text1"/>
          <w:sz w:val="24"/>
          <w:szCs w:val="24"/>
        </w:rPr>
        <w:t xml:space="preserve">, Henry. </w:t>
      </w:r>
      <w:r w:rsidR="00091725" w:rsidRPr="006E5DEE">
        <w:rPr>
          <w:rFonts w:ascii="Times New Roman" w:eastAsia="Times New Roman" w:hAnsi="Times New Roman" w:cs="Times New Roman"/>
          <w:i/>
          <w:iCs/>
          <w:color w:val="000000" w:themeColor="text1"/>
          <w:sz w:val="24"/>
          <w:szCs w:val="24"/>
        </w:rPr>
        <w:t>Charles Sumner</w:t>
      </w:r>
      <w:r w:rsidR="00091725" w:rsidRPr="006E5DEE">
        <w:rPr>
          <w:rFonts w:ascii="Times New Roman" w:eastAsia="Times New Roman" w:hAnsi="Times New Roman" w:cs="Times New Roman"/>
          <w:color w:val="000000" w:themeColor="text1"/>
          <w:sz w:val="24"/>
          <w:szCs w:val="24"/>
        </w:rPr>
        <w:t xml:space="preserve">. ca. 1874. New York: Published by H. Schile, 36 Division St. Photo of original lithograph. Courtesy of the Library of Congress. </w:t>
      </w:r>
      <w:hyperlink r:id="rId55" w:history="1">
        <w:r w:rsidR="00091725" w:rsidRPr="006E5DEE">
          <w:rPr>
            <w:rStyle w:val="Hyperlink"/>
            <w:rFonts w:ascii="Times New Roman" w:eastAsia="Times New Roman" w:hAnsi="Times New Roman" w:cs="Times New Roman"/>
            <w:color w:val="000000" w:themeColor="text1"/>
            <w:sz w:val="24"/>
            <w:szCs w:val="24"/>
          </w:rPr>
          <w:t>https://www.loc.gov/item/98503989/</w:t>
        </w:r>
      </w:hyperlink>
      <w:r w:rsidR="00091725" w:rsidRPr="006E5DEE">
        <w:rPr>
          <w:rFonts w:ascii="Times New Roman" w:eastAsia="Times New Roman" w:hAnsi="Times New Roman" w:cs="Times New Roman"/>
          <w:color w:val="000000" w:themeColor="text1"/>
          <w:sz w:val="24"/>
          <w:szCs w:val="24"/>
        </w:rPr>
        <w:t xml:space="preserve">. </w:t>
      </w:r>
    </w:p>
    <w:p w14:paraId="6EB89876" w14:textId="4FF87486"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Sherman, William Tecumseh. </w:t>
      </w:r>
      <w:r w:rsidRPr="006E5DEE">
        <w:rPr>
          <w:rFonts w:ascii="Times New Roman" w:eastAsia="Times New Roman" w:hAnsi="Times New Roman" w:cs="Times New Roman"/>
          <w:i/>
          <w:iCs/>
          <w:color w:val="000000" w:themeColor="text1"/>
          <w:sz w:val="24"/>
          <w:szCs w:val="24"/>
        </w:rPr>
        <w:t>Memoirs of General William T. Sherman</w:t>
      </w:r>
      <w:r w:rsidRPr="006E5DEE">
        <w:rPr>
          <w:rFonts w:ascii="Times New Roman" w:eastAsia="Times New Roman" w:hAnsi="Times New Roman" w:cs="Times New Roman"/>
          <w:color w:val="000000" w:themeColor="text1"/>
          <w:sz w:val="24"/>
          <w:szCs w:val="24"/>
        </w:rPr>
        <w:t>. Second Ed. New York: D. Appleton &amp; Co., 1889.</w:t>
      </w:r>
    </w:p>
    <w:p w14:paraId="1ECA1828" w14:textId="099B2A46"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Smith, B.B., </w:t>
      </w:r>
      <w:r w:rsidRPr="006E5DEE">
        <w:rPr>
          <w:rFonts w:ascii="Times New Roman" w:eastAsia="Times New Roman" w:hAnsi="Times New Roman" w:cs="Times New Roman"/>
          <w:i/>
          <w:iCs/>
          <w:color w:val="000000" w:themeColor="text1"/>
          <w:sz w:val="24"/>
          <w:szCs w:val="24"/>
        </w:rPr>
        <w:t>Account of Orville E. Babcock’s Death by B.B. Smith</w:t>
      </w:r>
      <w:r w:rsidRPr="006E5DEE">
        <w:rPr>
          <w:rFonts w:ascii="Times New Roman" w:eastAsia="Times New Roman" w:hAnsi="Times New Roman" w:cs="Times New Roman"/>
          <w:color w:val="000000" w:themeColor="text1"/>
          <w:sz w:val="24"/>
          <w:szCs w:val="24"/>
        </w:rPr>
        <w:t>, June 7, 1884</w:t>
      </w:r>
    </w:p>
    <w:p w14:paraId="005238C6" w14:textId="20B180FF"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Speech by Ulysses S. Grant to the National Republican Convention in Cincinnati, June 19, 1876, as reported in </w:t>
      </w:r>
      <w:r w:rsidRPr="006E5DEE">
        <w:rPr>
          <w:rFonts w:ascii="Times New Roman" w:eastAsia="Times New Roman" w:hAnsi="Times New Roman" w:cs="Times New Roman"/>
          <w:i/>
          <w:iCs/>
          <w:color w:val="000000" w:themeColor="text1"/>
          <w:sz w:val="24"/>
          <w:szCs w:val="24"/>
        </w:rPr>
        <w:t>New York Herald</w:t>
      </w:r>
      <w:r w:rsidRPr="006E5DEE">
        <w:rPr>
          <w:rFonts w:ascii="Times New Roman" w:eastAsia="Times New Roman" w:hAnsi="Times New Roman" w:cs="Times New Roman"/>
          <w:color w:val="000000" w:themeColor="text1"/>
          <w:sz w:val="24"/>
          <w:szCs w:val="24"/>
        </w:rPr>
        <w:t>, June 20, 1876.</w:t>
      </w:r>
    </w:p>
    <w:p w14:paraId="40D163E1" w14:textId="54AE67A4" w:rsidR="0011548B" w:rsidRPr="008162B4" w:rsidRDefault="0011548B" w:rsidP="008162B4">
      <w:pPr>
        <w:spacing w:after="0" w:line="480" w:lineRule="auto"/>
        <w:ind w:left="720" w:hanging="720"/>
        <w:rPr>
          <w:rFonts w:ascii="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Taylor, </w:t>
      </w:r>
      <w:r w:rsidRPr="006E5DEE">
        <w:rPr>
          <w:rFonts w:ascii="Times New Roman" w:hAnsi="Times New Roman" w:cs="Times New Roman"/>
          <w:color w:val="000000" w:themeColor="text1"/>
          <w:sz w:val="24"/>
          <w:szCs w:val="24"/>
        </w:rPr>
        <w:t xml:space="preserve">James E. “Dominican Republic: The embarkadero, or wharf, of Santo Domingo, showing the Columbus Tree in the background,” ca. 1871. Photograph of original watercolor painting. Courtesy of the Library of Congress. </w:t>
      </w:r>
      <w:hyperlink r:id="rId56" w:history="1">
        <w:r w:rsidRPr="006E5DEE">
          <w:rPr>
            <w:rStyle w:val="Hyperlink"/>
            <w:rFonts w:ascii="Times New Roman" w:hAnsi="Times New Roman" w:cs="Times New Roman"/>
            <w:color w:val="000000" w:themeColor="text1"/>
            <w:sz w:val="24"/>
            <w:szCs w:val="24"/>
          </w:rPr>
          <w:t>https://www.loc.gov/item/2003655463/</w:t>
        </w:r>
      </w:hyperlink>
      <w:r w:rsidRPr="006E5DEE">
        <w:rPr>
          <w:rFonts w:ascii="Times New Roman" w:hAnsi="Times New Roman" w:cs="Times New Roman"/>
          <w:color w:val="000000" w:themeColor="text1"/>
          <w:sz w:val="24"/>
          <w:szCs w:val="24"/>
        </w:rPr>
        <w:t xml:space="preserve">. </w:t>
      </w:r>
    </w:p>
    <w:p w14:paraId="7D7E599A" w14:textId="41CAD07A"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Tindall, William. “A Sketch of Alexander Robey Shepherd.” </w:t>
      </w:r>
      <w:r w:rsidRPr="006E5DEE">
        <w:rPr>
          <w:rFonts w:ascii="Times New Roman" w:eastAsia="Times New Roman" w:hAnsi="Times New Roman" w:cs="Times New Roman"/>
          <w:i/>
          <w:iCs/>
          <w:color w:val="000000" w:themeColor="text1"/>
          <w:sz w:val="24"/>
          <w:szCs w:val="24"/>
        </w:rPr>
        <w:t>Records of the Columbia Historical Society</w:t>
      </w:r>
      <w:r w:rsidRPr="006E5DEE">
        <w:rPr>
          <w:rFonts w:ascii="Times New Roman" w:eastAsia="Times New Roman" w:hAnsi="Times New Roman" w:cs="Times New Roman"/>
          <w:color w:val="000000" w:themeColor="text1"/>
          <w:sz w:val="24"/>
          <w:szCs w:val="24"/>
        </w:rPr>
        <w:t>, 14 (1911).</w:t>
      </w:r>
    </w:p>
    <w:p w14:paraId="06B8C374" w14:textId="1CACA041" w:rsidR="001A15A7"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Tilden, Samuel Jones. “The New York City Ring: It’s Origin, Maturity, and Fall” (first published 1873), in </w:t>
      </w:r>
      <w:r w:rsidRPr="006E5DEE">
        <w:rPr>
          <w:rFonts w:ascii="Times New Roman" w:eastAsia="Times New Roman" w:hAnsi="Times New Roman" w:cs="Times New Roman"/>
          <w:i/>
          <w:iCs/>
          <w:color w:val="000000" w:themeColor="text1"/>
          <w:sz w:val="24"/>
          <w:szCs w:val="24"/>
        </w:rPr>
        <w:t>The Writing and Speeches of Samuel J. Tilden</w:t>
      </w:r>
      <w:r w:rsidRPr="006E5DEE">
        <w:rPr>
          <w:rFonts w:ascii="Times New Roman" w:eastAsia="Times New Roman" w:hAnsi="Times New Roman" w:cs="Times New Roman"/>
          <w:color w:val="000000" w:themeColor="text1"/>
          <w:sz w:val="24"/>
          <w:szCs w:val="24"/>
        </w:rPr>
        <w:t>, vol. 1, ed. John Bigelow (New York: Harper &amp; Brothers, 1885).</w:t>
      </w:r>
    </w:p>
    <w:p w14:paraId="1B2F18EE" w14:textId="258C9F7A" w:rsidR="001A15A7" w:rsidRPr="008162B4" w:rsidRDefault="00A16069" w:rsidP="008162B4">
      <w:pPr>
        <w:spacing w:before="240" w:after="0" w:line="480" w:lineRule="auto"/>
        <w:ind w:left="720" w:hanging="720"/>
        <w:contextualSpacing/>
        <w:rPr>
          <w:rFonts w:ascii="Times New Roman" w:hAnsi="Times New Roman" w:cs="Times New Roman"/>
          <w:color w:val="000000" w:themeColor="text1"/>
          <w:sz w:val="24"/>
        </w:rPr>
      </w:pPr>
      <w:r w:rsidRPr="006E5DEE">
        <w:rPr>
          <w:rFonts w:ascii="Times New Roman" w:hAnsi="Times New Roman" w:cs="Times New Roman"/>
          <w:color w:val="000000" w:themeColor="text1"/>
          <w:sz w:val="24"/>
        </w:rPr>
        <w:lastRenderedPageBreak/>
        <w:t xml:space="preserve">Townsend, George Alfred. </w:t>
      </w:r>
      <w:r w:rsidRPr="006E5DEE">
        <w:rPr>
          <w:rFonts w:ascii="Times New Roman" w:hAnsi="Times New Roman" w:cs="Times New Roman"/>
          <w:i/>
          <w:iCs/>
          <w:color w:val="000000" w:themeColor="text1"/>
          <w:sz w:val="24"/>
        </w:rPr>
        <w:t>New Washington, or the Renovated City</w:t>
      </w:r>
      <w:r w:rsidRPr="006E5DEE">
        <w:rPr>
          <w:rFonts w:ascii="Times New Roman" w:hAnsi="Times New Roman" w:cs="Times New Roman"/>
          <w:color w:val="000000" w:themeColor="text1"/>
          <w:sz w:val="24"/>
        </w:rPr>
        <w:t>. Washington: Chronicle Publishing Company, 1874.</w:t>
      </w:r>
      <w:bookmarkStart w:id="116" w:name="_Hlk70510523"/>
    </w:p>
    <w:p w14:paraId="4A306C06" w14:textId="792F0065" w:rsidR="00A16069" w:rsidRPr="006E5DEE" w:rsidRDefault="00A16069" w:rsidP="0074689B">
      <w:pPr>
        <w:spacing w:before="240" w:after="0" w:line="480" w:lineRule="auto"/>
        <w:ind w:left="720" w:hanging="720"/>
        <w:contextualSpacing/>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“The Washington Conspiracy Case.” </w:t>
      </w:r>
      <w:r w:rsidRPr="006E5DEE">
        <w:rPr>
          <w:rFonts w:ascii="Times New Roman" w:eastAsia="Times New Roman" w:hAnsi="Times New Roman" w:cs="Times New Roman"/>
          <w:i/>
          <w:iCs/>
          <w:color w:val="000000" w:themeColor="text1"/>
          <w:sz w:val="24"/>
          <w:szCs w:val="24"/>
        </w:rPr>
        <w:t>American Law Review, 1874-1875</w:t>
      </w:r>
      <w:r w:rsidRPr="006E5DEE">
        <w:rPr>
          <w:rFonts w:ascii="Times New Roman" w:eastAsia="Times New Roman" w:hAnsi="Times New Roman" w:cs="Times New Roman"/>
          <w:color w:val="000000" w:themeColor="text1"/>
          <w:sz w:val="24"/>
          <w:szCs w:val="24"/>
        </w:rPr>
        <w:t xml:space="preserve"> 9, no. 1 (October 1874): 351-359.</w:t>
      </w:r>
    </w:p>
    <w:p w14:paraId="31E5BFF5" w14:textId="06772FFC" w:rsidR="001A15A7" w:rsidRPr="008162B4"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Wharton, Edith. “The Whiskey Ri</w:t>
      </w:r>
      <w:r w:rsidR="008162B4">
        <w:rPr>
          <w:rFonts w:ascii="Times New Roman" w:eastAsia="Times New Roman" w:hAnsi="Times New Roman" w:cs="Times New Roman"/>
          <w:color w:val="000000" w:themeColor="text1"/>
          <w:sz w:val="24"/>
          <w:szCs w:val="24"/>
        </w:rPr>
        <w:t>n</w:t>
      </w:r>
      <w:r w:rsidRPr="006E5DEE">
        <w:rPr>
          <w:rFonts w:ascii="Times New Roman" w:eastAsia="Times New Roman" w:hAnsi="Times New Roman" w:cs="Times New Roman"/>
          <w:color w:val="000000" w:themeColor="text1"/>
          <w:sz w:val="24"/>
          <w:szCs w:val="24"/>
        </w:rPr>
        <w:t xml:space="preserve">g.” </w:t>
      </w:r>
      <w:r w:rsidRPr="006E5DEE">
        <w:rPr>
          <w:rFonts w:ascii="Times New Roman" w:eastAsia="Times New Roman" w:hAnsi="Times New Roman" w:cs="Times New Roman"/>
          <w:i/>
          <w:iCs/>
          <w:color w:val="000000" w:themeColor="text1"/>
          <w:sz w:val="24"/>
          <w:szCs w:val="24"/>
        </w:rPr>
        <w:t>North American Review</w:t>
      </w:r>
      <w:r w:rsidRPr="006E5DEE">
        <w:rPr>
          <w:rFonts w:ascii="Times New Roman" w:eastAsia="Times New Roman" w:hAnsi="Times New Roman" w:cs="Times New Roman"/>
          <w:color w:val="000000" w:themeColor="text1"/>
          <w:sz w:val="24"/>
          <w:szCs w:val="24"/>
        </w:rPr>
        <w:t xml:space="preserve"> 12 (1876) 282-283.</w:t>
      </w:r>
    </w:p>
    <w:p w14:paraId="25086ABA" w14:textId="25788A53"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i/>
          <w:iCs/>
          <w:color w:val="000000" w:themeColor="text1"/>
          <w:sz w:val="24"/>
          <w:szCs w:val="24"/>
        </w:rPr>
        <w:t>Whiskey Frauds Testimony</w:t>
      </w:r>
    </w:p>
    <w:p w14:paraId="625DD248" w14:textId="1C5F67B5"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Wilde, Oscar. </w:t>
      </w:r>
      <w:r w:rsidRPr="006E5DEE">
        <w:rPr>
          <w:rFonts w:ascii="Times New Roman" w:eastAsia="Times New Roman" w:hAnsi="Times New Roman" w:cs="Times New Roman"/>
          <w:i/>
          <w:iCs/>
          <w:color w:val="000000" w:themeColor="text1"/>
          <w:sz w:val="24"/>
          <w:szCs w:val="24"/>
        </w:rPr>
        <w:t>Lady Windermere’s Fan</w:t>
      </w:r>
      <w:r w:rsidRPr="006E5DEE">
        <w:rPr>
          <w:rFonts w:ascii="Times New Roman" w:eastAsia="Times New Roman" w:hAnsi="Times New Roman" w:cs="Times New Roman"/>
          <w:color w:val="000000" w:themeColor="text1"/>
          <w:sz w:val="24"/>
          <w:szCs w:val="24"/>
        </w:rPr>
        <w:t>. New York: Samuel French, 1893.</w:t>
      </w:r>
      <w:bookmarkEnd w:id="116"/>
    </w:p>
    <w:p w14:paraId="27666AFE" w14:textId="131A5E57" w:rsidR="001A15A7" w:rsidRPr="006E5DEE" w:rsidRDefault="00A16069" w:rsidP="008162B4">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Wynkoop, Rev. T.S. </w:t>
      </w:r>
      <w:r w:rsidRPr="006E5DEE">
        <w:rPr>
          <w:rFonts w:ascii="Times New Roman" w:eastAsia="Times New Roman" w:hAnsi="Times New Roman" w:cs="Times New Roman"/>
          <w:i/>
          <w:iCs/>
          <w:color w:val="000000" w:themeColor="text1"/>
          <w:sz w:val="24"/>
          <w:szCs w:val="24"/>
        </w:rPr>
        <w:t>Address at the Funeral of the Late Orville Babcock</w:t>
      </w:r>
      <w:r w:rsidRPr="006E5DEE">
        <w:rPr>
          <w:rFonts w:ascii="Times New Roman" w:eastAsia="Times New Roman" w:hAnsi="Times New Roman" w:cs="Times New Roman"/>
          <w:color w:val="000000" w:themeColor="text1"/>
          <w:sz w:val="24"/>
          <w:szCs w:val="24"/>
        </w:rPr>
        <w:t>, June 7, 1884.</w:t>
      </w:r>
    </w:p>
    <w:p w14:paraId="116C7522" w14:textId="44590D77" w:rsidR="00A16069" w:rsidRPr="006E5DEE" w:rsidRDefault="00A16069" w:rsidP="0074689B">
      <w:pPr>
        <w:spacing w:after="0" w:line="480" w:lineRule="auto"/>
        <w:ind w:left="720" w:hanging="720"/>
        <w:rPr>
          <w:rFonts w:ascii="Times New Roman" w:eastAsia="Times New Roman" w:hAnsi="Times New Roman" w:cs="Times New Roman"/>
          <w:color w:val="000000" w:themeColor="text1"/>
          <w:sz w:val="24"/>
          <w:szCs w:val="24"/>
        </w:rPr>
      </w:pPr>
      <w:r w:rsidRPr="006E5DEE">
        <w:rPr>
          <w:rFonts w:ascii="Times New Roman" w:eastAsia="Times New Roman" w:hAnsi="Times New Roman" w:cs="Times New Roman"/>
          <w:color w:val="000000" w:themeColor="text1"/>
          <w:sz w:val="24"/>
          <w:szCs w:val="24"/>
        </w:rPr>
        <w:t xml:space="preserve">Young, John Russell. </w:t>
      </w:r>
      <w:r w:rsidRPr="006E5DEE">
        <w:rPr>
          <w:rFonts w:ascii="Times New Roman" w:eastAsia="Times New Roman" w:hAnsi="Times New Roman" w:cs="Times New Roman"/>
          <w:i/>
          <w:iCs/>
          <w:color w:val="000000" w:themeColor="text1"/>
          <w:sz w:val="24"/>
          <w:szCs w:val="24"/>
        </w:rPr>
        <w:t>Around the World with General Grant</w:t>
      </w:r>
      <w:r w:rsidRPr="006E5DEE">
        <w:rPr>
          <w:rFonts w:ascii="Times New Roman" w:eastAsia="Times New Roman" w:hAnsi="Times New Roman" w:cs="Times New Roman"/>
          <w:color w:val="000000" w:themeColor="text1"/>
          <w:sz w:val="24"/>
          <w:szCs w:val="24"/>
        </w:rPr>
        <w:t>. Baltimore: Johns Hopkins University Press, 1879.</w:t>
      </w:r>
    </w:p>
    <w:p w14:paraId="7CB28C88" w14:textId="77777777" w:rsidR="00A16069" w:rsidRDefault="00A16069" w:rsidP="0074689B">
      <w:pPr>
        <w:spacing w:line="480" w:lineRule="auto"/>
        <w:rPr>
          <w:rFonts w:ascii="Times New Roman" w:hAnsi="Times New Roman" w:cs="Times New Roman"/>
          <w:sz w:val="24"/>
          <w:szCs w:val="24"/>
        </w:rPr>
      </w:pPr>
    </w:p>
    <w:p w14:paraId="6A299D76" w14:textId="77777777" w:rsidR="00F85EB2" w:rsidRDefault="00F85EB2" w:rsidP="0074689B">
      <w:pPr>
        <w:spacing w:line="480" w:lineRule="auto"/>
        <w:rPr>
          <w:rFonts w:ascii="Times New Roman" w:hAnsi="Times New Roman" w:cs="Times New Roman"/>
          <w:sz w:val="24"/>
          <w:szCs w:val="24"/>
        </w:rPr>
      </w:pPr>
    </w:p>
    <w:p w14:paraId="39909E8A" w14:textId="77777777" w:rsidR="00F85EB2" w:rsidRDefault="00F85EB2" w:rsidP="0074689B">
      <w:pPr>
        <w:spacing w:line="480" w:lineRule="auto"/>
        <w:rPr>
          <w:rFonts w:ascii="Times New Roman" w:hAnsi="Times New Roman" w:cs="Times New Roman"/>
          <w:sz w:val="24"/>
          <w:szCs w:val="24"/>
        </w:rPr>
      </w:pPr>
    </w:p>
    <w:p w14:paraId="4929404D" w14:textId="77777777" w:rsidR="00F85EB2" w:rsidRDefault="00F85EB2" w:rsidP="0074689B">
      <w:pPr>
        <w:spacing w:line="480" w:lineRule="auto"/>
        <w:rPr>
          <w:rFonts w:ascii="Times New Roman" w:hAnsi="Times New Roman" w:cs="Times New Roman"/>
          <w:sz w:val="24"/>
          <w:szCs w:val="24"/>
        </w:rPr>
      </w:pPr>
    </w:p>
    <w:p w14:paraId="3906A118" w14:textId="77777777" w:rsidR="00F85EB2" w:rsidRDefault="00F85EB2" w:rsidP="0074689B">
      <w:pPr>
        <w:spacing w:line="480" w:lineRule="auto"/>
        <w:rPr>
          <w:rFonts w:ascii="Times New Roman" w:hAnsi="Times New Roman" w:cs="Times New Roman"/>
          <w:sz w:val="24"/>
          <w:szCs w:val="24"/>
        </w:rPr>
      </w:pPr>
    </w:p>
    <w:p w14:paraId="2B9D4CAC" w14:textId="77777777" w:rsidR="00F85EB2" w:rsidRDefault="00F85EB2" w:rsidP="0074689B">
      <w:pPr>
        <w:spacing w:line="480" w:lineRule="auto"/>
        <w:rPr>
          <w:rFonts w:ascii="Times New Roman" w:hAnsi="Times New Roman" w:cs="Times New Roman"/>
          <w:sz w:val="24"/>
          <w:szCs w:val="24"/>
        </w:rPr>
      </w:pPr>
    </w:p>
    <w:p w14:paraId="47C30AB8" w14:textId="77777777" w:rsidR="00F85EB2" w:rsidRDefault="00F85EB2" w:rsidP="0074689B">
      <w:pPr>
        <w:spacing w:line="480" w:lineRule="auto"/>
        <w:rPr>
          <w:rFonts w:ascii="Times New Roman" w:hAnsi="Times New Roman" w:cs="Times New Roman"/>
          <w:sz w:val="24"/>
          <w:szCs w:val="24"/>
        </w:rPr>
      </w:pPr>
    </w:p>
    <w:p w14:paraId="47BEC616" w14:textId="77777777" w:rsidR="00F85EB2" w:rsidRDefault="00F85EB2" w:rsidP="0074689B">
      <w:pPr>
        <w:spacing w:line="480" w:lineRule="auto"/>
        <w:rPr>
          <w:rFonts w:ascii="Times New Roman" w:hAnsi="Times New Roman" w:cs="Times New Roman"/>
          <w:sz w:val="24"/>
          <w:szCs w:val="24"/>
        </w:rPr>
      </w:pPr>
    </w:p>
    <w:p w14:paraId="3EF80799" w14:textId="77777777" w:rsidR="00F85EB2" w:rsidRDefault="00F85EB2" w:rsidP="0074689B">
      <w:pPr>
        <w:spacing w:line="480" w:lineRule="auto"/>
        <w:rPr>
          <w:rFonts w:ascii="Times New Roman" w:hAnsi="Times New Roman" w:cs="Times New Roman"/>
          <w:sz w:val="24"/>
          <w:szCs w:val="24"/>
        </w:rPr>
      </w:pPr>
    </w:p>
    <w:p w14:paraId="13BFA9C7" w14:textId="77777777" w:rsidR="00F85EB2" w:rsidRDefault="00F85EB2" w:rsidP="0074689B">
      <w:pPr>
        <w:spacing w:line="480" w:lineRule="auto"/>
        <w:rPr>
          <w:rFonts w:ascii="Times New Roman" w:hAnsi="Times New Roman" w:cs="Times New Roman"/>
          <w:sz w:val="24"/>
          <w:szCs w:val="24"/>
        </w:rPr>
      </w:pPr>
    </w:p>
    <w:p w14:paraId="5F423658" w14:textId="77777777" w:rsidR="008162B4" w:rsidRDefault="008162B4" w:rsidP="0074689B">
      <w:pPr>
        <w:spacing w:line="480" w:lineRule="auto"/>
        <w:rPr>
          <w:rFonts w:ascii="Times New Roman" w:hAnsi="Times New Roman" w:cs="Times New Roman"/>
          <w:sz w:val="24"/>
          <w:szCs w:val="24"/>
        </w:rPr>
      </w:pPr>
    </w:p>
    <w:p w14:paraId="0BFDAAE4" w14:textId="7A649C01" w:rsidR="00F85EB2" w:rsidRDefault="00F85EB2" w:rsidP="0074689B">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Vita</w:t>
      </w:r>
    </w:p>
    <w:p w14:paraId="1D919644" w14:textId="77777777" w:rsidR="00F85EB2" w:rsidRPr="003B6EDC" w:rsidRDefault="00F85EB2" w:rsidP="0074689B">
      <w:pPr>
        <w:spacing w:line="480" w:lineRule="auto"/>
        <w:ind w:firstLine="720"/>
        <w:rPr>
          <w:rFonts w:ascii="Times New Roman" w:hAnsi="Times New Roman" w:cs="Times New Roman"/>
          <w:sz w:val="24"/>
          <w:szCs w:val="24"/>
        </w:rPr>
      </w:pPr>
      <w:r>
        <w:rPr>
          <w:rFonts w:ascii="Times New Roman" w:hAnsi="Times New Roman" w:cs="Times New Roman"/>
          <w:sz w:val="24"/>
          <w:szCs w:val="24"/>
        </w:rPr>
        <w:t>Kyle Vratarich was born in St. Louis, Missouri and raised in Eldersburg, Maryland. He earned his Associate’s Degree from the Community College of Baltimore County, his Bachelor’s Degree in History and Geography with a Minor in Spanish at Towson University, and Master’s Degrees in History at both American University and the University of Tennessee, Knoxville. His research considers</w:t>
      </w:r>
      <w:r w:rsidRPr="003B6EDC">
        <w:rPr>
          <w:rFonts w:ascii="Times New Roman" w:hAnsi="Times New Roman" w:cs="Times New Roman"/>
          <w:sz w:val="24"/>
          <w:szCs w:val="24"/>
        </w:rPr>
        <w:t xml:space="preserve"> the United States during the nineteenth century, specifically</w:t>
      </w:r>
      <w:r>
        <w:rPr>
          <w:rFonts w:ascii="Times New Roman" w:hAnsi="Times New Roman" w:cs="Times New Roman"/>
          <w:sz w:val="24"/>
          <w:szCs w:val="24"/>
        </w:rPr>
        <w:t xml:space="preserve"> the political culture</w:t>
      </w:r>
      <w:r w:rsidRPr="003B6EDC">
        <w:rPr>
          <w:rFonts w:ascii="Times New Roman" w:hAnsi="Times New Roman" w:cs="Times New Roman"/>
          <w:sz w:val="24"/>
          <w:szCs w:val="24"/>
        </w:rPr>
        <w:t xml:space="preserve"> during the Civil War and Reconstruction, </w:t>
      </w:r>
      <w:r>
        <w:rPr>
          <w:rFonts w:ascii="Times New Roman" w:hAnsi="Times New Roman" w:cs="Times New Roman"/>
          <w:sz w:val="24"/>
          <w:szCs w:val="24"/>
        </w:rPr>
        <w:t>including</w:t>
      </w:r>
      <w:r w:rsidRPr="003B6EDC">
        <w:rPr>
          <w:rFonts w:ascii="Times New Roman" w:hAnsi="Times New Roman" w:cs="Times New Roman"/>
          <w:sz w:val="24"/>
          <w:szCs w:val="24"/>
        </w:rPr>
        <w:t xml:space="preserve"> postwar presidential politics, the expansion of powers that occurred during the Civil War, and the political turmoil that resulted from this expansion during Reconstruction.</w:t>
      </w:r>
      <w:r>
        <w:rPr>
          <w:rFonts w:ascii="Times New Roman" w:hAnsi="Times New Roman" w:cs="Times New Roman"/>
          <w:sz w:val="24"/>
          <w:szCs w:val="24"/>
        </w:rPr>
        <w:t xml:space="preserve"> After graduation, Kyle will serve as a Teaching Professor in the History Department of the University of Tennessee, Knoxville. Kyle wishes to thank his family and friends for their constant support, his committee members for their encouragement and assistance, and his faculty at University of Tennessee and his prior institutions for preparing him for the road so far and the road ahead.</w:t>
      </w:r>
    </w:p>
    <w:p w14:paraId="62928E1D" w14:textId="77777777" w:rsidR="00F85EB2" w:rsidRPr="002E4064" w:rsidRDefault="00F85EB2" w:rsidP="0074689B">
      <w:pPr>
        <w:spacing w:line="480" w:lineRule="auto"/>
        <w:rPr>
          <w:rFonts w:ascii="Times New Roman" w:hAnsi="Times New Roman" w:cs="Times New Roman"/>
          <w:sz w:val="24"/>
          <w:szCs w:val="24"/>
        </w:rPr>
      </w:pPr>
    </w:p>
    <w:sectPr w:rsidR="00F85EB2" w:rsidRPr="002E4064" w:rsidSect="00B22E5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7173" w14:textId="77777777" w:rsidR="00736EE2" w:rsidRDefault="00736EE2" w:rsidP="00EB755A">
      <w:pPr>
        <w:spacing w:after="0" w:line="240" w:lineRule="auto"/>
      </w:pPr>
      <w:r>
        <w:separator/>
      </w:r>
    </w:p>
  </w:endnote>
  <w:endnote w:type="continuationSeparator" w:id="0">
    <w:p w14:paraId="3FEAAA66" w14:textId="77777777" w:rsidR="00736EE2" w:rsidRDefault="00736EE2" w:rsidP="00EB7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13B57" w14:textId="77777777" w:rsidR="00736EE2" w:rsidRDefault="00736EE2" w:rsidP="00EB755A">
      <w:pPr>
        <w:spacing w:after="0" w:line="240" w:lineRule="auto"/>
      </w:pPr>
      <w:r>
        <w:separator/>
      </w:r>
    </w:p>
  </w:footnote>
  <w:footnote w:type="continuationSeparator" w:id="0">
    <w:p w14:paraId="6025282D" w14:textId="77777777" w:rsidR="00736EE2" w:rsidRDefault="00736EE2" w:rsidP="00EB755A">
      <w:pPr>
        <w:spacing w:after="0" w:line="240" w:lineRule="auto"/>
      </w:pPr>
      <w:r>
        <w:continuationSeparator/>
      </w:r>
    </w:p>
  </w:footnote>
  <w:footnote w:id="1">
    <w:p w14:paraId="5A48E74F"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Joe Servis. “The Surrender Meeting.” </w:t>
      </w:r>
      <w:r w:rsidRPr="002318C9">
        <w:rPr>
          <w:rFonts w:ascii="Times New Roman" w:hAnsi="Times New Roman" w:cs="Times New Roman"/>
          <w:i/>
          <w:iCs/>
        </w:rPr>
        <w:t>National Parks Service</w:t>
      </w:r>
      <w:r w:rsidRPr="002318C9">
        <w:rPr>
          <w:rFonts w:ascii="Times New Roman" w:hAnsi="Times New Roman" w:cs="Times New Roman"/>
        </w:rPr>
        <w:t xml:space="preserve">, June 14, 2022. </w:t>
      </w:r>
    </w:p>
  </w:footnote>
  <w:footnote w:id="2">
    <w:p w14:paraId="39DE9937"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
    <w:p w14:paraId="2BA8B2D1"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
    <w:p w14:paraId="01E0BB9E"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Geoffrey Perret. </w:t>
      </w:r>
      <w:r w:rsidRPr="002318C9">
        <w:rPr>
          <w:rFonts w:ascii="Times New Roman" w:hAnsi="Times New Roman" w:cs="Times New Roman"/>
          <w:i/>
          <w:iCs/>
        </w:rPr>
        <w:t>Ulysses S. Grant: Soldier &amp; President</w:t>
      </w:r>
      <w:r w:rsidRPr="002318C9">
        <w:rPr>
          <w:rFonts w:ascii="Times New Roman" w:hAnsi="Times New Roman" w:cs="Times New Roman"/>
        </w:rPr>
        <w:t xml:space="preserve">. New York, NY: Random House, 1997; Ronald C. White. </w:t>
      </w:r>
      <w:r w:rsidRPr="002318C9">
        <w:rPr>
          <w:rFonts w:ascii="Times New Roman" w:hAnsi="Times New Roman" w:cs="Times New Roman"/>
          <w:i/>
          <w:iCs/>
        </w:rPr>
        <w:t>American Ulysses: A Life of Ulysses S. Grant</w:t>
      </w:r>
      <w:r w:rsidRPr="002318C9">
        <w:rPr>
          <w:rFonts w:ascii="Times New Roman" w:hAnsi="Times New Roman" w:cs="Times New Roman"/>
        </w:rPr>
        <w:t xml:space="preserve">. New York, NY: Random House, 2016; Henry W. Brands. </w:t>
      </w:r>
      <w:r w:rsidRPr="002318C9">
        <w:rPr>
          <w:rFonts w:ascii="Times New Roman" w:hAnsi="Times New Roman" w:cs="Times New Roman"/>
          <w:i/>
          <w:iCs/>
        </w:rPr>
        <w:t>The Man Who Saved The Union: Ulysses Grant in War and Peace</w:t>
      </w:r>
      <w:r w:rsidRPr="002318C9">
        <w:rPr>
          <w:rFonts w:ascii="Times New Roman" w:hAnsi="Times New Roman" w:cs="Times New Roman"/>
        </w:rPr>
        <w:t xml:space="preserve">. New York, NY: Random House, 2012; Jean Edward Smith. </w:t>
      </w:r>
      <w:r w:rsidRPr="002318C9">
        <w:rPr>
          <w:rFonts w:ascii="Times New Roman" w:hAnsi="Times New Roman" w:cs="Times New Roman"/>
          <w:i/>
          <w:iCs/>
        </w:rPr>
        <w:t>Grant</w:t>
      </w:r>
      <w:r w:rsidRPr="002318C9">
        <w:rPr>
          <w:rFonts w:ascii="Times New Roman" w:hAnsi="Times New Roman" w:cs="Times New Roman"/>
        </w:rPr>
        <w:t>. New York, NY: Simon &amp; Schuster, 2001.</w:t>
      </w:r>
    </w:p>
  </w:footnote>
  <w:footnote w:id="5">
    <w:p w14:paraId="258A5F03"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0" w:name="_Hlk197253085"/>
      <w:r w:rsidRPr="002318C9">
        <w:rPr>
          <w:rFonts w:ascii="Times New Roman" w:hAnsi="Times New Roman" w:cs="Times New Roman"/>
        </w:rPr>
        <w:t>"</w:t>
      </w:r>
      <w:bookmarkStart w:id="1" w:name="_Hlk197251053"/>
      <w:r w:rsidRPr="002318C9">
        <w:rPr>
          <w:rFonts w:ascii="Times New Roman" w:hAnsi="Times New Roman" w:cs="Times New Roman"/>
        </w:rPr>
        <w:t xml:space="preserve">Gen. Babcock Drowned". </w:t>
      </w:r>
      <w:r w:rsidRPr="002318C9">
        <w:rPr>
          <w:rFonts w:ascii="Times New Roman" w:hAnsi="Times New Roman" w:cs="Times New Roman"/>
          <w:i/>
          <w:iCs/>
        </w:rPr>
        <w:t>New York Times</w:t>
      </w:r>
      <w:r w:rsidRPr="002318C9">
        <w:rPr>
          <w:rFonts w:ascii="Times New Roman" w:hAnsi="Times New Roman" w:cs="Times New Roman"/>
        </w:rPr>
        <w:t>. June 4, 1884.</w:t>
      </w:r>
      <w:bookmarkEnd w:id="0"/>
      <w:bookmarkEnd w:id="1"/>
    </w:p>
  </w:footnote>
  <w:footnote w:id="6">
    <w:p w14:paraId="486BBBED"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
    <w:p w14:paraId="681548AA"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"Gen. Babcock Drowned". </w:t>
      </w:r>
      <w:r w:rsidRPr="002318C9">
        <w:rPr>
          <w:rFonts w:ascii="Times New Roman" w:hAnsi="Times New Roman" w:cs="Times New Roman"/>
          <w:i/>
          <w:iCs/>
        </w:rPr>
        <w:t>New York Times</w:t>
      </w:r>
      <w:r w:rsidRPr="002318C9">
        <w:rPr>
          <w:rFonts w:ascii="Times New Roman" w:hAnsi="Times New Roman" w:cs="Times New Roman"/>
        </w:rPr>
        <w:t xml:space="preserve">. June 4, 1884; Stephen Babcock. </w:t>
      </w:r>
      <w:r w:rsidRPr="002318C9">
        <w:rPr>
          <w:rFonts w:ascii="Times New Roman" w:hAnsi="Times New Roman" w:cs="Times New Roman"/>
          <w:i/>
          <w:iCs/>
        </w:rPr>
        <w:t>Isaiah Babcock, Sr., and his descendants</w:t>
      </w:r>
      <w:r w:rsidRPr="002318C9">
        <w:rPr>
          <w:rFonts w:ascii="Times New Roman" w:hAnsi="Times New Roman" w:cs="Times New Roman"/>
        </w:rPr>
        <w:t>. New York: Eaton &amp; Mains, 1903.</w:t>
      </w:r>
    </w:p>
  </w:footnote>
  <w:footnote w:id="8">
    <w:p w14:paraId="13918C3C" w14:textId="19BD0594"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"Gen. Babcock Drowned". </w:t>
      </w:r>
      <w:r w:rsidRPr="002318C9">
        <w:rPr>
          <w:rFonts w:ascii="Times New Roman" w:hAnsi="Times New Roman" w:cs="Times New Roman"/>
          <w:i/>
          <w:iCs/>
        </w:rPr>
        <w:t>New York Times</w:t>
      </w:r>
      <w:r w:rsidRPr="002318C9">
        <w:rPr>
          <w:rFonts w:ascii="Times New Roman" w:hAnsi="Times New Roman" w:cs="Times New Roman"/>
        </w:rPr>
        <w:t>. June 4, 1884; Richard White</w:t>
      </w:r>
      <w:r w:rsidR="00201AE1">
        <w:rPr>
          <w:rFonts w:ascii="Times New Roman" w:hAnsi="Times New Roman" w:cs="Times New Roman"/>
        </w:rPr>
        <w:t xml:space="preserve">, </w:t>
      </w:r>
      <w:r w:rsidR="00201AE1">
        <w:rPr>
          <w:rFonts w:ascii="Times New Roman" w:hAnsi="Times New Roman" w:cs="Times New Roman"/>
          <w:i/>
          <w:iCs/>
        </w:rPr>
        <w:t>Republic for Which It Stands,</w:t>
      </w:r>
      <w:r w:rsidRPr="002318C9">
        <w:rPr>
          <w:rFonts w:ascii="Times New Roman" w:hAnsi="Times New Roman" w:cs="Times New Roman"/>
        </w:rPr>
        <w:t xml:space="preserve"> xvii; John H. Eicher and David Eicher. </w:t>
      </w:r>
      <w:r w:rsidRPr="002318C9">
        <w:rPr>
          <w:rFonts w:ascii="Times New Roman" w:hAnsi="Times New Roman" w:cs="Times New Roman"/>
          <w:i/>
          <w:iCs/>
        </w:rPr>
        <w:t>Civil War High Commands</w:t>
      </w:r>
      <w:r w:rsidRPr="002318C9">
        <w:rPr>
          <w:rFonts w:ascii="Times New Roman" w:hAnsi="Times New Roman" w:cs="Times New Roman"/>
        </w:rPr>
        <w:t>. Stanford: Stanford University Press, 2001.</w:t>
      </w:r>
    </w:p>
  </w:footnote>
  <w:footnote w:id="9">
    <w:p w14:paraId="2C4E856D" w14:textId="77777777" w:rsidR="0074113A" w:rsidRPr="002318C9" w:rsidRDefault="0074113A" w:rsidP="007411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"Gen. Babcock Drowned". </w:t>
      </w:r>
      <w:r w:rsidRPr="002318C9">
        <w:rPr>
          <w:rFonts w:ascii="Times New Roman" w:hAnsi="Times New Roman" w:cs="Times New Roman"/>
          <w:i/>
          <w:iCs/>
        </w:rPr>
        <w:t>New York Times</w:t>
      </w:r>
      <w:r w:rsidRPr="002318C9">
        <w:rPr>
          <w:rFonts w:ascii="Times New Roman" w:hAnsi="Times New Roman" w:cs="Times New Roman"/>
        </w:rPr>
        <w:t>. June 4, 1884</w:t>
      </w:r>
    </w:p>
  </w:footnote>
  <w:footnote w:id="10">
    <w:p w14:paraId="51BD918B" w14:textId="019E8F80"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07D1">
        <w:rPr>
          <w:rFonts w:ascii="Times New Roman" w:hAnsi="Times New Roman" w:cs="Times New Roman"/>
        </w:rPr>
        <w:t xml:space="preserve">Thomas Nast, </w:t>
      </w:r>
      <w:r w:rsidRPr="002318C9">
        <w:rPr>
          <w:rFonts w:ascii="Times New Roman" w:hAnsi="Times New Roman" w:cs="Times New Roman"/>
        </w:rPr>
        <w:t xml:space="preserve">“Peace in Union.” </w:t>
      </w:r>
      <w:r w:rsidR="001107D1">
        <w:rPr>
          <w:rFonts w:ascii="Times New Roman" w:hAnsi="Times New Roman" w:cs="Times New Roman"/>
        </w:rPr>
        <w:t>O</w:t>
      </w:r>
      <w:r w:rsidR="008062FF">
        <w:rPr>
          <w:rFonts w:ascii="Times New Roman" w:hAnsi="Times New Roman" w:cs="Times New Roman"/>
        </w:rPr>
        <w:t xml:space="preserve">riginally 1895. </w:t>
      </w:r>
      <w:r w:rsidRPr="002318C9">
        <w:rPr>
          <w:rFonts w:ascii="Times New Roman" w:hAnsi="Times New Roman" w:cs="Times New Roman"/>
        </w:rPr>
        <w:t xml:space="preserve">ThomasNast.com, November 16, 2022. https://thomasnast.com/cartoons/peace-in-union/. </w:t>
      </w:r>
    </w:p>
  </w:footnote>
  <w:footnote w:id="11">
    <w:p w14:paraId="47DCBA9A" w14:textId="6A4582CE"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“Total American casualties in all three of the nation’s previous wars – the Revolution, the War of 1812 and the Mexican War: 10,623 + 6765 + 5885 – were 23,273. Shiloh’s totaled 23,741.” Shelby Foote, </w:t>
      </w:r>
      <w:r w:rsidRPr="002318C9">
        <w:rPr>
          <w:rFonts w:ascii="Times New Roman" w:hAnsi="Times New Roman" w:cs="Times New Roman"/>
          <w:i/>
          <w:iCs/>
        </w:rPr>
        <w:t>The Civil War: Volume I:</w:t>
      </w:r>
      <w:r w:rsidR="00B71F74">
        <w:rPr>
          <w:rFonts w:ascii="Times New Roman" w:hAnsi="Times New Roman" w:cs="Times New Roman"/>
          <w:i/>
          <w:iCs/>
        </w:rPr>
        <w:t xml:space="preserve"> </w:t>
      </w:r>
      <w:r w:rsidRPr="002318C9">
        <w:rPr>
          <w:rFonts w:ascii="Times New Roman" w:hAnsi="Times New Roman" w:cs="Times New Roman"/>
          <w:i/>
          <w:iCs/>
        </w:rPr>
        <w:t xml:space="preserve">Fort Sumter to Perryville. </w:t>
      </w:r>
      <w:r w:rsidRPr="002318C9">
        <w:rPr>
          <w:rFonts w:ascii="Times New Roman" w:hAnsi="Times New Roman" w:cs="Times New Roman"/>
        </w:rPr>
        <w:t>New York: Vintage Books, 1958. 350-351</w:t>
      </w:r>
    </w:p>
  </w:footnote>
  <w:footnote w:id="12">
    <w:p w14:paraId="79EF89AC"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Larry J. Daniel. </w:t>
      </w:r>
      <w:r w:rsidRPr="002318C9">
        <w:rPr>
          <w:rFonts w:ascii="Times New Roman" w:hAnsi="Times New Roman" w:cs="Times New Roman"/>
          <w:i/>
          <w:iCs/>
        </w:rPr>
        <w:t>Shiloh: The Battle That Changed the Civil War</w:t>
      </w:r>
      <w:r w:rsidRPr="002318C9">
        <w:rPr>
          <w:rFonts w:ascii="Times New Roman" w:hAnsi="Times New Roman" w:cs="Times New Roman"/>
        </w:rPr>
        <w:t>. New York: Simon and Schuster, 1997.</w:t>
      </w:r>
    </w:p>
  </w:footnote>
  <w:footnote w:id="13">
    <w:p w14:paraId="7581829E" w14:textId="04F61CBC"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Brands</w:t>
      </w:r>
      <w:r w:rsidR="0031523D">
        <w:rPr>
          <w:rFonts w:ascii="Times New Roman" w:hAnsi="Times New Roman" w:cs="Times New Roman"/>
        </w:rPr>
        <w:t xml:space="preserve">, </w:t>
      </w:r>
      <w:r w:rsidR="0031523D" w:rsidRPr="002318C9">
        <w:rPr>
          <w:rFonts w:ascii="Times New Roman" w:hAnsi="Times New Roman" w:cs="Times New Roman"/>
          <w:i/>
          <w:iCs/>
        </w:rPr>
        <w:t>Man Who Saved The Union</w:t>
      </w:r>
      <w:r w:rsidR="0031523D">
        <w:rPr>
          <w:rFonts w:ascii="Times New Roman" w:hAnsi="Times New Roman" w:cs="Times New Roman"/>
          <w:i/>
          <w:iCs/>
        </w:rPr>
        <w:t>,</w:t>
      </w:r>
      <w:r w:rsidRPr="002318C9">
        <w:rPr>
          <w:rFonts w:ascii="Times New Roman" w:hAnsi="Times New Roman" w:cs="Times New Roman"/>
        </w:rPr>
        <w:t xml:space="preserve"> 187-8</w:t>
      </w:r>
    </w:p>
  </w:footnote>
  <w:footnote w:id="14">
    <w:p w14:paraId="047CE069"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Daniel </w:t>
      </w:r>
      <w:r w:rsidRPr="002318C9">
        <w:rPr>
          <w:rFonts w:ascii="Times New Roman" w:hAnsi="Times New Roman" w:cs="Times New Roman"/>
          <w:i/>
          <w:iCs/>
        </w:rPr>
        <w:t>Shiloh</w:t>
      </w:r>
      <w:r w:rsidRPr="002318C9">
        <w:rPr>
          <w:rFonts w:ascii="Times New Roman" w:hAnsi="Times New Roman" w:cs="Times New Roman"/>
        </w:rPr>
        <w:t xml:space="preserve">; James M. McPherson. </w:t>
      </w:r>
      <w:r w:rsidRPr="002318C9">
        <w:rPr>
          <w:rFonts w:ascii="Times New Roman" w:hAnsi="Times New Roman" w:cs="Times New Roman"/>
          <w:i/>
          <w:iCs/>
        </w:rPr>
        <w:t>Battle Cry of Freedom: The Civil War Era</w:t>
      </w:r>
      <w:r w:rsidRPr="002318C9">
        <w:rPr>
          <w:rFonts w:ascii="Times New Roman" w:hAnsi="Times New Roman" w:cs="Times New Roman"/>
        </w:rPr>
        <w:t xml:space="preserve">. New York: Oxford University Press, 1988. 414; Mike Kaplan. “Grant’s Drinking or…The Beast That Will Not Die.” </w:t>
      </w:r>
      <w:r w:rsidRPr="002318C9">
        <w:rPr>
          <w:rFonts w:ascii="Times New Roman" w:hAnsi="Times New Roman" w:cs="Times New Roman"/>
          <w:i/>
          <w:iCs/>
        </w:rPr>
        <w:t>Journal of Military History</w:t>
      </w:r>
      <w:r w:rsidRPr="002318C9">
        <w:rPr>
          <w:rFonts w:ascii="Times New Roman" w:hAnsi="Times New Roman" w:cs="Times New Roman"/>
        </w:rPr>
        <w:t xml:space="preserve"> 79, no. 4 (October 2015): 1109-1119; Edward H. Bonekemper III. </w:t>
      </w:r>
      <w:r w:rsidRPr="002318C9">
        <w:rPr>
          <w:rFonts w:ascii="Times New Roman" w:hAnsi="Times New Roman" w:cs="Times New Roman"/>
          <w:i/>
          <w:iCs/>
        </w:rPr>
        <w:t>Ulysses S. Grant: A Victor, Not a Butcher</w:t>
      </w:r>
      <w:r w:rsidRPr="002318C9">
        <w:rPr>
          <w:rFonts w:ascii="Times New Roman" w:hAnsi="Times New Roman" w:cs="Times New Roman"/>
        </w:rPr>
        <w:t xml:space="preserve">. Washington, DC: Regnery History, 2004; Edward H. Bonekemper III. “The Butcher’s Bill: Ulysses S. Grant is Often Referred to as a ‘Butcher,’ But Does Robert E. Lee Actually Deserve That Title?” </w:t>
      </w:r>
      <w:r w:rsidRPr="002318C9">
        <w:rPr>
          <w:rFonts w:ascii="Times New Roman" w:hAnsi="Times New Roman" w:cs="Times New Roman"/>
          <w:i/>
          <w:iCs/>
        </w:rPr>
        <w:t>Civil War Times</w:t>
      </w:r>
      <w:r w:rsidRPr="002318C9">
        <w:rPr>
          <w:rFonts w:ascii="Times New Roman" w:hAnsi="Times New Roman" w:cs="Times New Roman"/>
        </w:rPr>
        <w:t xml:space="preserve"> 52, no. 1 (April 2011) 36-43.</w:t>
      </w:r>
    </w:p>
  </w:footnote>
  <w:footnote w:id="15">
    <w:p w14:paraId="45B9DD1B" w14:textId="5332B786"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Ronald White</w:t>
      </w:r>
      <w:r w:rsidR="00201AE1">
        <w:rPr>
          <w:rFonts w:ascii="Times New Roman" w:hAnsi="Times New Roman" w:cs="Times New Roman"/>
        </w:rPr>
        <w:t xml:space="preserve">, </w:t>
      </w:r>
      <w:r w:rsidR="00201AE1">
        <w:rPr>
          <w:rFonts w:ascii="Times New Roman" w:hAnsi="Times New Roman" w:cs="Times New Roman"/>
          <w:i/>
          <w:iCs/>
        </w:rPr>
        <w:t>American Ulysses</w:t>
      </w:r>
      <w:r w:rsidR="00201AE1">
        <w:rPr>
          <w:rFonts w:ascii="Times New Roman" w:hAnsi="Times New Roman" w:cs="Times New Roman"/>
        </w:rPr>
        <w:t>,</w:t>
      </w:r>
      <w:r w:rsidRPr="002318C9">
        <w:rPr>
          <w:rFonts w:ascii="Times New Roman" w:hAnsi="Times New Roman" w:cs="Times New Roman"/>
        </w:rPr>
        <w:t xml:space="preserve"> 225-6; Lincoln struggled to find commanding generals who would lead their men into battle during the early years of the Civil War. This is perhaps best exemplified in the cases of George McClellan, whose love for the men in his charge made him more hesitant to plunge them into battle at times, and Henry Halleck, who was more of a quartermaster operating the day-to-day operations of the military instead of participating much in the battles. For more, consider: George C. Rable, </w:t>
      </w:r>
      <w:r w:rsidRPr="002318C9">
        <w:rPr>
          <w:rFonts w:ascii="Times New Roman" w:hAnsi="Times New Roman" w:cs="Times New Roman"/>
          <w:i/>
          <w:iCs/>
        </w:rPr>
        <w:t>Conflict of Command: George McClellan, Abraham Lincoln, and the Politics of War.</w:t>
      </w:r>
      <w:r w:rsidRPr="002318C9">
        <w:rPr>
          <w:rFonts w:ascii="Times New Roman" w:hAnsi="Times New Roman" w:cs="Times New Roman"/>
        </w:rPr>
        <w:t xml:space="preserve"> Baton Rouge: LSU Press, 2023; Edward H. Bonekemper III, </w:t>
      </w:r>
      <w:r w:rsidRPr="002318C9">
        <w:rPr>
          <w:rFonts w:ascii="Times New Roman" w:hAnsi="Times New Roman" w:cs="Times New Roman"/>
          <w:i/>
          <w:iCs/>
        </w:rPr>
        <w:t xml:space="preserve">McClellan and Failure: A Study of Civil War Fear, Incompetence and Worse. </w:t>
      </w:r>
      <w:r w:rsidRPr="002318C9">
        <w:rPr>
          <w:rFonts w:ascii="Times New Roman" w:hAnsi="Times New Roman" w:cs="Times New Roman"/>
        </w:rPr>
        <w:t xml:space="preserve">Jefferson, NC: McFarland and Company, 2007; Stephen W. Sears, </w:t>
      </w:r>
      <w:r w:rsidRPr="002318C9">
        <w:rPr>
          <w:rFonts w:ascii="Times New Roman" w:hAnsi="Times New Roman" w:cs="Times New Roman"/>
          <w:i/>
          <w:iCs/>
        </w:rPr>
        <w:t>George B. McClellan: The Young Napoleon</w:t>
      </w:r>
      <w:r w:rsidRPr="002318C9">
        <w:rPr>
          <w:rFonts w:ascii="Times New Roman" w:hAnsi="Times New Roman" w:cs="Times New Roman"/>
        </w:rPr>
        <w:t xml:space="preserve">. Boston: Houghton Mifflin Harcourt, 2014; John F. Marszalek, </w:t>
      </w:r>
      <w:r w:rsidRPr="002318C9">
        <w:rPr>
          <w:rFonts w:ascii="Times New Roman" w:hAnsi="Times New Roman" w:cs="Times New Roman"/>
          <w:i/>
          <w:iCs/>
        </w:rPr>
        <w:t>Commander of All Lincoln's Armies: A Life of General Henry W. Halleck</w:t>
      </w:r>
      <w:r w:rsidRPr="002318C9">
        <w:rPr>
          <w:rFonts w:ascii="Times New Roman" w:hAnsi="Times New Roman" w:cs="Times New Roman"/>
        </w:rPr>
        <w:t xml:space="preserve">. Boston: Belknap Press of Harvard University Press, 2004.; John Y. Simon, </w:t>
      </w:r>
      <w:r w:rsidRPr="002318C9">
        <w:rPr>
          <w:rFonts w:ascii="Times New Roman" w:hAnsi="Times New Roman" w:cs="Times New Roman"/>
          <w:i/>
          <w:iCs/>
        </w:rPr>
        <w:t>Grant and Halleck: Contrasts in Command</w:t>
      </w:r>
      <w:r w:rsidRPr="002318C9">
        <w:rPr>
          <w:rFonts w:ascii="Times New Roman" w:hAnsi="Times New Roman" w:cs="Times New Roman"/>
        </w:rPr>
        <w:t>. Frank L. Klement Lectures, No. 5. Milwaukee, WI: Marquette University Press, 1996.</w:t>
      </w:r>
    </w:p>
  </w:footnote>
  <w:footnote w:id="16">
    <w:p w14:paraId="06644129" w14:textId="287A0C6B"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Fergus Bordewich. </w:t>
      </w:r>
      <w:r w:rsidRPr="002318C9">
        <w:rPr>
          <w:rFonts w:ascii="Times New Roman" w:hAnsi="Times New Roman" w:cs="Times New Roman"/>
          <w:i/>
          <w:iCs/>
        </w:rPr>
        <w:t>Klan War</w:t>
      </w:r>
      <w:r w:rsidR="00201AE1">
        <w:rPr>
          <w:rFonts w:ascii="Times New Roman" w:hAnsi="Times New Roman" w:cs="Times New Roman"/>
          <w:i/>
          <w:iCs/>
        </w:rPr>
        <w:t>:</w:t>
      </w:r>
      <w:r w:rsidRPr="002318C9">
        <w:rPr>
          <w:rFonts w:ascii="Times New Roman" w:hAnsi="Times New Roman" w:cs="Times New Roman"/>
          <w:i/>
          <w:iCs/>
        </w:rPr>
        <w:t xml:space="preserve"> Ulysses S. Grant and the Battle to Save Reconstruction. </w:t>
      </w:r>
      <w:r w:rsidRPr="002318C9">
        <w:rPr>
          <w:rFonts w:ascii="Times New Roman" w:hAnsi="Times New Roman" w:cs="Times New Roman"/>
        </w:rPr>
        <w:t xml:space="preserve">New York: Alfred A. Knopf, 2024; Eric Foner, </w:t>
      </w:r>
      <w:r w:rsidRPr="002318C9">
        <w:rPr>
          <w:rFonts w:ascii="Times New Roman" w:hAnsi="Times New Roman" w:cs="Times New Roman"/>
          <w:i/>
          <w:iCs/>
        </w:rPr>
        <w:t>Reconstruction: Americas Unfinished Revolution, 1863-1877.</w:t>
      </w:r>
      <w:r w:rsidRPr="002318C9">
        <w:rPr>
          <w:rFonts w:ascii="Times New Roman" w:hAnsi="Times New Roman" w:cs="Times New Roman"/>
        </w:rPr>
        <w:t xml:space="preserve"> Updated Edition. New York, NY: Harper Perennial, 2014. (originally 1988)</w:t>
      </w:r>
    </w:p>
  </w:footnote>
  <w:footnote w:id="17">
    <w:p w14:paraId="4F246808" w14:textId="3804CF93" w:rsidR="00EB755A" w:rsidRPr="00201AE1" w:rsidRDefault="00EB755A" w:rsidP="00EB755A">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Bordewich; Charles W. Calhoun. </w:t>
      </w:r>
      <w:r w:rsidRPr="002318C9">
        <w:rPr>
          <w:rFonts w:ascii="Times New Roman" w:hAnsi="Times New Roman" w:cs="Times New Roman"/>
          <w:i/>
          <w:iCs/>
        </w:rPr>
        <w:t>The Presidency of Ulysses S. Grant.</w:t>
      </w:r>
      <w:r w:rsidRPr="002318C9">
        <w:rPr>
          <w:rFonts w:ascii="Times New Roman" w:hAnsi="Times New Roman" w:cs="Times New Roman"/>
        </w:rPr>
        <w:t xml:space="preserve"> Lawrence, KS: University Press of Kansas, 2017; Brands</w:t>
      </w:r>
      <w:r w:rsidR="00201AE1">
        <w:rPr>
          <w:rFonts w:ascii="Times New Roman" w:hAnsi="Times New Roman" w:cs="Times New Roman"/>
        </w:rPr>
        <w:t xml:space="preserve">, </w:t>
      </w:r>
      <w:r w:rsidR="00201AE1">
        <w:rPr>
          <w:rFonts w:ascii="Times New Roman" w:hAnsi="Times New Roman" w:cs="Times New Roman"/>
          <w:i/>
          <w:iCs/>
        </w:rPr>
        <w:t>Man Who Saved the Union</w:t>
      </w:r>
    </w:p>
  </w:footnote>
  <w:footnote w:id="18">
    <w:p w14:paraId="42B7E634" w14:textId="3510FFFC"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Ryan Semmes. </w:t>
      </w:r>
      <w:r w:rsidRPr="002318C9">
        <w:rPr>
          <w:rFonts w:ascii="Times New Roman" w:hAnsi="Times New Roman" w:cs="Times New Roman"/>
          <w:i/>
          <w:iCs/>
        </w:rPr>
        <w:t>Exporting Reconstruction: Ulysses S. Grant and a New Empire of Liberty</w:t>
      </w:r>
      <w:r w:rsidRPr="002318C9">
        <w:rPr>
          <w:rFonts w:ascii="Times New Roman" w:hAnsi="Times New Roman" w:cs="Times New Roman"/>
        </w:rPr>
        <w:t>. Columbia, SC: University of South Carolina Press, 2024;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151-262</w:t>
      </w:r>
    </w:p>
  </w:footnote>
  <w:footnote w:id="19">
    <w:p w14:paraId="240736ED" w14:textId="7E6923F4"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Today, scholars believe that Grant </w:t>
      </w:r>
      <w:r w:rsidR="00597954">
        <w:rPr>
          <w:rFonts w:ascii="Times New Roman" w:hAnsi="Times New Roman" w:cs="Times New Roman"/>
        </w:rPr>
        <w:t>may have been</w:t>
      </w:r>
      <w:r w:rsidRPr="002318C9">
        <w:rPr>
          <w:rFonts w:ascii="Times New Roman" w:hAnsi="Times New Roman" w:cs="Times New Roman"/>
        </w:rPr>
        <w:t xml:space="preserve"> an alcoholic, but </w:t>
      </w:r>
      <w:r w:rsidR="00597954">
        <w:rPr>
          <w:rFonts w:ascii="Times New Roman" w:hAnsi="Times New Roman" w:cs="Times New Roman"/>
        </w:rPr>
        <w:t>that he never allowed it to impact his official duties after his failures in the antebellum period</w:t>
      </w:r>
      <w:r w:rsidRPr="002318C9">
        <w:rPr>
          <w:rFonts w:ascii="Times New Roman" w:hAnsi="Times New Roman" w:cs="Times New Roman"/>
        </w:rPr>
        <w:t>, and that this was something that those who were jealous of his quick ascent in the Union command structure spread in order to discredit him and explain his higher mortality rates. For more consider Kaplan</w:t>
      </w:r>
      <w:r w:rsidR="009C72F2">
        <w:rPr>
          <w:rFonts w:ascii="Times New Roman" w:hAnsi="Times New Roman" w:cs="Times New Roman"/>
        </w:rPr>
        <w:t>, “Grant’s Drinking”</w:t>
      </w:r>
      <w:r w:rsidRPr="002318C9">
        <w:rPr>
          <w:rFonts w:ascii="Times New Roman" w:hAnsi="Times New Roman" w:cs="Times New Roman"/>
        </w:rPr>
        <w:t xml:space="preserve">; Ron Chernow. </w:t>
      </w:r>
      <w:r w:rsidRPr="002318C9">
        <w:rPr>
          <w:rFonts w:ascii="Times New Roman" w:hAnsi="Times New Roman" w:cs="Times New Roman"/>
          <w:i/>
          <w:iCs/>
        </w:rPr>
        <w:t>Grant</w:t>
      </w:r>
      <w:r w:rsidRPr="002318C9">
        <w:rPr>
          <w:rFonts w:ascii="Times New Roman" w:hAnsi="Times New Roman" w:cs="Times New Roman"/>
        </w:rPr>
        <w:t>. Waterville, ME: Thorndike Press, a Part of Gale, a Cengage Company, 2018.</w:t>
      </w:r>
    </w:p>
  </w:footnote>
  <w:footnote w:id="20">
    <w:p w14:paraId="43D2FA5D"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Daniel </w:t>
      </w:r>
      <w:r w:rsidRPr="002318C9">
        <w:rPr>
          <w:rFonts w:ascii="Times New Roman" w:hAnsi="Times New Roman" w:cs="Times New Roman"/>
          <w:i/>
          <w:iCs/>
        </w:rPr>
        <w:t>Shiloh</w:t>
      </w:r>
      <w:r w:rsidRPr="002318C9">
        <w:rPr>
          <w:rFonts w:ascii="Times New Roman" w:hAnsi="Times New Roman" w:cs="Times New Roman"/>
        </w:rPr>
        <w:t xml:space="preserve">; McPherson; Bonekemper </w:t>
      </w:r>
      <w:r w:rsidRPr="002318C9">
        <w:rPr>
          <w:rFonts w:ascii="Times New Roman" w:hAnsi="Times New Roman" w:cs="Times New Roman"/>
          <w:i/>
          <w:iCs/>
        </w:rPr>
        <w:t xml:space="preserve">Ulysses S. Grant; </w:t>
      </w:r>
      <w:r w:rsidRPr="002318C9">
        <w:rPr>
          <w:rFonts w:ascii="Times New Roman" w:hAnsi="Times New Roman" w:cs="Times New Roman"/>
        </w:rPr>
        <w:t>Bonekemper “The Butcher’s Bill”</w:t>
      </w:r>
    </w:p>
  </w:footnote>
  <w:footnote w:id="21">
    <w:p w14:paraId="0FDB9A94"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On Grant and corruption, consider William Archibald Dunning. </w:t>
      </w:r>
      <w:r w:rsidRPr="002318C9">
        <w:rPr>
          <w:rFonts w:ascii="Times New Roman" w:hAnsi="Times New Roman" w:cs="Times New Roman"/>
          <w:i/>
          <w:iCs/>
        </w:rPr>
        <w:t xml:space="preserve">Reconstruction: Political &amp; Economic, 1865–1877. </w:t>
      </w:r>
      <w:r w:rsidRPr="002318C9">
        <w:rPr>
          <w:rFonts w:ascii="Times New Roman" w:hAnsi="Times New Roman" w:cs="Times New Roman"/>
        </w:rPr>
        <w:t xml:space="preserve">New York: Harper and Brothers, 1907.Claude G. Bowers. </w:t>
      </w:r>
      <w:r w:rsidRPr="002318C9">
        <w:rPr>
          <w:rFonts w:ascii="Times New Roman" w:hAnsi="Times New Roman" w:cs="Times New Roman"/>
          <w:i/>
          <w:iCs/>
        </w:rPr>
        <w:t>The Tragic Era: The Revolution after Lincoln</w:t>
      </w:r>
      <w:r w:rsidRPr="002318C9">
        <w:rPr>
          <w:rFonts w:ascii="Times New Roman" w:hAnsi="Times New Roman" w:cs="Times New Roman"/>
        </w:rPr>
        <w:t xml:space="preserve">. Cambridge, MA: Riverside Press, 1929; C. Mildred Thompson. </w:t>
      </w:r>
      <w:r w:rsidRPr="002318C9">
        <w:rPr>
          <w:rFonts w:ascii="Times New Roman" w:hAnsi="Times New Roman" w:cs="Times New Roman"/>
          <w:i/>
          <w:iCs/>
        </w:rPr>
        <w:t>Reconstruction in Georgia, Economic, Social, Political, 1865-1872</w:t>
      </w:r>
      <w:r w:rsidRPr="002318C9">
        <w:rPr>
          <w:rFonts w:ascii="Times New Roman" w:hAnsi="Times New Roman" w:cs="Times New Roman"/>
        </w:rPr>
        <w:t>. New York: Longmans, Green, and Company, 1915.</w:t>
      </w:r>
    </w:p>
  </w:footnote>
  <w:footnote w:id="22">
    <w:p w14:paraId="76C5DC9B" w14:textId="08A0E363"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On Grant not being corrupt but taking the blame for it historically because it was caused by his subordinates consider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Pr="002318C9">
        <w:rPr>
          <w:rFonts w:ascii="Times New Roman" w:hAnsi="Times New Roman" w:cs="Times New Roman"/>
        </w:rPr>
        <w:t>;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Pr="002318C9">
        <w:rPr>
          <w:rFonts w:ascii="Times New Roman" w:hAnsi="Times New Roman" w:cs="Times New Roman"/>
        </w:rPr>
        <w:t>; Mark Wahlgren Summers</w:t>
      </w:r>
      <w:r w:rsidR="005953C0">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The Era of Good Stealings.</w:t>
      </w:r>
      <w:r w:rsidRPr="002318C9">
        <w:rPr>
          <w:rFonts w:ascii="Times New Roman" w:hAnsi="Times New Roman" w:cs="Times New Roman"/>
        </w:rPr>
        <w:t xml:space="preserve"> New York, NY: Oxford University, 1993.</w:t>
      </w:r>
    </w:p>
  </w:footnote>
  <w:footnote w:id="23">
    <w:p w14:paraId="1FAD1308"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John David Smith &amp; J. Vincent Lowery, eds. </w:t>
      </w:r>
      <w:r w:rsidRPr="002318C9">
        <w:rPr>
          <w:rFonts w:ascii="Times New Roman" w:hAnsi="Times New Roman" w:cs="Times New Roman"/>
          <w:i/>
          <w:iCs/>
        </w:rPr>
        <w:t>The Dunning School: Historians, Race, and the Meaning of Reconstruction.</w:t>
      </w:r>
      <w:r w:rsidRPr="002318C9">
        <w:rPr>
          <w:rFonts w:ascii="Times New Roman" w:hAnsi="Times New Roman" w:cs="Times New Roman"/>
        </w:rPr>
        <w:t xml:space="preserve"> Lexington: University Press of Kentucky, 2013.</w:t>
      </w:r>
    </w:p>
  </w:footnote>
  <w:footnote w:id="24">
    <w:p w14:paraId="4DBFE2F6" w14:textId="44C9036C"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E5082">
        <w:rPr>
          <w:rFonts w:ascii="Times New Roman" w:hAnsi="Times New Roman" w:cs="Times New Roman"/>
        </w:rPr>
        <w:t xml:space="preserve">Mark </w:t>
      </w:r>
      <w:r w:rsidRPr="002318C9">
        <w:rPr>
          <w:rFonts w:ascii="Times New Roman" w:hAnsi="Times New Roman" w:cs="Times New Roman"/>
        </w:rPr>
        <w:t xml:space="preserve">Perry, </w:t>
      </w:r>
      <w:r w:rsidRPr="002318C9">
        <w:rPr>
          <w:rFonts w:ascii="Times New Roman" w:hAnsi="Times New Roman" w:cs="Times New Roman"/>
          <w:i/>
          <w:iCs/>
        </w:rPr>
        <w:t>Grant and Twain: The Story of an American Friendship</w:t>
      </w:r>
      <w:r w:rsidRPr="002318C9">
        <w:rPr>
          <w:rFonts w:ascii="Times New Roman" w:hAnsi="Times New Roman" w:cs="Times New Roman"/>
        </w:rPr>
        <w:t>. New York; Random House, 2005; Paul M. Rego</w:t>
      </w:r>
      <w:r w:rsidR="00597954">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Lyman Trumbull and the Second Founding of the United States</w:t>
      </w:r>
      <w:r w:rsidRPr="002318C9">
        <w:rPr>
          <w:rFonts w:ascii="Times New Roman" w:hAnsi="Times New Roman" w:cs="Times New Roman"/>
        </w:rPr>
        <w:t xml:space="preserve">. Lawrence, KS: University of Kansas Press, 2022; Charles Bracelen Flood. </w:t>
      </w:r>
      <w:r w:rsidRPr="002318C9">
        <w:rPr>
          <w:rFonts w:ascii="Times New Roman" w:hAnsi="Times New Roman" w:cs="Times New Roman"/>
          <w:i/>
          <w:iCs/>
        </w:rPr>
        <w:t>Grant and Sherman: The Friendship that Won the Civil War</w:t>
      </w:r>
      <w:r w:rsidRPr="002318C9">
        <w:rPr>
          <w:rFonts w:ascii="Times New Roman" w:hAnsi="Times New Roman" w:cs="Times New Roman"/>
        </w:rPr>
        <w:t xml:space="preserve">. New York: Farrar, Strauss &amp; Giroux, 2006; Elizabeth Varon. </w:t>
      </w:r>
      <w:r w:rsidRPr="002318C9">
        <w:rPr>
          <w:rFonts w:ascii="Times New Roman" w:hAnsi="Times New Roman" w:cs="Times New Roman"/>
          <w:i/>
          <w:iCs/>
        </w:rPr>
        <w:t>Longstreet: The Confederate General Who Defied the South.</w:t>
      </w:r>
      <w:r w:rsidRPr="002318C9">
        <w:rPr>
          <w:rFonts w:ascii="Times New Roman" w:hAnsi="Times New Roman" w:cs="Times New Roman"/>
        </w:rPr>
        <w:t xml:space="preserve"> New York: Simon &amp; Schuster, 2023.</w:t>
      </w:r>
    </w:p>
  </w:footnote>
  <w:footnote w:id="25">
    <w:p w14:paraId="5572D507"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Gen. Horace Porter. “Personal Traits of General Grant.” McClure’s Magazine vol. II, no. 6 (May 1894).</w:t>
      </w:r>
    </w:p>
  </w:footnote>
  <w:footnote w:id="26">
    <w:p w14:paraId="31634955"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Alan Lessoff. </w:t>
      </w:r>
      <w:r w:rsidRPr="002318C9">
        <w:rPr>
          <w:rFonts w:ascii="Times New Roman" w:hAnsi="Times New Roman" w:cs="Times New Roman"/>
          <w:i/>
          <w:iCs/>
        </w:rPr>
        <w:t>The Nation and Its City: Politics, Corruption and Progress in Washington, D.C., 1861-1902</w:t>
      </w:r>
      <w:r w:rsidRPr="002318C9">
        <w:rPr>
          <w:rFonts w:ascii="Times New Roman" w:hAnsi="Times New Roman" w:cs="Times New Roman"/>
        </w:rPr>
        <w:t>. Baltimore: Johns Hopkins University Press, 1994. 101.</w:t>
      </w:r>
    </w:p>
  </w:footnote>
  <w:footnote w:id="27">
    <w:p w14:paraId="490108E9"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This is not meant to malign service members as corrupt in any way. This is merely a statement that there are proven instances where some individuals who served the United States military engaged in corrupt behavior during Reconstruction. Such examples can be found throughout this dissertation, including but not limited to Alexander Robey Shepherd, John Joyce, John McDonald, and Hiram Whitley.</w:t>
      </w:r>
    </w:p>
  </w:footnote>
  <w:footnote w:id="28">
    <w:p w14:paraId="47BFB3FA"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Richard White. </w:t>
      </w:r>
      <w:r w:rsidRPr="002318C9">
        <w:rPr>
          <w:rFonts w:ascii="Times New Roman" w:hAnsi="Times New Roman" w:cs="Times New Roman"/>
          <w:i/>
          <w:iCs/>
        </w:rPr>
        <w:t>The Republic for Which It Stands: The United States during Reconstruction and the Gilded Age, 1865-1896</w:t>
      </w:r>
      <w:r w:rsidRPr="002318C9">
        <w:rPr>
          <w:rFonts w:ascii="Times New Roman" w:hAnsi="Times New Roman" w:cs="Times New Roman"/>
        </w:rPr>
        <w:t xml:space="preserve">. New York, NY: Oxford University Press, 2017; M. Ostrogorski. </w:t>
      </w:r>
      <w:r w:rsidRPr="002318C9">
        <w:rPr>
          <w:rFonts w:ascii="Times New Roman" w:hAnsi="Times New Roman" w:cs="Times New Roman"/>
          <w:i/>
          <w:iCs/>
        </w:rPr>
        <w:t>Democracy and the Party System in the United States: A Study in Extra-Constitutional Government.</w:t>
      </w:r>
      <w:r w:rsidRPr="002318C9">
        <w:rPr>
          <w:rFonts w:ascii="Times New Roman" w:hAnsi="Times New Roman" w:cs="Times New Roman"/>
        </w:rPr>
        <w:t xml:space="preserve"> New York: The Macmillan Company, 1910; Paul Van Riper. </w:t>
      </w:r>
      <w:r w:rsidRPr="002318C9">
        <w:rPr>
          <w:rFonts w:ascii="Times New Roman" w:hAnsi="Times New Roman" w:cs="Times New Roman"/>
          <w:i/>
          <w:iCs/>
        </w:rPr>
        <w:t>History of the United States Civil Service</w:t>
      </w:r>
      <w:r w:rsidRPr="002318C9">
        <w:rPr>
          <w:rFonts w:ascii="Times New Roman" w:hAnsi="Times New Roman" w:cs="Times New Roman"/>
        </w:rPr>
        <w:t xml:space="preserve">. Westport, CT: Greenwood Press, 1958; Ari Hoogenboom. </w:t>
      </w:r>
      <w:r w:rsidRPr="002318C9">
        <w:rPr>
          <w:rFonts w:ascii="Times New Roman" w:hAnsi="Times New Roman" w:cs="Times New Roman"/>
          <w:i/>
          <w:iCs/>
        </w:rPr>
        <w:t>Outlawing the Spoils: A History of the Civil Service Reform Movement, 1865-1883</w:t>
      </w:r>
      <w:r w:rsidRPr="002318C9">
        <w:rPr>
          <w:rFonts w:ascii="Times New Roman" w:hAnsi="Times New Roman" w:cs="Times New Roman"/>
        </w:rPr>
        <w:t>. Champaign, IL: University of Illinois Press, 1961.</w:t>
      </w:r>
    </w:p>
  </w:footnote>
  <w:footnote w:id="29">
    <w:p w14:paraId="206855CA"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Edward S. Cooper. </w:t>
      </w:r>
      <w:r w:rsidRPr="00597954">
        <w:rPr>
          <w:rFonts w:ascii="Times New Roman" w:hAnsi="Times New Roman" w:cs="Times New Roman"/>
          <w:i/>
          <w:iCs/>
        </w:rPr>
        <w:t>John McDonald and the Whiskey Ring: From Thug to Grants Inner Circle</w:t>
      </w:r>
      <w:r w:rsidRPr="002318C9">
        <w:rPr>
          <w:rFonts w:ascii="Times New Roman" w:hAnsi="Times New Roman" w:cs="Times New Roman"/>
        </w:rPr>
        <w:t>. Madison: Fairleigh Dickinson University Press, 2016. 77.</w:t>
      </w:r>
    </w:p>
  </w:footnote>
  <w:footnote w:id="30">
    <w:p w14:paraId="5DAFE34C"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"Gen. Babcock Drowned". New York Times. June 4, 1884; Martin E. Mantell. </w:t>
      </w:r>
      <w:r w:rsidRPr="002318C9">
        <w:rPr>
          <w:rFonts w:ascii="Times New Roman" w:hAnsi="Times New Roman" w:cs="Times New Roman"/>
          <w:i/>
          <w:iCs/>
        </w:rPr>
        <w:t>Johnson, Grant, and the Politics of Reconstruction</w:t>
      </w:r>
      <w:r w:rsidRPr="002318C9">
        <w:rPr>
          <w:rFonts w:ascii="Times New Roman" w:hAnsi="Times New Roman" w:cs="Times New Roman"/>
        </w:rPr>
        <w:t xml:space="preserve">. New York, NY: Columbia University Press, 1973; Ralph Kirshner. </w:t>
      </w:r>
      <w:r w:rsidRPr="002318C9">
        <w:rPr>
          <w:rFonts w:ascii="Times New Roman" w:hAnsi="Times New Roman" w:cs="Times New Roman"/>
          <w:i/>
          <w:iCs/>
        </w:rPr>
        <w:t>The Class of 1861: Custer, Ames, and Their Classmates After West Point</w:t>
      </w:r>
      <w:r w:rsidRPr="002318C9">
        <w:rPr>
          <w:rFonts w:ascii="Times New Roman" w:hAnsi="Times New Roman" w:cs="Times New Roman"/>
        </w:rPr>
        <w:t>. Carbondale: Southern Illinois University Press, 1999.</w:t>
      </w:r>
    </w:p>
  </w:footnote>
  <w:footnote w:id="31">
    <w:p w14:paraId="3FAFCE4D"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to General John Rawlins, October 5, 1866. In Edwin Stanton. </w:t>
      </w:r>
      <w:r w:rsidRPr="002318C9">
        <w:rPr>
          <w:rFonts w:ascii="Times New Roman" w:hAnsi="Times New Roman" w:cs="Times New Roman"/>
          <w:i/>
          <w:iCs/>
        </w:rPr>
        <w:t>Military Posts: Letter from the Secretary of War in Answer to A resolution of the House of the 5th December, transmitting a report of inspection of military posts</w:t>
      </w:r>
      <w:r w:rsidRPr="002318C9">
        <w:rPr>
          <w:rFonts w:ascii="Times New Roman" w:hAnsi="Times New Roman" w:cs="Times New Roman"/>
        </w:rPr>
        <w:t xml:space="preserve">. House of Representatives, 39th Congress, 2nd Session, Executive Document 20.    </w:t>
      </w:r>
    </w:p>
  </w:footnote>
  <w:footnote w:id="32">
    <w:p w14:paraId="568A24D5" w14:textId="619EF2B0"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rPr>
        <w:t>,</w:t>
      </w:r>
      <w:r w:rsidRPr="002318C9">
        <w:rPr>
          <w:rFonts w:ascii="Times New Roman" w:hAnsi="Times New Roman" w:cs="Times New Roman"/>
        </w:rPr>
        <w:t xml:space="preserve"> 77; C. Vann Woodward. “The Lowest Ebb.” American Heritage vol 8, issue 3 (April 1957).</w:t>
      </w:r>
    </w:p>
  </w:footnote>
  <w:footnote w:id="33">
    <w:p w14:paraId="06A7CBC9" w14:textId="77777777" w:rsidR="009931C4" w:rsidRPr="00E92A89" w:rsidRDefault="009931C4" w:rsidP="009931C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Photo Courtesy of the Library of Congress</w:t>
      </w:r>
    </w:p>
  </w:footnote>
  <w:footnote w:id="34">
    <w:p w14:paraId="0CB3D673" w14:textId="12BDA4DB"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William M. Maury. </w:t>
      </w:r>
      <w:r w:rsidRPr="002318C9">
        <w:rPr>
          <w:rFonts w:ascii="Times New Roman" w:hAnsi="Times New Roman" w:cs="Times New Roman"/>
          <w:i/>
          <w:iCs/>
        </w:rPr>
        <w:t>Alexander “Boss” Shepherd and the Board of Public Works.</w:t>
      </w:r>
      <w:r w:rsidRPr="002318C9">
        <w:rPr>
          <w:rFonts w:ascii="Times New Roman" w:hAnsi="Times New Roman" w:cs="Times New Roman"/>
        </w:rPr>
        <w:t xml:space="preserve"> [GW Washington Studies, Number Three] Washington: George Washington University, 1975; John P. Richardson</w:t>
      </w:r>
      <w:r w:rsidR="00727FF1">
        <w:rPr>
          <w:rFonts w:ascii="Times New Roman" w:hAnsi="Times New Roman" w:cs="Times New Roman"/>
        </w:rPr>
        <w:t>,</w:t>
      </w:r>
      <w:r w:rsidRPr="002318C9">
        <w:rPr>
          <w:rFonts w:ascii="Times New Roman" w:hAnsi="Times New Roman" w:cs="Times New Roman"/>
        </w:rPr>
        <w:t xml:space="preserve"> </w:t>
      </w:r>
      <w:r w:rsidRPr="00727FF1">
        <w:rPr>
          <w:rFonts w:ascii="Times New Roman" w:hAnsi="Times New Roman" w:cs="Times New Roman"/>
          <w:i/>
          <w:iCs/>
        </w:rPr>
        <w:t>Alexander Robey Shepherd: The Man Who Built the Nation’s Capital</w:t>
      </w:r>
      <w:r w:rsidRPr="002318C9">
        <w:rPr>
          <w:rFonts w:ascii="Times New Roman" w:hAnsi="Times New Roman" w:cs="Times New Roman"/>
        </w:rPr>
        <w:t xml:space="preserve">. Athens: Ohio University Press, 2016; Pamela Scott. </w:t>
      </w:r>
      <w:r w:rsidRPr="002318C9">
        <w:rPr>
          <w:rFonts w:ascii="Times New Roman" w:hAnsi="Times New Roman" w:cs="Times New Roman"/>
          <w:i/>
          <w:iCs/>
        </w:rPr>
        <w:t>Capital Engineers: The U.S. Army Corps of Engineers in the Development of Washington, D.C. 1790-2004</w:t>
      </w:r>
      <w:r w:rsidRPr="002318C9">
        <w:rPr>
          <w:rFonts w:ascii="Times New Roman" w:hAnsi="Times New Roman" w:cs="Times New Roman"/>
        </w:rPr>
        <w:t>. Alexandria, VA; Office of History, Headquarters, US Army Corps of Engineers, 2008.</w:t>
      </w:r>
    </w:p>
  </w:footnote>
  <w:footnote w:id="35">
    <w:p w14:paraId="6A36AFCC" w14:textId="26D8A8BD"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w:t>
      </w:r>
      <w:r w:rsidR="00727FF1">
        <w:rPr>
          <w:rFonts w:ascii="Times New Roman" w:hAnsi="Times New Roman" w:cs="Times New Roman"/>
        </w:rPr>
        <w:t xml:space="preserve">orace </w:t>
      </w:r>
      <w:r w:rsidRPr="002318C9">
        <w:rPr>
          <w:rFonts w:ascii="Times New Roman" w:hAnsi="Times New Roman" w:cs="Times New Roman"/>
        </w:rPr>
        <w:t>P</w:t>
      </w:r>
      <w:r w:rsidR="00727FF1">
        <w:rPr>
          <w:rFonts w:ascii="Times New Roman" w:hAnsi="Times New Roman" w:cs="Times New Roman"/>
        </w:rPr>
        <w:t>orter</w:t>
      </w:r>
      <w:r w:rsidRPr="002318C9">
        <w:rPr>
          <w:rFonts w:ascii="Times New Roman" w:hAnsi="Times New Roman" w:cs="Times New Roman"/>
        </w:rPr>
        <w:t xml:space="preserve"> to O</w:t>
      </w:r>
      <w:r w:rsidR="00727FF1">
        <w:rPr>
          <w:rFonts w:ascii="Times New Roman" w:hAnsi="Times New Roman" w:cs="Times New Roman"/>
        </w:rPr>
        <w:t>rville Babcock</w:t>
      </w:r>
      <w:r w:rsidRPr="002318C9">
        <w:rPr>
          <w:rFonts w:ascii="Times New Roman" w:hAnsi="Times New Roman" w:cs="Times New Roman"/>
        </w:rPr>
        <w:t>, June 24, 1869, Ulysses S. Grant Unpublished Correspondence, Ulysses S. Grant Presidential Library; O</w:t>
      </w:r>
      <w:r w:rsidR="00727FF1">
        <w:rPr>
          <w:rFonts w:ascii="Times New Roman" w:hAnsi="Times New Roman" w:cs="Times New Roman"/>
        </w:rPr>
        <w:t>rville Babcock</w:t>
      </w:r>
      <w:r w:rsidRPr="002318C9">
        <w:rPr>
          <w:rFonts w:ascii="Times New Roman" w:hAnsi="Times New Roman" w:cs="Times New Roman"/>
        </w:rPr>
        <w:t xml:space="preserve"> to H</w:t>
      </w:r>
      <w:r w:rsidR="00727FF1">
        <w:rPr>
          <w:rFonts w:ascii="Times New Roman" w:hAnsi="Times New Roman" w:cs="Times New Roman"/>
        </w:rPr>
        <w:t>orace Porter</w:t>
      </w:r>
      <w:r w:rsidRPr="002318C9">
        <w:rPr>
          <w:rFonts w:ascii="Times New Roman" w:hAnsi="Times New Roman" w:cs="Times New Roman"/>
        </w:rPr>
        <w:t>, October 2, 1872, Ulysses S. Grant Unpublished Correspondence, Ulysses S. Grant Presidential Library; Levi P. Luckey to O</w:t>
      </w:r>
      <w:r w:rsidR="00727FF1">
        <w:rPr>
          <w:rFonts w:ascii="Times New Roman" w:hAnsi="Times New Roman" w:cs="Times New Roman"/>
        </w:rPr>
        <w:t>rville</w:t>
      </w:r>
      <w:r w:rsidRPr="002318C9">
        <w:rPr>
          <w:rFonts w:ascii="Times New Roman" w:hAnsi="Times New Roman" w:cs="Times New Roman"/>
        </w:rPr>
        <w:t xml:space="preserve"> Babcock, October 27, 1873, Ulysses S. Grant Unpublished Correspondence, Ulysses S. Grant Presidential Library; W</w:t>
      </w:r>
      <w:r w:rsidR="00727FF1">
        <w:rPr>
          <w:rFonts w:ascii="Times New Roman" w:hAnsi="Times New Roman" w:cs="Times New Roman"/>
        </w:rPr>
        <w:t xml:space="preserve">illiam </w:t>
      </w:r>
      <w:r w:rsidRPr="002318C9">
        <w:rPr>
          <w:rFonts w:ascii="Times New Roman" w:hAnsi="Times New Roman" w:cs="Times New Roman"/>
        </w:rPr>
        <w:t>B</w:t>
      </w:r>
      <w:r w:rsidR="00727FF1">
        <w:rPr>
          <w:rFonts w:ascii="Times New Roman" w:hAnsi="Times New Roman" w:cs="Times New Roman"/>
        </w:rPr>
        <w:t>elknap</w:t>
      </w:r>
      <w:r w:rsidRPr="002318C9">
        <w:rPr>
          <w:rFonts w:ascii="Times New Roman" w:hAnsi="Times New Roman" w:cs="Times New Roman"/>
        </w:rPr>
        <w:t xml:space="preserve"> to O</w:t>
      </w:r>
      <w:r w:rsidR="00727FF1">
        <w:rPr>
          <w:rFonts w:ascii="Times New Roman" w:hAnsi="Times New Roman" w:cs="Times New Roman"/>
        </w:rPr>
        <w:t xml:space="preserve">rville </w:t>
      </w:r>
      <w:r w:rsidRPr="002318C9">
        <w:rPr>
          <w:rFonts w:ascii="Times New Roman" w:hAnsi="Times New Roman" w:cs="Times New Roman"/>
        </w:rPr>
        <w:t>B</w:t>
      </w:r>
      <w:r w:rsidR="00727FF1">
        <w:rPr>
          <w:rFonts w:ascii="Times New Roman" w:hAnsi="Times New Roman" w:cs="Times New Roman"/>
        </w:rPr>
        <w:t>abcock</w:t>
      </w:r>
      <w:r w:rsidRPr="002318C9">
        <w:rPr>
          <w:rFonts w:ascii="Times New Roman" w:hAnsi="Times New Roman" w:cs="Times New Roman"/>
        </w:rPr>
        <w:t>, May 7, 1874, Ulysses S. Grant Unpublished Correspondence, Ulysses S. Grant Presidential Library</w:t>
      </w:r>
    </w:p>
  </w:footnote>
  <w:footnote w:id="36">
    <w:p w14:paraId="4F0323E3"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Christopher A. Thomas, “The Lincoln Memorial and Its Architect, Henry Bacon.” (Ph.D. diss., Yale University, 1990). 528-541</w:t>
      </w:r>
    </w:p>
  </w:footnote>
  <w:footnote w:id="37">
    <w:p w14:paraId="4684A231" w14:textId="4C60C3A3" w:rsidR="00EB755A" w:rsidRPr="005A0F3A" w:rsidRDefault="00EB755A" w:rsidP="00EB755A">
      <w:pPr>
        <w:pStyle w:val="FootnoteText"/>
        <w:rPr>
          <w:rFonts w:ascii="Times New Roman" w:hAnsi="Times New Roman" w:cs="Times New Roman"/>
          <w:sz w:val="16"/>
          <w:szCs w:val="16"/>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054D5">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Pr="002318C9">
        <w:rPr>
          <w:rFonts w:ascii="Times New Roman" w:hAnsi="Times New Roman" w:cs="Times New Roman"/>
        </w:rPr>
        <w:t>; Maury</w:t>
      </w:r>
      <w:r w:rsidR="005A0F3A">
        <w:rPr>
          <w:rFonts w:ascii="Times New Roman" w:hAnsi="Times New Roman" w:cs="Times New Roman"/>
        </w:rPr>
        <w:t xml:space="preserve">, </w:t>
      </w:r>
      <w:r w:rsidR="005A0F3A" w:rsidRPr="005A0F3A">
        <w:rPr>
          <w:rFonts w:ascii="Times New Roman" w:hAnsi="Times New Roman" w:cs="Times New Roman"/>
          <w:i/>
          <w:iCs/>
          <w:szCs w:val="16"/>
        </w:rPr>
        <w:t>“Boss” Shepherd and the Board of Public Works</w:t>
      </w:r>
    </w:p>
  </w:footnote>
  <w:footnote w:id="38">
    <w:p w14:paraId="694F0CC3"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More About The Washington Tammany: Its Tool in Congress Unmasked, Letter From John H. Crane to Norton P. Chapman, Delegate in Congress from the District of Columbia, In Which the Frauds of the District Ring are Shown Up, and the Mendacious Falsehoods of Their Delegate in Congress Exposed</w:t>
      </w:r>
      <w:r w:rsidRPr="002318C9">
        <w:rPr>
          <w:rFonts w:ascii="Times New Roman" w:hAnsi="Times New Roman" w:cs="Times New Roman"/>
        </w:rPr>
        <w:t xml:space="preserve">. Washington: Harvard University, February 21, 1873; H.V. Boynton. “The Washington Safe Burglary Conspiracy.” </w:t>
      </w:r>
      <w:r w:rsidRPr="002318C9">
        <w:rPr>
          <w:rFonts w:ascii="Times New Roman" w:hAnsi="Times New Roman" w:cs="Times New Roman"/>
          <w:i/>
          <w:iCs/>
        </w:rPr>
        <w:t xml:space="preserve">American Law Review </w:t>
      </w:r>
      <w:r w:rsidRPr="002318C9">
        <w:rPr>
          <w:rFonts w:ascii="Times New Roman" w:hAnsi="Times New Roman" w:cs="Times New Roman"/>
        </w:rPr>
        <w:t>11, no. 3 (April 1877): 401-446.</w:t>
      </w:r>
    </w:p>
  </w:footnote>
  <w:footnote w:id="39">
    <w:p w14:paraId="18A98250"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Kenneth D. Ackerman. </w:t>
      </w:r>
      <w:r w:rsidRPr="002318C9">
        <w:rPr>
          <w:rFonts w:ascii="Times New Roman" w:hAnsi="Times New Roman" w:cs="Times New Roman"/>
          <w:i/>
          <w:iCs/>
        </w:rPr>
        <w:t>The Gold Ring: Jim Fisk Jay Gould, and Black Friday, 1869.</w:t>
      </w:r>
      <w:r w:rsidRPr="002318C9">
        <w:rPr>
          <w:rFonts w:ascii="Times New Roman" w:hAnsi="Times New Roman" w:cs="Times New Roman"/>
        </w:rPr>
        <w:t xml:space="preserve"> New York: Harper and Row, 2004.</w:t>
      </w:r>
    </w:p>
  </w:footnote>
  <w:footnote w:id="40">
    <w:p w14:paraId="39F8F900" w14:textId="52141C4C"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Semmes</w:t>
      </w:r>
      <w:r w:rsidR="00E05991">
        <w:rPr>
          <w:rFonts w:ascii="Times New Roman" w:hAnsi="Times New Roman" w:cs="Times New Roman"/>
        </w:rPr>
        <w:t xml:space="preserve">, </w:t>
      </w:r>
      <w:r w:rsidR="00E05991" w:rsidRPr="009F07DA">
        <w:rPr>
          <w:rFonts w:ascii="Times New Roman" w:hAnsi="Times New Roman" w:cs="Times New Roman"/>
          <w:i/>
          <w:iCs/>
        </w:rPr>
        <w:t>Exporting Reconstruction</w:t>
      </w:r>
      <w:r w:rsidRPr="002318C9">
        <w:rPr>
          <w:rFonts w:ascii="Times New Roman" w:hAnsi="Times New Roman" w:cs="Times New Roman"/>
        </w:rPr>
        <w:t>;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151-262</w:t>
      </w:r>
    </w:p>
  </w:footnote>
  <w:footnote w:id="41">
    <w:p w14:paraId="1447B619" w14:textId="6EC36F36" w:rsidR="005B6C24" w:rsidRPr="002318C9" w:rsidRDefault="005B6C24" w:rsidP="005B6C24">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451-534; Cooper</w:t>
      </w:r>
      <w:r w:rsidR="00347C58">
        <w:rPr>
          <w:rFonts w:ascii="Times New Roman" w:hAnsi="Times New Roman" w:cs="Times New Roman"/>
        </w:rPr>
        <w:t xml:space="preserve">, </w:t>
      </w:r>
      <w:r w:rsidR="00347C58" w:rsidRPr="00597954">
        <w:rPr>
          <w:rFonts w:ascii="Times New Roman" w:hAnsi="Times New Roman" w:cs="Times New Roman"/>
          <w:i/>
          <w:iCs/>
        </w:rPr>
        <w:t>McDonald and the Whiskey Ring</w:t>
      </w:r>
      <w:r w:rsidRPr="002318C9">
        <w:rPr>
          <w:rFonts w:ascii="Times New Roman" w:hAnsi="Times New Roman" w:cs="Times New Roman"/>
        </w:rPr>
        <w:t xml:space="preserve">; Gen. John McDonald. </w:t>
      </w:r>
      <w:r w:rsidRPr="002318C9">
        <w:rPr>
          <w:rFonts w:ascii="Times New Roman" w:hAnsi="Times New Roman" w:cs="Times New Roman"/>
          <w:i/>
          <w:iCs/>
        </w:rPr>
        <w:t>Secrets of the Great Whiskey Ring: And Eighteen Months in the Penitentiary. Containing a Complete Exposure of the Illicit Whiskey Frauds Culminating in 1875, with Documentary Proofs. to which is Added the Author's Remarkable Experiences while a Convict in the Missouri Penitentiary, at Jefferson City</w:t>
      </w:r>
      <w:r w:rsidRPr="002318C9">
        <w:rPr>
          <w:rFonts w:ascii="Times New Roman" w:hAnsi="Times New Roman" w:cs="Times New Roman"/>
        </w:rPr>
        <w:t>. St. Louis, Mo: W. S. Bryan, 1880.</w:t>
      </w:r>
    </w:p>
  </w:footnote>
  <w:footnote w:id="42">
    <w:p w14:paraId="66100C92" w14:textId="79601677" w:rsidR="005B6C24" w:rsidRDefault="005B6C24">
      <w:pPr>
        <w:pStyle w:val="FootnoteText"/>
      </w:pPr>
      <w:r>
        <w:rPr>
          <w:rStyle w:val="FootnoteReference"/>
        </w:rPr>
        <w:footnoteRef/>
      </w:r>
      <w:r>
        <w:t xml:space="preserve"> </w:t>
      </w:r>
      <w:r w:rsidRPr="00201AE1">
        <w:rPr>
          <w:rFonts w:ascii="Times New Roman" w:hAnsi="Times New Roman" w:cs="Times New Roman"/>
        </w:rPr>
        <w:t>Ibid</w:t>
      </w:r>
    </w:p>
  </w:footnote>
  <w:footnote w:id="43">
    <w:p w14:paraId="71786A1F" w14:textId="5CDCF74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481-520; Cooper</w:t>
      </w:r>
      <w:r w:rsidR="00347C58">
        <w:rPr>
          <w:rFonts w:ascii="Times New Roman" w:hAnsi="Times New Roman" w:cs="Times New Roman"/>
        </w:rPr>
        <w:t xml:space="preserve">, </w:t>
      </w:r>
      <w:r w:rsidR="00347C58" w:rsidRPr="00597954">
        <w:rPr>
          <w:rFonts w:ascii="Times New Roman" w:hAnsi="Times New Roman" w:cs="Times New Roman"/>
          <w:i/>
          <w:iCs/>
        </w:rPr>
        <w:t>McDonald and the Whiskey Ring</w:t>
      </w:r>
      <w:r w:rsidR="00347C58">
        <w:rPr>
          <w:rFonts w:ascii="Times New Roman" w:hAnsi="Times New Roman" w:cs="Times New Roman"/>
          <w:i/>
          <w:iCs/>
        </w:rPr>
        <w:t>,</w:t>
      </w:r>
      <w:r w:rsidRPr="002318C9">
        <w:rPr>
          <w:rFonts w:ascii="Times New Roman" w:hAnsi="Times New Roman" w:cs="Times New Roman"/>
        </w:rPr>
        <w:t xml:space="preserve"> 117-124</w:t>
      </w:r>
    </w:p>
  </w:footnote>
  <w:footnote w:id="44">
    <w:p w14:paraId="338C176E" w14:textId="373E2D1E"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Woodward</w:t>
      </w:r>
      <w:r w:rsidR="00C054D5">
        <w:rPr>
          <w:rFonts w:ascii="Times New Roman" w:hAnsi="Times New Roman" w:cs="Times New Roman"/>
        </w:rPr>
        <w:t>,</w:t>
      </w:r>
      <w:r w:rsidRPr="002318C9">
        <w:rPr>
          <w:rFonts w:ascii="Times New Roman" w:hAnsi="Times New Roman" w:cs="Times New Roman"/>
        </w:rPr>
        <w:t xml:space="preserve"> “Lowest Ebb” </w:t>
      </w:r>
    </w:p>
  </w:footnote>
  <w:footnote w:id="45">
    <w:p w14:paraId="206BADA8"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6">
    <w:p w14:paraId="5DF1BF93" w14:textId="41E5C110"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Babcock emerges as a key player in the Whiskey Ring, and in recent publications about attempts to annex Santo Domingo, but these narratives are told from the perspective of a narrative centered on Grant. By centering the narrative on Babcock and his development as a political agent, we can see much more about the quotidian politics of Reconstruction. For more on Babcock as a bit player in Grant narratives, consider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C05B20" w:rsidRPr="00C05B20">
        <w:rPr>
          <w:rFonts w:ascii="Times New Roman" w:hAnsi="Times New Roman" w:cs="Times New Roman"/>
        </w:rPr>
        <w:t>;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C05B20" w:rsidRPr="00C05B20">
        <w:rPr>
          <w:rFonts w:ascii="Times New Roman" w:hAnsi="Times New Roman" w:cs="Times New Roman"/>
        </w:rPr>
        <w:t>; Brands</w:t>
      </w:r>
      <w:r w:rsidR="0031523D">
        <w:rPr>
          <w:rFonts w:ascii="Times New Roman" w:hAnsi="Times New Roman" w:cs="Times New Roman"/>
        </w:rPr>
        <w:t xml:space="preserve">, </w:t>
      </w:r>
      <w:r w:rsidR="0031523D" w:rsidRPr="002318C9">
        <w:rPr>
          <w:rFonts w:ascii="Times New Roman" w:hAnsi="Times New Roman" w:cs="Times New Roman"/>
          <w:i/>
          <w:iCs/>
        </w:rPr>
        <w:t>Man Who Saved The Union</w:t>
      </w:r>
      <w:r w:rsidR="00C05B20" w:rsidRPr="00C05B20">
        <w:rPr>
          <w:rFonts w:ascii="Times New Roman" w:hAnsi="Times New Roman" w:cs="Times New Roman"/>
        </w:rPr>
        <w:t>; Jean Edward Smith</w:t>
      </w:r>
      <w:r w:rsidR="00552BFB">
        <w:rPr>
          <w:rFonts w:ascii="Times New Roman" w:hAnsi="Times New Roman" w:cs="Times New Roman"/>
        </w:rPr>
        <w:t xml:space="preserve">, </w:t>
      </w:r>
      <w:r w:rsidR="00552BFB">
        <w:rPr>
          <w:rFonts w:ascii="Times New Roman" w:hAnsi="Times New Roman" w:cs="Times New Roman"/>
          <w:i/>
          <w:iCs/>
        </w:rPr>
        <w:t>Grant</w:t>
      </w:r>
      <w:r w:rsidR="00C05B20" w:rsidRPr="00C05B20">
        <w:rPr>
          <w:rFonts w:ascii="Times New Roman" w:hAnsi="Times New Roman" w:cs="Times New Roman"/>
        </w:rPr>
        <w:t>; Ronald White</w:t>
      </w:r>
      <w:r w:rsidR="009A68A0">
        <w:rPr>
          <w:rFonts w:ascii="Times New Roman" w:hAnsi="Times New Roman" w:cs="Times New Roman"/>
        </w:rPr>
        <w:t xml:space="preserve">, </w:t>
      </w:r>
      <w:r w:rsidR="009A68A0" w:rsidRPr="002318C9">
        <w:rPr>
          <w:rFonts w:ascii="Times New Roman" w:hAnsi="Times New Roman" w:cs="Times New Roman"/>
          <w:i/>
          <w:iCs/>
        </w:rPr>
        <w:t>American Ulysses</w:t>
      </w:r>
      <w:r w:rsidR="00C05B20" w:rsidRPr="00C05B20">
        <w:rPr>
          <w:rFonts w:ascii="Times New Roman" w:hAnsi="Times New Roman" w:cs="Times New Roman"/>
        </w:rPr>
        <w:t xml:space="preserve">; William S. McFeely, </w:t>
      </w:r>
      <w:r w:rsidR="00C05B20" w:rsidRPr="00C05B20">
        <w:rPr>
          <w:rFonts w:ascii="Times New Roman" w:hAnsi="Times New Roman" w:cs="Times New Roman"/>
          <w:i/>
          <w:iCs/>
        </w:rPr>
        <w:t>Grant: A Biography</w:t>
      </w:r>
      <w:r w:rsidR="00C05B20" w:rsidRPr="00C05B20">
        <w:rPr>
          <w:rFonts w:ascii="Times New Roman" w:hAnsi="Times New Roman" w:cs="Times New Roman"/>
        </w:rPr>
        <w:t>. New York: W.W. Norton, 1981</w:t>
      </w:r>
      <w:r w:rsidR="00745F7F">
        <w:rPr>
          <w:rFonts w:ascii="Times New Roman" w:hAnsi="Times New Roman" w:cs="Times New Roman"/>
        </w:rPr>
        <w:t>.</w:t>
      </w:r>
    </w:p>
  </w:footnote>
  <w:footnote w:id="47">
    <w:p w14:paraId="1E4F576D" w14:textId="675596C3" w:rsidR="00EB755A" w:rsidRPr="003D5186" w:rsidRDefault="00EB755A" w:rsidP="003D5186">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Mark Wahlgren Summers. </w:t>
      </w:r>
      <w:r w:rsidRPr="002318C9">
        <w:rPr>
          <w:rFonts w:ascii="Times New Roman" w:hAnsi="Times New Roman" w:cs="Times New Roman"/>
          <w:i/>
          <w:iCs/>
        </w:rPr>
        <w:t xml:space="preserve">The Press Gang: Newspapers and Politics, 1865-1878. </w:t>
      </w:r>
      <w:r w:rsidRPr="002318C9">
        <w:rPr>
          <w:rFonts w:ascii="Times New Roman" w:hAnsi="Times New Roman" w:cs="Times New Roman"/>
        </w:rPr>
        <w:t>Chapel Hill, NC: University of North Carolina Press, 1994; Summers</w:t>
      </w:r>
      <w:r w:rsidR="00C054D5">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Era</w:t>
      </w:r>
      <w:r w:rsidRPr="002318C9">
        <w:rPr>
          <w:rFonts w:ascii="Times New Roman" w:hAnsi="Times New Roman" w:cs="Times New Roman"/>
        </w:rPr>
        <w:t xml:space="preserve">; </w:t>
      </w:r>
      <w:r w:rsidR="003D5186">
        <w:rPr>
          <w:rFonts w:ascii="Times New Roman" w:hAnsi="Times New Roman" w:cs="Times New Roman"/>
        </w:rPr>
        <w:t xml:space="preserve">Philip </w:t>
      </w:r>
      <w:r w:rsidR="003D5186" w:rsidRPr="003D5186">
        <w:rPr>
          <w:rFonts w:ascii="Times New Roman" w:hAnsi="Times New Roman" w:cs="Times New Roman"/>
        </w:rPr>
        <w:t xml:space="preserve">Leigh, </w:t>
      </w:r>
      <w:r w:rsidR="003D5186" w:rsidRPr="003D5186">
        <w:rPr>
          <w:rFonts w:ascii="Times New Roman" w:hAnsi="Times New Roman" w:cs="Times New Roman"/>
          <w:i/>
          <w:iCs/>
        </w:rPr>
        <w:t>U.S. Grant’s Failed Presidency</w:t>
      </w:r>
      <w:r w:rsidR="003D5186" w:rsidRPr="003D5186">
        <w:rPr>
          <w:rFonts w:ascii="Times New Roman" w:hAnsi="Times New Roman" w:cs="Times New Roman"/>
        </w:rPr>
        <w:t>. Columbia, SC: Shotwell Publishing, 2019</w:t>
      </w:r>
      <w:r w:rsidRPr="003D5186">
        <w:rPr>
          <w:rFonts w:ascii="Times New Roman" w:hAnsi="Times New Roman" w:cs="Times New Roman"/>
        </w:rPr>
        <w:t xml:space="preserve">; T.O. Howe, "Is the Republican Party in Its Death-Struggle?" </w:t>
      </w:r>
      <w:r w:rsidRPr="003D5186">
        <w:rPr>
          <w:rFonts w:ascii="Times New Roman" w:hAnsi="Times New Roman" w:cs="Times New Roman"/>
          <w:i/>
          <w:iCs/>
        </w:rPr>
        <w:t>The North American Review</w:t>
      </w:r>
      <w:r w:rsidRPr="003D5186">
        <w:rPr>
          <w:rFonts w:ascii="Times New Roman" w:hAnsi="Times New Roman" w:cs="Times New Roman"/>
        </w:rPr>
        <w:t xml:space="preserve"> 126, no. 262 (1878): 381-403.</w:t>
      </w:r>
    </w:p>
  </w:footnote>
  <w:footnote w:id="48">
    <w:p w14:paraId="64D9AF16" w14:textId="7E5C74FB"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"Turn The Rascals Out." </w:t>
      </w:r>
      <w:r w:rsidRPr="00560332">
        <w:rPr>
          <w:rFonts w:ascii="Times New Roman" w:hAnsi="Times New Roman" w:cs="Times New Roman"/>
          <w:i/>
          <w:iCs/>
        </w:rPr>
        <w:t>The Democratic Advocate</w:t>
      </w:r>
      <w:r w:rsidRPr="002318C9">
        <w:rPr>
          <w:rFonts w:ascii="Times New Roman" w:hAnsi="Times New Roman" w:cs="Times New Roman"/>
        </w:rPr>
        <w:t xml:space="preserve"> (Westminster, MD), September 27, 1884. This article was widely published, including but not limited to the following papers on the following dates: </w:t>
      </w:r>
      <w:r w:rsidRPr="00560332">
        <w:rPr>
          <w:rFonts w:ascii="Times New Roman" w:hAnsi="Times New Roman" w:cs="Times New Roman"/>
          <w:i/>
          <w:iCs/>
        </w:rPr>
        <w:t>Palatka Daily News</w:t>
      </w:r>
      <w:r w:rsidRPr="002318C9">
        <w:rPr>
          <w:rFonts w:ascii="Times New Roman" w:hAnsi="Times New Roman" w:cs="Times New Roman"/>
        </w:rPr>
        <w:t xml:space="preserve">, Palatka (FL), August 23, 1884; </w:t>
      </w:r>
      <w:r w:rsidRPr="00560332">
        <w:rPr>
          <w:rFonts w:ascii="Times New Roman" w:hAnsi="Times New Roman" w:cs="Times New Roman"/>
          <w:i/>
          <w:iCs/>
        </w:rPr>
        <w:t>Millheim Journal</w:t>
      </w:r>
      <w:r w:rsidRPr="002318C9">
        <w:rPr>
          <w:rFonts w:ascii="Times New Roman" w:hAnsi="Times New Roman" w:cs="Times New Roman"/>
        </w:rPr>
        <w:t xml:space="preserve">, Millheim (PA), September 4, 1884; and </w:t>
      </w:r>
      <w:r w:rsidRPr="00560332">
        <w:rPr>
          <w:rFonts w:ascii="Times New Roman" w:hAnsi="Times New Roman" w:cs="Times New Roman"/>
          <w:i/>
          <w:iCs/>
        </w:rPr>
        <w:t>The Weekly Register</w:t>
      </w:r>
      <w:r w:rsidRPr="002318C9">
        <w:rPr>
          <w:rFonts w:ascii="Times New Roman" w:hAnsi="Times New Roman" w:cs="Times New Roman"/>
        </w:rPr>
        <w:t>, Point Pleasant (VA), September 17, 1884.</w:t>
      </w:r>
    </w:p>
  </w:footnote>
  <w:footnote w:id="49">
    <w:p w14:paraId="0E1ECB91" w14:textId="3E374A50"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Foner</w:t>
      </w:r>
      <w:r w:rsidR="00207DDD">
        <w:rPr>
          <w:rFonts w:ascii="Times New Roman" w:hAnsi="Times New Roman" w:cs="Times New Roman"/>
        </w:rPr>
        <w:t xml:space="preserve">, </w:t>
      </w:r>
      <w:r w:rsidR="00207DDD" w:rsidRPr="002318C9">
        <w:rPr>
          <w:rFonts w:ascii="Times New Roman" w:hAnsi="Times New Roman" w:cs="Times New Roman"/>
          <w:i/>
          <w:iCs/>
        </w:rPr>
        <w:t>Reconstruction</w:t>
      </w:r>
    </w:p>
  </w:footnote>
  <w:footnote w:id="50">
    <w:p w14:paraId="4E7434B8" w14:textId="6202DACF"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examples of historical research from the Dunning School, consider: William Archibald Dunning, </w:t>
      </w:r>
      <w:r w:rsidRPr="002318C9">
        <w:rPr>
          <w:rFonts w:ascii="Times New Roman" w:hAnsi="Times New Roman" w:cs="Times New Roman"/>
          <w:i/>
          <w:iCs/>
        </w:rPr>
        <w:t>Reconstruction: Political &amp; Economic, 1865–1877</w:t>
      </w:r>
      <w:r w:rsidRPr="002318C9">
        <w:rPr>
          <w:rFonts w:ascii="Times New Roman" w:hAnsi="Times New Roman" w:cs="Times New Roman"/>
        </w:rPr>
        <w:t xml:space="preserve">; </w:t>
      </w:r>
      <w:bookmarkStart w:id="5" w:name="_Hlk112333543"/>
      <w:r w:rsidRPr="002318C9">
        <w:rPr>
          <w:rFonts w:ascii="Times New Roman" w:hAnsi="Times New Roman" w:cs="Times New Roman"/>
        </w:rPr>
        <w:t xml:space="preserve">John W. Burgess, </w:t>
      </w:r>
      <w:r w:rsidRPr="002318C9">
        <w:rPr>
          <w:rFonts w:ascii="Times New Roman" w:hAnsi="Times New Roman" w:cs="Times New Roman"/>
          <w:i/>
          <w:iCs/>
        </w:rPr>
        <w:t>Reconstruction and the Constitution, 1866-1876.</w:t>
      </w:r>
      <w:r w:rsidRPr="002318C9">
        <w:rPr>
          <w:rFonts w:ascii="Times New Roman" w:hAnsi="Times New Roman" w:cs="Times New Roman"/>
        </w:rPr>
        <w:t xml:space="preserve"> New York: Charles Scribner’s Sons, 1902</w:t>
      </w:r>
      <w:bookmarkEnd w:id="5"/>
      <w:r w:rsidRPr="002318C9">
        <w:rPr>
          <w:rFonts w:ascii="Times New Roman" w:hAnsi="Times New Roman" w:cs="Times New Roman"/>
        </w:rPr>
        <w:t xml:space="preserve">; Claude Bowers, </w:t>
      </w:r>
      <w:r w:rsidRPr="002318C9">
        <w:rPr>
          <w:rFonts w:ascii="Times New Roman" w:hAnsi="Times New Roman" w:cs="Times New Roman"/>
          <w:i/>
          <w:iCs/>
        </w:rPr>
        <w:t>The Tragic Era: The Revolution after Lincoln</w:t>
      </w:r>
      <w:r w:rsidRPr="002318C9">
        <w:rPr>
          <w:rFonts w:ascii="Times New Roman" w:hAnsi="Times New Roman" w:cs="Times New Roman"/>
        </w:rPr>
        <w:t xml:space="preserve">. Cambridge, MA: Riverside Press, 1929; E. Merlton Coulter, </w:t>
      </w:r>
      <w:r w:rsidRPr="002318C9">
        <w:rPr>
          <w:rFonts w:ascii="Times New Roman" w:hAnsi="Times New Roman" w:cs="Times New Roman"/>
          <w:i/>
          <w:iCs/>
        </w:rPr>
        <w:t>The South During Reconstruction, 1865-1877</w:t>
      </w:r>
      <w:r w:rsidRPr="002318C9">
        <w:rPr>
          <w:rFonts w:ascii="Times New Roman" w:hAnsi="Times New Roman" w:cs="Times New Roman"/>
        </w:rPr>
        <w:t>. Baton Rouge, LA: LSU Press, 1947.</w:t>
      </w:r>
    </w:p>
  </w:footnote>
  <w:footnote w:id="51">
    <w:p w14:paraId="5B1755C7"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6" w:name="_Hlk112327735"/>
      <w:r w:rsidRPr="002318C9">
        <w:rPr>
          <w:rFonts w:ascii="Times New Roman" w:hAnsi="Times New Roman" w:cs="Times New Roman"/>
        </w:rPr>
        <w:t xml:space="preserve">William Archibald Dunning, </w:t>
      </w:r>
      <w:r w:rsidRPr="002318C9">
        <w:rPr>
          <w:rFonts w:ascii="Times New Roman" w:hAnsi="Times New Roman" w:cs="Times New Roman"/>
          <w:i/>
          <w:iCs/>
        </w:rPr>
        <w:t>Essays on the Civil War and Reconstruction and Related Topics</w:t>
      </w:r>
      <w:r w:rsidRPr="002318C9">
        <w:rPr>
          <w:rFonts w:ascii="Times New Roman" w:hAnsi="Times New Roman" w:cs="Times New Roman"/>
        </w:rPr>
        <w:t>. New York: Macmillan, 1898.</w:t>
      </w:r>
      <w:bookmarkEnd w:id="6"/>
    </w:p>
  </w:footnote>
  <w:footnote w:id="52">
    <w:p w14:paraId="29429274"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examples of historical research from the Progressive school, consider: </w:t>
      </w:r>
      <w:bookmarkStart w:id="7" w:name="_Hlk112334445"/>
      <w:r w:rsidRPr="002318C9">
        <w:rPr>
          <w:rFonts w:ascii="Times New Roman" w:hAnsi="Times New Roman" w:cs="Times New Roman"/>
        </w:rPr>
        <w:t xml:space="preserve">Francis B. Simkins, “New Viewpoints of Southern Reconstruction,” </w:t>
      </w:r>
      <w:r w:rsidRPr="002318C9">
        <w:rPr>
          <w:rFonts w:ascii="Times New Roman" w:hAnsi="Times New Roman" w:cs="Times New Roman"/>
          <w:i/>
          <w:iCs/>
        </w:rPr>
        <w:t>Journal of Southern History</w:t>
      </w:r>
      <w:r w:rsidRPr="002318C9">
        <w:rPr>
          <w:rFonts w:ascii="Times New Roman" w:hAnsi="Times New Roman" w:cs="Times New Roman"/>
        </w:rPr>
        <w:t xml:space="preserve"> 5 (February 1939): 49-61; W.E.B. Du Bois, </w:t>
      </w:r>
      <w:r w:rsidRPr="002318C9">
        <w:rPr>
          <w:rFonts w:ascii="Times New Roman" w:hAnsi="Times New Roman" w:cs="Times New Roman"/>
          <w:i/>
          <w:iCs/>
        </w:rPr>
        <w:t>Black Reconstruction, 1860-1880</w:t>
      </w:r>
      <w:r w:rsidRPr="002318C9">
        <w:rPr>
          <w:rFonts w:ascii="Times New Roman" w:hAnsi="Times New Roman" w:cs="Times New Roman"/>
        </w:rPr>
        <w:t xml:space="preserve">. New York: Russell &amp; Russell, 1935; Vernon L. Wharton, </w:t>
      </w:r>
      <w:r w:rsidRPr="002318C9">
        <w:rPr>
          <w:rFonts w:ascii="Times New Roman" w:hAnsi="Times New Roman" w:cs="Times New Roman"/>
          <w:i/>
          <w:iCs/>
        </w:rPr>
        <w:t>The Negro in Mississippi, 1865-1890</w:t>
      </w:r>
      <w:r w:rsidRPr="002318C9">
        <w:rPr>
          <w:rFonts w:ascii="Times New Roman" w:hAnsi="Times New Roman" w:cs="Times New Roman"/>
        </w:rPr>
        <w:t xml:space="preserve">. Chapel Hill: UNC Press, 1947; Joel Williamson, </w:t>
      </w:r>
      <w:r w:rsidRPr="002318C9">
        <w:rPr>
          <w:rFonts w:ascii="Times New Roman" w:hAnsi="Times New Roman" w:cs="Times New Roman"/>
          <w:i/>
          <w:iCs/>
        </w:rPr>
        <w:t>After Slavery: The Negro in South Carolina during Reconstruction, 1861-1877</w:t>
      </w:r>
      <w:r w:rsidRPr="002318C9">
        <w:rPr>
          <w:rFonts w:ascii="Times New Roman" w:hAnsi="Times New Roman" w:cs="Times New Roman"/>
        </w:rPr>
        <w:t xml:space="preserve">. Chapel Hill: UNC Press, 1965; Allen W. Trelease, “Who Were the Scalawags?” </w:t>
      </w:r>
      <w:r w:rsidRPr="002318C9">
        <w:rPr>
          <w:rFonts w:ascii="Times New Roman" w:hAnsi="Times New Roman" w:cs="Times New Roman"/>
          <w:i/>
          <w:iCs/>
        </w:rPr>
        <w:t>Journal of Southern History</w:t>
      </w:r>
      <w:r w:rsidRPr="002318C9">
        <w:rPr>
          <w:rFonts w:ascii="Times New Roman" w:hAnsi="Times New Roman" w:cs="Times New Roman"/>
        </w:rPr>
        <w:t xml:space="preserve"> 29 (November 1963): 445-468; C. Vann Woodward, </w:t>
      </w:r>
      <w:r w:rsidRPr="002318C9">
        <w:rPr>
          <w:rFonts w:ascii="Times New Roman" w:hAnsi="Times New Roman" w:cs="Times New Roman"/>
          <w:i/>
          <w:iCs/>
        </w:rPr>
        <w:t>Reunion and Reaction: The Compromise of 1877 and the End of Reconstruction.</w:t>
      </w:r>
      <w:r w:rsidRPr="002318C9">
        <w:rPr>
          <w:rFonts w:ascii="Times New Roman" w:hAnsi="Times New Roman" w:cs="Times New Roman"/>
        </w:rPr>
        <w:t xml:space="preserve"> New York: Oxford University Press, 1951</w:t>
      </w:r>
      <w:bookmarkEnd w:id="7"/>
      <w:r w:rsidRPr="002318C9">
        <w:rPr>
          <w:rFonts w:ascii="Times New Roman" w:hAnsi="Times New Roman" w:cs="Times New Roman"/>
        </w:rPr>
        <w:t>.</w:t>
      </w:r>
    </w:p>
  </w:footnote>
  <w:footnote w:id="53">
    <w:p w14:paraId="79F939D7" w14:textId="28F040E1" w:rsidR="00EB755A" w:rsidRPr="00B63EB4" w:rsidRDefault="00EB755A" w:rsidP="00EB755A">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Du Bois</w:t>
      </w:r>
      <w:r w:rsidR="00B63EB4">
        <w:rPr>
          <w:rFonts w:ascii="Times New Roman" w:hAnsi="Times New Roman" w:cs="Times New Roman"/>
        </w:rPr>
        <w:t xml:space="preserve">, </w:t>
      </w:r>
      <w:r w:rsidR="00B63EB4">
        <w:rPr>
          <w:rFonts w:ascii="Times New Roman" w:hAnsi="Times New Roman" w:cs="Times New Roman"/>
          <w:i/>
          <w:iCs/>
        </w:rPr>
        <w:t>Black Reconstruction</w:t>
      </w:r>
    </w:p>
  </w:footnote>
  <w:footnote w:id="54">
    <w:p w14:paraId="692CD4CE" w14:textId="2C2AC801"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63EB4">
        <w:rPr>
          <w:rFonts w:ascii="Times New Roman" w:hAnsi="Times New Roman" w:cs="Times New Roman"/>
        </w:rPr>
        <w:t>Ibid</w:t>
      </w:r>
    </w:p>
  </w:footnote>
  <w:footnote w:id="55">
    <w:p w14:paraId="77ECCBA8" w14:textId="7B61766D"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examples of historical research from the Revisionist school, consider: </w:t>
      </w:r>
      <w:bookmarkStart w:id="8" w:name="_Hlk112336013"/>
      <w:bookmarkStart w:id="9" w:name="_Hlk193891512"/>
      <w:r w:rsidRPr="002318C9">
        <w:rPr>
          <w:rFonts w:ascii="Times New Roman" w:hAnsi="Times New Roman" w:cs="Times New Roman"/>
        </w:rPr>
        <w:t xml:space="preserve">Kenneth M. Stampp, </w:t>
      </w:r>
      <w:r w:rsidRPr="002318C9">
        <w:rPr>
          <w:rFonts w:ascii="Times New Roman" w:hAnsi="Times New Roman" w:cs="Times New Roman"/>
          <w:i/>
          <w:iCs/>
        </w:rPr>
        <w:t>The Era of Reconstruction: America after the Civil War, 1865-1877</w:t>
      </w:r>
      <w:r w:rsidRPr="002318C9">
        <w:rPr>
          <w:rFonts w:ascii="Times New Roman" w:hAnsi="Times New Roman" w:cs="Times New Roman"/>
        </w:rPr>
        <w:t xml:space="preserve">. New York: Alfred Knopf, 1965; Robert Sharkey, </w:t>
      </w:r>
      <w:r w:rsidRPr="002318C9">
        <w:rPr>
          <w:rFonts w:ascii="Times New Roman" w:hAnsi="Times New Roman" w:cs="Times New Roman"/>
          <w:i/>
          <w:iCs/>
        </w:rPr>
        <w:t>Money, Class, and Party: An Economic Study of Civil War and Reconstruction</w:t>
      </w:r>
      <w:r w:rsidRPr="002318C9">
        <w:rPr>
          <w:rFonts w:ascii="Times New Roman" w:hAnsi="Times New Roman" w:cs="Times New Roman"/>
        </w:rPr>
        <w:t xml:space="preserve">. Baltimore: The Johns Hopkins Press,1951; Howard K. Beale, </w:t>
      </w:r>
      <w:r w:rsidRPr="002318C9">
        <w:rPr>
          <w:rFonts w:ascii="Times New Roman" w:hAnsi="Times New Roman" w:cs="Times New Roman"/>
          <w:i/>
          <w:iCs/>
        </w:rPr>
        <w:t xml:space="preserve">The Critical Year: A Study of Andrew Johnson and Reconstruction. </w:t>
      </w:r>
      <w:r w:rsidRPr="002318C9">
        <w:rPr>
          <w:rFonts w:ascii="Times New Roman" w:hAnsi="Times New Roman" w:cs="Times New Roman"/>
        </w:rPr>
        <w:t xml:space="preserve">New York: Harcourt, Brace and Co., 1930; Hans L. Trefousse, </w:t>
      </w:r>
      <w:r w:rsidRPr="002318C9">
        <w:rPr>
          <w:rFonts w:ascii="Times New Roman" w:hAnsi="Times New Roman" w:cs="Times New Roman"/>
          <w:i/>
          <w:iCs/>
        </w:rPr>
        <w:t>The Radical Republicans: Lincoln’s Vanguard for Racial Justice</w:t>
      </w:r>
      <w:r w:rsidRPr="002318C9">
        <w:rPr>
          <w:rFonts w:ascii="Times New Roman" w:hAnsi="Times New Roman" w:cs="Times New Roman"/>
        </w:rPr>
        <w:t xml:space="preserve">. New York: Knopf, 1969; George C. Rable, </w:t>
      </w:r>
      <w:r w:rsidRPr="002318C9">
        <w:rPr>
          <w:rFonts w:ascii="Times New Roman" w:hAnsi="Times New Roman" w:cs="Times New Roman"/>
          <w:i/>
          <w:iCs/>
        </w:rPr>
        <w:t>But There was No Peace: The Role of Violence in the Politics of Reconstruction.</w:t>
      </w:r>
      <w:r w:rsidRPr="002318C9">
        <w:rPr>
          <w:rFonts w:ascii="Times New Roman" w:hAnsi="Times New Roman" w:cs="Times New Roman"/>
        </w:rPr>
        <w:t xml:space="preserve"> Athens, GA: University of Georgia Press, 1984; James H. McPherson, </w:t>
      </w:r>
      <w:r w:rsidRPr="002318C9">
        <w:rPr>
          <w:rFonts w:ascii="Times New Roman" w:hAnsi="Times New Roman" w:cs="Times New Roman"/>
          <w:i/>
          <w:iCs/>
        </w:rPr>
        <w:t>The Struggle for Equality: Abolitionists and the Negro in the Civil War and Reconstruction.</w:t>
      </w:r>
      <w:r w:rsidRPr="002318C9">
        <w:rPr>
          <w:rFonts w:ascii="Times New Roman" w:hAnsi="Times New Roman" w:cs="Times New Roman"/>
        </w:rPr>
        <w:t xml:space="preserve"> Princeton: Princeton University Press, 1964; Foner, </w:t>
      </w:r>
      <w:r w:rsidRPr="002318C9">
        <w:rPr>
          <w:rFonts w:ascii="Times New Roman" w:hAnsi="Times New Roman" w:cs="Times New Roman"/>
          <w:i/>
          <w:iCs/>
        </w:rPr>
        <w:t>Reconstruction</w:t>
      </w:r>
      <w:r w:rsidRPr="002318C9">
        <w:rPr>
          <w:rFonts w:ascii="Times New Roman" w:hAnsi="Times New Roman" w:cs="Times New Roman"/>
        </w:rPr>
        <w:t>.</w:t>
      </w:r>
      <w:bookmarkEnd w:id="8"/>
    </w:p>
    <w:bookmarkEnd w:id="9"/>
  </w:footnote>
  <w:footnote w:id="56">
    <w:p w14:paraId="524DF0A7" w14:textId="553E04E5" w:rsidR="00EB755A" w:rsidRPr="00061B88" w:rsidRDefault="00EB755A" w:rsidP="00061B88">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61B88">
        <w:rPr>
          <w:rFonts w:ascii="Times New Roman" w:hAnsi="Times New Roman" w:cs="Times New Roman"/>
        </w:rPr>
        <w:t xml:space="preserve">Kenneth </w:t>
      </w:r>
      <w:r w:rsidR="00061B88" w:rsidRPr="00061B88">
        <w:rPr>
          <w:rFonts w:ascii="Times New Roman" w:hAnsi="Times New Roman" w:cs="Times New Roman"/>
        </w:rPr>
        <w:t xml:space="preserve">Stampp, </w:t>
      </w:r>
      <w:r w:rsidR="00061B88" w:rsidRPr="00061B88">
        <w:rPr>
          <w:rFonts w:ascii="Times New Roman" w:hAnsi="Times New Roman" w:cs="Times New Roman"/>
          <w:i/>
          <w:iCs/>
        </w:rPr>
        <w:t>The Era of Reconstruction</w:t>
      </w:r>
    </w:p>
  </w:footnote>
  <w:footnote w:id="57">
    <w:p w14:paraId="131623FE" w14:textId="6A2AB321"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10" w:name="_Hlk112334985"/>
      <w:r w:rsidRPr="002318C9">
        <w:rPr>
          <w:rFonts w:ascii="Times New Roman" w:hAnsi="Times New Roman" w:cs="Times New Roman"/>
        </w:rPr>
        <w:t>Foner</w:t>
      </w:r>
      <w:r w:rsidR="00207DDD">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Reconstruction</w:t>
      </w:r>
      <w:bookmarkEnd w:id="10"/>
    </w:p>
  </w:footnote>
  <w:footnote w:id="58">
    <w:p w14:paraId="536F7B46" w14:textId="080D6BAB"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Foner</w:t>
      </w:r>
      <w:r w:rsidR="00207DDD">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Reconstruction</w:t>
      </w:r>
      <w:r w:rsidR="00207DDD">
        <w:rPr>
          <w:rFonts w:ascii="Times New Roman" w:hAnsi="Times New Roman" w:cs="Times New Roman"/>
          <w:i/>
          <w:iCs/>
        </w:rPr>
        <w:t>,</w:t>
      </w:r>
      <w:r w:rsidRPr="002318C9">
        <w:rPr>
          <w:rFonts w:ascii="Times New Roman" w:hAnsi="Times New Roman" w:cs="Times New Roman"/>
        </w:rPr>
        <w:t xml:space="preserve"> xxiv</w:t>
      </w:r>
    </w:p>
  </w:footnote>
  <w:footnote w:id="59">
    <w:p w14:paraId="76D90883"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examples of scholars who have expanded on Foner’s ideas, in a “Fonerite” school of thought, consider: </w:t>
      </w:r>
      <w:bookmarkStart w:id="11" w:name="_Hlk193892560"/>
      <w:r w:rsidRPr="002318C9">
        <w:rPr>
          <w:rFonts w:ascii="Times New Roman" w:hAnsi="Times New Roman" w:cs="Times New Roman"/>
        </w:rPr>
        <w:t xml:space="preserve">Steven Hahn, </w:t>
      </w:r>
      <w:r w:rsidRPr="002318C9">
        <w:rPr>
          <w:rFonts w:ascii="Times New Roman" w:hAnsi="Times New Roman" w:cs="Times New Roman"/>
          <w:i/>
          <w:iCs/>
        </w:rPr>
        <w:t>A Nation under Our Feet: Black Political Struggles in the Rural South from Slavery to the Great Migration.</w:t>
      </w:r>
      <w:r w:rsidRPr="002318C9">
        <w:rPr>
          <w:rFonts w:ascii="Times New Roman" w:hAnsi="Times New Roman" w:cs="Times New Roman"/>
        </w:rPr>
        <w:t xml:space="preserve"> Cambridge, MA: Belknap Press of Harvard Univ. Press, 2005; Moon-Ho Jung, </w:t>
      </w:r>
      <w:r w:rsidRPr="002318C9">
        <w:rPr>
          <w:rFonts w:ascii="Times New Roman" w:hAnsi="Times New Roman" w:cs="Times New Roman"/>
          <w:i/>
          <w:iCs/>
        </w:rPr>
        <w:t>Coolies and Cane: Race, Labor, and Sugar in the Age of Emancipation.</w:t>
      </w:r>
      <w:r w:rsidRPr="002318C9">
        <w:rPr>
          <w:rFonts w:ascii="Times New Roman" w:hAnsi="Times New Roman" w:cs="Times New Roman"/>
        </w:rPr>
        <w:t xml:space="preserve"> Baltimore: Johns Hopkins University Press, 2006; David W. Blight, </w:t>
      </w:r>
      <w:r w:rsidRPr="002318C9">
        <w:rPr>
          <w:rFonts w:ascii="Times New Roman" w:hAnsi="Times New Roman" w:cs="Times New Roman"/>
          <w:i/>
          <w:iCs/>
        </w:rPr>
        <w:t>Race and Reunion: The Civil War in American Memory.</w:t>
      </w:r>
      <w:r w:rsidRPr="002318C9">
        <w:rPr>
          <w:rFonts w:ascii="Times New Roman" w:hAnsi="Times New Roman" w:cs="Times New Roman"/>
        </w:rPr>
        <w:t xml:space="preserve"> Cambridge: The Belknap Press of Harvard University Press, 2001; Heather Cox Richardson, </w:t>
      </w:r>
      <w:r w:rsidRPr="002318C9">
        <w:rPr>
          <w:rFonts w:ascii="Times New Roman" w:hAnsi="Times New Roman" w:cs="Times New Roman"/>
          <w:i/>
          <w:iCs/>
        </w:rPr>
        <w:t>West from Appomattox: The Reconstruction of America after the Civil War</w:t>
      </w:r>
      <w:r w:rsidRPr="002318C9">
        <w:rPr>
          <w:rFonts w:ascii="Times New Roman" w:hAnsi="Times New Roman" w:cs="Times New Roman"/>
        </w:rPr>
        <w:t xml:space="preserve">. New Haven, CT: Yale University Press, 2007; Thavolia Glymph, </w:t>
      </w:r>
      <w:r w:rsidRPr="002318C9">
        <w:rPr>
          <w:rFonts w:ascii="Times New Roman" w:hAnsi="Times New Roman" w:cs="Times New Roman"/>
          <w:i/>
          <w:iCs/>
        </w:rPr>
        <w:t>Out of the House of Bondage: The Transformation of the Plantation Household.</w:t>
      </w:r>
      <w:r w:rsidRPr="002318C9">
        <w:rPr>
          <w:rFonts w:ascii="Times New Roman" w:hAnsi="Times New Roman" w:cs="Times New Roman"/>
        </w:rPr>
        <w:t xml:space="preserve"> New York: Cambridge University Press, 2008; Laura F. Edwards, </w:t>
      </w:r>
      <w:r w:rsidRPr="002318C9">
        <w:rPr>
          <w:rFonts w:ascii="Times New Roman" w:hAnsi="Times New Roman" w:cs="Times New Roman"/>
          <w:i/>
          <w:iCs/>
        </w:rPr>
        <w:t>Gendered Strife &amp; Confusion: The Political Culture of Reconstruction.</w:t>
      </w:r>
      <w:r w:rsidRPr="002318C9">
        <w:rPr>
          <w:rFonts w:ascii="Times New Roman" w:hAnsi="Times New Roman" w:cs="Times New Roman"/>
        </w:rPr>
        <w:t xml:space="preserve"> Urbana, IL: University of Illinois Press, 1997.</w:t>
      </w:r>
      <w:bookmarkEnd w:id="11"/>
    </w:p>
  </w:footnote>
  <w:footnote w:id="60">
    <w:p w14:paraId="7F2892DB" w14:textId="737B95E3"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35303" w:rsidRPr="002318C9">
        <w:rPr>
          <w:rFonts w:ascii="Times New Roman" w:hAnsi="Times New Roman" w:cs="Times New Roman"/>
        </w:rPr>
        <w:t>For more, consider: Semmes</w:t>
      </w:r>
      <w:r w:rsidR="00E05991">
        <w:rPr>
          <w:rFonts w:ascii="Times New Roman" w:hAnsi="Times New Roman" w:cs="Times New Roman"/>
        </w:rPr>
        <w:t xml:space="preserve">, </w:t>
      </w:r>
      <w:r w:rsidR="00E05991" w:rsidRPr="009F07DA">
        <w:rPr>
          <w:rFonts w:ascii="Times New Roman" w:hAnsi="Times New Roman" w:cs="Times New Roman"/>
          <w:i/>
          <w:iCs/>
        </w:rPr>
        <w:t>Exporting Reconstruction</w:t>
      </w:r>
      <w:r w:rsidR="00D35303" w:rsidRPr="002318C9">
        <w:rPr>
          <w:rFonts w:ascii="Times New Roman" w:hAnsi="Times New Roman" w:cs="Times New Roman"/>
        </w:rPr>
        <w:t xml:space="preserve">; Mark Wahlgren Summers, </w:t>
      </w:r>
      <w:r w:rsidR="00D35303" w:rsidRPr="002318C9">
        <w:rPr>
          <w:rFonts w:ascii="Times New Roman" w:hAnsi="Times New Roman" w:cs="Times New Roman"/>
          <w:i/>
          <w:iCs/>
        </w:rPr>
        <w:t>A Dangerous Stir: Fear, Paranoia, and the Making of Reconstruction.</w:t>
      </w:r>
      <w:r w:rsidR="00D35303" w:rsidRPr="002318C9">
        <w:rPr>
          <w:rFonts w:ascii="Times New Roman" w:hAnsi="Times New Roman" w:cs="Times New Roman"/>
        </w:rPr>
        <w:t xml:space="preserve"> Chapel Hill: University of North Carolina Press, 2009; Glymph; Edwards; Philip B. Lyons. </w:t>
      </w:r>
      <w:r w:rsidR="00D35303" w:rsidRPr="002318C9">
        <w:rPr>
          <w:rFonts w:ascii="Times New Roman" w:hAnsi="Times New Roman" w:cs="Times New Roman"/>
          <w:i/>
          <w:iCs/>
        </w:rPr>
        <w:t>Statesmanship and Reconstruction: Moderate versus Radical Republicans on Restoring the Union after the Civil War</w:t>
      </w:r>
      <w:r w:rsidR="00D35303" w:rsidRPr="002318C9">
        <w:rPr>
          <w:rFonts w:ascii="Times New Roman" w:hAnsi="Times New Roman" w:cs="Times New Roman"/>
        </w:rPr>
        <w:t>. Lanham, MD: Lexington Books, 2014</w:t>
      </w:r>
      <w:r w:rsidR="00354494" w:rsidRPr="002318C9">
        <w:rPr>
          <w:rFonts w:ascii="Times New Roman" w:hAnsi="Times New Roman" w:cs="Times New Roman"/>
        </w:rPr>
        <w:t xml:space="preserve">; Kirk Savage. </w:t>
      </w:r>
      <w:r w:rsidR="00354494" w:rsidRPr="002318C9">
        <w:rPr>
          <w:rFonts w:ascii="Times New Roman" w:hAnsi="Times New Roman" w:cs="Times New Roman"/>
          <w:i/>
          <w:iCs/>
        </w:rPr>
        <w:t>Standing Soldiers, Kneeling Slaves: Race, War, and Monument in Nineteenth-Century America</w:t>
      </w:r>
      <w:r w:rsidR="00354494" w:rsidRPr="002318C9">
        <w:rPr>
          <w:rFonts w:ascii="Times New Roman" w:hAnsi="Times New Roman" w:cs="Times New Roman"/>
        </w:rPr>
        <w:t xml:space="preserve">. Princeton: Princeton University Press, 1997; Luke Harlow. </w:t>
      </w:r>
      <w:r w:rsidR="00354494" w:rsidRPr="002318C9">
        <w:rPr>
          <w:rFonts w:ascii="Times New Roman" w:hAnsi="Times New Roman" w:cs="Times New Roman"/>
          <w:i/>
          <w:iCs/>
        </w:rPr>
        <w:t>Religion, Race, and the Making of Confederate Kentucky, 1830-1880</w:t>
      </w:r>
      <w:r w:rsidR="00354494" w:rsidRPr="002318C9">
        <w:rPr>
          <w:rFonts w:ascii="Times New Roman" w:hAnsi="Times New Roman" w:cs="Times New Roman"/>
        </w:rPr>
        <w:t xml:space="preserve">. Cambridge: Cambridge University Press, 2014; Henry Louis Gates Jr. </w:t>
      </w:r>
      <w:r w:rsidR="00354494" w:rsidRPr="002318C9">
        <w:rPr>
          <w:rFonts w:ascii="Times New Roman" w:hAnsi="Times New Roman" w:cs="Times New Roman"/>
          <w:i/>
          <w:iCs/>
        </w:rPr>
        <w:t xml:space="preserve">Stony the Road: Reconstruction, White Supremacy, and the Rise of Jim Crow. </w:t>
      </w:r>
      <w:r w:rsidR="00354494" w:rsidRPr="002318C9">
        <w:rPr>
          <w:rFonts w:ascii="Times New Roman" w:hAnsi="Times New Roman" w:cs="Times New Roman"/>
        </w:rPr>
        <w:t>New York: Penguin Press, 2019</w:t>
      </w:r>
      <w:r w:rsidR="0022204A" w:rsidRPr="002318C9">
        <w:rPr>
          <w:rFonts w:ascii="Times New Roman" w:hAnsi="Times New Roman" w:cs="Times New Roman"/>
        </w:rPr>
        <w:t xml:space="preserve">; Nicolas Barreyre. </w:t>
      </w:r>
      <w:r w:rsidR="0022204A" w:rsidRPr="002318C9">
        <w:rPr>
          <w:rFonts w:ascii="Times New Roman" w:hAnsi="Times New Roman" w:cs="Times New Roman"/>
          <w:i/>
          <w:iCs/>
        </w:rPr>
        <w:t>Gold and Freedom: The Political Economy of Reconstruction</w:t>
      </w:r>
      <w:r w:rsidR="0022204A" w:rsidRPr="002318C9">
        <w:rPr>
          <w:rFonts w:ascii="Times New Roman" w:hAnsi="Times New Roman" w:cs="Times New Roman"/>
        </w:rPr>
        <w:t>. Charlottesville: University of Virginia Press, 2015.</w:t>
      </w:r>
    </w:p>
  </w:footnote>
  <w:footnote w:id="61">
    <w:p w14:paraId="5296D2C5" w14:textId="01C3CF5A"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F64B8" w:rsidRPr="002318C9">
        <w:rPr>
          <w:rFonts w:ascii="Times New Roman" w:hAnsi="Times New Roman" w:cs="Times New Roman"/>
        </w:rPr>
        <w:t>For more o</w:t>
      </w:r>
      <w:r w:rsidRPr="002318C9">
        <w:rPr>
          <w:rFonts w:ascii="Times New Roman" w:hAnsi="Times New Roman" w:cs="Times New Roman"/>
        </w:rPr>
        <w:t>n</w:t>
      </w:r>
      <w:r w:rsidR="008F64B8" w:rsidRPr="002318C9">
        <w:rPr>
          <w:rFonts w:ascii="Times New Roman" w:hAnsi="Times New Roman" w:cs="Times New Roman"/>
        </w:rPr>
        <w:t xml:space="preserve"> scholars</w:t>
      </w:r>
      <w:r w:rsidRPr="002318C9">
        <w:rPr>
          <w:rFonts w:ascii="Times New Roman" w:hAnsi="Times New Roman" w:cs="Times New Roman"/>
        </w:rPr>
        <w:t xml:space="preserve"> expanding </w:t>
      </w:r>
      <w:r w:rsidR="008F64B8" w:rsidRPr="002318C9">
        <w:rPr>
          <w:rFonts w:ascii="Times New Roman" w:hAnsi="Times New Roman" w:cs="Times New Roman"/>
        </w:rPr>
        <w:t>the R</w:t>
      </w:r>
      <w:r w:rsidRPr="002318C9">
        <w:rPr>
          <w:rFonts w:ascii="Times New Roman" w:hAnsi="Times New Roman" w:cs="Times New Roman"/>
        </w:rPr>
        <w:t>econstruction timeframe</w:t>
      </w:r>
      <w:r w:rsidR="008F64B8" w:rsidRPr="002318C9">
        <w:rPr>
          <w:rFonts w:ascii="Times New Roman" w:hAnsi="Times New Roman" w:cs="Times New Roman"/>
        </w:rPr>
        <w:t xml:space="preserve">, consider: </w:t>
      </w:r>
      <w:r w:rsidRPr="002318C9">
        <w:rPr>
          <w:rFonts w:ascii="Times New Roman" w:hAnsi="Times New Roman" w:cs="Times New Roman"/>
        </w:rPr>
        <w:t>Hahn; Blight</w:t>
      </w:r>
      <w:r w:rsidR="00A34875" w:rsidRPr="002318C9">
        <w:rPr>
          <w:rFonts w:ascii="Times New Roman" w:hAnsi="Times New Roman" w:cs="Times New Roman"/>
        </w:rPr>
        <w:t xml:space="preserve">; Savage; Richardson </w:t>
      </w:r>
      <w:r w:rsidR="00A34875" w:rsidRPr="002318C9">
        <w:rPr>
          <w:rFonts w:ascii="Times New Roman" w:hAnsi="Times New Roman" w:cs="Times New Roman"/>
          <w:i/>
          <w:iCs/>
        </w:rPr>
        <w:t>West</w:t>
      </w:r>
      <w:r w:rsidR="00ED0313">
        <w:rPr>
          <w:rFonts w:ascii="Times New Roman" w:hAnsi="Times New Roman" w:cs="Times New Roman"/>
          <w:i/>
          <w:iCs/>
        </w:rPr>
        <w:t xml:space="preserve"> from Appomattox</w:t>
      </w:r>
      <w:r w:rsidR="00A34875" w:rsidRPr="002318C9">
        <w:rPr>
          <w:rFonts w:ascii="Times New Roman" w:hAnsi="Times New Roman" w:cs="Times New Roman"/>
        </w:rPr>
        <w:t xml:space="preserve">; </w:t>
      </w:r>
      <w:r w:rsidR="008F64B8" w:rsidRPr="002318C9">
        <w:rPr>
          <w:rFonts w:ascii="Times New Roman" w:hAnsi="Times New Roman" w:cs="Times New Roman"/>
        </w:rPr>
        <w:t xml:space="preserve">Heather Cox Richardson. </w:t>
      </w:r>
      <w:r w:rsidR="008F64B8" w:rsidRPr="002318C9">
        <w:rPr>
          <w:rFonts w:ascii="Times New Roman" w:hAnsi="Times New Roman" w:cs="Times New Roman"/>
          <w:i/>
          <w:iCs/>
        </w:rPr>
        <w:t xml:space="preserve">The Death of Reconstruction: Race, Labor, and Politics in the Post-Civil War North, 1865-1901. </w:t>
      </w:r>
      <w:r w:rsidR="008F64B8" w:rsidRPr="002318C9">
        <w:rPr>
          <w:rFonts w:ascii="Times New Roman" w:hAnsi="Times New Roman" w:cs="Times New Roman"/>
        </w:rPr>
        <w:t xml:space="preserve">Cambridge, MS: Harvard University Press, 2001; Edward J. Blum. </w:t>
      </w:r>
      <w:r w:rsidR="008F64B8" w:rsidRPr="002318C9">
        <w:rPr>
          <w:rFonts w:ascii="Times New Roman" w:hAnsi="Times New Roman" w:cs="Times New Roman"/>
          <w:i/>
          <w:iCs/>
        </w:rPr>
        <w:t>Reforging the White Republic: Race, Religion, and American Nationalism, 1865-1898.</w:t>
      </w:r>
      <w:r w:rsidR="008F64B8" w:rsidRPr="002318C9">
        <w:rPr>
          <w:rFonts w:ascii="Times New Roman" w:hAnsi="Times New Roman" w:cs="Times New Roman"/>
        </w:rPr>
        <w:t xml:space="preserve"> Baton Rouge: Louisiana State University Press, 2005; </w:t>
      </w:r>
      <w:r w:rsidR="0022204A" w:rsidRPr="002318C9">
        <w:rPr>
          <w:rFonts w:ascii="Times New Roman" w:hAnsi="Times New Roman" w:cs="Times New Roman"/>
        </w:rPr>
        <w:t>Manisha Sinha</w:t>
      </w:r>
      <w:r w:rsidR="003F3CDE">
        <w:rPr>
          <w:rFonts w:ascii="Times New Roman" w:hAnsi="Times New Roman" w:cs="Times New Roman"/>
        </w:rPr>
        <w:t>,</w:t>
      </w:r>
      <w:r w:rsidR="0022204A" w:rsidRPr="002318C9">
        <w:rPr>
          <w:rFonts w:ascii="Times New Roman" w:hAnsi="Times New Roman" w:cs="Times New Roman"/>
        </w:rPr>
        <w:t xml:space="preserve"> </w:t>
      </w:r>
      <w:r w:rsidR="0022204A" w:rsidRPr="002318C9">
        <w:rPr>
          <w:rFonts w:ascii="Times New Roman" w:hAnsi="Times New Roman" w:cs="Times New Roman"/>
          <w:i/>
          <w:iCs/>
        </w:rPr>
        <w:t>The Rise and Fall of the Second American Republic: Reconstruction, 1860-1920</w:t>
      </w:r>
      <w:r w:rsidR="0022204A" w:rsidRPr="002318C9">
        <w:rPr>
          <w:rFonts w:ascii="Times New Roman" w:hAnsi="Times New Roman" w:cs="Times New Roman"/>
        </w:rPr>
        <w:t>. New York: Liveright, 2024.</w:t>
      </w:r>
    </w:p>
  </w:footnote>
  <w:footnote w:id="62">
    <w:p w14:paraId="7F20A91A" w14:textId="4FF672AE"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90D19" w:rsidRPr="002318C9">
        <w:rPr>
          <w:rFonts w:ascii="Times New Roman" w:hAnsi="Times New Roman" w:cs="Times New Roman"/>
        </w:rPr>
        <w:t>For more scholars who consider</w:t>
      </w:r>
      <w:r w:rsidRPr="002318C9">
        <w:rPr>
          <w:rFonts w:ascii="Times New Roman" w:hAnsi="Times New Roman" w:cs="Times New Roman"/>
        </w:rPr>
        <w:t xml:space="preserve"> northern </w:t>
      </w:r>
      <w:r w:rsidR="00E90D19" w:rsidRPr="002318C9">
        <w:rPr>
          <w:rFonts w:ascii="Times New Roman" w:hAnsi="Times New Roman" w:cs="Times New Roman"/>
        </w:rPr>
        <w:t>R</w:t>
      </w:r>
      <w:r w:rsidRPr="002318C9">
        <w:rPr>
          <w:rFonts w:ascii="Times New Roman" w:hAnsi="Times New Roman" w:cs="Times New Roman"/>
        </w:rPr>
        <w:t>econstruction and comparative post</w:t>
      </w:r>
      <w:r w:rsidR="00E90D19" w:rsidRPr="002318C9">
        <w:rPr>
          <w:rFonts w:ascii="Times New Roman" w:hAnsi="Times New Roman" w:cs="Times New Roman"/>
        </w:rPr>
        <w:t>-</w:t>
      </w:r>
      <w:r w:rsidRPr="002318C9">
        <w:rPr>
          <w:rFonts w:ascii="Times New Roman" w:hAnsi="Times New Roman" w:cs="Times New Roman"/>
        </w:rPr>
        <w:t>emancipation studies</w:t>
      </w:r>
      <w:r w:rsidR="00E90D19" w:rsidRPr="002318C9">
        <w:rPr>
          <w:rFonts w:ascii="Times New Roman" w:hAnsi="Times New Roman" w:cs="Times New Roman"/>
        </w:rPr>
        <w:t xml:space="preserve">, see: </w:t>
      </w:r>
      <w:r w:rsidRPr="002318C9">
        <w:rPr>
          <w:rFonts w:ascii="Times New Roman" w:hAnsi="Times New Roman" w:cs="Times New Roman"/>
        </w:rPr>
        <w:t>Rebecca Scott</w:t>
      </w:r>
      <w:r w:rsidR="00E90D19" w:rsidRPr="002318C9">
        <w:rPr>
          <w:rFonts w:ascii="Times New Roman" w:hAnsi="Times New Roman" w:cs="Times New Roman"/>
        </w:rPr>
        <w:t xml:space="preserve">, </w:t>
      </w:r>
      <w:r w:rsidR="00E90D19" w:rsidRPr="002318C9">
        <w:rPr>
          <w:rFonts w:ascii="Times New Roman" w:hAnsi="Times New Roman" w:cs="Times New Roman"/>
          <w:i/>
          <w:iCs/>
        </w:rPr>
        <w:t>Degrees of Freedom: Louisiana and Cuba after Slavery</w:t>
      </w:r>
      <w:r w:rsidR="00E90D19" w:rsidRPr="002318C9">
        <w:rPr>
          <w:rFonts w:ascii="Times New Roman" w:hAnsi="Times New Roman" w:cs="Times New Roman"/>
        </w:rPr>
        <w:t xml:space="preserve">. Cambridge, MA: Belknap Press, 2008; </w:t>
      </w:r>
      <w:r w:rsidR="008F14F7" w:rsidRPr="002318C9">
        <w:rPr>
          <w:rFonts w:ascii="Times New Roman" w:hAnsi="Times New Roman" w:cs="Times New Roman"/>
        </w:rPr>
        <w:t xml:space="preserve">Roberto Saba. </w:t>
      </w:r>
      <w:r w:rsidR="008F14F7" w:rsidRPr="002318C9">
        <w:rPr>
          <w:rFonts w:ascii="Times New Roman" w:hAnsi="Times New Roman" w:cs="Times New Roman"/>
          <w:i/>
          <w:iCs/>
        </w:rPr>
        <w:t>American Mirror: The United States and Brazil in the Age of Emancipation</w:t>
      </w:r>
      <w:r w:rsidR="008F14F7" w:rsidRPr="002318C9">
        <w:rPr>
          <w:rFonts w:ascii="Times New Roman" w:hAnsi="Times New Roman" w:cs="Times New Roman"/>
        </w:rPr>
        <w:t>. Princeton: Princeton University Press, 2021; Richardson</w:t>
      </w:r>
      <w:r w:rsidR="00ED0313">
        <w:rPr>
          <w:rFonts w:ascii="Times New Roman" w:hAnsi="Times New Roman" w:cs="Times New Roman"/>
        </w:rPr>
        <w:t>,</w:t>
      </w:r>
      <w:r w:rsidR="008F14F7" w:rsidRPr="002318C9">
        <w:rPr>
          <w:rFonts w:ascii="Times New Roman" w:hAnsi="Times New Roman" w:cs="Times New Roman"/>
        </w:rPr>
        <w:t xml:space="preserve"> </w:t>
      </w:r>
      <w:r w:rsidR="008F14F7" w:rsidRPr="002318C9">
        <w:rPr>
          <w:rFonts w:ascii="Times New Roman" w:hAnsi="Times New Roman" w:cs="Times New Roman"/>
          <w:i/>
          <w:iCs/>
        </w:rPr>
        <w:t>Death of Reconstruction</w:t>
      </w:r>
      <w:r w:rsidR="008F14F7" w:rsidRPr="002318C9">
        <w:rPr>
          <w:rFonts w:ascii="Times New Roman" w:hAnsi="Times New Roman" w:cs="Times New Roman"/>
        </w:rPr>
        <w:t xml:space="preserve">; </w:t>
      </w:r>
      <w:r w:rsidR="00AF2006" w:rsidRPr="002318C9">
        <w:rPr>
          <w:rFonts w:ascii="Times New Roman" w:hAnsi="Times New Roman" w:cs="Times New Roman"/>
        </w:rPr>
        <w:t xml:space="preserve">Norbert Finzsch and Jürgen Martschukat, eds. </w:t>
      </w:r>
      <w:r w:rsidR="00AF2006" w:rsidRPr="002318C9">
        <w:rPr>
          <w:rFonts w:ascii="Times New Roman" w:hAnsi="Times New Roman" w:cs="Times New Roman"/>
          <w:i/>
          <w:iCs/>
        </w:rPr>
        <w:t>Different Restorations: Reconstruction and Wiederaufbau in the United States and Germany: 1865-1945-1989.</w:t>
      </w:r>
      <w:r w:rsidR="00AF2006" w:rsidRPr="002318C9">
        <w:rPr>
          <w:rFonts w:ascii="Times New Roman" w:hAnsi="Times New Roman" w:cs="Times New Roman"/>
        </w:rPr>
        <w:t xml:space="preserve"> New York: Berghahn Books, 1996; </w:t>
      </w:r>
      <w:r w:rsidR="0091008A" w:rsidRPr="002318C9">
        <w:rPr>
          <w:rFonts w:ascii="Times New Roman" w:hAnsi="Times New Roman" w:cs="Times New Roman"/>
        </w:rPr>
        <w:t xml:space="preserve">Paul A. Cimballa and Randall M. Miller, eds. </w:t>
      </w:r>
      <w:r w:rsidR="0091008A" w:rsidRPr="002318C9">
        <w:rPr>
          <w:rFonts w:ascii="Times New Roman" w:hAnsi="Times New Roman" w:cs="Times New Roman"/>
          <w:i/>
          <w:iCs/>
        </w:rPr>
        <w:t>An Uncommon Time: The Civil War and the Northern Home Front</w:t>
      </w:r>
      <w:r w:rsidR="0091008A" w:rsidRPr="002318C9">
        <w:rPr>
          <w:rFonts w:ascii="Times New Roman" w:hAnsi="Times New Roman" w:cs="Times New Roman"/>
        </w:rPr>
        <w:t xml:space="preserve">. New York: Fordham University Press, 2002; William Link, ed. </w:t>
      </w:r>
      <w:r w:rsidR="0091008A" w:rsidRPr="002318C9">
        <w:rPr>
          <w:rFonts w:ascii="Times New Roman" w:hAnsi="Times New Roman" w:cs="Times New Roman"/>
          <w:i/>
          <w:iCs/>
        </w:rPr>
        <w:t>United States Reconstruction Across the Americas.</w:t>
      </w:r>
      <w:r w:rsidR="0091008A" w:rsidRPr="002318C9">
        <w:rPr>
          <w:rFonts w:ascii="Times New Roman" w:hAnsi="Times New Roman" w:cs="Times New Roman"/>
        </w:rPr>
        <w:t xml:space="preserve"> Gainesville: University of Florida Press, 2019.</w:t>
      </w:r>
    </w:p>
  </w:footnote>
  <w:footnote w:id="63">
    <w:p w14:paraId="5EED38B3" w14:textId="48E55749" w:rsidR="00FB4587" w:rsidRPr="00835717" w:rsidRDefault="00FB4587">
      <w:pPr>
        <w:pStyle w:val="FootnoteText"/>
        <w:rPr>
          <w:rFonts w:ascii="Times New Roman" w:hAnsi="Times New Roman" w:cs="Times New Roman"/>
        </w:rPr>
      </w:pPr>
      <w:r>
        <w:rPr>
          <w:rStyle w:val="FootnoteReference"/>
        </w:rPr>
        <w:footnoteRef/>
      </w:r>
      <w:r w:rsidR="00835717">
        <w:t xml:space="preserve"> </w:t>
      </w:r>
      <w:r w:rsidR="00835717" w:rsidRPr="00835717">
        <w:rPr>
          <w:rFonts w:ascii="Times New Roman" w:hAnsi="Times New Roman" w:cs="Times New Roman"/>
        </w:rPr>
        <w:t>Luke</w:t>
      </w:r>
      <w:r w:rsidR="00835717">
        <w:rPr>
          <w:rFonts w:ascii="Times New Roman" w:hAnsi="Times New Roman" w:cs="Times New Roman"/>
        </w:rPr>
        <w:t xml:space="preserve"> Harlow</w:t>
      </w:r>
      <w:r w:rsidR="00835717" w:rsidRPr="00835717">
        <w:rPr>
          <w:rFonts w:ascii="Times New Roman" w:hAnsi="Times New Roman" w:cs="Times New Roman"/>
        </w:rPr>
        <w:t xml:space="preserve">, ed. “The Future of Reconstruction Studies.” </w:t>
      </w:r>
      <w:r w:rsidR="00835717" w:rsidRPr="00835717">
        <w:rPr>
          <w:rFonts w:ascii="Times New Roman" w:hAnsi="Times New Roman" w:cs="Times New Roman"/>
          <w:i/>
          <w:iCs/>
        </w:rPr>
        <w:t>Journal of the Civil War Era</w:t>
      </w:r>
      <w:r w:rsidR="00835717" w:rsidRPr="00835717">
        <w:rPr>
          <w:rFonts w:ascii="Times New Roman" w:hAnsi="Times New Roman" w:cs="Times New Roman"/>
        </w:rPr>
        <w:t xml:space="preserve"> 7.1 (March 2017)</w:t>
      </w:r>
    </w:p>
  </w:footnote>
  <w:footnote w:id="64">
    <w:p w14:paraId="23044CF9"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This new generation of scholars should not be compared to the Dunning School despite any similarities in subject matter.  The Dunning School has a connotation not only with Reconstruction Era politics and scandal, but also with virulent racism, which leads those familiar with this school towards a negative connotation with those involved.  The more recent scholars of Reconstruction political scandal address this scandal in a much more racially appropriate manner, addressing this scandal as a result of individual or smaller-group actions rather than larger regional (northern) or racial (African-American) stereotypes.  Through this more recent group of scholars, we see an attempt to recalibrate the overcorrection made by scholars as they rightly shifted away from Dunning ideals, but in doing so abandoned questions about Reconstruction political scandal.</w:t>
      </w:r>
    </w:p>
  </w:footnote>
  <w:footnote w:id="65">
    <w:p w14:paraId="7709B01D" w14:textId="1199A390"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w:t>
      </w:r>
      <w:r w:rsidR="00A81A8E">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Era</w:t>
      </w:r>
      <w:r w:rsidR="00A81A8E">
        <w:rPr>
          <w:rFonts w:ascii="Times New Roman" w:hAnsi="Times New Roman" w:cs="Times New Roman"/>
          <w:i/>
          <w:iCs/>
        </w:rPr>
        <w:t>,</w:t>
      </w:r>
      <w:r w:rsidRPr="002318C9">
        <w:rPr>
          <w:rFonts w:ascii="Times New Roman" w:hAnsi="Times New Roman" w:cs="Times New Roman"/>
          <w:i/>
          <w:iCs/>
        </w:rPr>
        <w:t xml:space="preserve"> </w:t>
      </w:r>
      <w:r w:rsidRPr="002318C9">
        <w:rPr>
          <w:rFonts w:ascii="Times New Roman" w:hAnsi="Times New Roman" w:cs="Times New Roman"/>
        </w:rPr>
        <w:t>x</w:t>
      </w:r>
    </w:p>
  </w:footnote>
  <w:footnote w:id="66">
    <w:p w14:paraId="49B64990"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 </w:t>
      </w:r>
      <w:r w:rsidRPr="002318C9">
        <w:rPr>
          <w:rFonts w:ascii="Times New Roman" w:hAnsi="Times New Roman" w:cs="Times New Roman"/>
          <w:i/>
          <w:iCs/>
        </w:rPr>
        <w:t>The Press Gang;</w:t>
      </w:r>
      <w:r w:rsidRPr="002318C9">
        <w:rPr>
          <w:rFonts w:ascii="Times New Roman" w:hAnsi="Times New Roman" w:cs="Times New Roman"/>
        </w:rPr>
        <w:t xml:space="preserve"> Mark Wahlgren Summers, </w:t>
      </w:r>
      <w:r w:rsidRPr="002318C9">
        <w:rPr>
          <w:rFonts w:ascii="Times New Roman" w:hAnsi="Times New Roman" w:cs="Times New Roman"/>
          <w:i/>
          <w:iCs/>
        </w:rPr>
        <w:t>Railroads, Reconstruction, and the Gospel of Prosperity: Aid Under the Radical Republicans, 1865-1877.</w:t>
      </w:r>
      <w:r w:rsidRPr="002318C9">
        <w:rPr>
          <w:rFonts w:ascii="Times New Roman" w:hAnsi="Times New Roman" w:cs="Times New Roman"/>
        </w:rPr>
        <w:t xml:space="preserve"> Princeton: Princeton University Press, 1984.</w:t>
      </w:r>
    </w:p>
  </w:footnote>
  <w:footnote w:id="67">
    <w:p w14:paraId="7130EB0E" w14:textId="117C97EE"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 </w:t>
      </w:r>
      <w:r w:rsidRPr="002318C9">
        <w:rPr>
          <w:rFonts w:ascii="Times New Roman" w:hAnsi="Times New Roman" w:cs="Times New Roman"/>
          <w:i/>
          <w:iCs/>
        </w:rPr>
        <w:t>A Dangerous Stir</w:t>
      </w:r>
      <w:r w:rsidRPr="002318C9">
        <w:rPr>
          <w:rFonts w:ascii="Times New Roman" w:hAnsi="Times New Roman" w:cs="Times New Roman"/>
        </w:rPr>
        <w:t xml:space="preserve">; Mark Wahlgren Summers, </w:t>
      </w:r>
      <w:r w:rsidRPr="002318C9">
        <w:rPr>
          <w:rFonts w:ascii="Times New Roman" w:hAnsi="Times New Roman" w:cs="Times New Roman"/>
          <w:i/>
          <w:iCs/>
        </w:rPr>
        <w:t>The Plundering Generation: Corruption and the Crisis of the Union, 1849-1861.</w:t>
      </w:r>
      <w:r w:rsidRPr="002318C9">
        <w:rPr>
          <w:rFonts w:ascii="Times New Roman" w:hAnsi="Times New Roman" w:cs="Times New Roman"/>
        </w:rPr>
        <w:t xml:space="preserve"> New York: Oxford University Press, 1987.</w:t>
      </w:r>
    </w:p>
  </w:footnote>
  <w:footnote w:id="68">
    <w:p w14:paraId="7CB67ECE"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Brenda Wineapple, </w:t>
      </w:r>
      <w:r w:rsidRPr="002318C9">
        <w:rPr>
          <w:rFonts w:ascii="Times New Roman" w:hAnsi="Times New Roman" w:cs="Times New Roman"/>
          <w:i/>
          <w:iCs/>
        </w:rPr>
        <w:t>The Impeachers: The Trial of Andrew Johnson and the Dream of a Just Nation.</w:t>
      </w:r>
      <w:r w:rsidRPr="002318C9">
        <w:rPr>
          <w:rFonts w:ascii="Times New Roman" w:hAnsi="Times New Roman" w:cs="Times New Roman"/>
        </w:rPr>
        <w:t xml:space="preserve"> New York: Random House, 2019; David O. Stewart, </w:t>
      </w:r>
      <w:r w:rsidRPr="002318C9">
        <w:rPr>
          <w:rFonts w:ascii="Times New Roman" w:hAnsi="Times New Roman" w:cs="Times New Roman"/>
          <w:i/>
          <w:iCs/>
        </w:rPr>
        <w:t>Impeached: The Trial of President Andrew Johnson and the Fight for Lincoln’s Legacy.</w:t>
      </w:r>
      <w:r w:rsidRPr="002318C9">
        <w:rPr>
          <w:rFonts w:ascii="Times New Roman" w:hAnsi="Times New Roman" w:cs="Times New Roman"/>
        </w:rPr>
        <w:t xml:space="preserve"> New York: Simon &amp; Schuster, 2009.</w:t>
      </w:r>
    </w:p>
  </w:footnote>
  <w:footnote w:id="69">
    <w:p w14:paraId="002B9575"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Thomas Keneally, </w:t>
      </w:r>
      <w:r w:rsidRPr="002318C9">
        <w:rPr>
          <w:rFonts w:ascii="Times New Roman" w:hAnsi="Times New Roman" w:cs="Times New Roman"/>
          <w:i/>
          <w:iCs/>
        </w:rPr>
        <w:t>American Scoundrel: The Life of the Notorious Civil War General Dan Sickles.</w:t>
      </w:r>
      <w:r w:rsidRPr="002318C9">
        <w:rPr>
          <w:rFonts w:ascii="Times New Roman" w:hAnsi="Times New Roman" w:cs="Times New Roman"/>
        </w:rPr>
        <w:t xml:space="preserve"> New York: Nan A. Talese, 2002.</w:t>
      </w:r>
    </w:p>
  </w:footnote>
  <w:footnote w:id="70">
    <w:p w14:paraId="23115D48"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Jeffry D. Wert, </w:t>
      </w:r>
      <w:r w:rsidRPr="002318C9">
        <w:rPr>
          <w:rFonts w:ascii="Times New Roman" w:hAnsi="Times New Roman" w:cs="Times New Roman"/>
          <w:i/>
          <w:iCs/>
        </w:rPr>
        <w:t>Civil War Barons: The Tycoons, Entrepreneurs, Inventors, and Visionaries Who Forged Victory and Shaped a Nation.</w:t>
      </w:r>
      <w:r w:rsidRPr="002318C9">
        <w:rPr>
          <w:rFonts w:ascii="Times New Roman" w:hAnsi="Times New Roman" w:cs="Times New Roman"/>
        </w:rPr>
        <w:t xml:space="preserve"> New York: Da Capo Press, 2018; Michael W. Fitzgerald, </w:t>
      </w:r>
      <w:r w:rsidRPr="002318C9">
        <w:rPr>
          <w:rFonts w:ascii="Times New Roman" w:hAnsi="Times New Roman" w:cs="Times New Roman"/>
          <w:i/>
          <w:iCs/>
        </w:rPr>
        <w:t>Splendid Failure: Postwar Reconstruction in the American South.</w:t>
      </w:r>
      <w:r w:rsidRPr="002318C9">
        <w:rPr>
          <w:rFonts w:ascii="Times New Roman" w:hAnsi="Times New Roman" w:cs="Times New Roman"/>
        </w:rPr>
        <w:t xml:space="preserve"> Chicago: Ivan R. Dee, 2007.</w:t>
      </w:r>
    </w:p>
  </w:footnote>
  <w:footnote w:id="71">
    <w:p w14:paraId="6C345A56" w14:textId="02EAB46E" w:rsidR="00EB755A" w:rsidRPr="002318C9" w:rsidRDefault="00EB755A" w:rsidP="00EB755A">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w:t>
      </w:r>
      <w:r w:rsidR="00A81A8E">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Era</w:t>
      </w:r>
    </w:p>
  </w:footnote>
  <w:footnote w:id="72">
    <w:p w14:paraId="2F7A92E6" w14:textId="6C513853"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w:t>
      </w:r>
      <w:r w:rsidR="00A81A8E">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Era</w:t>
      </w:r>
      <w:r w:rsidR="00A81A8E">
        <w:rPr>
          <w:rFonts w:ascii="Times New Roman" w:hAnsi="Times New Roman" w:cs="Times New Roman"/>
          <w:i/>
          <w:iCs/>
        </w:rPr>
        <w:t>,</w:t>
      </w:r>
      <w:r w:rsidRPr="002318C9">
        <w:rPr>
          <w:rFonts w:ascii="Times New Roman" w:hAnsi="Times New Roman" w:cs="Times New Roman"/>
        </w:rPr>
        <w:t xml:space="preserve"> 62-87</w:t>
      </w:r>
    </w:p>
  </w:footnote>
  <w:footnote w:id="73">
    <w:p w14:paraId="0C624C90" w14:textId="23C39442"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E6AEF" w:rsidRPr="002318C9">
        <w:rPr>
          <w:rFonts w:ascii="Times New Roman" w:hAnsi="Times New Roman" w:cs="Times New Roman"/>
        </w:rPr>
        <w:t>For more by scholars</w:t>
      </w:r>
      <w:r w:rsidRPr="002318C9">
        <w:rPr>
          <w:rFonts w:ascii="Times New Roman" w:hAnsi="Times New Roman" w:cs="Times New Roman"/>
        </w:rPr>
        <w:t xml:space="preserve"> who have written about individual “scoundrels</w:t>
      </w:r>
      <w:r w:rsidR="00AE6AEF" w:rsidRPr="002318C9">
        <w:rPr>
          <w:rFonts w:ascii="Times New Roman" w:hAnsi="Times New Roman" w:cs="Times New Roman"/>
        </w:rPr>
        <w:t>,</w:t>
      </w:r>
      <w:r w:rsidRPr="002318C9">
        <w:rPr>
          <w:rFonts w:ascii="Times New Roman" w:hAnsi="Times New Roman" w:cs="Times New Roman"/>
        </w:rPr>
        <w:t>”</w:t>
      </w:r>
      <w:r w:rsidR="00AE6AEF" w:rsidRPr="002318C9">
        <w:rPr>
          <w:rFonts w:ascii="Times New Roman" w:hAnsi="Times New Roman" w:cs="Times New Roman"/>
        </w:rPr>
        <w:t xml:space="preserve"> consider: </w:t>
      </w:r>
      <w:r w:rsidR="00A81712" w:rsidRPr="002318C9">
        <w:rPr>
          <w:rFonts w:ascii="Times New Roman" w:hAnsi="Times New Roman" w:cs="Times New Roman"/>
        </w:rPr>
        <w:t>John 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A81712" w:rsidRPr="002318C9">
        <w:rPr>
          <w:rFonts w:ascii="Times New Roman" w:hAnsi="Times New Roman" w:cs="Times New Roman"/>
        </w:rPr>
        <w:t>;</w:t>
      </w:r>
      <w:r w:rsidR="0082321A" w:rsidRPr="002318C9">
        <w:rPr>
          <w:rFonts w:ascii="Times New Roman" w:hAnsi="Times New Roman" w:cs="Times New Roman"/>
        </w:rPr>
        <w:t xml:space="preserve"> </w:t>
      </w:r>
      <w:r w:rsidR="00745F7F">
        <w:rPr>
          <w:rFonts w:ascii="Times New Roman" w:hAnsi="Times New Roman" w:cs="Times New Roman"/>
        </w:rPr>
        <w:t xml:space="preserve">Thomas </w:t>
      </w:r>
      <w:r w:rsidR="0082321A" w:rsidRPr="002318C9">
        <w:rPr>
          <w:rFonts w:ascii="Times New Roman" w:hAnsi="Times New Roman" w:cs="Times New Roman"/>
        </w:rPr>
        <w:t>Kenneally</w:t>
      </w:r>
      <w:r w:rsidR="007F5DBB">
        <w:rPr>
          <w:rFonts w:ascii="Times New Roman" w:hAnsi="Times New Roman" w:cs="Times New Roman"/>
        </w:rPr>
        <w:t>,</w:t>
      </w:r>
      <w:r w:rsidR="0082321A" w:rsidRPr="002318C9">
        <w:rPr>
          <w:rFonts w:ascii="Times New Roman" w:hAnsi="Times New Roman" w:cs="Times New Roman"/>
        </w:rPr>
        <w:t xml:space="preserve"> </w:t>
      </w:r>
      <w:r w:rsidR="0082321A" w:rsidRPr="002318C9">
        <w:rPr>
          <w:rFonts w:ascii="Times New Roman" w:hAnsi="Times New Roman" w:cs="Times New Roman"/>
          <w:i/>
          <w:iCs/>
        </w:rPr>
        <w:t>American Scoundrel</w:t>
      </w:r>
      <w:r w:rsidR="0082321A" w:rsidRPr="002318C9">
        <w:rPr>
          <w:rFonts w:ascii="Times New Roman" w:hAnsi="Times New Roman" w:cs="Times New Roman"/>
        </w:rPr>
        <w:t xml:space="preserve">; </w:t>
      </w:r>
      <w:r w:rsidR="004C2381" w:rsidRPr="002318C9">
        <w:rPr>
          <w:rFonts w:ascii="Times New Roman" w:hAnsi="Times New Roman" w:cs="Times New Roman"/>
        </w:rPr>
        <w:t xml:space="preserve">Kenneth D. Ackerman. </w:t>
      </w:r>
      <w:r w:rsidR="004C2381" w:rsidRPr="002318C9">
        <w:rPr>
          <w:rFonts w:ascii="Times New Roman" w:hAnsi="Times New Roman" w:cs="Times New Roman"/>
          <w:i/>
          <w:iCs/>
        </w:rPr>
        <w:t>Boss Tweed: The Rise and Fall of the Corrupt Pol Who Conceived the Soul of Modern New York</w:t>
      </w:r>
      <w:r w:rsidR="004C2381" w:rsidRPr="002318C9">
        <w:rPr>
          <w:rFonts w:ascii="Times New Roman" w:hAnsi="Times New Roman" w:cs="Times New Roman"/>
        </w:rPr>
        <w:t>. Boston: Da Capo Press, 2005; David Head and Timothy C. Hemmis, Eds</w:t>
      </w:r>
      <w:r w:rsidR="004C2381" w:rsidRPr="002318C9">
        <w:rPr>
          <w:rFonts w:ascii="Times New Roman" w:hAnsi="Times New Roman" w:cs="Times New Roman"/>
          <w:i/>
          <w:iCs/>
        </w:rPr>
        <w:t>. A Republic of Scoundrels: The Schemers. Intriguers, and Adventurers Who Created a New American Nation</w:t>
      </w:r>
      <w:r w:rsidR="004C2381" w:rsidRPr="002318C9">
        <w:rPr>
          <w:rFonts w:ascii="Times New Roman" w:hAnsi="Times New Roman" w:cs="Times New Roman"/>
        </w:rPr>
        <w:t xml:space="preserve">. New York, NY: Pegasus Books, 2023; Jack Kelly. </w:t>
      </w:r>
      <w:r w:rsidR="004C2381" w:rsidRPr="002318C9">
        <w:rPr>
          <w:rFonts w:ascii="Times New Roman" w:hAnsi="Times New Roman" w:cs="Times New Roman"/>
          <w:i/>
          <w:iCs/>
        </w:rPr>
        <w:t>God Save Benedict Arnold: The True Story of America’s Most Hated Man</w:t>
      </w:r>
      <w:r w:rsidR="004C2381" w:rsidRPr="002318C9">
        <w:rPr>
          <w:rFonts w:ascii="Times New Roman" w:hAnsi="Times New Roman" w:cs="Times New Roman"/>
        </w:rPr>
        <w:t>. New York: St. Martin’s Press, 2023.</w:t>
      </w:r>
    </w:p>
  </w:footnote>
  <w:footnote w:id="74">
    <w:p w14:paraId="321FDCF9"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more on the Tweed Ring, also referred to as Tammany Hall for its physical headquarters in New York, consider: Terry Golway, </w:t>
      </w:r>
      <w:r w:rsidRPr="002318C9">
        <w:rPr>
          <w:rFonts w:ascii="Times New Roman" w:hAnsi="Times New Roman" w:cs="Times New Roman"/>
          <w:i/>
          <w:iCs/>
        </w:rPr>
        <w:t>Machine Made: Tammany Hall and the Creation of Modern American Politics</w:t>
      </w:r>
      <w:r w:rsidRPr="002318C9">
        <w:rPr>
          <w:rFonts w:ascii="Times New Roman" w:hAnsi="Times New Roman" w:cs="Times New Roman"/>
        </w:rPr>
        <w:t xml:space="preserve">. New York: Liveright, 2014; Samuel Jones Tilden, “The New York City Ring: It’s Origin, Maturity, and Fall“ (first published 1873), in </w:t>
      </w:r>
      <w:r w:rsidRPr="002318C9">
        <w:rPr>
          <w:rFonts w:ascii="Times New Roman" w:hAnsi="Times New Roman" w:cs="Times New Roman"/>
          <w:i/>
          <w:iCs/>
        </w:rPr>
        <w:t>The Writing and Speeches of Samuel J. Tilden</w:t>
      </w:r>
      <w:r w:rsidRPr="002318C9">
        <w:rPr>
          <w:rFonts w:ascii="Times New Roman" w:hAnsi="Times New Roman" w:cs="Times New Roman"/>
        </w:rPr>
        <w:t xml:space="preserve">, vol. 1, ed. John Bigelow (New York: Harper &amp; Brothers, 1885); and Oliver E. Allen, </w:t>
      </w:r>
      <w:r w:rsidRPr="002318C9">
        <w:rPr>
          <w:rFonts w:ascii="Times New Roman" w:hAnsi="Times New Roman" w:cs="Times New Roman"/>
          <w:i/>
          <w:iCs/>
        </w:rPr>
        <w:t>The Tiger: The Rise and Fall of Tammany Hall</w:t>
      </w:r>
      <w:r w:rsidRPr="002318C9">
        <w:rPr>
          <w:rFonts w:ascii="Times New Roman" w:hAnsi="Times New Roman" w:cs="Times New Roman"/>
        </w:rPr>
        <w:t>. Boston: Da Copo Press, 1993.</w:t>
      </w:r>
    </w:p>
  </w:footnote>
  <w:footnote w:id="75">
    <w:p w14:paraId="0B6CF9D4" w14:textId="39365F4F" w:rsidR="00EB755A" w:rsidRPr="00EB79CD"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00672AE0" w:rsidRPr="002318C9">
        <w:rPr>
          <w:rFonts w:ascii="Times New Roman" w:hAnsi="Times New Roman" w:cs="Times New Roman"/>
        </w:rPr>
        <w:t xml:space="preserve"> Woodward, Bob and Carl Bernstein</w:t>
      </w:r>
      <w:r w:rsidR="007F5DBB">
        <w:rPr>
          <w:rFonts w:ascii="Times New Roman" w:hAnsi="Times New Roman" w:cs="Times New Roman"/>
        </w:rPr>
        <w:t>,</w:t>
      </w:r>
      <w:r w:rsidR="00672AE0" w:rsidRPr="002318C9">
        <w:rPr>
          <w:rFonts w:ascii="Times New Roman" w:hAnsi="Times New Roman" w:cs="Times New Roman"/>
        </w:rPr>
        <w:t xml:space="preserve"> </w:t>
      </w:r>
      <w:r w:rsidR="00672AE0" w:rsidRPr="007F5DBB">
        <w:rPr>
          <w:rFonts w:ascii="Times New Roman" w:hAnsi="Times New Roman" w:cs="Times New Roman"/>
          <w:i/>
          <w:iCs/>
        </w:rPr>
        <w:t>All the Presidents Men</w:t>
      </w:r>
      <w:r w:rsidR="00672AE0" w:rsidRPr="002318C9">
        <w:rPr>
          <w:rFonts w:ascii="Times New Roman" w:hAnsi="Times New Roman" w:cs="Times New Roman"/>
        </w:rPr>
        <w:t>. New York: Simon and Schuster, 1974.</w:t>
      </w:r>
      <w:r w:rsidRPr="002318C9">
        <w:rPr>
          <w:rFonts w:ascii="Times New Roman" w:hAnsi="Times New Roman" w:cs="Times New Roman"/>
        </w:rPr>
        <w:t xml:space="preserve">; </w:t>
      </w:r>
      <w:r w:rsidR="00672AE0" w:rsidRPr="002318C9">
        <w:rPr>
          <w:rFonts w:ascii="Times New Roman" w:hAnsi="Times New Roman" w:cs="Times New Roman"/>
        </w:rPr>
        <w:t xml:space="preserve">For more by scholars who have investigated single scandals, consider: Ackerman </w:t>
      </w:r>
      <w:r w:rsidR="00672AE0" w:rsidRPr="002318C9">
        <w:rPr>
          <w:rFonts w:ascii="Times New Roman" w:hAnsi="Times New Roman" w:cs="Times New Roman"/>
          <w:i/>
          <w:iCs/>
        </w:rPr>
        <w:t>Gold Ring</w:t>
      </w:r>
      <w:r w:rsidR="00672AE0" w:rsidRPr="002318C9">
        <w:rPr>
          <w:rFonts w:ascii="Times New Roman" w:hAnsi="Times New Roman" w:cs="Times New Roman"/>
        </w:rPr>
        <w:t>; Cooper</w:t>
      </w:r>
      <w:r w:rsidR="00347C58">
        <w:rPr>
          <w:rFonts w:ascii="Times New Roman" w:hAnsi="Times New Roman" w:cs="Times New Roman"/>
        </w:rPr>
        <w:t xml:space="preserve">, </w:t>
      </w:r>
      <w:r w:rsidR="00347C58" w:rsidRPr="00597954">
        <w:rPr>
          <w:rFonts w:ascii="Times New Roman" w:hAnsi="Times New Roman" w:cs="Times New Roman"/>
          <w:i/>
          <w:iCs/>
        </w:rPr>
        <w:t>McDonald and the Whiskey Ring</w:t>
      </w:r>
      <w:r w:rsidR="00672AE0" w:rsidRPr="002318C9">
        <w:rPr>
          <w:rFonts w:ascii="Times New Roman" w:hAnsi="Times New Roman" w:cs="Times New Roman"/>
        </w:rPr>
        <w:t>; Wineapple</w:t>
      </w:r>
      <w:r w:rsidR="00B32375">
        <w:rPr>
          <w:rFonts w:ascii="Times New Roman" w:hAnsi="Times New Roman" w:cs="Times New Roman"/>
        </w:rPr>
        <w:t xml:space="preserve">, </w:t>
      </w:r>
      <w:r w:rsidR="00B32375">
        <w:rPr>
          <w:rFonts w:ascii="Times New Roman" w:hAnsi="Times New Roman" w:cs="Times New Roman"/>
          <w:i/>
          <w:iCs/>
        </w:rPr>
        <w:t>Impeachers</w:t>
      </w:r>
      <w:r w:rsidR="00672AE0" w:rsidRPr="002318C9">
        <w:rPr>
          <w:rFonts w:ascii="Times New Roman" w:hAnsi="Times New Roman" w:cs="Times New Roman"/>
        </w:rPr>
        <w:t xml:space="preserve">; Stewart; Stanley I. Kutler, ed. </w:t>
      </w:r>
      <w:r w:rsidR="00672AE0" w:rsidRPr="002318C9">
        <w:rPr>
          <w:rFonts w:ascii="Times New Roman" w:hAnsi="Times New Roman" w:cs="Times New Roman"/>
          <w:i/>
          <w:iCs/>
        </w:rPr>
        <w:t>Watergate: A Brief History with Documents</w:t>
      </w:r>
      <w:r w:rsidR="00672AE0" w:rsidRPr="002318C9">
        <w:rPr>
          <w:rFonts w:ascii="Times New Roman" w:hAnsi="Times New Roman" w:cs="Times New Roman"/>
        </w:rPr>
        <w:t>. Second Edition. Malden, MA: Wiley-Blackwell, 2010</w:t>
      </w:r>
      <w:r w:rsidR="00EB79CD">
        <w:rPr>
          <w:rFonts w:ascii="Times New Roman" w:hAnsi="Times New Roman" w:cs="Times New Roman"/>
        </w:rPr>
        <w:t xml:space="preserve">; John F. Marszalek, </w:t>
      </w:r>
      <w:r w:rsidR="00EB79CD">
        <w:rPr>
          <w:rFonts w:ascii="Times New Roman" w:hAnsi="Times New Roman" w:cs="Times New Roman"/>
          <w:i/>
          <w:iCs/>
        </w:rPr>
        <w:t>The Petticoat Affair: Manners, Mutiny, and Sex in Andrew Jackson’s White House</w:t>
      </w:r>
      <w:r w:rsidR="00EB79CD">
        <w:rPr>
          <w:rFonts w:ascii="Times New Roman" w:hAnsi="Times New Roman" w:cs="Times New Roman"/>
        </w:rPr>
        <w:t>. New York: The Free Press, 1997.</w:t>
      </w:r>
    </w:p>
  </w:footnote>
  <w:footnote w:id="76">
    <w:p w14:paraId="6EB8E46C" w14:textId="7FF4E305"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p>
  </w:footnote>
  <w:footnote w:id="77">
    <w:p w14:paraId="461FFC18"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8">
    <w:p w14:paraId="5416FE1B" w14:textId="557B71CF" w:rsidR="00EB755A" w:rsidRPr="00552BFB" w:rsidRDefault="00EB755A" w:rsidP="00EB755A">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Ronald White</w:t>
      </w:r>
      <w:r w:rsidR="009A68A0">
        <w:rPr>
          <w:rFonts w:ascii="Times New Roman" w:hAnsi="Times New Roman" w:cs="Times New Roman"/>
        </w:rPr>
        <w:t xml:space="preserve">, </w:t>
      </w:r>
      <w:r w:rsidR="009A68A0" w:rsidRPr="002318C9">
        <w:rPr>
          <w:rFonts w:ascii="Times New Roman" w:hAnsi="Times New Roman" w:cs="Times New Roman"/>
          <w:i/>
          <w:iCs/>
        </w:rPr>
        <w:t>American Ulysses</w:t>
      </w:r>
      <w:r w:rsidRPr="002318C9">
        <w:rPr>
          <w:rFonts w:ascii="Times New Roman" w:hAnsi="Times New Roman" w:cs="Times New Roman"/>
        </w:rPr>
        <w:t>; Brands</w:t>
      </w:r>
      <w:r w:rsidR="0031523D">
        <w:rPr>
          <w:rFonts w:ascii="Times New Roman" w:hAnsi="Times New Roman" w:cs="Times New Roman"/>
        </w:rPr>
        <w:t xml:space="preserve">, </w:t>
      </w:r>
      <w:r w:rsidR="0031523D" w:rsidRPr="002318C9">
        <w:rPr>
          <w:rFonts w:ascii="Times New Roman" w:hAnsi="Times New Roman" w:cs="Times New Roman"/>
          <w:i/>
          <w:iCs/>
        </w:rPr>
        <w:t>Man Who Saved The Union</w:t>
      </w:r>
      <w:r w:rsidRPr="002318C9">
        <w:rPr>
          <w:rFonts w:ascii="Times New Roman" w:hAnsi="Times New Roman" w:cs="Times New Roman"/>
        </w:rPr>
        <w:t>;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Pr="002318C9">
        <w:rPr>
          <w:rFonts w:ascii="Times New Roman" w:hAnsi="Times New Roman" w:cs="Times New Roman"/>
        </w:rPr>
        <w:t>; Bonekemper</w:t>
      </w:r>
      <w:r w:rsidR="0031523D">
        <w:rPr>
          <w:rFonts w:ascii="Times New Roman" w:hAnsi="Times New Roman" w:cs="Times New Roman"/>
        </w:rPr>
        <w:t>,</w:t>
      </w:r>
      <w:r w:rsidR="00A6495F">
        <w:rPr>
          <w:rFonts w:ascii="Times New Roman" w:hAnsi="Times New Roman" w:cs="Times New Roman"/>
        </w:rPr>
        <w:t xml:space="preserve"> </w:t>
      </w:r>
      <w:r w:rsidR="00A6495F">
        <w:rPr>
          <w:rFonts w:ascii="Times New Roman" w:hAnsi="Times New Roman" w:cs="Times New Roman"/>
          <w:i/>
          <w:iCs/>
        </w:rPr>
        <w:t>Ulysses S. Grant</w:t>
      </w:r>
      <w:r w:rsidRPr="002318C9">
        <w:rPr>
          <w:rFonts w:ascii="Times New Roman" w:hAnsi="Times New Roman" w:cs="Times New Roman"/>
        </w:rPr>
        <w:t>; Perret</w:t>
      </w:r>
      <w:r w:rsidR="009A68A0">
        <w:rPr>
          <w:rFonts w:ascii="Times New Roman" w:hAnsi="Times New Roman" w:cs="Times New Roman"/>
        </w:rPr>
        <w:t xml:space="preserve">, </w:t>
      </w:r>
      <w:r w:rsidR="009A68A0">
        <w:rPr>
          <w:rFonts w:ascii="Times New Roman" w:hAnsi="Times New Roman" w:cs="Times New Roman"/>
          <w:i/>
          <w:iCs/>
        </w:rPr>
        <w:t>Ulysses S. Grant</w:t>
      </w:r>
      <w:r w:rsidR="009A68A0" w:rsidRPr="002318C9">
        <w:rPr>
          <w:rFonts w:ascii="Times New Roman" w:hAnsi="Times New Roman" w:cs="Times New Roman"/>
        </w:rPr>
        <w:t>;</w:t>
      </w:r>
      <w:r w:rsidRPr="002318C9">
        <w:rPr>
          <w:rFonts w:ascii="Times New Roman" w:hAnsi="Times New Roman" w:cs="Times New Roman"/>
        </w:rPr>
        <w:t xml:space="preserve"> J</w:t>
      </w:r>
      <w:r w:rsidR="00A6495F">
        <w:rPr>
          <w:rFonts w:ascii="Times New Roman" w:hAnsi="Times New Roman" w:cs="Times New Roman"/>
        </w:rPr>
        <w:t>ean Edward</w:t>
      </w:r>
      <w:r w:rsidRPr="002318C9">
        <w:rPr>
          <w:rFonts w:ascii="Times New Roman" w:hAnsi="Times New Roman" w:cs="Times New Roman"/>
        </w:rPr>
        <w:t xml:space="preserve"> Smith</w:t>
      </w:r>
      <w:r w:rsidR="00552BFB">
        <w:rPr>
          <w:rFonts w:ascii="Times New Roman" w:hAnsi="Times New Roman" w:cs="Times New Roman"/>
        </w:rPr>
        <w:t xml:space="preserve">, </w:t>
      </w:r>
      <w:r w:rsidR="00552BFB">
        <w:rPr>
          <w:rFonts w:ascii="Times New Roman" w:hAnsi="Times New Roman" w:cs="Times New Roman"/>
          <w:i/>
          <w:iCs/>
        </w:rPr>
        <w:t>Grant</w:t>
      </w:r>
    </w:p>
  </w:footnote>
  <w:footnote w:id="79">
    <w:p w14:paraId="111F4666"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If the terms are used in another format at any point in this dissertation, they will be defined as such in the footnotes when appropriate.</w:t>
      </w:r>
    </w:p>
  </w:footnote>
  <w:footnote w:id="80">
    <w:p w14:paraId="77DC82CE"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 xml:space="preserve">Jacobellis v. Ohio, </w:t>
      </w:r>
      <w:r w:rsidRPr="002318C9">
        <w:rPr>
          <w:rStyle w:val="reference-text"/>
          <w:rFonts w:ascii="Times New Roman" w:hAnsi="Times New Roman" w:cs="Times New Roman"/>
          <w:i/>
          <w:iCs/>
        </w:rPr>
        <w:t xml:space="preserve">378 U.S. at 184 </w:t>
      </w:r>
      <w:r w:rsidRPr="002318C9">
        <w:rPr>
          <w:rStyle w:val="reference-text"/>
          <w:rFonts w:ascii="Times New Roman" w:hAnsi="Times New Roman" w:cs="Times New Roman"/>
        </w:rPr>
        <w:t>(1964) (Stewart, J., concurring)</w:t>
      </w:r>
    </w:p>
  </w:footnote>
  <w:footnote w:id="81">
    <w:p w14:paraId="61930B2D"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 welcome all commentary on the nature of politics and discussions regarding how we define this term as scholars. This decision to limit the realm of politics was not made lightly, as there are likely countless other factors that could be included in such definitions that would alter the way that we consider aspects of this project. This consideration was a necessary evil in an effort to design a project that would be completable while remaining open-ended enough to encourage future discussions.</w:t>
      </w:r>
    </w:p>
  </w:footnote>
  <w:footnote w:id="82">
    <w:p w14:paraId="61209E61" w14:textId="7D692719" w:rsidR="00EB755A" w:rsidRPr="00B32375" w:rsidRDefault="00EB755A" w:rsidP="00EB755A">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more on Reconstruction Era corruption consider:</w:t>
      </w:r>
      <w:r w:rsidR="00D50BB1" w:rsidRPr="002318C9">
        <w:rPr>
          <w:rFonts w:ascii="Times New Roman" w:hAnsi="Times New Roman" w:cs="Times New Roman"/>
        </w:rPr>
        <w:t xml:space="preserve"> Summers</w:t>
      </w:r>
      <w:r w:rsidR="00B32375">
        <w:rPr>
          <w:rFonts w:ascii="Times New Roman" w:hAnsi="Times New Roman" w:cs="Times New Roman"/>
        </w:rPr>
        <w:t>,</w:t>
      </w:r>
      <w:r w:rsidR="00D50BB1" w:rsidRPr="002318C9">
        <w:rPr>
          <w:rFonts w:ascii="Times New Roman" w:hAnsi="Times New Roman" w:cs="Times New Roman"/>
        </w:rPr>
        <w:t xml:space="preserve"> </w:t>
      </w:r>
      <w:r w:rsidR="00D50BB1" w:rsidRPr="002318C9">
        <w:rPr>
          <w:rFonts w:ascii="Times New Roman" w:hAnsi="Times New Roman" w:cs="Times New Roman"/>
          <w:i/>
          <w:iCs/>
        </w:rPr>
        <w:t xml:space="preserve">Era; </w:t>
      </w:r>
      <w:r w:rsidR="00D50BB1" w:rsidRPr="002318C9">
        <w:rPr>
          <w:rFonts w:ascii="Times New Roman" w:hAnsi="Times New Roman" w:cs="Times New Roman"/>
        </w:rPr>
        <w:t>Ackerman</w:t>
      </w:r>
      <w:r w:rsidR="00B32375">
        <w:rPr>
          <w:rFonts w:ascii="Times New Roman" w:hAnsi="Times New Roman" w:cs="Times New Roman"/>
        </w:rPr>
        <w:t>,</w:t>
      </w:r>
      <w:r w:rsidR="00D50BB1" w:rsidRPr="002318C9">
        <w:rPr>
          <w:rFonts w:ascii="Times New Roman" w:hAnsi="Times New Roman" w:cs="Times New Roman"/>
        </w:rPr>
        <w:t xml:space="preserve"> </w:t>
      </w:r>
      <w:r w:rsidR="00D50BB1" w:rsidRPr="002318C9">
        <w:rPr>
          <w:rFonts w:ascii="Times New Roman" w:hAnsi="Times New Roman" w:cs="Times New Roman"/>
          <w:i/>
          <w:iCs/>
        </w:rPr>
        <w:t>Gold Ring</w:t>
      </w:r>
      <w:r w:rsidR="00D50BB1" w:rsidRPr="002318C9">
        <w:rPr>
          <w:rFonts w:ascii="Times New Roman" w:hAnsi="Times New Roman" w:cs="Times New Roman"/>
        </w:rPr>
        <w:t>; Summers</w:t>
      </w:r>
      <w:r w:rsidR="00B32375">
        <w:rPr>
          <w:rFonts w:ascii="Times New Roman" w:hAnsi="Times New Roman" w:cs="Times New Roman"/>
        </w:rPr>
        <w:t>,</w:t>
      </w:r>
      <w:r w:rsidR="00D50BB1" w:rsidRPr="002318C9">
        <w:rPr>
          <w:rFonts w:ascii="Times New Roman" w:hAnsi="Times New Roman" w:cs="Times New Roman"/>
        </w:rPr>
        <w:t xml:space="preserve"> </w:t>
      </w:r>
      <w:r w:rsidR="00D50BB1" w:rsidRPr="002318C9">
        <w:rPr>
          <w:rFonts w:ascii="Times New Roman" w:hAnsi="Times New Roman" w:cs="Times New Roman"/>
          <w:i/>
          <w:iCs/>
        </w:rPr>
        <w:t>Dangerous Stir</w:t>
      </w:r>
      <w:r w:rsidR="00D50BB1" w:rsidRPr="002318C9">
        <w:rPr>
          <w:rFonts w:ascii="Times New Roman" w:hAnsi="Times New Roman" w:cs="Times New Roman"/>
        </w:rPr>
        <w:t>; Cooper</w:t>
      </w:r>
      <w:r w:rsidR="00347C58">
        <w:rPr>
          <w:rFonts w:ascii="Times New Roman" w:hAnsi="Times New Roman" w:cs="Times New Roman"/>
        </w:rPr>
        <w:t xml:space="preserve">, </w:t>
      </w:r>
      <w:r w:rsidR="00347C58" w:rsidRPr="00597954">
        <w:rPr>
          <w:rFonts w:ascii="Times New Roman" w:hAnsi="Times New Roman" w:cs="Times New Roman"/>
          <w:i/>
          <w:iCs/>
        </w:rPr>
        <w:t>McDonald and the Whiskey Ring</w:t>
      </w:r>
      <w:r w:rsidR="00D50BB1" w:rsidRPr="002318C9">
        <w:rPr>
          <w:rFonts w:ascii="Times New Roman" w:hAnsi="Times New Roman" w:cs="Times New Roman"/>
        </w:rPr>
        <w:t>; John 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D50BB1" w:rsidRPr="002318C9">
        <w:rPr>
          <w:rFonts w:ascii="Times New Roman" w:hAnsi="Times New Roman" w:cs="Times New Roman"/>
        </w:rPr>
        <w:t>; Richard White</w:t>
      </w:r>
      <w:r w:rsidR="00B32375">
        <w:rPr>
          <w:rFonts w:ascii="Times New Roman" w:hAnsi="Times New Roman" w:cs="Times New Roman"/>
        </w:rPr>
        <w:t xml:space="preserve">, </w:t>
      </w:r>
      <w:r w:rsidR="00B32375">
        <w:rPr>
          <w:rFonts w:ascii="Times New Roman" w:hAnsi="Times New Roman" w:cs="Times New Roman"/>
          <w:i/>
          <w:iCs/>
        </w:rPr>
        <w:t>Republic for Which It Stands</w:t>
      </w:r>
    </w:p>
  </w:footnote>
  <w:footnote w:id="83">
    <w:p w14:paraId="3B68D1B2" w14:textId="00AC632D"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w:t>
      </w:r>
      <w:r w:rsidR="0061690F">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Era</w:t>
      </w:r>
      <w:r w:rsidR="0061690F">
        <w:rPr>
          <w:rFonts w:ascii="Times New Roman" w:hAnsi="Times New Roman" w:cs="Times New Roman"/>
          <w:i/>
          <w:iCs/>
        </w:rPr>
        <w:t>,</w:t>
      </w:r>
      <w:r w:rsidRPr="002318C9">
        <w:rPr>
          <w:rFonts w:ascii="Times New Roman" w:hAnsi="Times New Roman" w:cs="Times New Roman"/>
          <w:i/>
          <w:iCs/>
        </w:rPr>
        <w:t xml:space="preserve"> </w:t>
      </w:r>
      <w:r w:rsidRPr="002318C9">
        <w:rPr>
          <w:rFonts w:ascii="Times New Roman" w:hAnsi="Times New Roman" w:cs="Times New Roman"/>
        </w:rPr>
        <w:t>ix</w:t>
      </w:r>
    </w:p>
  </w:footnote>
  <w:footnote w:id="84">
    <w:p w14:paraId="3F416711"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Oscar Wilde, </w:t>
      </w:r>
      <w:r w:rsidRPr="002318C9">
        <w:rPr>
          <w:rFonts w:ascii="Times New Roman" w:hAnsi="Times New Roman" w:cs="Times New Roman"/>
          <w:i/>
          <w:iCs/>
        </w:rPr>
        <w:t>Lady Windermere’s Fan</w:t>
      </w:r>
      <w:r w:rsidRPr="002318C9">
        <w:rPr>
          <w:rFonts w:ascii="Times New Roman" w:hAnsi="Times New Roman" w:cs="Times New Roman"/>
        </w:rPr>
        <w:t>. New York: Samuel French, 1893. Act III.</w:t>
      </w:r>
    </w:p>
  </w:footnote>
  <w:footnote w:id="85">
    <w:p w14:paraId="4B1BC301"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In Samuel Johnson’s 1755 dictionary, a scoundrel was defined as “a mean rascal; a low petty villain.” In modern concepts, we hear scoundrel and think it to be “either archaic – the kind of thing wig-wearing gentlemen called each other before taking up dueling pistols – or something from the realm of fantasy, a way to describe Han Solo from the </w:t>
      </w:r>
      <w:r w:rsidRPr="002318C9">
        <w:rPr>
          <w:rFonts w:ascii="Times New Roman" w:hAnsi="Times New Roman" w:cs="Times New Roman"/>
          <w:i/>
          <w:iCs/>
        </w:rPr>
        <w:t xml:space="preserve">Star Wars </w:t>
      </w:r>
      <w:r w:rsidRPr="002318C9">
        <w:rPr>
          <w:rFonts w:ascii="Times New Roman" w:hAnsi="Times New Roman" w:cs="Times New Roman"/>
        </w:rPr>
        <w:t xml:space="preserve">universe. (A scoundrel </w:t>
      </w:r>
      <w:r w:rsidRPr="002318C9">
        <w:rPr>
          <w:rFonts w:ascii="Times New Roman" w:hAnsi="Times New Roman" w:cs="Times New Roman"/>
          <w:i/>
          <w:iCs/>
        </w:rPr>
        <w:t xml:space="preserve">definitely </w:t>
      </w:r>
      <w:r w:rsidRPr="002318C9">
        <w:rPr>
          <w:rFonts w:ascii="Times New Roman" w:hAnsi="Times New Roman" w:cs="Times New Roman"/>
        </w:rPr>
        <w:t xml:space="preserve">shoots first).” From </w:t>
      </w:r>
      <w:r w:rsidRPr="002318C9">
        <w:rPr>
          <w:rFonts w:ascii="Times New Roman" w:hAnsi="Times New Roman" w:cs="Times New Roman"/>
          <w:i/>
          <w:iCs/>
        </w:rPr>
        <w:t xml:space="preserve">A Republic of Scoundrels </w:t>
      </w:r>
      <w:r w:rsidRPr="002318C9">
        <w:rPr>
          <w:rFonts w:ascii="Times New Roman" w:hAnsi="Times New Roman" w:cs="Times New Roman"/>
        </w:rPr>
        <w:t>pg xiii</w:t>
      </w:r>
    </w:p>
  </w:footnote>
  <w:footnote w:id="86">
    <w:p w14:paraId="0314D050"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“Politico.” Encyclopædia Britannica; </w:t>
      </w:r>
      <w:r w:rsidRPr="002318C9">
        <w:rPr>
          <w:rFonts w:ascii="Times New Roman" w:hAnsi="Times New Roman" w:cs="Times New Roman"/>
          <w:i/>
          <w:iCs/>
        </w:rPr>
        <w:t>Merriam-Webster.com Dictionary</w:t>
      </w:r>
      <w:r w:rsidRPr="002318C9">
        <w:rPr>
          <w:rFonts w:ascii="Times New Roman" w:hAnsi="Times New Roman" w:cs="Times New Roman"/>
        </w:rPr>
        <w:t>, s.v. “politico,”</w:t>
      </w:r>
    </w:p>
  </w:footnote>
  <w:footnote w:id="87">
    <w:p w14:paraId="50884376" w14:textId="79BF081E" w:rsidR="00EB755A" w:rsidRPr="00A6495F" w:rsidRDefault="00EB755A" w:rsidP="00EB755A">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more examples of patronage posts obtained through wartime connection, consider Ostrogorski</w:t>
      </w:r>
      <w:r w:rsidR="0061690F">
        <w:rPr>
          <w:rFonts w:ascii="Times New Roman" w:hAnsi="Times New Roman" w:cs="Times New Roman"/>
        </w:rPr>
        <w:t xml:space="preserve">, </w:t>
      </w:r>
      <w:r w:rsidR="0061690F">
        <w:rPr>
          <w:rFonts w:ascii="Times New Roman" w:hAnsi="Times New Roman" w:cs="Times New Roman"/>
          <w:i/>
          <w:iCs/>
        </w:rPr>
        <w:t>Democracy and the Party System</w:t>
      </w:r>
      <w:r w:rsidRPr="002318C9">
        <w:rPr>
          <w:rFonts w:ascii="Times New Roman" w:hAnsi="Times New Roman" w:cs="Times New Roman"/>
        </w:rPr>
        <w:t>;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Pr="002318C9">
        <w:rPr>
          <w:rFonts w:ascii="Times New Roman" w:hAnsi="Times New Roman" w:cs="Times New Roman"/>
        </w:rPr>
        <w:t>; Richard White; Hoogenboom</w:t>
      </w:r>
      <w:r w:rsidR="00A6495F">
        <w:rPr>
          <w:rFonts w:ascii="Times New Roman" w:hAnsi="Times New Roman" w:cs="Times New Roman"/>
        </w:rPr>
        <w:t xml:space="preserve">, </w:t>
      </w:r>
      <w:r w:rsidR="00A6495F">
        <w:rPr>
          <w:rFonts w:ascii="Times New Roman" w:hAnsi="Times New Roman" w:cs="Times New Roman"/>
          <w:i/>
          <w:iCs/>
        </w:rPr>
        <w:t>Outlawing the Spoils</w:t>
      </w:r>
    </w:p>
  </w:footnote>
  <w:footnote w:id="88">
    <w:p w14:paraId="1690DAC4"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This is by no way shape or form a claim that individuals who served in the military took advantage of political positions they later occupied through graft or corruption. Just as with any other position and any other demographic, there are those who do things in different ways, for better or for worse. In the wake of times of conflict, particularly those early in American history where the political realm was not yet fully solidified and remained a work in progress, some former soldiers who were not trained in the world of politics were left to their own devices in new posts, and wanting to do their duty while fostering trust from their benefactors who got them their jobs, they relied on their abilities and accomplished their tasks by whatever means they deemed necessary. These men (as women were not yet allowed in the military) are at the center of my research, as this particular type of political operative has not yet been studied in depth with consideration given to real and/or perceived corruption they encountered or enacted as political figures.</w:t>
      </w:r>
    </w:p>
  </w:footnote>
  <w:footnote w:id="89">
    <w:p w14:paraId="4E2553F7"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Some readers may be able to make comparisons between the pragmaticos in the pages that will follow and those from other eras, but it would be improper to make such comparisons without further investigation. As attested previously, the exceptional nature of federal powers in this era makes it difficult to adequately equate corrupt political appointees from one period to another. This type of study could be accomplished effectively at some point but is beyond the scope of this project at present </w:t>
      </w:r>
    </w:p>
  </w:footnote>
  <w:footnote w:id="90">
    <w:p w14:paraId="0912FE81" w14:textId="49FC6B74"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Pr="002318C9">
        <w:rPr>
          <w:rFonts w:ascii="Times New Roman" w:hAnsi="Times New Roman" w:cs="Times New Roman"/>
        </w:rPr>
        <w:t xml:space="preserve">; "Gen. Babcock Drowned". </w:t>
      </w:r>
      <w:r w:rsidRPr="002318C9">
        <w:rPr>
          <w:rFonts w:ascii="Times New Roman" w:hAnsi="Times New Roman" w:cs="Times New Roman"/>
          <w:i/>
          <w:iCs/>
        </w:rPr>
        <w:t>New York Times</w:t>
      </w:r>
      <w:r w:rsidRPr="002318C9">
        <w:rPr>
          <w:rFonts w:ascii="Times New Roman" w:hAnsi="Times New Roman" w:cs="Times New Roman"/>
        </w:rPr>
        <w:t>. June 4, 1884.</w:t>
      </w:r>
    </w:p>
  </w:footnote>
  <w:footnote w:id="91">
    <w:p w14:paraId="38BA5130"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Richard Franklin Bensel, </w:t>
      </w:r>
      <w:r w:rsidRPr="002318C9">
        <w:rPr>
          <w:rFonts w:ascii="Times New Roman" w:hAnsi="Times New Roman" w:cs="Times New Roman"/>
          <w:i/>
          <w:iCs/>
        </w:rPr>
        <w:t>Yankee Leviathan: The Origins of Central State Authority in America, 1859-1877</w:t>
      </w:r>
      <w:r w:rsidRPr="002318C9">
        <w:rPr>
          <w:rFonts w:ascii="Times New Roman" w:hAnsi="Times New Roman" w:cs="Times New Roman"/>
        </w:rPr>
        <w:t xml:space="preserve">. New York: Cambridge University Press, 1990; Summers </w:t>
      </w:r>
      <w:r w:rsidRPr="002318C9">
        <w:rPr>
          <w:rFonts w:ascii="Times New Roman" w:hAnsi="Times New Roman" w:cs="Times New Roman"/>
          <w:i/>
          <w:iCs/>
        </w:rPr>
        <w:t>Plundering</w:t>
      </w:r>
      <w:r w:rsidRPr="002318C9">
        <w:rPr>
          <w:rFonts w:ascii="Times New Roman" w:hAnsi="Times New Roman" w:cs="Times New Roman"/>
        </w:rPr>
        <w:t xml:space="preserve">; Mark Wahlgren Summers, </w:t>
      </w:r>
      <w:r w:rsidRPr="002318C9">
        <w:rPr>
          <w:rFonts w:ascii="Times New Roman" w:hAnsi="Times New Roman" w:cs="Times New Roman"/>
          <w:i/>
          <w:iCs/>
        </w:rPr>
        <w:t>Party Games: Getting, Keeping, and Using Power in Gilded Age Politics</w:t>
      </w:r>
      <w:r w:rsidRPr="002318C9">
        <w:rPr>
          <w:rFonts w:ascii="Times New Roman" w:hAnsi="Times New Roman" w:cs="Times New Roman"/>
        </w:rPr>
        <w:t xml:space="preserve">. Chapel Hill: University of North Carolina Press, 2004; Gary Gerstle, </w:t>
      </w:r>
      <w:r w:rsidRPr="002318C9">
        <w:rPr>
          <w:rFonts w:ascii="Times New Roman" w:hAnsi="Times New Roman" w:cs="Times New Roman"/>
          <w:i/>
          <w:iCs/>
        </w:rPr>
        <w:t>Liberty and Coercion: The Paradox of American Government from the Founding to the Present</w:t>
      </w:r>
      <w:r w:rsidRPr="002318C9">
        <w:rPr>
          <w:rFonts w:ascii="Times New Roman" w:hAnsi="Times New Roman" w:cs="Times New Roman"/>
        </w:rPr>
        <w:t>. Princeton: Princeton University Press, 2015.</w:t>
      </w:r>
    </w:p>
  </w:footnote>
  <w:footnote w:id="92">
    <w:p w14:paraId="704F0206" w14:textId="7E90D900"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Pr="002318C9">
        <w:rPr>
          <w:rFonts w:ascii="Times New Roman" w:hAnsi="Times New Roman" w:cs="Times New Roman"/>
        </w:rPr>
        <w:t>; Chernow</w:t>
      </w:r>
      <w:r w:rsidR="0031523D">
        <w:rPr>
          <w:rFonts w:ascii="Times New Roman" w:hAnsi="Times New Roman" w:cs="Times New Roman"/>
        </w:rPr>
        <w:t xml:space="preserve">, </w:t>
      </w:r>
      <w:r w:rsidR="0031523D" w:rsidRPr="002318C9">
        <w:rPr>
          <w:rFonts w:ascii="Times New Roman" w:hAnsi="Times New Roman" w:cs="Times New Roman"/>
          <w:i/>
          <w:iCs/>
        </w:rPr>
        <w:t>Grant</w:t>
      </w:r>
    </w:p>
  </w:footnote>
  <w:footnote w:id="93">
    <w:p w14:paraId="3FC2235D" w14:textId="73E0DCAC"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more on the District Ring, consider: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Pr="002318C9">
        <w:rPr>
          <w:rFonts w:ascii="Times New Roman" w:hAnsi="Times New Roman" w:cs="Times New Roman"/>
        </w:rPr>
        <w:t xml:space="preserve">; Lessoff; H.V. Boynton. “The Washington Safe Burglary Conspiracy.” </w:t>
      </w:r>
      <w:r w:rsidRPr="002318C9">
        <w:rPr>
          <w:rFonts w:ascii="Times New Roman" w:hAnsi="Times New Roman" w:cs="Times New Roman"/>
          <w:i/>
          <w:iCs/>
        </w:rPr>
        <w:t>American Law Review</w:t>
      </w:r>
      <w:r w:rsidRPr="002318C9">
        <w:rPr>
          <w:rFonts w:ascii="Times New Roman" w:hAnsi="Times New Roman" w:cs="Times New Roman"/>
        </w:rPr>
        <w:t xml:space="preserve"> 11, no. 3 (April 1877): 401-446; </w:t>
      </w:r>
      <w:r w:rsidRPr="002318C9">
        <w:rPr>
          <w:rFonts w:ascii="Times New Roman" w:hAnsi="Times New Roman" w:cs="Times New Roman"/>
          <w:i/>
          <w:iCs/>
        </w:rPr>
        <w:t>More About The Washington Tammany</w:t>
      </w:r>
      <w:r w:rsidRPr="002318C9">
        <w:rPr>
          <w:rFonts w:ascii="Times New Roman" w:hAnsi="Times New Roman" w:cs="Times New Roman"/>
        </w:rPr>
        <w:t xml:space="preserve">; </w:t>
      </w:r>
      <w:r w:rsidR="0061690F">
        <w:rPr>
          <w:rFonts w:ascii="Times New Roman" w:hAnsi="Times New Roman" w:cs="Times New Roman"/>
        </w:rPr>
        <w:t xml:space="preserve">Zachary </w:t>
      </w:r>
      <w:r w:rsidRPr="002318C9">
        <w:rPr>
          <w:rFonts w:ascii="Times New Roman" w:hAnsi="Times New Roman" w:cs="Times New Roman"/>
        </w:rPr>
        <w:t xml:space="preserve">Klitzman, “Who’s the Boss?: Alexander Shepherd, the D.C. Territorial Government and the Boss Charge.” Master’s Dissertation, American University, 2016; “The Washington Conspiracy Case.” </w:t>
      </w:r>
      <w:r w:rsidRPr="002318C9">
        <w:rPr>
          <w:rFonts w:ascii="Times New Roman" w:hAnsi="Times New Roman" w:cs="Times New Roman"/>
          <w:i/>
          <w:iCs/>
        </w:rPr>
        <w:t>American Law Review, 1874-1875</w:t>
      </w:r>
      <w:r w:rsidRPr="002318C9">
        <w:rPr>
          <w:rFonts w:ascii="Times New Roman" w:hAnsi="Times New Roman" w:cs="Times New Roman"/>
        </w:rPr>
        <w:t xml:space="preserve"> 9, no. 1 (October 1874): 351-359.</w:t>
      </w:r>
    </w:p>
  </w:footnote>
  <w:footnote w:id="94">
    <w:p w14:paraId="15D3880C" w14:textId="4AA9FA3D"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John 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Pr="002318C9">
        <w:rPr>
          <w:rFonts w:ascii="Times New Roman" w:hAnsi="Times New Roman" w:cs="Times New Roman"/>
        </w:rPr>
        <w:t>; Klitzman</w:t>
      </w:r>
      <w:r w:rsidR="0061690F">
        <w:rPr>
          <w:rFonts w:ascii="Times New Roman" w:hAnsi="Times New Roman" w:cs="Times New Roman"/>
        </w:rPr>
        <w:t>, “Who’s the Boss?”</w:t>
      </w:r>
      <w:r w:rsidRPr="002318C9">
        <w:rPr>
          <w:rFonts w:ascii="Times New Roman" w:hAnsi="Times New Roman" w:cs="Times New Roman"/>
        </w:rPr>
        <w:t>; Boynton</w:t>
      </w:r>
      <w:r w:rsidR="0061690F">
        <w:rPr>
          <w:rFonts w:ascii="Times New Roman" w:hAnsi="Times New Roman" w:cs="Times New Roman"/>
        </w:rPr>
        <w:t xml:space="preserve"> “The Washington Safe Burglary Conspiracy”</w:t>
      </w:r>
      <w:r w:rsidRPr="002318C9">
        <w:rPr>
          <w:rFonts w:ascii="Times New Roman" w:hAnsi="Times New Roman" w:cs="Times New Roman"/>
        </w:rPr>
        <w:t>; Broxmeyer; “The Washington Conspiracy Case.”</w:t>
      </w:r>
    </w:p>
  </w:footnote>
  <w:footnote w:id="95">
    <w:p w14:paraId="591BF5B5" w14:textId="28D091A5"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Pr="002318C9">
        <w:rPr>
          <w:rFonts w:ascii="Times New Roman" w:hAnsi="Times New Roman" w:cs="Times New Roman"/>
        </w:rPr>
        <w:t xml:space="preserve"> 494-590; Cooper</w:t>
      </w:r>
      <w:r w:rsidR="00347C58">
        <w:rPr>
          <w:rFonts w:ascii="Times New Roman" w:hAnsi="Times New Roman" w:cs="Times New Roman"/>
        </w:rPr>
        <w:t xml:space="preserve">, </w:t>
      </w:r>
      <w:r w:rsidR="00347C58" w:rsidRPr="00597954">
        <w:rPr>
          <w:rFonts w:ascii="Times New Roman" w:hAnsi="Times New Roman" w:cs="Times New Roman"/>
          <w:i/>
          <w:iCs/>
        </w:rPr>
        <w:t>McDonald and the Whiskey Ring</w:t>
      </w:r>
      <w:r w:rsidRPr="002318C9">
        <w:rPr>
          <w:rFonts w:ascii="Times New Roman" w:hAnsi="Times New Roman" w:cs="Times New Roman"/>
        </w:rPr>
        <w:t>; McDonald</w:t>
      </w:r>
      <w:r w:rsidR="0061690F">
        <w:rPr>
          <w:rFonts w:ascii="Times New Roman" w:hAnsi="Times New Roman" w:cs="Times New Roman"/>
        </w:rPr>
        <w:t xml:space="preserve">, </w:t>
      </w:r>
      <w:r w:rsidR="0061690F">
        <w:rPr>
          <w:rFonts w:ascii="Times New Roman" w:hAnsi="Times New Roman" w:cs="Times New Roman"/>
          <w:i/>
          <w:iCs/>
        </w:rPr>
        <w:t>Secrets</w:t>
      </w:r>
      <w:r w:rsidRPr="002318C9">
        <w:rPr>
          <w:rFonts w:ascii="Times New Roman" w:hAnsi="Times New Roman" w:cs="Times New Roman"/>
        </w:rPr>
        <w:t xml:space="preserve">; Timothy Rives. "Grant, Babcock, and the Whiskey Ring." </w:t>
      </w:r>
      <w:r w:rsidRPr="002318C9">
        <w:rPr>
          <w:rFonts w:ascii="Times New Roman" w:hAnsi="Times New Roman" w:cs="Times New Roman"/>
          <w:i/>
          <w:iCs/>
        </w:rPr>
        <w:t>Prologue Magazine</w:t>
      </w:r>
      <w:r w:rsidRPr="002318C9">
        <w:rPr>
          <w:rFonts w:ascii="Times New Roman" w:hAnsi="Times New Roman" w:cs="Times New Roman"/>
        </w:rPr>
        <w:t xml:space="preserve"> 32, no. 3 (Fall 2000); </w:t>
      </w:r>
      <w:r w:rsidR="0061690F">
        <w:rPr>
          <w:rFonts w:ascii="Times New Roman" w:hAnsi="Times New Roman" w:cs="Times New Roman"/>
        </w:rPr>
        <w:t xml:space="preserve">Jennifer Rose </w:t>
      </w:r>
      <w:r w:rsidRPr="002318C9">
        <w:rPr>
          <w:rFonts w:ascii="Times New Roman" w:hAnsi="Times New Roman" w:cs="Times New Roman"/>
        </w:rPr>
        <w:t xml:space="preserve">Hopper, "Reexamining the Nineteenth-Century Presidency and Partisan Press: The Case of President Grant and the Whiskey Ring Scandal." </w:t>
      </w:r>
      <w:r w:rsidRPr="002318C9">
        <w:rPr>
          <w:rFonts w:ascii="Times New Roman" w:hAnsi="Times New Roman" w:cs="Times New Roman"/>
          <w:i/>
          <w:iCs/>
        </w:rPr>
        <w:t>Social Science History</w:t>
      </w:r>
      <w:r w:rsidRPr="002318C9">
        <w:rPr>
          <w:rFonts w:ascii="Times New Roman" w:hAnsi="Times New Roman" w:cs="Times New Roman"/>
        </w:rPr>
        <w:t xml:space="preserve"> 42, no. 1 (2018): 109-133; Gerald Carson and Mike Veach. "The Great Whiskey Steal." In </w:t>
      </w:r>
      <w:r w:rsidRPr="002318C9">
        <w:rPr>
          <w:rFonts w:ascii="Times New Roman" w:hAnsi="Times New Roman" w:cs="Times New Roman"/>
          <w:i/>
          <w:iCs/>
        </w:rPr>
        <w:t>The Social History of Bourbon</w:t>
      </w:r>
      <w:r w:rsidRPr="002318C9">
        <w:rPr>
          <w:rFonts w:ascii="Times New Roman" w:hAnsi="Times New Roman" w:cs="Times New Roman"/>
        </w:rPr>
        <w:t>, 114-27. University Press of Kentucky, 1963.</w:t>
      </w:r>
    </w:p>
  </w:footnote>
  <w:footnote w:id="96">
    <w:p w14:paraId="244A32F7" w14:textId="0FD0CE0F" w:rsidR="00486C03" w:rsidRPr="002318C9" w:rsidRDefault="00486C03" w:rsidP="00486C03">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Pr="002318C9">
        <w:rPr>
          <w:rFonts w:ascii="Times New Roman" w:hAnsi="Times New Roman" w:cs="Times New Roman"/>
        </w:rPr>
        <w:t xml:space="preserve">; "Gen. Babcock Drowned". </w:t>
      </w:r>
      <w:r w:rsidRPr="002318C9">
        <w:rPr>
          <w:rFonts w:ascii="Times New Roman" w:hAnsi="Times New Roman" w:cs="Times New Roman"/>
          <w:i/>
          <w:iCs/>
        </w:rPr>
        <w:t>New York Times</w:t>
      </w:r>
      <w:r w:rsidRPr="002318C9">
        <w:rPr>
          <w:rFonts w:ascii="Times New Roman" w:hAnsi="Times New Roman" w:cs="Times New Roman"/>
        </w:rPr>
        <w:t>. June 4, 1884.</w:t>
      </w:r>
    </w:p>
  </w:footnote>
  <w:footnote w:id="97">
    <w:p w14:paraId="4D91ECF8" w14:textId="71B97F68" w:rsidR="00486C03" w:rsidRPr="00552BFB" w:rsidRDefault="00486C03" w:rsidP="00486C03">
      <w:pPr>
        <w:pStyle w:val="FootnoteText"/>
        <w:rPr>
          <w:rFonts w:ascii="Times New Roman" w:hAnsi="Times New Roman" w:cs="Times New Roman"/>
          <w:i/>
          <w:iCs/>
          <w:u w:val="single"/>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examples of such considerations, see: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Pr="002318C9">
        <w:rPr>
          <w:rFonts w:ascii="Times New Roman" w:hAnsi="Times New Roman" w:cs="Times New Roman"/>
        </w:rPr>
        <w:t>; Brands</w:t>
      </w:r>
      <w:r w:rsidR="0031523D">
        <w:rPr>
          <w:rFonts w:ascii="Times New Roman" w:hAnsi="Times New Roman" w:cs="Times New Roman"/>
        </w:rPr>
        <w:t xml:space="preserve">, </w:t>
      </w:r>
      <w:r w:rsidR="0031523D" w:rsidRPr="002318C9">
        <w:rPr>
          <w:rFonts w:ascii="Times New Roman" w:hAnsi="Times New Roman" w:cs="Times New Roman"/>
          <w:i/>
          <w:iCs/>
        </w:rPr>
        <w:t>Man Who Saved The Union</w:t>
      </w:r>
      <w:r w:rsidRPr="002318C9">
        <w:rPr>
          <w:rFonts w:ascii="Times New Roman" w:hAnsi="Times New Roman" w:cs="Times New Roman"/>
        </w:rPr>
        <w:t>;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Pr="002318C9">
        <w:rPr>
          <w:rFonts w:ascii="Times New Roman" w:hAnsi="Times New Roman" w:cs="Times New Roman"/>
        </w:rPr>
        <w:t>; Ronald White</w:t>
      </w:r>
      <w:r w:rsidR="009A68A0">
        <w:rPr>
          <w:rFonts w:ascii="Times New Roman" w:hAnsi="Times New Roman" w:cs="Times New Roman"/>
        </w:rPr>
        <w:t xml:space="preserve">, </w:t>
      </w:r>
      <w:r w:rsidR="009A68A0" w:rsidRPr="002318C9">
        <w:rPr>
          <w:rFonts w:ascii="Times New Roman" w:hAnsi="Times New Roman" w:cs="Times New Roman"/>
          <w:i/>
          <w:iCs/>
        </w:rPr>
        <w:t>American Ulysses</w:t>
      </w:r>
      <w:r w:rsidRPr="002318C9">
        <w:rPr>
          <w:rFonts w:ascii="Times New Roman" w:hAnsi="Times New Roman" w:cs="Times New Roman"/>
        </w:rPr>
        <w:t>; Perret</w:t>
      </w:r>
      <w:r w:rsidR="009A68A0">
        <w:rPr>
          <w:rFonts w:ascii="Times New Roman" w:hAnsi="Times New Roman" w:cs="Times New Roman"/>
        </w:rPr>
        <w:t>,</w:t>
      </w:r>
      <w:r w:rsidR="009A68A0" w:rsidRPr="009A68A0">
        <w:rPr>
          <w:rFonts w:ascii="Times New Roman" w:hAnsi="Times New Roman" w:cs="Times New Roman"/>
          <w:i/>
          <w:iCs/>
        </w:rPr>
        <w:t xml:space="preserve"> </w:t>
      </w:r>
      <w:r w:rsidR="009A68A0">
        <w:rPr>
          <w:rFonts w:ascii="Times New Roman" w:hAnsi="Times New Roman" w:cs="Times New Roman"/>
          <w:i/>
          <w:iCs/>
        </w:rPr>
        <w:t>Ulysses S. Grant</w:t>
      </w:r>
      <w:r w:rsidR="009A68A0" w:rsidRPr="002318C9">
        <w:rPr>
          <w:rFonts w:ascii="Times New Roman" w:hAnsi="Times New Roman" w:cs="Times New Roman"/>
        </w:rPr>
        <w:t>;</w:t>
      </w:r>
      <w:r w:rsidRPr="002318C9">
        <w:rPr>
          <w:rFonts w:ascii="Times New Roman" w:hAnsi="Times New Roman" w:cs="Times New Roman"/>
        </w:rPr>
        <w:t xml:space="preserve"> Bonekemper</w:t>
      </w:r>
      <w:r w:rsidR="006A332D">
        <w:rPr>
          <w:rFonts w:ascii="Times New Roman" w:hAnsi="Times New Roman" w:cs="Times New Roman"/>
        </w:rPr>
        <w:t xml:space="preserve">, </w:t>
      </w:r>
      <w:r w:rsidRPr="002318C9">
        <w:rPr>
          <w:rFonts w:ascii="Times New Roman" w:hAnsi="Times New Roman" w:cs="Times New Roman"/>
          <w:i/>
          <w:iCs/>
        </w:rPr>
        <w:t>Ulysses S. Grant</w:t>
      </w:r>
      <w:r w:rsidRPr="002318C9">
        <w:rPr>
          <w:rFonts w:ascii="Times New Roman" w:hAnsi="Times New Roman" w:cs="Times New Roman"/>
        </w:rPr>
        <w:t>; Jean Edward Smith</w:t>
      </w:r>
      <w:r w:rsidR="00552BFB">
        <w:rPr>
          <w:rFonts w:ascii="Times New Roman" w:hAnsi="Times New Roman" w:cs="Times New Roman"/>
        </w:rPr>
        <w:t xml:space="preserve">, </w:t>
      </w:r>
      <w:r w:rsidR="00552BFB">
        <w:rPr>
          <w:rFonts w:ascii="Times New Roman" w:hAnsi="Times New Roman" w:cs="Times New Roman"/>
          <w:i/>
          <w:iCs/>
        </w:rPr>
        <w:t>Grant</w:t>
      </w:r>
    </w:p>
  </w:footnote>
  <w:footnote w:id="98">
    <w:p w14:paraId="4A2EC2CC" w14:textId="77777777" w:rsidR="00EB755A" w:rsidRPr="002318C9" w:rsidRDefault="00EB755A" w:rsidP="00EB7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 xml:space="preserve">Annual Report of the Light-House Board of the United States to the Secretary of Treasury for the Fiscal Year Ended June 30, 1898. </w:t>
      </w:r>
      <w:r w:rsidRPr="002318C9">
        <w:rPr>
          <w:rFonts w:ascii="Times New Roman" w:hAnsi="Times New Roman" w:cs="Times New Roman"/>
        </w:rPr>
        <w:t>Washington D.C.: Government Printing Office. 1898.</w:t>
      </w:r>
    </w:p>
  </w:footnote>
  <w:footnote w:id="99">
    <w:p w14:paraId="756E81EC" w14:textId="031BE615"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74435">
        <w:rPr>
          <w:rFonts w:ascii="Times New Roman" w:hAnsi="Times New Roman" w:cs="Times New Roman"/>
        </w:rPr>
        <w:t xml:space="preserve">Henry King Olmsted, </w:t>
      </w:r>
      <w:r w:rsidR="00274435">
        <w:rPr>
          <w:rFonts w:ascii="Times New Roman" w:hAnsi="Times New Roman" w:cs="Times New Roman"/>
          <w:i/>
          <w:iCs/>
        </w:rPr>
        <w:t>Genealogy of the Olmstead Family in America: Embracing the Descendants of James and Richard Olmsted and Covering a Period of Nearly Three Centuries, 1632-1912</w:t>
      </w:r>
      <w:r w:rsidR="00274435">
        <w:rPr>
          <w:rFonts w:ascii="Times New Roman" w:hAnsi="Times New Roman" w:cs="Times New Roman"/>
        </w:rPr>
        <w:t xml:space="preserve">. New York: A.T. De La Mare, 1912. 299; Stephen Babcock, </w:t>
      </w:r>
      <w:r w:rsidR="00274435">
        <w:rPr>
          <w:rFonts w:ascii="Times New Roman" w:hAnsi="Times New Roman" w:cs="Times New Roman"/>
          <w:i/>
          <w:iCs/>
        </w:rPr>
        <w:t>Isaiah Babcock Sr. and his descendants</w:t>
      </w:r>
      <w:r w:rsidR="00274435">
        <w:rPr>
          <w:rFonts w:ascii="Times New Roman" w:hAnsi="Times New Roman" w:cs="Times New Roman"/>
        </w:rPr>
        <w:t>. New York: Eaton and Mains, 1903. 776</w:t>
      </w:r>
    </w:p>
  </w:footnote>
  <w:footnote w:id="100">
    <w:p w14:paraId="2B7B2356" w14:textId="35D96858"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Olmsted</w:t>
      </w:r>
      <w:r w:rsidR="0016623E">
        <w:rPr>
          <w:rFonts w:ascii="Times New Roman" w:hAnsi="Times New Roman" w:cs="Times New Roman"/>
        </w:rPr>
        <w:t xml:space="preserve">, </w:t>
      </w:r>
      <w:r w:rsidR="0016623E">
        <w:rPr>
          <w:rFonts w:ascii="Times New Roman" w:hAnsi="Times New Roman" w:cs="Times New Roman"/>
          <w:i/>
          <w:iCs/>
        </w:rPr>
        <w:t>Genealogy of the Olmsted Family</w:t>
      </w:r>
      <w:r w:rsidRPr="002318C9">
        <w:rPr>
          <w:rFonts w:ascii="Times New Roman" w:hAnsi="Times New Roman" w:cs="Times New Roman"/>
        </w:rPr>
        <w:t xml:space="preserve">; </w:t>
      </w:r>
      <w:r w:rsidR="00274435">
        <w:rPr>
          <w:rFonts w:ascii="Times New Roman" w:hAnsi="Times New Roman" w:cs="Times New Roman"/>
        </w:rPr>
        <w:t xml:space="preserve">Stephen </w:t>
      </w:r>
      <w:r w:rsidRPr="002318C9">
        <w:rPr>
          <w:rFonts w:ascii="Times New Roman" w:hAnsi="Times New Roman" w:cs="Times New Roman"/>
        </w:rPr>
        <w:t>Babcock</w:t>
      </w:r>
      <w:r w:rsidR="0016623E">
        <w:rPr>
          <w:rFonts w:ascii="Times New Roman" w:hAnsi="Times New Roman" w:cs="Times New Roman"/>
        </w:rPr>
        <w:t xml:space="preserve">, </w:t>
      </w:r>
      <w:r w:rsidR="0016623E">
        <w:rPr>
          <w:rFonts w:ascii="Times New Roman" w:hAnsi="Times New Roman" w:cs="Times New Roman"/>
          <w:i/>
          <w:iCs/>
        </w:rPr>
        <w:t>Isaiah Babcock Sr. and his descendants,</w:t>
      </w:r>
      <w:r w:rsidRPr="002318C9">
        <w:rPr>
          <w:rFonts w:ascii="Times New Roman" w:hAnsi="Times New Roman" w:cs="Times New Roman"/>
        </w:rPr>
        <w:t xml:space="preserve"> x-xv</w:t>
      </w:r>
    </w:p>
  </w:footnote>
  <w:footnote w:id="101">
    <w:p w14:paraId="2E076399" w14:textId="62ED373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74435">
        <w:rPr>
          <w:rFonts w:ascii="Times New Roman" w:hAnsi="Times New Roman" w:cs="Times New Roman"/>
        </w:rPr>
        <w:t xml:space="preserve">Stephen </w:t>
      </w:r>
      <w:r w:rsidRPr="002318C9">
        <w:rPr>
          <w:rFonts w:ascii="Times New Roman" w:hAnsi="Times New Roman" w:cs="Times New Roman"/>
        </w:rPr>
        <w:t>Babcock</w:t>
      </w:r>
      <w:r w:rsidR="0016623E">
        <w:rPr>
          <w:rFonts w:ascii="Times New Roman" w:hAnsi="Times New Roman" w:cs="Times New Roman"/>
        </w:rPr>
        <w:t xml:space="preserve">, </w:t>
      </w:r>
      <w:r w:rsidR="0016623E">
        <w:rPr>
          <w:rFonts w:ascii="Times New Roman" w:hAnsi="Times New Roman" w:cs="Times New Roman"/>
          <w:i/>
          <w:iCs/>
        </w:rPr>
        <w:t>Isaiah Babcock Sr. and his descendants,</w:t>
      </w:r>
      <w:r w:rsidRPr="002318C9">
        <w:rPr>
          <w:rFonts w:ascii="Times New Roman" w:hAnsi="Times New Roman" w:cs="Times New Roman"/>
        </w:rPr>
        <w:t xml:space="preserve"> xix-5</w:t>
      </w:r>
    </w:p>
  </w:footnote>
  <w:footnote w:id="102">
    <w:p w14:paraId="6C84B7C0"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03">
    <w:p w14:paraId="3A8A326B" w14:textId="70072980"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74435">
        <w:rPr>
          <w:rFonts w:ascii="Times New Roman" w:hAnsi="Times New Roman" w:cs="Times New Roman"/>
        </w:rPr>
        <w:t xml:space="preserve">Stephen </w:t>
      </w:r>
      <w:r w:rsidRPr="002318C9">
        <w:rPr>
          <w:rFonts w:ascii="Times New Roman" w:hAnsi="Times New Roman" w:cs="Times New Roman"/>
        </w:rPr>
        <w:t>Babcock</w:t>
      </w:r>
      <w:r w:rsidR="0016623E">
        <w:rPr>
          <w:rFonts w:ascii="Times New Roman" w:hAnsi="Times New Roman" w:cs="Times New Roman"/>
        </w:rPr>
        <w:t xml:space="preserve">, </w:t>
      </w:r>
      <w:r w:rsidR="0016623E">
        <w:rPr>
          <w:rFonts w:ascii="Times New Roman" w:hAnsi="Times New Roman" w:cs="Times New Roman"/>
          <w:i/>
          <w:iCs/>
        </w:rPr>
        <w:t>Isaiah Babcock Sr. and his descendants,</w:t>
      </w:r>
      <w:r w:rsidRPr="002318C9">
        <w:rPr>
          <w:rFonts w:ascii="Times New Roman" w:hAnsi="Times New Roman" w:cs="Times New Roman"/>
        </w:rPr>
        <w:t xml:space="preserve"> 87</w:t>
      </w:r>
    </w:p>
  </w:footnote>
  <w:footnote w:id="104">
    <w:p w14:paraId="62BCFB7A" w14:textId="318CA14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74435">
        <w:rPr>
          <w:rFonts w:ascii="Times New Roman" w:hAnsi="Times New Roman" w:cs="Times New Roman"/>
        </w:rPr>
        <w:t xml:space="preserve">Stephen </w:t>
      </w:r>
      <w:r w:rsidRPr="002318C9">
        <w:rPr>
          <w:rFonts w:ascii="Times New Roman" w:hAnsi="Times New Roman" w:cs="Times New Roman"/>
        </w:rPr>
        <w:t>Babcock</w:t>
      </w:r>
      <w:r w:rsidR="0016623E">
        <w:rPr>
          <w:rFonts w:ascii="Times New Roman" w:hAnsi="Times New Roman" w:cs="Times New Roman"/>
        </w:rPr>
        <w:t xml:space="preserve">, </w:t>
      </w:r>
      <w:r w:rsidR="0016623E">
        <w:rPr>
          <w:rFonts w:ascii="Times New Roman" w:hAnsi="Times New Roman" w:cs="Times New Roman"/>
          <w:i/>
          <w:iCs/>
        </w:rPr>
        <w:t>Isaiah Babcock Sr. and his descendants,</w:t>
      </w:r>
      <w:r w:rsidRPr="002318C9">
        <w:rPr>
          <w:rFonts w:ascii="Times New Roman" w:hAnsi="Times New Roman" w:cs="Times New Roman"/>
        </w:rPr>
        <w:t xml:space="preserve"> 87</w:t>
      </w:r>
    </w:p>
  </w:footnote>
  <w:footnote w:id="105">
    <w:p w14:paraId="0708518A" w14:textId="34B0671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74435">
        <w:rPr>
          <w:rFonts w:ascii="Times New Roman" w:hAnsi="Times New Roman" w:cs="Times New Roman"/>
        </w:rPr>
        <w:t xml:space="preserve">Stephen </w:t>
      </w:r>
      <w:r w:rsidRPr="002318C9">
        <w:rPr>
          <w:rFonts w:ascii="Times New Roman" w:hAnsi="Times New Roman" w:cs="Times New Roman"/>
        </w:rPr>
        <w:t>Babcock</w:t>
      </w:r>
      <w:r w:rsidR="0016623E">
        <w:rPr>
          <w:rFonts w:ascii="Times New Roman" w:hAnsi="Times New Roman" w:cs="Times New Roman"/>
        </w:rPr>
        <w:t xml:space="preserve">, </w:t>
      </w:r>
      <w:r w:rsidR="0016623E">
        <w:rPr>
          <w:rFonts w:ascii="Times New Roman" w:hAnsi="Times New Roman" w:cs="Times New Roman"/>
          <w:i/>
          <w:iCs/>
        </w:rPr>
        <w:t>Isaiah Babcock Sr. and his descendants,</w:t>
      </w:r>
      <w:r w:rsidRPr="002318C9">
        <w:rPr>
          <w:rFonts w:ascii="Times New Roman" w:hAnsi="Times New Roman" w:cs="Times New Roman"/>
        </w:rPr>
        <w:t xml:space="preserve"> ii; Olmsted</w:t>
      </w:r>
      <w:r w:rsidR="0016623E">
        <w:rPr>
          <w:rFonts w:ascii="Times New Roman" w:hAnsi="Times New Roman" w:cs="Times New Roman"/>
        </w:rPr>
        <w:t xml:space="preserve">, </w:t>
      </w:r>
      <w:r w:rsidR="0016623E">
        <w:rPr>
          <w:rFonts w:ascii="Times New Roman" w:hAnsi="Times New Roman" w:cs="Times New Roman"/>
          <w:i/>
          <w:iCs/>
        </w:rPr>
        <w:t>Genealogy of the Olmsted Family,</w:t>
      </w:r>
      <w:r w:rsidRPr="002318C9">
        <w:rPr>
          <w:rFonts w:ascii="Times New Roman" w:hAnsi="Times New Roman" w:cs="Times New Roman"/>
        </w:rPr>
        <w:t xml:space="preserve"> iv</w:t>
      </w:r>
    </w:p>
  </w:footnote>
  <w:footnote w:id="106">
    <w:p w14:paraId="652CC2EB" w14:textId="10A6B2A3"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Olmsted</w:t>
      </w:r>
      <w:r w:rsidR="0016623E">
        <w:rPr>
          <w:rFonts w:ascii="Times New Roman" w:hAnsi="Times New Roman" w:cs="Times New Roman"/>
        </w:rPr>
        <w:t xml:space="preserve">, </w:t>
      </w:r>
      <w:r w:rsidR="0016623E">
        <w:rPr>
          <w:rFonts w:ascii="Times New Roman" w:hAnsi="Times New Roman" w:cs="Times New Roman"/>
          <w:i/>
          <w:iCs/>
        </w:rPr>
        <w:t>Genealogy of the Olmsted Family</w:t>
      </w:r>
      <w:r w:rsidR="0016623E">
        <w:rPr>
          <w:rFonts w:ascii="Times New Roman" w:hAnsi="Times New Roman" w:cs="Times New Roman"/>
        </w:rPr>
        <w:t>,</w:t>
      </w:r>
      <w:r w:rsidRPr="002318C9">
        <w:rPr>
          <w:rFonts w:ascii="Times New Roman" w:hAnsi="Times New Roman" w:cs="Times New Roman"/>
        </w:rPr>
        <w:t xml:space="preserve"> 240</w:t>
      </w:r>
    </w:p>
  </w:footnote>
  <w:footnote w:id="107">
    <w:p w14:paraId="013E9C86" w14:textId="52E6AC3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Olmsted</w:t>
      </w:r>
      <w:r w:rsidR="0016623E">
        <w:rPr>
          <w:rFonts w:ascii="Times New Roman" w:hAnsi="Times New Roman" w:cs="Times New Roman"/>
        </w:rPr>
        <w:t xml:space="preserve">, </w:t>
      </w:r>
      <w:r w:rsidR="0016623E">
        <w:rPr>
          <w:rFonts w:ascii="Times New Roman" w:hAnsi="Times New Roman" w:cs="Times New Roman"/>
          <w:i/>
          <w:iCs/>
        </w:rPr>
        <w:t>Genealogy of the Olmsted Family</w:t>
      </w:r>
    </w:p>
  </w:footnote>
  <w:footnote w:id="108">
    <w:p w14:paraId="5A076A6A" w14:textId="62A78F1A"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516FD" w:rsidRPr="00A516FD">
        <w:rPr>
          <w:rFonts w:ascii="Times New Roman" w:hAnsi="Times New Roman" w:cs="Times New Roman"/>
        </w:rPr>
        <w:t xml:space="preserve">Gen. Babcock Drowned". </w:t>
      </w:r>
      <w:r w:rsidR="00A516FD" w:rsidRPr="00A516FD">
        <w:rPr>
          <w:rFonts w:ascii="Times New Roman" w:hAnsi="Times New Roman" w:cs="Times New Roman"/>
          <w:i/>
          <w:iCs/>
        </w:rPr>
        <w:t>New York Times</w:t>
      </w:r>
      <w:r w:rsidR="00A516FD" w:rsidRPr="00A516FD">
        <w:rPr>
          <w:rFonts w:ascii="Times New Roman" w:hAnsi="Times New Roman" w:cs="Times New Roman"/>
        </w:rPr>
        <w:t>. June 4, 1884.</w:t>
      </w:r>
    </w:p>
  </w:footnote>
  <w:footnote w:id="109">
    <w:p w14:paraId="698A4504" w14:textId="46EB1B39"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Olmsted</w:t>
      </w:r>
      <w:r w:rsidR="0016623E">
        <w:rPr>
          <w:rFonts w:ascii="Times New Roman" w:hAnsi="Times New Roman" w:cs="Times New Roman"/>
        </w:rPr>
        <w:t xml:space="preserve">, </w:t>
      </w:r>
      <w:r w:rsidR="0016623E">
        <w:rPr>
          <w:rFonts w:ascii="Times New Roman" w:hAnsi="Times New Roman" w:cs="Times New Roman"/>
          <w:i/>
          <w:iCs/>
        </w:rPr>
        <w:t>Genealogy of the Olmsted Family</w:t>
      </w:r>
      <w:r w:rsidR="0016623E">
        <w:rPr>
          <w:rFonts w:ascii="Times New Roman" w:hAnsi="Times New Roman" w:cs="Times New Roman"/>
        </w:rPr>
        <w:t>,</w:t>
      </w:r>
      <w:r w:rsidRPr="002318C9">
        <w:rPr>
          <w:rFonts w:ascii="Times New Roman" w:hAnsi="Times New Roman" w:cs="Times New Roman"/>
        </w:rPr>
        <w:t xml:space="preserve"> 299-300</w:t>
      </w:r>
    </w:p>
  </w:footnote>
  <w:footnote w:id="110">
    <w:p w14:paraId="78868DF4" w14:textId="1C0EC339" w:rsidR="006A6DED" w:rsidRPr="0022239E" w:rsidRDefault="006A6DED" w:rsidP="006A6DE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516FD">
        <w:rPr>
          <w:rFonts w:ascii="Times New Roman" w:hAnsi="Times New Roman" w:cs="Times New Roman"/>
        </w:rPr>
        <w:t>Stephen Babcock</w:t>
      </w:r>
      <w:r w:rsidR="0016623E">
        <w:rPr>
          <w:rFonts w:ascii="Times New Roman" w:hAnsi="Times New Roman" w:cs="Times New Roman"/>
        </w:rPr>
        <w:t xml:space="preserve">, </w:t>
      </w:r>
      <w:r w:rsidR="0016623E">
        <w:rPr>
          <w:rFonts w:ascii="Times New Roman" w:hAnsi="Times New Roman" w:cs="Times New Roman"/>
          <w:i/>
          <w:iCs/>
        </w:rPr>
        <w:t>Isaiah Babcock Sr. and his descendants,</w:t>
      </w:r>
      <w:r w:rsidR="00A516FD">
        <w:rPr>
          <w:rFonts w:ascii="Times New Roman" w:hAnsi="Times New Roman" w:cs="Times New Roman"/>
        </w:rPr>
        <w:t xml:space="preserve"> 776</w:t>
      </w:r>
      <w:r w:rsidR="0022239E">
        <w:rPr>
          <w:rFonts w:ascii="Times New Roman" w:hAnsi="Times New Roman" w:cs="Times New Roman"/>
          <w:i/>
          <w:iCs/>
        </w:rPr>
        <w:t xml:space="preserve"> </w:t>
      </w:r>
    </w:p>
  </w:footnote>
  <w:footnote w:id="111">
    <w:p w14:paraId="5D00D23C" w14:textId="0D57D78F" w:rsidR="006A6DED" w:rsidRPr="00280A0A"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80A0A">
        <w:rPr>
          <w:rFonts w:ascii="Times New Roman" w:hAnsi="Times New Roman" w:cs="Times New Roman"/>
        </w:rPr>
        <w:t xml:space="preserve">James M. </w:t>
      </w:r>
      <w:r w:rsidR="00280A0A" w:rsidRPr="00280A0A">
        <w:rPr>
          <w:rFonts w:ascii="Times New Roman" w:hAnsi="Times New Roman" w:cs="Times New Roman"/>
        </w:rPr>
        <w:t xml:space="preserve">McPherson, </w:t>
      </w:r>
      <w:r w:rsidR="00280A0A" w:rsidRPr="00280A0A">
        <w:rPr>
          <w:rFonts w:ascii="Times New Roman" w:hAnsi="Times New Roman" w:cs="Times New Roman"/>
          <w:i/>
          <w:iCs/>
        </w:rPr>
        <w:t>Battle Cry of Freedom: The Civil War Era</w:t>
      </w:r>
      <w:r w:rsidR="00280A0A" w:rsidRPr="00280A0A">
        <w:rPr>
          <w:rFonts w:ascii="Times New Roman" w:hAnsi="Times New Roman" w:cs="Times New Roman"/>
        </w:rPr>
        <w:t>. New York: Oxford University Press, 1988.</w:t>
      </w:r>
      <w:r w:rsidR="00280A0A">
        <w:rPr>
          <w:rFonts w:ascii="Times New Roman" w:hAnsi="Times New Roman" w:cs="Times New Roman"/>
        </w:rPr>
        <w:t xml:space="preserve"> 263-269; William J. Cooper, </w:t>
      </w:r>
      <w:r w:rsidR="00280A0A">
        <w:rPr>
          <w:rFonts w:ascii="Times New Roman" w:hAnsi="Times New Roman" w:cs="Times New Roman"/>
          <w:i/>
          <w:iCs/>
        </w:rPr>
        <w:t>We Have the War Upon Us: The Onset of the Civil War, November 1860-April 1861</w:t>
      </w:r>
      <w:r w:rsidR="00280A0A">
        <w:rPr>
          <w:rFonts w:ascii="Times New Roman" w:hAnsi="Times New Roman" w:cs="Times New Roman"/>
        </w:rPr>
        <w:t>. New York: Vintage, 2012.</w:t>
      </w:r>
    </w:p>
  </w:footnote>
  <w:footnote w:id="112">
    <w:p w14:paraId="038E26BC" w14:textId="5319A591" w:rsidR="006A6DED" w:rsidRPr="00624ACC" w:rsidRDefault="006A6DED" w:rsidP="00624ACC">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3669D">
        <w:rPr>
          <w:rFonts w:ascii="Times New Roman" w:hAnsi="Times New Roman" w:cs="Times New Roman"/>
        </w:rPr>
        <w:t xml:space="preserve">McPherson, </w:t>
      </w:r>
      <w:r w:rsidR="0023669D">
        <w:rPr>
          <w:rFonts w:ascii="Times New Roman" w:hAnsi="Times New Roman" w:cs="Times New Roman"/>
          <w:i/>
          <w:iCs/>
        </w:rPr>
        <w:t>Battle Cry</w:t>
      </w:r>
      <w:r w:rsidR="0023669D">
        <w:rPr>
          <w:rFonts w:ascii="Times New Roman" w:hAnsi="Times New Roman" w:cs="Times New Roman"/>
        </w:rPr>
        <w:t xml:space="preserve">; </w:t>
      </w:r>
      <w:r w:rsidR="00624ACC">
        <w:rPr>
          <w:rFonts w:ascii="Times New Roman" w:hAnsi="Times New Roman" w:cs="Times New Roman"/>
        </w:rPr>
        <w:t xml:space="preserve">Allen C. </w:t>
      </w:r>
      <w:r w:rsidR="00624ACC" w:rsidRPr="00624ACC">
        <w:rPr>
          <w:rFonts w:ascii="Times New Roman" w:hAnsi="Times New Roman" w:cs="Times New Roman"/>
        </w:rPr>
        <w:t xml:space="preserve">Guelzo, </w:t>
      </w:r>
      <w:r w:rsidR="00624ACC" w:rsidRPr="00624ACC">
        <w:rPr>
          <w:rFonts w:ascii="Times New Roman" w:hAnsi="Times New Roman" w:cs="Times New Roman"/>
          <w:i/>
          <w:iCs/>
        </w:rPr>
        <w:t>Fateful Lightning: A New History of the Civil War and Reconstruction</w:t>
      </w:r>
      <w:r w:rsidR="00624ACC" w:rsidRPr="00624ACC">
        <w:rPr>
          <w:rFonts w:ascii="Times New Roman" w:hAnsi="Times New Roman" w:cs="Times New Roman"/>
        </w:rPr>
        <w:t>. Oxford: Oxford University Press, 2012</w:t>
      </w:r>
      <w:r w:rsidR="0023669D" w:rsidRPr="00624ACC">
        <w:rPr>
          <w:rFonts w:ascii="Times New Roman" w:hAnsi="Times New Roman" w:cs="Times New Roman"/>
        </w:rPr>
        <w:t xml:space="preserve">; </w:t>
      </w:r>
      <w:r w:rsidR="00624ACC" w:rsidRPr="00624ACC">
        <w:rPr>
          <w:rFonts w:ascii="Times New Roman" w:hAnsi="Times New Roman" w:cs="Times New Roman"/>
        </w:rPr>
        <w:t xml:space="preserve">David M. Potter, </w:t>
      </w:r>
      <w:r w:rsidR="00624ACC" w:rsidRPr="00624ACC">
        <w:rPr>
          <w:rFonts w:ascii="Times New Roman" w:hAnsi="Times New Roman" w:cs="Times New Roman"/>
          <w:i/>
          <w:iCs/>
        </w:rPr>
        <w:t>The Impending Crisis, 1848-1861</w:t>
      </w:r>
      <w:r w:rsidR="00624ACC" w:rsidRPr="00624ACC">
        <w:rPr>
          <w:rFonts w:ascii="Times New Roman" w:hAnsi="Times New Roman" w:cs="Times New Roman"/>
        </w:rPr>
        <w:t>. New York: Harper &amp; Row, 1976.</w:t>
      </w:r>
    </w:p>
  </w:footnote>
  <w:footnote w:id="113">
    <w:p w14:paraId="7F70B317" w14:textId="0FED8C9D" w:rsidR="006A6DED" w:rsidRPr="007376B4"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91677">
        <w:rPr>
          <w:rFonts w:ascii="Times New Roman" w:hAnsi="Times New Roman" w:cs="Times New Roman"/>
        </w:rPr>
        <w:t xml:space="preserve">Maris A. Vinovskis, ed., </w:t>
      </w:r>
      <w:r w:rsidR="00891677">
        <w:rPr>
          <w:rFonts w:ascii="Times New Roman" w:hAnsi="Times New Roman" w:cs="Times New Roman"/>
          <w:i/>
          <w:iCs/>
        </w:rPr>
        <w:t>Toward A Social History of the American Civil War: Exploratory Essays</w:t>
      </w:r>
      <w:r w:rsidR="00891677">
        <w:rPr>
          <w:rFonts w:ascii="Times New Roman" w:hAnsi="Times New Roman" w:cs="Times New Roman"/>
        </w:rPr>
        <w:t xml:space="preserve">. </w:t>
      </w:r>
      <w:r w:rsidR="007376B4">
        <w:rPr>
          <w:rFonts w:ascii="Times New Roman" w:hAnsi="Times New Roman" w:cs="Times New Roman"/>
        </w:rPr>
        <w:t xml:space="preserve">New York: Cambridge University Press, 1990. 4; James Downs, “Colorblindness in the demographic death toll of the Civil War.” </w:t>
      </w:r>
      <w:r w:rsidR="007376B4">
        <w:rPr>
          <w:rFonts w:ascii="Times New Roman" w:hAnsi="Times New Roman" w:cs="Times New Roman"/>
          <w:i/>
          <w:iCs/>
        </w:rPr>
        <w:t>Oxford University Press Blog</w:t>
      </w:r>
      <w:r w:rsidR="007376B4">
        <w:rPr>
          <w:rFonts w:ascii="Times New Roman" w:hAnsi="Times New Roman" w:cs="Times New Roman"/>
        </w:rPr>
        <w:t xml:space="preserve">, April 13, 2012; David J. Hacker, “Recounting the Dead.” </w:t>
      </w:r>
      <w:r w:rsidR="007376B4">
        <w:rPr>
          <w:rFonts w:ascii="Times New Roman" w:hAnsi="Times New Roman" w:cs="Times New Roman"/>
          <w:i/>
          <w:iCs/>
        </w:rPr>
        <w:t>New York Times</w:t>
      </w:r>
      <w:r w:rsidR="007376B4">
        <w:rPr>
          <w:rFonts w:ascii="Times New Roman" w:hAnsi="Times New Roman" w:cs="Times New Roman"/>
        </w:rPr>
        <w:t>, September 20, 2011</w:t>
      </w:r>
    </w:p>
  </w:footnote>
  <w:footnote w:id="114">
    <w:p w14:paraId="21936D6C" w14:textId="4AF2B2D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677E6" w:rsidRPr="003677E6">
        <w:rPr>
          <w:rFonts w:ascii="Times New Roman" w:hAnsi="Times New Roman" w:cs="Times New Roman"/>
        </w:rPr>
        <w:t xml:space="preserve">Gen. Babcock Drowned". </w:t>
      </w:r>
      <w:r w:rsidR="003677E6" w:rsidRPr="003677E6">
        <w:rPr>
          <w:rFonts w:ascii="Times New Roman" w:hAnsi="Times New Roman" w:cs="Times New Roman"/>
          <w:i/>
          <w:iCs/>
        </w:rPr>
        <w:t>New York Times</w:t>
      </w:r>
      <w:r w:rsidR="003677E6" w:rsidRPr="003677E6">
        <w:rPr>
          <w:rFonts w:ascii="Times New Roman" w:hAnsi="Times New Roman" w:cs="Times New Roman"/>
        </w:rPr>
        <w:t>. June 4, 1884.</w:t>
      </w:r>
    </w:p>
  </w:footnote>
  <w:footnote w:id="115">
    <w:p w14:paraId="2FD989A6" w14:textId="3ECF1D88" w:rsidR="006A6DED" w:rsidRPr="007376B4" w:rsidRDefault="006A6DED" w:rsidP="007376B4">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677E6" w:rsidRPr="003677E6">
        <w:rPr>
          <w:rFonts w:ascii="Times New Roman" w:hAnsi="Times New Roman" w:cs="Times New Roman"/>
        </w:rPr>
        <w:t xml:space="preserve">Gen. Babcock Drowned". </w:t>
      </w:r>
      <w:r w:rsidR="003677E6" w:rsidRPr="003677E6">
        <w:rPr>
          <w:rFonts w:ascii="Times New Roman" w:hAnsi="Times New Roman" w:cs="Times New Roman"/>
          <w:i/>
          <w:iCs/>
        </w:rPr>
        <w:t>New York Times</w:t>
      </w:r>
      <w:r w:rsidR="003677E6" w:rsidRPr="003677E6">
        <w:rPr>
          <w:rFonts w:ascii="Times New Roman" w:hAnsi="Times New Roman" w:cs="Times New Roman"/>
        </w:rPr>
        <w:t>. June 4, 1884.</w:t>
      </w:r>
      <w:r w:rsidRPr="002318C9">
        <w:rPr>
          <w:rFonts w:ascii="Times New Roman" w:hAnsi="Times New Roman" w:cs="Times New Roman"/>
        </w:rPr>
        <w:t xml:space="preserve">; </w:t>
      </w:r>
      <w:r w:rsidR="007376B4">
        <w:rPr>
          <w:rFonts w:ascii="Times New Roman" w:hAnsi="Times New Roman" w:cs="Times New Roman"/>
        </w:rPr>
        <w:t xml:space="preserve">Charles Ramsdell </w:t>
      </w:r>
      <w:r w:rsidR="007376B4" w:rsidRPr="007376B4">
        <w:rPr>
          <w:rFonts w:ascii="Times New Roman" w:hAnsi="Times New Roman" w:cs="Times New Roman"/>
        </w:rPr>
        <w:t>Lingley,</w:t>
      </w:r>
      <w:r w:rsidR="007376B4" w:rsidRPr="007376B4">
        <w:rPr>
          <w:rFonts w:ascii="Times New Roman" w:hAnsi="Times New Roman" w:cs="Times New Roman"/>
          <w:i/>
          <w:iCs/>
        </w:rPr>
        <w:t xml:space="preserve"> </w:t>
      </w:r>
      <w:r w:rsidR="007376B4" w:rsidRPr="007376B4">
        <w:rPr>
          <w:rFonts w:ascii="Times New Roman" w:hAnsi="Times New Roman" w:cs="Times New Roman"/>
        </w:rPr>
        <w:t xml:space="preserve">“Orville E. Babcock” in Johnson, Allen (ed.), </w:t>
      </w:r>
      <w:r w:rsidR="007376B4" w:rsidRPr="007376B4">
        <w:rPr>
          <w:rFonts w:ascii="Times New Roman" w:hAnsi="Times New Roman" w:cs="Times New Roman"/>
          <w:i/>
          <w:iCs/>
        </w:rPr>
        <w:t xml:space="preserve">Dictionary of American Biography Vol. 1. </w:t>
      </w:r>
      <w:r w:rsidR="007376B4" w:rsidRPr="007376B4">
        <w:rPr>
          <w:rFonts w:ascii="Times New Roman" w:hAnsi="Times New Roman" w:cs="Times New Roman"/>
        </w:rPr>
        <w:t>New York: Charles Scribner's Sons. p. 460.</w:t>
      </w:r>
    </w:p>
  </w:footnote>
  <w:footnote w:id="116">
    <w:p w14:paraId="47826EBC" w14:textId="1CFB4621" w:rsidR="006A6DED" w:rsidRPr="007376B4" w:rsidRDefault="006A6DED" w:rsidP="006A6DE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376B4">
        <w:rPr>
          <w:rFonts w:ascii="Times New Roman" w:hAnsi="Times New Roman" w:cs="Times New Roman"/>
        </w:rPr>
        <w:t xml:space="preserve">Lingley, “Orville E. Babcock,” </w:t>
      </w:r>
      <w:r w:rsidR="007376B4">
        <w:rPr>
          <w:rFonts w:ascii="Times New Roman" w:hAnsi="Times New Roman" w:cs="Times New Roman"/>
          <w:i/>
          <w:iCs/>
        </w:rPr>
        <w:t>Dictionary of American Biography</w:t>
      </w:r>
    </w:p>
  </w:footnote>
  <w:footnote w:id="117">
    <w:p w14:paraId="71DEFC6F"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8">
    <w:p w14:paraId="12871BDF" w14:textId="5E84B279"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376B4" w:rsidRPr="007376B4">
        <w:rPr>
          <w:rFonts w:ascii="Times New Roman" w:hAnsi="Times New Roman" w:cs="Times New Roman"/>
        </w:rPr>
        <w:t xml:space="preserve">Gen. Babcock Drowned". </w:t>
      </w:r>
      <w:r w:rsidR="007376B4" w:rsidRPr="007376B4">
        <w:rPr>
          <w:rFonts w:ascii="Times New Roman" w:hAnsi="Times New Roman" w:cs="Times New Roman"/>
          <w:i/>
          <w:iCs/>
        </w:rPr>
        <w:t>New York Times</w:t>
      </w:r>
      <w:r w:rsidR="007376B4" w:rsidRPr="007376B4">
        <w:rPr>
          <w:rFonts w:ascii="Times New Roman" w:hAnsi="Times New Roman" w:cs="Times New Roman"/>
        </w:rPr>
        <w:t>. June 4, 1884.</w:t>
      </w:r>
    </w:p>
  </w:footnote>
  <w:footnote w:id="119">
    <w:p w14:paraId="64450311" w14:textId="4B9CF92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376B4">
        <w:rPr>
          <w:rFonts w:ascii="Times New Roman" w:hAnsi="Times New Roman" w:cs="Times New Roman"/>
        </w:rPr>
        <w:t>Ibid</w:t>
      </w:r>
    </w:p>
  </w:footnote>
  <w:footnote w:id="120">
    <w:p w14:paraId="469380D6" w14:textId="7C8CE1E4"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376B4">
        <w:rPr>
          <w:rFonts w:ascii="Times New Roman" w:hAnsi="Times New Roman" w:cs="Times New Roman"/>
        </w:rPr>
        <w:t>Ibid</w:t>
      </w:r>
    </w:p>
  </w:footnote>
  <w:footnote w:id="121">
    <w:p w14:paraId="23C26D88"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2">
    <w:p w14:paraId="74F0C16F" w14:textId="3A291D5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C0872">
        <w:rPr>
          <w:rFonts w:ascii="Times New Roman" w:hAnsi="Times New Roman" w:cs="Times New Roman"/>
        </w:rPr>
        <w:t>Ibid</w:t>
      </w:r>
    </w:p>
  </w:footnote>
  <w:footnote w:id="123">
    <w:p w14:paraId="5339C705" w14:textId="49EE415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C0872">
        <w:rPr>
          <w:rFonts w:ascii="Times New Roman" w:hAnsi="Times New Roman" w:cs="Times New Roman"/>
        </w:rPr>
        <w:t xml:space="preserve">Lingley, “Orville E. Babcock,” </w:t>
      </w:r>
      <w:r w:rsidR="001C0872">
        <w:rPr>
          <w:rFonts w:ascii="Times New Roman" w:hAnsi="Times New Roman" w:cs="Times New Roman"/>
          <w:i/>
          <w:iCs/>
        </w:rPr>
        <w:t>Dictionary of American Biography</w:t>
      </w:r>
    </w:p>
  </w:footnote>
  <w:footnote w:id="124">
    <w:p w14:paraId="6A94E2DB" w14:textId="695DBE09"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C0872" w:rsidRPr="003677E6">
        <w:rPr>
          <w:rFonts w:ascii="Times New Roman" w:hAnsi="Times New Roman" w:cs="Times New Roman"/>
        </w:rPr>
        <w:t xml:space="preserve">Gen. Babcock Drowned". </w:t>
      </w:r>
      <w:r w:rsidR="001C0872" w:rsidRPr="003677E6">
        <w:rPr>
          <w:rFonts w:ascii="Times New Roman" w:hAnsi="Times New Roman" w:cs="Times New Roman"/>
          <w:i/>
          <w:iCs/>
        </w:rPr>
        <w:t>New York Times</w:t>
      </w:r>
      <w:r w:rsidR="001C0872" w:rsidRPr="003677E6">
        <w:rPr>
          <w:rFonts w:ascii="Times New Roman" w:hAnsi="Times New Roman" w:cs="Times New Roman"/>
        </w:rPr>
        <w:t>. June 4, 1884.</w:t>
      </w:r>
    </w:p>
  </w:footnote>
  <w:footnote w:id="125">
    <w:p w14:paraId="6CCFD5CE"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6">
    <w:p w14:paraId="7C4A2F67" w14:textId="3D0BAF5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C0872" w:rsidRPr="003677E6">
        <w:rPr>
          <w:rFonts w:ascii="Times New Roman" w:hAnsi="Times New Roman" w:cs="Times New Roman"/>
        </w:rPr>
        <w:t xml:space="preserve">Gen. Babcock Drowned". </w:t>
      </w:r>
      <w:r w:rsidR="001C0872" w:rsidRPr="003677E6">
        <w:rPr>
          <w:rFonts w:ascii="Times New Roman" w:hAnsi="Times New Roman" w:cs="Times New Roman"/>
          <w:i/>
          <w:iCs/>
        </w:rPr>
        <w:t>New York Times</w:t>
      </w:r>
      <w:r w:rsidR="001C0872" w:rsidRPr="003677E6">
        <w:rPr>
          <w:rFonts w:ascii="Times New Roman" w:hAnsi="Times New Roman" w:cs="Times New Roman"/>
        </w:rPr>
        <w:t>. June 4, 1884.</w:t>
      </w:r>
    </w:p>
  </w:footnote>
  <w:footnote w:id="127">
    <w:p w14:paraId="45096E17"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8">
    <w:p w14:paraId="15D142F2" w14:textId="73D7C8A6"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C0872" w:rsidRPr="002318C9">
        <w:rPr>
          <w:rFonts w:ascii="Times New Roman" w:hAnsi="Times New Roman" w:cs="Times New Roman"/>
        </w:rPr>
        <w:t>I</w:t>
      </w:r>
      <w:r w:rsidRPr="002318C9">
        <w:rPr>
          <w:rFonts w:ascii="Times New Roman" w:hAnsi="Times New Roman" w:cs="Times New Roman"/>
        </w:rPr>
        <w:t>bid</w:t>
      </w:r>
    </w:p>
  </w:footnote>
  <w:footnote w:id="129">
    <w:p w14:paraId="1802088C" w14:textId="4D6102ED" w:rsidR="006A6DED" w:rsidRPr="009B3048" w:rsidRDefault="006A6DED" w:rsidP="009B3048">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B3048">
        <w:rPr>
          <w:rFonts w:ascii="Times New Roman" w:hAnsi="Times New Roman" w:cs="Times New Roman"/>
        </w:rPr>
        <w:t xml:space="preserve">Terry </w:t>
      </w:r>
      <w:r w:rsidR="009B3048" w:rsidRPr="009B3048">
        <w:rPr>
          <w:rFonts w:ascii="Times New Roman" w:hAnsi="Times New Roman" w:cs="Times New Roman"/>
        </w:rPr>
        <w:t xml:space="preserve">Faulkner and Charles H. Faulkner. </w:t>
      </w:r>
      <w:r w:rsidR="009B3048" w:rsidRPr="009B3048">
        <w:rPr>
          <w:rFonts w:ascii="Times New Roman" w:hAnsi="Times New Roman" w:cs="Times New Roman"/>
          <w:i/>
          <w:iCs/>
        </w:rPr>
        <w:t>Rediscovering Fort Sanders: The American Civil War and its Impact on Knoxville’s Cultural Landscape</w:t>
      </w:r>
      <w:r w:rsidR="009B3048" w:rsidRPr="009B3048">
        <w:rPr>
          <w:rFonts w:ascii="Times New Roman" w:hAnsi="Times New Roman" w:cs="Times New Roman"/>
        </w:rPr>
        <w:t>. Knoxville, TN: University of Tennessee Press, 2020.</w:t>
      </w:r>
    </w:p>
  </w:footnote>
  <w:footnote w:id="130">
    <w:p w14:paraId="210E930A" w14:textId="771B411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B3048">
        <w:rPr>
          <w:rFonts w:ascii="Times New Roman" w:hAnsi="Times New Roman" w:cs="Times New Roman"/>
        </w:rPr>
        <w:t xml:space="preserve">David J. Eicher, </w:t>
      </w:r>
      <w:r w:rsidR="009B3048">
        <w:rPr>
          <w:rFonts w:ascii="Times New Roman" w:hAnsi="Times New Roman" w:cs="Times New Roman"/>
          <w:i/>
          <w:iCs/>
        </w:rPr>
        <w:t xml:space="preserve">The Longest Night: A Military History of the Civil </w:t>
      </w:r>
      <w:r w:rsidR="009B3048" w:rsidRPr="00076492">
        <w:rPr>
          <w:rFonts w:ascii="Times New Roman" w:hAnsi="Times New Roman" w:cs="Times New Roman"/>
          <w:i/>
          <w:iCs/>
        </w:rPr>
        <w:t>War</w:t>
      </w:r>
      <w:r w:rsidR="009B3048">
        <w:rPr>
          <w:rFonts w:ascii="Times New Roman" w:hAnsi="Times New Roman" w:cs="Times New Roman"/>
        </w:rPr>
        <w:t>. New York: Simon &amp; Schuster, 2001.</w:t>
      </w:r>
      <w:r w:rsidRPr="002318C9">
        <w:rPr>
          <w:rFonts w:ascii="Times New Roman" w:hAnsi="Times New Roman" w:cs="Times New Roman"/>
        </w:rPr>
        <w:t xml:space="preserve"> 615-6</w:t>
      </w:r>
      <w:r w:rsidR="009B3048">
        <w:rPr>
          <w:rFonts w:ascii="Times New Roman" w:hAnsi="Times New Roman" w:cs="Times New Roman"/>
        </w:rPr>
        <w:t>.</w:t>
      </w:r>
    </w:p>
  </w:footnote>
  <w:footnote w:id="131">
    <w:p w14:paraId="472BB89B" w14:textId="1E35917E" w:rsidR="006A6DED" w:rsidRPr="00102CF2" w:rsidRDefault="006A6DED" w:rsidP="006A6DE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Faulkner</w:t>
      </w:r>
      <w:r w:rsidR="009B3048">
        <w:rPr>
          <w:rFonts w:ascii="Times New Roman" w:hAnsi="Times New Roman" w:cs="Times New Roman"/>
        </w:rPr>
        <w:t xml:space="preserve"> and Faulkner</w:t>
      </w:r>
      <w:r w:rsidR="00102CF2">
        <w:rPr>
          <w:rFonts w:ascii="Times New Roman" w:hAnsi="Times New Roman" w:cs="Times New Roman"/>
        </w:rPr>
        <w:t xml:space="preserve">, </w:t>
      </w:r>
      <w:r w:rsidR="00102CF2">
        <w:rPr>
          <w:rFonts w:ascii="Times New Roman" w:hAnsi="Times New Roman" w:cs="Times New Roman"/>
          <w:i/>
          <w:iCs/>
        </w:rPr>
        <w:t>Rediscovering Fort Sanders</w:t>
      </w:r>
    </w:p>
  </w:footnote>
  <w:footnote w:id="132">
    <w:p w14:paraId="7355E135"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3">
    <w:p w14:paraId="40AD925C"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4">
    <w:p w14:paraId="5DD4A0AC" w14:textId="3199696B"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87B91">
        <w:rPr>
          <w:rFonts w:ascii="Times New Roman" w:hAnsi="Times New Roman" w:cs="Times New Roman"/>
        </w:rPr>
        <w:t>Ibid</w:t>
      </w:r>
    </w:p>
  </w:footnote>
  <w:footnote w:id="135">
    <w:p w14:paraId="4124CABD"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6">
    <w:p w14:paraId="3B828FD9"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7">
    <w:p w14:paraId="1AD553D9"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8">
    <w:p w14:paraId="04FE6169"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9">
    <w:p w14:paraId="2DEBA7C0"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0">
    <w:p w14:paraId="2CC86D85" w14:textId="47FDCC77" w:rsidR="00C70667" w:rsidRPr="00C70667" w:rsidRDefault="00C70667">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Ibid</w:t>
      </w:r>
    </w:p>
  </w:footnote>
  <w:footnote w:id="141">
    <w:p w14:paraId="448F49D7"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2">
    <w:p w14:paraId="481095D2"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3">
    <w:p w14:paraId="3F507587"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4">
    <w:p w14:paraId="0CB98686"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5">
    <w:p w14:paraId="446A8B49" w14:textId="61A0DD73"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r w:rsidR="00987B91">
        <w:rPr>
          <w:rFonts w:ascii="Times New Roman" w:hAnsi="Times New Roman" w:cs="Times New Roman"/>
        </w:rPr>
        <w:t xml:space="preserve">; </w:t>
      </w:r>
      <w:r w:rsidR="00987B91" w:rsidRPr="00987B91">
        <w:rPr>
          <w:rFonts w:ascii="Times New Roman" w:hAnsi="Times New Roman" w:cs="Times New Roman"/>
        </w:rPr>
        <w:t xml:space="preserve">"Gen. Babcock Drowned". </w:t>
      </w:r>
      <w:r w:rsidR="00987B91" w:rsidRPr="00987B91">
        <w:rPr>
          <w:rFonts w:ascii="Times New Roman" w:hAnsi="Times New Roman" w:cs="Times New Roman"/>
          <w:i/>
          <w:iCs/>
        </w:rPr>
        <w:t>New York Times</w:t>
      </w:r>
      <w:r w:rsidR="00987B91" w:rsidRPr="00987B91">
        <w:rPr>
          <w:rFonts w:ascii="Times New Roman" w:hAnsi="Times New Roman" w:cs="Times New Roman"/>
        </w:rPr>
        <w:t>. June 4, 1884.</w:t>
      </w:r>
    </w:p>
  </w:footnote>
  <w:footnote w:id="146">
    <w:p w14:paraId="2C2A7773" w14:textId="77777777" w:rsidR="009931C4" w:rsidRPr="002318C9" w:rsidRDefault="009931C4" w:rsidP="009931C4">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14" w:name="_Hlk197253306"/>
      <w:r w:rsidRPr="009072C7">
        <w:rPr>
          <w:rFonts w:ascii="Times New Roman" w:hAnsi="Times New Roman" w:cs="Times New Roman"/>
        </w:rPr>
        <w:t xml:space="preserve">"Gen. Babcock Drowned". </w:t>
      </w:r>
      <w:r w:rsidRPr="009072C7">
        <w:rPr>
          <w:rFonts w:ascii="Times New Roman" w:hAnsi="Times New Roman" w:cs="Times New Roman"/>
          <w:i/>
          <w:iCs/>
        </w:rPr>
        <w:t>New York Times</w:t>
      </w:r>
      <w:r w:rsidRPr="009072C7">
        <w:rPr>
          <w:rFonts w:ascii="Times New Roman" w:hAnsi="Times New Roman" w:cs="Times New Roman"/>
        </w:rPr>
        <w:t>. June 4, 1884.</w:t>
      </w:r>
      <w:bookmarkEnd w:id="14"/>
    </w:p>
  </w:footnote>
  <w:footnote w:id="147">
    <w:p w14:paraId="466E49BC" w14:textId="1D518826"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02CF2">
        <w:rPr>
          <w:rFonts w:ascii="Times New Roman" w:hAnsi="Times New Roman" w:cs="Times New Roman"/>
        </w:rPr>
        <w:t xml:space="preserve">George N. Barnard, photographer. </w:t>
      </w:r>
      <w:r w:rsidR="00102CF2">
        <w:rPr>
          <w:rFonts w:ascii="Times New Roman" w:hAnsi="Times New Roman" w:cs="Times New Roman"/>
          <w:i/>
          <w:iCs/>
        </w:rPr>
        <w:t xml:space="preserve">Colonels Orlando M. Poe and Orville E. Babcock at Fort Sanders, Knoxville, Tenn. </w:t>
      </w:r>
      <w:r w:rsidR="00102CF2">
        <w:rPr>
          <w:rFonts w:ascii="Times New Roman" w:hAnsi="Times New Roman" w:cs="Times New Roman"/>
        </w:rPr>
        <w:t>[Photographed between 1861-1865, printed later].</w:t>
      </w:r>
      <w:r w:rsidRPr="002318C9">
        <w:rPr>
          <w:rFonts w:ascii="Times New Roman" w:hAnsi="Times New Roman" w:cs="Times New Roman"/>
        </w:rPr>
        <w:t xml:space="preserve"> Courtesy of the Library of Congress</w:t>
      </w:r>
    </w:p>
  </w:footnote>
  <w:footnote w:id="148">
    <w:p w14:paraId="3D992390" w14:textId="779E23BB" w:rsidR="006A6DED" w:rsidRPr="009072C7" w:rsidRDefault="006A6DED" w:rsidP="009072C7">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072C7">
        <w:rPr>
          <w:rFonts w:ascii="Times New Roman" w:hAnsi="Times New Roman" w:cs="Times New Roman"/>
        </w:rPr>
        <w:t xml:space="preserve">Ronald C. </w:t>
      </w:r>
      <w:r w:rsidR="009072C7" w:rsidRPr="009072C7">
        <w:rPr>
          <w:rFonts w:ascii="Times New Roman" w:hAnsi="Times New Roman" w:cs="Times New Roman"/>
        </w:rPr>
        <w:t xml:space="preserve">White, </w:t>
      </w:r>
      <w:r w:rsidR="009072C7" w:rsidRPr="009072C7">
        <w:rPr>
          <w:rFonts w:ascii="Times New Roman" w:hAnsi="Times New Roman" w:cs="Times New Roman"/>
          <w:i/>
          <w:iCs/>
        </w:rPr>
        <w:t>American Ulysses: A Life of Ulysses S. Grant</w:t>
      </w:r>
      <w:r w:rsidR="009072C7" w:rsidRPr="009072C7">
        <w:rPr>
          <w:rFonts w:ascii="Times New Roman" w:hAnsi="Times New Roman" w:cs="Times New Roman"/>
        </w:rPr>
        <w:t>. New York, NY: Random House, 2016.</w:t>
      </w:r>
      <w:r w:rsidRPr="009072C7">
        <w:rPr>
          <w:rFonts w:ascii="Times New Roman" w:hAnsi="Times New Roman" w:cs="Times New Roman"/>
        </w:rPr>
        <w:t xml:space="preserve"> xvii</w:t>
      </w:r>
    </w:p>
  </w:footnote>
  <w:footnote w:id="149">
    <w:p w14:paraId="36F61B69" w14:textId="0FC5B53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072C7">
        <w:rPr>
          <w:rFonts w:ascii="Times New Roman" w:hAnsi="Times New Roman" w:cs="Times New Roman"/>
        </w:rPr>
        <w:t>Ibid</w:t>
      </w:r>
    </w:p>
  </w:footnote>
  <w:footnote w:id="150">
    <w:p w14:paraId="1A866BA8" w14:textId="4B63DF7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072C7" w:rsidRPr="009072C7">
        <w:rPr>
          <w:rFonts w:ascii="Times New Roman" w:hAnsi="Times New Roman" w:cs="Times New Roman"/>
        </w:rPr>
        <w:t xml:space="preserve">"Gen. Babcock Drowned". </w:t>
      </w:r>
      <w:r w:rsidR="009072C7" w:rsidRPr="009072C7">
        <w:rPr>
          <w:rFonts w:ascii="Times New Roman" w:hAnsi="Times New Roman" w:cs="Times New Roman"/>
          <w:i/>
          <w:iCs/>
        </w:rPr>
        <w:t>New York Times</w:t>
      </w:r>
      <w:r w:rsidR="009072C7" w:rsidRPr="009072C7">
        <w:rPr>
          <w:rFonts w:ascii="Times New Roman" w:hAnsi="Times New Roman" w:cs="Times New Roman"/>
        </w:rPr>
        <w:t>. June 4, 1884.</w:t>
      </w:r>
    </w:p>
  </w:footnote>
  <w:footnote w:id="151">
    <w:p w14:paraId="31DCBDB6"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52">
    <w:p w14:paraId="7C66B300" w14:textId="097B3945"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072C7">
        <w:rPr>
          <w:rFonts w:ascii="Times New Roman" w:hAnsi="Times New Roman" w:cs="Times New Roman"/>
        </w:rPr>
        <w:t xml:space="preserve">John H. Eicher and David J. Eicher, </w:t>
      </w:r>
      <w:r w:rsidR="009072C7">
        <w:rPr>
          <w:rFonts w:ascii="Times New Roman" w:hAnsi="Times New Roman" w:cs="Times New Roman"/>
          <w:i/>
          <w:iCs/>
        </w:rPr>
        <w:t xml:space="preserve">Civil War High </w:t>
      </w:r>
      <w:r w:rsidR="009072C7" w:rsidRPr="009072C7">
        <w:rPr>
          <w:rFonts w:ascii="Times New Roman" w:hAnsi="Times New Roman" w:cs="Times New Roman"/>
          <w:i/>
          <w:iCs/>
        </w:rPr>
        <w:t>Commands</w:t>
      </w:r>
      <w:r w:rsidR="009072C7">
        <w:rPr>
          <w:rFonts w:ascii="Times New Roman" w:hAnsi="Times New Roman" w:cs="Times New Roman"/>
          <w:i/>
          <w:iCs/>
        </w:rPr>
        <w:t xml:space="preserve">. </w:t>
      </w:r>
      <w:r w:rsidR="009072C7">
        <w:rPr>
          <w:rFonts w:ascii="Times New Roman" w:hAnsi="Times New Roman" w:cs="Times New Roman"/>
        </w:rPr>
        <w:t xml:space="preserve">Stanford: Stanford University Press, 2001. </w:t>
      </w:r>
      <w:r w:rsidRPr="002318C9">
        <w:rPr>
          <w:rFonts w:ascii="Times New Roman" w:hAnsi="Times New Roman" w:cs="Times New Roman"/>
        </w:rPr>
        <w:t>111</w:t>
      </w:r>
      <w:r w:rsidR="009072C7">
        <w:rPr>
          <w:rFonts w:ascii="Times New Roman" w:hAnsi="Times New Roman" w:cs="Times New Roman"/>
        </w:rPr>
        <w:t>.</w:t>
      </w:r>
    </w:p>
  </w:footnote>
  <w:footnote w:id="153">
    <w:p w14:paraId="0AEDF692" w14:textId="437D745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072C7" w:rsidRPr="009072C7">
        <w:rPr>
          <w:rFonts w:ascii="Times New Roman" w:hAnsi="Times New Roman" w:cs="Times New Roman"/>
        </w:rPr>
        <w:t xml:space="preserve">"Gen. Babcock Drowned". </w:t>
      </w:r>
      <w:r w:rsidR="009072C7" w:rsidRPr="009072C7">
        <w:rPr>
          <w:rFonts w:ascii="Times New Roman" w:hAnsi="Times New Roman" w:cs="Times New Roman"/>
          <w:i/>
          <w:iCs/>
        </w:rPr>
        <w:t>New York Times</w:t>
      </w:r>
      <w:r w:rsidR="009072C7" w:rsidRPr="009072C7">
        <w:rPr>
          <w:rFonts w:ascii="Times New Roman" w:hAnsi="Times New Roman" w:cs="Times New Roman"/>
        </w:rPr>
        <w:t>. June 4, 1884.</w:t>
      </w:r>
    </w:p>
  </w:footnote>
  <w:footnote w:id="154">
    <w:p w14:paraId="66190459" w14:textId="1A8B7E3F" w:rsidR="006A6DED" w:rsidRPr="009072C7"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072C7">
        <w:rPr>
          <w:rFonts w:ascii="Times New Roman" w:hAnsi="Times New Roman" w:cs="Times New Roman"/>
        </w:rPr>
        <w:t xml:space="preserve">Ibid; </w:t>
      </w:r>
      <w:r w:rsidRPr="002318C9">
        <w:rPr>
          <w:rFonts w:ascii="Times New Roman" w:hAnsi="Times New Roman" w:cs="Times New Roman"/>
        </w:rPr>
        <w:t>M</w:t>
      </w:r>
      <w:r w:rsidR="009072C7">
        <w:rPr>
          <w:rFonts w:ascii="Times New Roman" w:hAnsi="Times New Roman" w:cs="Times New Roman"/>
        </w:rPr>
        <w:t xml:space="preserve">argaret Humphreys, </w:t>
      </w:r>
      <w:r w:rsidR="009072C7">
        <w:rPr>
          <w:rFonts w:ascii="Times New Roman" w:hAnsi="Times New Roman" w:cs="Times New Roman"/>
          <w:i/>
          <w:iCs/>
        </w:rPr>
        <w:t>Marrow of Tragedy: The Health Crisis of the American Civil War</w:t>
      </w:r>
      <w:r w:rsidR="009072C7">
        <w:rPr>
          <w:rFonts w:ascii="Times New Roman" w:hAnsi="Times New Roman" w:cs="Times New Roman"/>
        </w:rPr>
        <w:t xml:space="preserve">. </w:t>
      </w:r>
      <w:r w:rsidR="00076492">
        <w:rPr>
          <w:rFonts w:ascii="Times New Roman" w:hAnsi="Times New Roman" w:cs="Times New Roman"/>
        </w:rPr>
        <w:t>Baltimore</w:t>
      </w:r>
      <w:r w:rsidR="009072C7">
        <w:rPr>
          <w:rFonts w:ascii="Times New Roman" w:hAnsi="Times New Roman" w:cs="Times New Roman"/>
        </w:rPr>
        <w:t>: Johns Hopkins University Press, 2017.</w:t>
      </w:r>
    </w:p>
  </w:footnote>
  <w:footnote w:id="155">
    <w:p w14:paraId="68C8A4D8" w14:textId="7476FEBD" w:rsidR="006A6DED" w:rsidRPr="0098645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86459">
        <w:rPr>
          <w:rFonts w:ascii="Times New Roman" w:hAnsi="Times New Roman" w:cs="Times New Roman"/>
        </w:rPr>
        <w:t xml:space="preserve">William </w:t>
      </w:r>
      <w:r w:rsidR="00B26D3F">
        <w:rPr>
          <w:rFonts w:ascii="Times New Roman" w:hAnsi="Times New Roman" w:cs="Times New Roman"/>
        </w:rPr>
        <w:t>Marvel</w:t>
      </w:r>
      <w:r w:rsidR="00986459">
        <w:rPr>
          <w:rFonts w:ascii="Times New Roman" w:hAnsi="Times New Roman" w:cs="Times New Roman"/>
        </w:rPr>
        <w:t xml:space="preserve">, </w:t>
      </w:r>
      <w:r w:rsidR="00986459">
        <w:rPr>
          <w:rFonts w:ascii="Times New Roman" w:hAnsi="Times New Roman" w:cs="Times New Roman"/>
          <w:i/>
          <w:iCs/>
        </w:rPr>
        <w:t>A Place Called Appomattox</w:t>
      </w:r>
      <w:r w:rsidR="00986459">
        <w:rPr>
          <w:rFonts w:ascii="Times New Roman" w:hAnsi="Times New Roman" w:cs="Times New Roman"/>
        </w:rPr>
        <w:t>. Chapel Hill: University of North Carolina Press, 2000</w:t>
      </w:r>
      <w:r w:rsidR="00B26D3F">
        <w:rPr>
          <w:rFonts w:ascii="Times New Roman" w:hAnsi="Times New Roman" w:cs="Times New Roman"/>
        </w:rPr>
        <w:t xml:space="preserve">; </w:t>
      </w:r>
      <w:r w:rsidR="00986459">
        <w:rPr>
          <w:rFonts w:ascii="Times New Roman" w:hAnsi="Times New Roman" w:cs="Times New Roman"/>
        </w:rPr>
        <w:t xml:space="preserve">Chris </w:t>
      </w:r>
      <w:r w:rsidR="00B26D3F">
        <w:rPr>
          <w:rFonts w:ascii="Times New Roman" w:hAnsi="Times New Roman" w:cs="Times New Roman"/>
        </w:rPr>
        <w:t>Calkins</w:t>
      </w:r>
      <w:r w:rsidR="00986459">
        <w:rPr>
          <w:rFonts w:ascii="Times New Roman" w:hAnsi="Times New Roman" w:cs="Times New Roman"/>
        </w:rPr>
        <w:t xml:space="preserve">, </w:t>
      </w:r>
      <w:r w:rsidR="00986459">
        <w:rPr>
          <w:rFonts w:ascii="Times New Roman" w:hAnsi="Times New Roman" w:cs="Times New Roman"/>
          <w:i/>
          <w:iCs/>
        </w:rPr>
        <w:t>The Appomattox Campaign, March 29-April 9, 1865</w:t>
      </w:r>
      <w:r w:rsidR="00986459">
        <w:rPr>
          <w:rFonts w:ascii="Times New Roman" w:hAnsi="Times New Roman" w:cs="Times New Roman"/>
        </w:rPr>
        <w:t xml:space="preserve">. Conshohocken, PA: Combined Books, 1997; McPherson, </w:t>
      </w:r>
      <w:r w:rsidR="00986459">
        <w:rPr>
          <w:rFonts w:ascii="Times New Roman" w:hAnsi="Times New Roman" w:cs="Times New Roman"/>
          <w:i/>
          <w:iCs/>
        </w:rPr>
        <w:t>Battle Cry</w:t>
      </w:r>
      <w:r w:rsidR="00986459">
        <w:rPr>
          <w:rFonts w:ascii="Times New Roman" w:hAnsi="Times New Roman" w:cs="Times New Roman"/>
        </w:rPr>
        <w:t>, 848-851.</w:t>
      </w:r>
    </w:p>
  </w:footnote>
  <w:footnote w:id="156">
    <w:p w14:paraId="7468DC7D" w14:textId="685A681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00B26D3F">
        <w:rPr>
          <w:rFonts w:ascii="Times New Roman" w:hAnsi="Times New Roman" w:cs="Times New Roman"/>
        </w:rPr>
        <w:t xml:space="preserve"> </w:t>
      </w:r>
      <w:r w:rsidR="00B26D3F" w:rsidRPr="009072C7">
        <w:rPr>
          <w:rFonts w:ascii="Times New Roman" w:hAnsi="Times New Roman" w:cs="Times New Roman"/>
        </w:rPr>
        <w:t xml:space="preserve">"Gen. Babcock Drowned". </w:t>
      </w:r>
      <w:r w:rsidR="00B26D3F" w:rsidRPr="009072C7">
        <w:rPr>
          <w:rFonts w:ascii="Times New Roman" w:hAnsi="Times New Roman" w:cs="Times New Roman"/>
          <w:i/>
          <w:iCs/>
        </w:rPr>
        <w:t>New York Times</w:t>
      </w:r>
      <w:r w:rsidR="00B26D3F" w:rsidRPr="009072C7">
        <w:rPr>
          <w:rFonts w:ascii="Times New Roman" w:hAnsi="Times New Roman" w:cs="Times New Roman"/>
        </w:rPr>
        <w:t>. June 4, 1884.</w:t>
      </w:r>
    </w:p>
  </w:footnote>
  <w:footnote w:id="157">
    <w:p w14:paraId="75DFA86F" w14:textId="18442CB9"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26D3F">
        <w:rPr>
          <w:rFonts w:ascii="Times New Roman" w:hAnsi="Times New Roman" w:cs="Times New Roman"/>
        </w:rPr>
        <w:t>Ibid</w:t>
      </w:r>
    </w:p>
  </w:footnote>
  <w:footnote w:id="158">
    <w:p w14:paraId="204DA270" w14:textId="62A40AD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86459" w:rsidRPr="002318C9">
        <w:rPr>
          <w:rFonts w:ascii="Times New Roman" w:hAnsi="Times New Roman" w:cs="Times New Roman"/>
        </w:rPr>
        <w:t xml:space="preserve">Joe Servis. “The Surrender Meeting.” </w:t>
      </w:r>
      <w:r w:rsidR="00986459" w:rsidRPr="002318C9">
        <w:rPr>
          <w:rFonts w:ascii="Times New Roman" w:hAnsi="Times New Roman" w:cs="Times New Roman"/>
          <w:i/>
          <w:iCs/>
        </w:rPr>
        <w:t>National Parks Service</w:t>
      </w:r>
      <w:r w:rsidR="00986459" w:rsidRPr="002318C9">
        <w:rPr>
          <w:rFonts w:ascii="Times New Roman" w:hAnsi="Times New Roman" w:cs="Times New Roman"/>
        </w:rPr>
        <w:t>, June 14, 2022.</w:t>
      </w:r>
    </w:p>
  </w:footnote>
  <w:footnote w:id="159">
    <w:p w14:paraId="5D5D5CC1" w14:textId="6AE4589B"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86459" w:rsidRPr="009072C7">
        <w:rPr>
          <w:rFonts w:ascii="Times New Roman" w:hAnsi="Times New Roman" w:cs="Times New Roman"/>
        </w:rPr>
        <w:t xml:space="preserve">"Gen. Babcock Drowned". </w:t>
      </w:r>
      <w:r w:rsidR="00986459" w:rsidRPr="009072C7">
        <w:rPr>
          <w:rFonts w:ascii="Times New Roman" w:hAnsi="Times New Roman" w:cs="Times New Roman"/>
          <w:i/>
          <w:iCs/>
        </w:rPr>
        <w:t>New York Times</w:t>
      </w:r>
      <w:r w:rsidR="00986459" w:rsidRPr="009072C7">
        <w:rPr>
          <w:rFonts w:ascii="Times New Roman" w:hAnsi="Times New Roman" w:cs="Times New Roman"/>
        </w:rPr>
        <w:t>. June 4, 1884.</w:t>
      </w:r>
    </w:p>
  </w:footnote>
  <w:footnote w:id="160">
    <w:p w14:paraId="61BC4F8C" w14:textId="1D1D8FE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Eicher </w:t>
      </w:r>
      <w:r w:rsidR="006E0630">
        <w:rPr>
          <w:rFonts w:ascii="Times New Roman" w:hAnsi="Times New Roman" w:cs="Times New Roman"/>
        </w:rPr>
        <w:t xml:space="preserve">&amp; Eicher, </w:t>
      </w:r>
      <w:r w:rsidR="006E0630">
        <w:rPr>
          <w:rFonts w:ascii="Times New Roman" w:hAnsi="Times New Roman" w:cs="Times New Roman"/>
          <w:i/>
          <w:iCs/>
        </w:rPr>
        <w:t xml:space="preserve">Civil War High </w:t>
      </w:r>
      <w:r w:rsidR="006E0630" w:rsidRPr="006E0630">
        <w:rPr>
          <w:rFonts w:ascii="Times New Roman" w:hAnsi="Times New Roman" w:cs="Times New Roman"/>
          <w:i/>
          <w:iCs/>
        </w:rPr>
        <w:t>Commands</w:t>
      </w:r>
      <w:r w:rsidR="006E0630">
        <w:rPr>
          <w:rFonts w:ascii="Times New Roman" w:hAnsi="Times New Roman" w:cs="Times New Roman"/>
          <w:i/>
          <w:iCs/>
        </w:rPr>
        <w:t xml:space="preserve">, </w:t>
      </w:r>
      <w:r w:rsidR="006E0630">
        <w:rPr>
          <w:rFonts w:ascii="Times New Roman" w:hAnsi="Times New Roman" w:cs="Times New Roman"/>
        </w:rPr>
        <w:t>111,</w:t>
      </w:r>
      <w:r w:rsidRPr="002318C9">
        <w:rPr>
          <w:rFonts w:ascii="Times New Roman" w:hAnsi="Times New Roman" w:cs="Times New Roman"/>
        </w:rPr>
        <w:t xml:space="preserve"> 732</w:t>
      </w:r>
    </w:p>
  </w:footnote>
  <w:footnote w:id="161">
    <w:p w14:paraId="10449C3B" w14:textId="15022809" w:rsidR="006A6DED" w:rsidRPr="00582B36" w:rsidRDefault="006A6DED" w:rsidP="00582B36">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82B36">
        <w:rPr>
          <w:rFonts w:ascii="Times New Roman" w:hAnsi="Times New Roman" w:cs="Times New Roman"/>
        </w:rPr>
        <w:t xml:space="preserve">Ari </w:t>
      </w:r>
      <w:r w:rsidR="00582B36" w:rsidRPr="00582B36">
        <w:rPr>
          <w:rFonts w:ascii="Times New Roman" w:hAnsi="Times New Roman" w:cs="Times New Roman"/>
        </w:rPr>
        <w:t xml:space="preserve">Hoogenboom, </w:t>
      </w:r>
      <w:r w:rsidR="00582B36" w:rsidRPr="00582B36">
        <w:rPr>
          <w:rFonts w:ascii="Times New Roman" w:hAnsi="Times New Roman" w:cs="Times New Roman"/>
          <w:i/>
          <w:iCs/>
        </w:rPr>
        <w:t>Outlawing the Spoils: A History of the Civil Service Reform Movement, 1865-1883</w:t>
      </w:r>
      <w:r w:rsidR="00582B36" w:rsidRPr="00582B36">
        <w:rPr>
          <w:rFonts w:ascii="Times New Roman" w:hAnsi="Times New Roman" w:cs="Times New Roman"/>
        </w:rPr>
        <w:t>. Champaign, IL: University of Illinois Press, 1961.</w:t>
      </w:r>
      <w:r w:rsidRPr="00582B36">
        <w:rPr>
          <w:rFonts w:ascii="Times New Roman" w:hAnsi="Times New Roman" w:cs="Times New Roman"/>
        </w:rPr>
        <w:t xml:space="preserve"> 4</w:t>
      </w:r>
    </w:p>
  </w:footnote>
  <w:footnote w:id="162">
    <w:p w14:paraId="332A4C44" w14:textId="213868DB" w:rsidR="006A6DED" w:rsidRPr="005E1117"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E1117" w:rsidRPr="0094057F">
        <w:rPr>
          <w:rFonts w:ascii="Times New Roman" w:hAnsi="Times New Roman" w:cs="Times New Roman"/>
        </w:rPr>
        <w:t>Articles of Confederation,</w:t>
      </w:r>
      <w:r w:rsidR="005E1117">
        <w:rPr>
          <w:rFonts w:ascii="Times New Roman" w:hAnsi="Times New Roman" w:cs="Times New Roman"/>
        </w:rPr>
        <w:t xml:space="preserve"> 1777</w:t>
      </w:r>
    </w:p>
  </w:footnote>
  <w:footnote w:id="163">
    <w:p w14:paraId="78BC9575" w14:textId="14195806" w:rsidR="006A6DED" w:rsidRPr="005E1117"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E1117">
        <w:rPr>
          <w:rFonts w:ascii="Times New Roman" w:hAnsi="Times New Roman" w:cs="Times New Roman"/>
        </w:rPr>
        <w:t>Ibid;</w:t>
      </w:r>
      <w:r w:rsidRPr="002318C9">
        <w:rPr>
          <w:rFonts w:ascii="Times New Roman" w:hAnsi="Times New Roman" w:cs="Times New Roman"/>
        </w:rPr>
        <w:t xml:space="preserve"> </w:t>
      </w:r>
      <w:r w:rsidR="005E1117" w:rsidRPr="0094057F">
        <w:rPr>
          <w:rFonts w:ascii="Times New Roman" w:hAnsi="Times New Roman" w:cs="Times New Roman"/>
        </w:rPr>
        <w:t>United States Constitution,</w:t>
      </w:r>
      <w:r w:rsidR="005E1117">
        <w:rPr>
          <w:rFonts w:ascii="Times New Roman" w:hAnsi="Times New Roman" w:cs="Times New Roman"/>
          <w:i/>
          <w:iCs/>
        </w:rPr>
        <w:t xml:space="preserve"> </w:t>
      </w:r>
      <w:r w:rsidR="005E1117">
        <w:rPr>
          <w:rFonts w:ascii="Times New Roman" w:hAnsi="Times New Roman" w:cs="Times New Roman"/>
        </w:rPr>
        <w:t>1789</w:t>
      </w:r>
    </w:p>
  </w:footnote>
  <w:footnote w:id="164">
    <w:p w14:paraId="75BE91A7" w14:textId="555BC6A8" w:rsidR="006A6DED" w:rsidRPr="005E1117"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76492">
        <w:rPr>
          <w:rFonts w:ascii="Times New Roman" w:hAnsi="Times New Roman" w:cs="Times New Roman"/>
        </w:rPr>
        <w:t xml:space="preserve">Charles K. Kesler, ed., with </w:t>
      </w:r>
      <w:r w:rsidR="0018336F">
        <w:rPr>
          <w:rFonts w:ascii="Times New Roman" w:hAnsi="Times New Roman" w:cs="Times New Roman"/>
        </w:rPr>
        <w:t>Alexander Hamilton, James Madison, and John Jay,</w:t>
      </w:r>
      <w:r w:rsidR="005E1117">
        <w:rPr>
          <w:rFonts w:ascii="Times New Roman" w:hAnsi="Times New Roman" w:cs="Times New Roman"/>
        </w:rPr>
        <w:t xml:space="preserve"> </w:t>
      </w:r>
      <w:r w:rsidR="005E1117">
        <w:rPr>
          <w:rFonts w:ascii="Times New Roman" w:hAnsi="Times New Roman" w:cs="Times New Roman"/>
          <w:i/>
          <w:iCs/>
        </w:rPr>
        <w:t>The Federalist Papers</w:t>
      </w:r>
      <w:r w:rsidR="005E1117">
        <w:rPr>
          <w:rFonts w:ascii="Times New Roman" w:hAnsi="Times New Roman" w:cs="Times New Roman"/>
        </w:rPr>
        <w:t>. New York: Signet Classic, 1999.</w:t>
      </w:r>
    </w:p>
  </w:footnote>
  <w:footnote w:id="165">
    <w:p w14:paraId="2AE6A017" w14:textId="1DE1A1D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8336F">
        <w:rPr>
          <w:rFonts w:ascii="Times New Roman" w:hAnsi="Times New Roman" w:cs="Times New Roman"/>
        </w:rPr>
        <w:t>Ibid</w:t>
      </w:r>
    </w:p>
  </w:footnote>
  <w:footnote w:id="166">
    <w:p w14:paraId="17C94713" w14:textId="1696EE18" w:rsidR="00215BC8" w:rsidRPr="00215BC8"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more on the powers of the Constitution in shaping the federal government, please consider: </w:t>
      </w:r>
      <w:r w:rsidR="00BD0F75">
        <w:rPr>
          <w:rFonts w:ascii="Times New Roman" w:hAnsi="Times New Roman" w:cs="Times New Roman"/>
        </w:rPr>
        <w:t xml:space="preserve">Joseph </w:t>
      </w:r>
      <w:r w:rsidR="00215BC8">
        <w:rPr>
          <w:rFonts w:ascii="Times New Roman" w:hAnsi="Times New Roman" w:cs="Times New Roman"/>
        </w:rPr>
        <w:t>Morton</w:t>
      </w:r>
      <w:r w:rsidR="00BD0F75">
        <w:rPr>
          <w:rFonts w:ascii="Times New Roman" w:hAnsi="Times New Roman" w:cs="Times New Roman"/>
        </w:rPr>
        <w:t xml:space="preserve">, </w:t>
      </w:r>
      <w:r w:rsidR="00BD0F75">
        <w:rPr>
          <w:rFonts w:ascii="Times New Roman" w:hAnsi="Times New Roman" w:cs="Times New Roman"/>
          <w:i/>
          <w:iCs/>
        </w:rPr>
        <w:t>Shapers of the Great Debate at the Constitutional Convention of 1787: A Biographical Dictionary</w:t>
      </w:r>
      <w:r w:rsidR="00BD0F75">
        <w:rPr>
          <w:rFonts w:ascii="Times New Roman" w:hAnsi="Times New Roman" w:cs="Times New Roman"/>
        </w:rPr>
        <w:t>. Westport, CT: Greenwood Press, 2006</w:t>
      </w:r>
      <w:r w:rsidR="00215BC8">
        <w:rPr>
          <w:rFonts w:ascii="Times New Roman" w:hAnsi="Times New Roman" w:cs="Times New Roman"/>
        </w:rPr>
        <w:t xml:space="preserve">; </w:t>
      </w:r>
      <w:r w:rsidR="00BD0F75">
        <w:rPr>
          <w:rFonts w:ascii="Times New Roman" w:hAnsi="Times New Roman" w:cs="Times New Roman"/>
        </w:rPr>
        <w:t xml:space="preserve">Richard R. </w:t>
      </w:r>
      <w:r w:rsidR="00215BC8">
        <w:rPr>
          <w:rFonts w:ascii="Times New Roman" w:hAnsi="Times New Roman" w:cs="Times New Roman"/>
        </w:rPr>
        <w:t>Beeman</w:t>
      </w:r>
      <w:r w:rsidR="00BD0F75">
        <w:rPr>
          <w:rFonts w:ascii="Times New Roman" w:hAnsi="Times New Roman" w:cs="Times New Roman"/>
        </w:rPr>
        <w:t xml:space="preserve">, </w:t>
      </w:r>
      <w:r w:rsidR="00BD0F75">
        <w:rPr>
          <w:rFonts w:ascii="Times New Roman" w:hAnsi="Times New Roman" w:cs="Times New Roman"/>
          <w:i/>
          <w:iCs/>
        </w:rPr>
        <w:t>Plain, Honest Men: The Making of the American Constitution</w:t>
      </w:r>
      <w:r w:rsidR="00BD0F75">
        <w:rPr>
          <w:rFonts w:ascii="Times New Roman" w:hAnsi="Times New Roman" w:cs="Times New Roman"/>
        </w:rPr>
        <w:t>. New York: Random House, 2009</w:t>
      </w:r>
      <w:r w:rsidR="00215BC8">
        <w:rPr>
          <w:rFonts w:ascii="Times New Roman" w:hAnsi="Times New Roman" w:cs="Times New Roman"/>
        </w:rPr>
        <w:t xml:space="preserve">; </w:t>
      </w:r>
      <w:r w:rsidR="00BD0F75">
        <w:rPr>
          <w:rFonts w:ascii="Times New Roman" w:hAnsi="Times New Roman" w:cs="Times New Roman"/>
        </w:rPr>
        <w:t xml:space="preserve">Carol </w:t>
      </w:r>
      <w:r w:rsidR="00215BC8">
        <w:rPr>
          <w:rFonts w:ascii="Times New Roman" w:hAnsi="Times New Roman" w:cs="Times New Roman"/>
        </w:rPr>
        <w:t>Berkin</w:t>
      </w:r>
      <w:r w:rsidR="00BD0F75">
        <w:rPr>
          <w:rFonts w:ascii="Times New Roman" w:hAnsi="Times New Roman" w:cs="Times New Roman"/>
        </w:rPr>
        <w:t xml:space="preserve">, </w:t>
      </w:r>
      <w:r w:rsidR="00BD0F75">
        <w:rPr>
          <w:rFonts w:ascii="Times New Roman" w:hAnsi="Times New Roman" w:cs="Times New Roman"/>
          <w:i/>
          <w:iCs/>
        </w:rPr>
        <w:t>A Brilliant Solution: Inventing the American Constitution</w:t>
      </w:r>
      <w:r w:rsidR="00BD0F75">
        <w:rPr>
          <w:rFonts w:ascii="Times New Roman" w:hAnsi="Times New Roman" w:cs="Times New Roman"/>
        </w:rPr>
        <w:t>. Orlando: Harcourt, 2002</w:t>
      </w:r>
      <w:r w:rsidR="00215BC8">
        <w:rPr>
          <w:rFonts w:ascii="Times New Roman" w:hAnsi="Times New Roman" w:cs="Times New Roman"/>
        </w:rPr>
        <w:t xml:space="preserve">; </w:t>
      </w:r>
      <w:r w:rsidR="00BD0F75">
        <w:rPr>
          <w:rFonts w:ascii="Times New Roman" w:hAnsi="Times New Roman" w:cs="Times New Roman"/>
        </w:rPr>
        <w:t xml:space="preserve">Richard B. </w:t>
      </w:r>
      <w:r w:rsidR="00215BC8">
        <w:rPr>
          <w:rFonts w:ascii="Times New Roman" w:hAnsi="Times New Roman" w:cs="Times New Roman"/>
        </w:rPr>
        <w:t>Bernstein</w:t>
      </w:r>
      <w:r w:rsidR="00BD0F75">
        <w:rPr>
          <w:rFonts w:ascii="Times New Roman" w:hAnsi="Times New Roman" w:cs="Times New Roman"/>
        </w:rPr>
        <w:t xml:space="preserve">, </w:t>
      </w:r>
      <w:r w:rsidR="00BD0F75">
        <w:rPr>
          <w:rFonts w:ascii="Times New Roman" w:hAnsi="Times New Roman" w:cs="Times New Roman"/>
          <w:i/>
          <w:iCs/>
        </w:rPr>
        <w:t>Are We to Be a Nation? The Making of the Constitution</w:t>
      </w:r>
      <w:r w:rsidR="00BD0F75">
        <w:rPr>
          <w:rFonts w:ascii="Times New Roman" w:hAnsi="Times New Roman" w:cs="Times New Roman"/>
        </w:rPr>
        <w:t>. Cambridge, MA: Harvard University Press, 1987</w:t>
      </w:r>
      <w:r w:rsidR="00680EF0">
        <w:rPr>
          <w:rFonts w:ascii="Times New Roman" w:hAnsi="Times New Roman" w:cs="Times New Roman"/>
        </w:rPr>
        <w:t xml:space="preserve">; Hoogenboom, </w:t>
      </w:r>
      <w:r w:rsidR="00680EF0">
        <w:rPr>
          <w:rFonts w:ascii="Times New Roman" w:hAnsi="Times New Roman" w:cs="Times New Roman"/>
          <w:i/>
          <w:iCs/>
        </w:rPr>
        <w:t>Outlawing the Spoils</w:t>
      </w:r>
      <w:r w:rsidR="00215BC8">
        <w:rPr>
          <w:rFonts w:ascii="Times New Roman" w:hAnsi="Times New Roman" w:cs="Times New Roman"/>
        </w:rPr>
        <w:t xml:space="preserve">; </w:t>
      </w:r>
      <w:r w:rsidR="00BD0F75">
        <w:rPr>
          <w:rFonts w:ascii="Times New Roman" w:hAnsi="Times New Roman" w:cs="Times New Roman"/>
        </w:rPr>
        <w:t xml:space="preserve">Joseph </w:t>
      </w:r>
      <w:r w:rsidR="00215BC8">
        <w:rPr>
          <w:rFonts w:ascii="Times New Roman" w:hAnsi="Times New Roman" w:cs="Times New Roman"/>
        </w:rPr>
        <w:t>Ellis</w:t>
      </w:r>
      <w:r w:rsidR="00BD0F75">
        <w:rPr>
          <w:rFonts w:ascii="Times New Roman" w:hAnsi="Times New Roman" w:cs="Times New Roman"/>
        </w:rPr>
        <w:t xml:space="preserve">, </w:t>
      </w:r>
      <w:r w:rsidR="00BD0F75">
        <w:rPr>
          <w:rFonts w:ascii="Times New Roman" w:hAnsi="Times New Roman" w:cs="Times New Roman"/>
          <w:i/>
          <w:iCs/>
        </w:rPr>
        <w:t>Founding Brothers: The Revolutionary Generation</w:t>
      </w:r>
      <w:r w:rsidR="00BD0F75">
        <w:rPr>
          <w:rFonts w:ascii="Times New Roman" w:hAnsi="Times New Roman" w:cs="Times New Roman"/>
        </w:rPr>
        <w:t>. New York: Alfred A. Knopf, 2000</w:t>
      </w:r>
      <w:r w:rsidR="00215BC8">
        <w:rPr>
          <w:rFonts w:ascii="Times New Roman" w:hAnsi="Times New Roman" w:cs="Times New Roman"/>
        </w:rPr>
        <w:t xml:space="preserve">; </w:t>
      </w:r>
      <w:r w:rsidR="00680EF0">
        <w:rPr>
          <w:rFonts w:ascii="Times New Roman" w:hAnsi="Times New Roman" w:cs="Times New Roman"/>
        </w:rPr>
        <w:t xml:space="preserve">Paul </w:t>
      </w:r>
      <w:r w:rsidR="00680EF0" w:rsidRPr="00680EF0">
        <w:rPr>
          <w:rFonts w:ascii="Times New Roman" w:hAnsi="Times New Roman" w:cs="Times New Roman"/>
        </w:rPr>
        <w:t xml:space="preserve">Van Riper, </w:t>
      </w:r>
      <w:r w:rsidR="00680EF0" w:rsidRPr="00680EF0">
        <w:rPr>
          <w:rFonts w:ascii="Times New Roman" w:hAnsi="Times New Roman" w:cs="Times New Roman"/>
          <w:i/>
          <w:iCs/>
        </w:rPr>
        <w:t>History of the United States Civil Service</w:t>
      </w:r>
      <w:r w:rsidR="00680EF0" w:rsidRPr="00680EF0">
        <w:rPr>
          <w:rFonts w:ascii="Times New Roman" w:hAnsi="Times New Roman" w:cs="Times New Roman"/>
        </w:rPr>
        <w:t>. Westport, CT: Greenwood Press, 1958</w:t>
      </w:r>
      <w:r w:rsidR="00680EF0">
        <w:rPr>
          <w:rFonts w:ascii="Times New Roman" w:hAnsi="Times New Roman" w:cs="Times New Roman"/>
        </w:rPr>
        <w:t xml:space="preserve">; </w:t>
      </w:r>
      <w:r w:rsidR="00215BC8">
        <w:rPr>
          <w:rFonts w:ascii="Times New Roman" w:hAnsi="Times New Roman" w:cs="Times New Roman"/>
        </w:rPr>
        <w:t xml:space="preserve">Bernard Bailyn, </w:t>
      </w:r>
      <w:r w:rsidR="00215BC8">
        <w:rPr>
          <w:rFonts w:ascii="Times New Roman" w:hAnsi="Times New Roman" w:cs="Times New Roman"/>
          <w:i/>
          <w:iCs/>
        </w:rPr>
        <w:t>The Ideological Origins of the American Revolution</w:t>
      </w:r>
      <w:r w:rsidR="00215BC8">
        <w:rPr>
          <w:rFonts w:ascii="Times New Roman" w:hAnsi="Times New Roman" w:cs="Times New Roman"/>
        </w:rPr>
        <w:t>. Fiftieth Anniversary Edition. Cambridge, MA: Belknap Press, 2017 (originally 1967);</w:t>
      </w:r>
      <w:r w:rsidR="00215BC8">
        <w:rPr>
          <w:rFonts w:ascii="Times New Roman" w:hAnsi="Times New Roman" w:cs="Times New Roman"/>
          <w:i/>
          <w:iCs/>
        </w:rPr>
        <w:t xml:space="preserve"> The Federalist</w:t>
      </w:r>
      <w:r w:rsidR="00215BC8">
        <w:rPr>
          <w:rFonts w:ascii="Times New Roman" w:hAnsi="Times New Roman" w:cs="Times New Roman"/>
        </w:rPr>
        <w:t xml:space="preserve">; Jack N. Rakove, </w:t>
      </w:r>
      <w:r w:rsidR="00215BC8">
        <w:rPr>
          <w:rFonts w:ascii="Times New Roman" w:hAnsi="Times New Roman" w:cs="Times New Roman"/>
          <w:i/>
          <w:iCs/>
        </w:rPr>
        <w:t>Original Meanings: Politics and Ideas in the Making of the Constitution</w:t>
      </w:r>
      <w:r w:rsidR="00215BC8">
        <w:rPr>
          <w:rFonts w:ascii="Times New Roman" w:hAnsi="Times New Roman" w:cs="Times New Roman"/>
        </w:rPr>
        <w:t xml:space="preserve">. New York: Alfred A. Knopf, 1996; Woody Holton, </w:t>
      </w:r>
      <w:r w:rsidR="00215BC8">
        <w:rPr>
          <w:rFonts w:ascii="Times New Roman" w:hAnsi="Times New Roman" w:cs="Times New Roman"/>
          <w:i/>
          <w:iCs/>
        </w:rPr>
        <w:t>Unruly Americans and the Origins of the Constitution</w:t>
      </w:r>
      <w:r w:rsidR="00215BC8">
        <w:rPr>
          <w:rFonts w:ascii="Times New Roman" w:hAnsi="Times New Roman" w:cs="Times New Roman"/>
        </w:rPr>
        <w:t>. New York: Hill and Wang, 2007.</w:t>
      </w:r>
    </w:p>
  </w:footnote>
  <w:footnote w:id="167">
    <w:p w14:paraId="2D8A16B3" w14:textId="41C1EC38"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80EF0">
        <w:rPr>
          <w:rFonts w:ascii="Times New Roman" w:hAnsi="Times New Roman" w:cs="Times New Roman"/>
        </w:rPr>
        <w:t>United States Constitution</w:t>
      </w:r>
    </w:p>
  </w:footnote>
  <w:footnote w:id="168">
    <w:p w14:paraId="2595AB78" w14:textId="0B248590" w:rsidR="006A6DED" w:rsidRPr="0094057F"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80EF0">
        <w:rPr>
          <w:rFonts w:ascii="Times New Roman" w:hAnsi="Times New Roman" w:cs="Times New Roman"/>
        </w:rPr>
        <w:t>Ibid</w:t>
      </w:r>
    </w:p>
  </w:footnote>
  <w:footnote w:id="169">
    <w:p w14:paraId="79DFD748" w14:textId="249B4C2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80EF0">
        <w:rPr>
          <w:rFonts w:ascii="Times New Roman" w:hAnsi="Times New Roman" w:cs="Times New Roman"/>
        </w:rPr>
        <w:t>Ibid</w:t>
      </w:r>
    </w:p>
  </w:footnote>
  <w:footnote w:id="170">
    <w:p w14:paraId="1B52EA4E" w14:textId="277C0FAA" w:rsidR="006A6DED" w:rsidRPr="004A688B" w:rsidRDefault="006A6DED" w:rsidP="00680EF0">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80EF0" w:rsidRPr="00680EF0">
        <w:rPr>
          <w:rFonts w:ascii="Times New Roman" w:hAnsi="Times New Roman" w:cs="Times New Roman"/>
        </w:rPr>
        <w:t xml:space="preserve">United States Civil Service Commission. </w:t>
      </w:r>
      <w:r w:rsidR="00680EF0" w:rsidRPr="00680EF0">
        <w:rPr>
          <w:rFonts w:ascii="Times New Roman" w:hAnsi="Times New Roman" w:cs="Times New Roman"/>
          <w:i/>
          <w:iCs/>
        </w:rPr>
        <w:t>History of the Federal Civil Service, 1789 to the Present</w:t>
      </w:r>
      <w:r w:rsidR="00680EF0" w:rsidRPr="00680EF0">
        <w:rPr>
          <w:rFonts w:ascii="Times New Roman" w:hAnsi="Times New Roman" w:cs="Times New Roman"/>
        </w:rPr>
        <w:t>. Washington, DC: United States Government Printing Office, 1941.</w:t>
      </w:r>
      <w:r w:rsidRPr="00680EF0">
        <w:rPr>
          <w:rFonts w:ascii="Times New Roman" w:hAnsi="Times New Roman" w:cs="Times New Roman"/>
        </w:rPr>
        <w:t xml:space="preserve"> </w:t>
      </w:r>
      <w:r w:rsidR="0000060F">
        <w:rPr>
          <w:rFonts w:ascii="Times New Roman" w:hAnsi="Times New Roman" w:cs="Times New Roman"/>
        </w:rPr>
        <w:t>1</w:t>
      </w:r>
      <w:r w:rsidRPr="00680EF0">
        <w:rPr>
          <w:rFonts w:ascii="Times New Roman" w:hAnsi="Times New Roman" w:cs="Times New Roman"/>
        </w:rPr>
        <w:t>-3</w:t>
      </w:r>
      <w:r w:rsidR="005868DF">
        <w:rPr>
          <w:rFonts w:ascii="Times New Roman" w:hAnsi="Times New Roman" w:cs="Times New Roman"/>
        </w:rPr>
        <w:t>;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5868DF">
        <w:rPr>
          <w:rFonts w:ascii="Times New Roman" w:hAnsi="Times New Roman" w:cs="Times New Roman"/>
        </w:rPr>
        <w:t xml:space="preserve"> 11-20.</w:t>
      </w:r>
      <w:r w:rsidR="004A688B">
        <w:rPr>
          <w:rFonts w:ascii="Times New Roman" w:hAnsi="Times New Roman" w:cs="Times New Roman"/>
        </w:rPr>
        <w:t xml:space="preserve"> Douglas Southall Freeman with Richard Harwell, ed., </w:t>
      </w:r>
      <w:r w:rsidR="004A688B">
        <w:rPr>
          <w:rFonts w:ascii="Times New Roman" w:hAnsi="Times New Roman" w:cs="Times New Roman"/>
          <w:i/>
          <w:iCs/>
        </w:rPr>
        <w:t>Washington</w:t>
      </w:r>
      <w:r w:rsidR="004A688B">
        <w:rPr>
          <w:rFonts w:ascii="Times New Roman" w:hAnsi="Times New Roman" w:cs="Times New Roman"/>
        </w:rPr>
        <w:t>. New York: Charles Scribner &amp; Sons, 1968.</w:t>
      </w:r>
    </w:p>
  </w:footnote>
  <w:footnote w:id="171">
    <w:p w14:paraId="56F383A2" w14:textId="74E97744"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0060F">
        <w:rPr>
          <w:rFonts w:ascii="Times New Roman" w:hAnsi="Times New Roman" w:cs="Times New Roman"/>
        </w:rPr>
        <w:t>Ibid</w:t>
      </w:r>
    </w:p>
  </w:footnote>
  <w:footnote w:id="172">
    <w:p w14:paraId="570DBAC3"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73">
    <w:p w14:paraId="44C2ADAC" w14:textId="1512F94B"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A5A5A">
        <w:rPr>
          <w:rFonts w:ascii="Times New Roman" w:hAnsi="Times New Roman" w:cs="Times New Roman"/>
        </w:rPr>
        <w:t xml:space="preserve">Ibid; </w:t>
      </w:r>
      <w:r w:rsidRPr="002318C9">
        <w:rPr>
          <w:rFonts w:ascii="Times New Roman" w:hAnsi="Times New Roman" w:cs="Times New Roman"/>
        </w:rPr>
        <w:t>Hoogenboom</w:t>
      </w:r>
      <w:r w:rsidR="00680EF0">
        <w:rPr>
          <w:rFonts w:ascii="Times New Roman" w:hAnsi="Times New Roman" w:cs="Times New Roman"/>
        </w:rPr>
        <w:t xml:space="preserve">, </w:t>
      </w:r>
      <w:r w:rsidR="00680EF0">
        <w:rPr>
          <w:rFonts w:ascii="Times New Roman" w:hAnsi="Times New Roman" w:cs="Times New Roman"/>
          <w:i/>
          <w:iCs/>
        </w:rPr>
        <w:t>Outlawing the Spoils,</w:t>
      </w:r>
      <w:r w:rsidR="005A5A5A">
        <w:rPr>
          <w:rFonts w:ascii="Times New Roman" w:hAnsi="Times New Roman" w:cs="Times New Roman"/>
        </w:rPr>
        <w:t xml:space="preserve"> 4</w:t>
      </w:r>
    </w:p>
  </w:footnote>
  <w:footnote w:id="174">
    <w:p w14:paraId="7B8D695C" w14:textId="65E51F7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A5A5A">
        <w:rPr>
          <w:rFonts w:ascii="Times New Roman" w:hAnsi="Times New Roman" w:cs="Times New Roman"/>
        </w:rPr>
        <w:t>Ibid</w:t>
      </w:r>
      <w:r w:rsidR="007A5CE7">
        <w:rPr>
          <w:rFonts w:ascii="Times New Roman" w:hAnsi="Times New Roman" w:cs="Times New Roman"/>
        </w:rPr>
        <w:t xml:space="preserve"> </w:t>
      </w:r>
    </w:p>
  </w:footnote>
  <w:footnote w:id="175">
    <w:p w14:paraId="7B0FF25E"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76">
    <w:p w14:paraId="2DD1FB68" w14:textId="7804BB79" w:rsidR="006A6DED" w:rsidRPr="004A688B"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USCSC</w:t>
      </w:r>
      <w:r w:rsidR="0031523D">
        <w:rPr>
          <w:rFonts w:ascii="Times New Roman" w:hAnsi="Times New Roman" w:cs="Times New Roman"/>
        </w:rPr>
        <w:t xml:space="preserve">, </w:t>
      </w:r>
      <w:r w:rsidR="0031523D" w:rsidRPr="00680EF0">
        <w:rPr>
          <w:rFonts w:ascii="Times New Roman" w:hAnsi="Times New Roman" w:cs="Times New Roman"/>
          <w:i/>
          <w:iCs/>
        </w:rPr>
        <w:t>History of the Federal Civil Service</w:t>
      </w:r>
      <w:r w:rsidR="0031523D">
        <w:rPr>
          <w:rFonts w:ascii="Times New Roman" w:hAnsi="Times New Roman" w:cs="Times New Roman"/>
          <w:i/>
          <w:iCs/>
        </w:rPr>
        <w:t>,</w:t>
      </w:r>
      <w:r w:rsidRPr="002318C9">
        <w:rPr>
          <w:rFonts w:ascii="Times New Roman" w:hAnsi="Times New Roman" w:cs="Times New Roman"/>
        </w:rPr>
        <w:t xml:space="preserve"> 3</w:t>
      </w:r>
      <w:r w:rsidR="004A688B">
        <w:rPr>
          <w:rFonts w:ascii="Times New Roman" w:hAnsi="Times New Roman" w:cs="Times New Roman"/>
        </w:rPr>
        <w:t>-6;</w:t>
      </w:r>
      <w:r w:rsidR="004A688B" w:rsidRPr="004A688B">
        <w:rPr>
          <w:rFonts w:ascii="Times New Roman" w:hAnsi="Times New Roman" w:cs="Times New Roman"/>
        </w:rPr>
        <w:t xml:space="preserve"> </w:t>
      </w:r>
      <w:r w:rsidR="004A688B">
        <w:rPr>
          <w:rFonts w:ascii="Times New Roman" w:hAnsi="Times New Roman" w:cs="Times New Roman"/>
        </w:rPr>
        <w:t>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4A688B">
        <w:rPr>
          <w:rFonts w:ascii="Times New Roman" w:hAnsi="Times New Roman" w:cs="Times New Roman"/>
        </w:rPr>
        <w:t xml:space="preserve"> 20-22; David McCullough, </w:t>
      </w:r>
      <w:r w:rsidR="004A688B">
        <w:rPr>
          <w:rFonts w:ascii="Times New Roman" w:hAnsi="Times New Roman" w:cs="Times New Roman"/>
          <w:i/>
          <w:iCs/>
        </w:rPr>
        <w:t>John Adams</w:t>
      </w:r>
      <w:r w:rsidR="004A688B">
        <w:rPr>
          <w:rFonts w:ascii="Times New Roman" w:hAnsi="Times New Roman" w:cs="Times New Roman"/>
        </w:rPr>
        <w:t>. New York: Simon &amp; Schuster, 2001.</w:t>
      </w:r>
    </w:p>
  </w:footnote>
  <w:footnote w:id="177">
    <w:p w14:paraId="6BA696FA" w14:textId="5C2A1C2A"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A688B">
        <w:rPr>
          <w:rFonts w:ascii="Times New Roman" w:hAnsi="Times New Roman" w:cs="Times New Roman"/>
        </w:rPr>
        <w:t>Ibid</w:t>
      </w:r>
    </w:p>
  </w:footnote>
  <w:footnote w:id="178">
    <w:p w14:paraId="70FAD89F" w14:textId="6A9D9BCA"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A688B">
        <w:rPr>
          <w:rFonts w:ascii="Times New Roman" w:hAnsi="Times New Roman" w:cs="Times New Roman"/>
        </w:rPr>
        <w:t>Ibid</w:t>
      </w:r>
    </w:p>
  </w:footnote>
  <w:footnote w:id="179">
    <w:p w14:paraId="625549DD" w14:textId="0B379C3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A688B">
        <w:rPr>
          <w:rFonts w:ascii="Times New Roman" w:hAnsi="Times New Roman" w:cs="Times New Roman"/>
        </w:rPr>
        <w:t>Ibid</w:t>
      </w:r>
    </w:p>
  </w:footnote>
  <w:footnote w:id="180">
    <w:p w14:paraId="7CFF9818" w14:textId="00292BD0"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USCSC</w:t>
      </w:r>
      <w:r w:rsidR="0031523D">
        <w:rPr>
          <w:rFonts w:ascii="Times New Roman" w:hAnsi="Times New Roman" w:cs="Times New Roman"/>
        </w:rPr>
        <w:t xml:space="preserve">, </w:t>
      </w:r>
      <w:r w:rsidR="0031523D" w:rsidRPr="00680EF0">
        <w:rPr>
          <w:rFonts w:ascii="Times New Roman" w:hAnsi="Times New Roman" w:cs="Times New Roman"/>
          <w:i/>
          <w:iCs/>
        </w:rPr>
        <w:t>History of the Federal Civil Service</w:t>
      </w:r>
      <w:r w:rsidR="0031523D">
        <w:rPr>
          <w:rFonts w:ascii="Times New Roman" w:hAnsi="Times New Roman" w:cs="Times New Roman"/>
          <w:i/>
          <w:iCs/>
        </w:rPr>
        <w:t>,</w:t>
      </w:r>
      <w:r w:rsidRPr="002318C9">
        <w:rPr>
          <w:rFonts w:ascii="Times New Roman" w:hAnsi="Times New Roman" w:cs="Times New Roman"/>
        </w:rPr>
        <w:t xml:space="preserve"> 6-</w:t>
      </w:r>
      <w:r w:rsidR="004A688B">
        <w:rPr>
          <w:rFonts w:ascii="Times New Roman" w:hAnsi="Times New Roman" w:cs="Times New Roman"/>
        </w:rPr>
        <w:t>9;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4A688B">
        <w:rPr>
          <w:rFonts w:ascii="Times New Roman" w:hAnsi="Times New Roman" w:cs="Times New Roman"/>
        </w:rPr>
        <w:t xml:space="preserve"> 22-24</w:t>
      </w:r>
    </w:p>
  </w:footnote>
  <w:footnote w:id="181">
    <w:p w14:paraId="747AD7BD" w14:textId="17C31AD4"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A688B">
        <w:rPr>
          <w:rFonts w:ascii="Times New Roman" w:hAnsi="Times New Roman" w:cs="Times New Roman"/>
        </w:rPr>
        <w:t>Ibid</w:t>
      </w:r>
      <w:r w:rsidRPr="002318C9">
        <w:rPr>
          <w:rFonts w:ascii="Times New Roman" w:hAnsi="Times New Roman" w:cs="Times New Roman"/>
        </w:rPr>
        <w:t xml:space="preserve">; </w:t>
      </w:r>
      <w:r w:rsidR="004A688B">
        <w:rPr>
          <w:rFonts w:ascii="Times New Roman" w:hAnsi="Times New Roman" w:cs="Times New Roman"/>
        </w:rPr>
        <w:t>Thomas Jefferson to the New Haven Merchants, July 12, 1801, courtesy of National Archives</w:t>
      </w:r>
    </w:p>
  </w:footnote>
  <w:footnote w:id="182">
    <w:p w14:paraId="27B353CA" w14:textId="1E1942D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A688B" w:rsidRPr="002318C9">
        <w:rPr>
          <w:rFonts w:ascii="Times New Roman" w:hAnsi="Times New Roman" w:cs="Times New Roman"/>
        </w:rPr>
        <w:t>USCSC</w:t>
      </w:r>
      <w:r w:rsidR="0031523D">
        <w:rPr>
          <w:rFonts w:ascii="Times New Roman" w:hAnsi="Times New Roman" w:cs="Times New Roman"/>
        </w:rPr>
        <w:t xml:space="preserve">, </w:t>
      </w:r>
      <w:r w:rsidR="0031523D" w:rsidRPr="00680EF0">
        <w:rPr>
          <w:rFonts w:ascii="Times New Roman" w:hAnsi="Times New Roman" w:cs="Times New Roman"/>
          <w:i/>
          <w:iCs/>
        </w:rPr>
        <w:t>History of the Federal Civil Service</w:t>
      </w:r>
      <w:r w:rsidR="0031523D">
        <w:rPr>
          <w:rFonts w:ascii="Times New Roman" w:hAnsi="Times New Roman" w:cs="Times New Roman"/>
          <w:i/>
          <w:iCs/>
        </w:rPr>
        <w:t>,</w:t>
      </w:r>
      <w:r w:rsidR="004A688B" w:rsidRPr="002318C9">
        <w:rPr>
          <w:rFonts w:ascii="Times New Roman" w:hAnsi="Times New Roman" w:cs="Times New Roman"/>
        </w:rPr>
        <w:t xml:space="preserve"> 6-</w:t>
      </w:r>
      <w:r w:rsidR="004A688B">
        <w:rPr>
          <w:rFonts w:ascii="Times New Roman" w:hAnsi="Times New Roman" w:cs="Times New Roman"/>
        </w:rPr>
        <w:t>9;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4A688B">
        <w:rPr>
          <w:rFonts w:ascii="Times New Roman" w:hAnsi="Times New Roman" w:cs="Times New Roman"/>
        </w:rPr>
        <w:t xml:space="preserve"> 22-24</w:t>
      </w:r>
    </w:p>
  </w:footnote>
  <w:footnote w:id="183">
    <w:p w14:paraId="25A2360A" w14:textId="7BB3AD69"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A688B">
        <w:rPr>
          <w:rFonts w:ascii="Times New Roman" w:hAnsi="Times New Roman" w:cs="Times New Roman"/>
        </w:rPr>
        <w:t>Ibid</w:t>
      </w:r>
    </w:p>
  </w:footnote>
  <w:footnote w:id="184">
    <w:p w14:paraId="5AFFE650" w14:textId="4B0B9699"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A688B">
        <w:rPr>
          <w:rFonts w:ascii="Times New Roman" w:hAnsi="Times New Roman" w:cs="Times New Roman"/>
        </w:rPr>
        <w:t>Ibid</w:t>
      </w:r>
    </w:p>
  </w:footnote>
  <w:footnote w:id="185">
    <w:p w14:paraId="26336C3F" w14:textId="5D8F27A5" w:rsidR="006A6DED" w:rsidRPr="00527622"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7622">
        <w:rPr>
          <w:rFonts w:ascii="Times New Roman" w:hAnsi="Times New Roman" w:cs="Times New Roman"/>
        </w:rPr>
        <w:t>USCSC</w:t>
      </w:r>
      <w:r w:rsidR="0031523D">
        <w:rPr>
          <w:rFonts w:ascii="Times New Roman" w:hAnsi="Times New Roman" w:cs="Times New Roman"/>
        </w:rPr>
        <w:t xml:space="preserve">, </w:t>
      </w:r>
      <w:r w:rsidR="0031523D" w:rsidRPr="00680EF0">
        <w:rPr>
          <w:rFonts w:ascii="Times New Roman" w:hAnsi="Times New Roman" w:cs="Times New Roman"/>
          <w:i/>
          <w:iCs/>
        </w:rPr>
        <w:t>History of the Federal Civil Service</w:t>
      </w:r>
      <w:r w:rsidR="0031523D">
        <w:rPr>
          <w:rFonts w:ascii="Times New Roman" w:hAnsi="Times New Roman" w:cs="Times New Roman"/>
          <w:i/>
          <w:iCs/>
        </w:rPr>
        <w:t>,</w:t>
      </w:r>
      <w:r w:rsidR="00527622">
        <w:rPr>
          <w:rFonts w:ascii="Times New Roman" w:hAnsi="Times New Roman" w:cs="Times New Roman"/>
        </w:rPr>
        <w:t xml:space="preserve"> 10- 13;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527622">
        <w:rPr>
          <w:rFonts w:ascii="Times New Roman" w:hAnsi="Times New Roman" w:cs="Times New Roman"/>
        </w:rPr>
        <w:t xml:space="preserve"> 24-26; </w:t>
      </w:r>
      <w:r w:rsidR="00527622">
        <w:rPr>
          <w:rFonts w:ascii="Times New Roman" w:hAnsi="Times New Roman" w:cs="Times New Roman"/>
          <w:i/>
          <w:iCs/>
        </w:rPr>
        <w:t xml:space="preserve">Columbian Centinel </w:t>
      </w:r>
      <w:r w:rsidR="00527622">
        <w:rPr>
          <w:rFonts w:ascii="Times New Roman" w:hAnsi="Times New Roman" w:cs="Times New Roman"/>
        </w:rPr>
        <w:t>(Boston), July 12, 1817</w:t>
      </w:r>
    </w:p>
  </w:footnote>
  <w:footnote w:id="186">
    <w:p w14:paraId="1DCC76EB" w14:textId="3147A47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USCSC</w:t>
      </w:r>
      <w:r w:rsidR="0031523D">
        <w:rPr>
          <w:rFonts w:ascii="Times New Roman" w:hAnsi="Times New Roman" w:cs="Times New Roman"/>
        </w:rPr>
        <w:t xml:space="preserve">, </w:t>
      </w:r>
      <w:r w:rsidR="0031523D" w:rsidRPr="00680EF0">
        <w:rPr>
          <w:rFonts w:ascii="Times New Roman" w:hAnsi="Times New Roman" w:cs="Times New Roman"/>
          <w:i/>
          <w:iCs/>
        </w:rPr>
        <w:t>History of the Federal Civil Service</w:t>
      </w:r>
      <w:r w:rsidR="0031523D">
        <w:rPr>
          <w:rFonts w:ascii="Times New Roman" w:hAnsi="Times New Roman" w:cs="Times New Roman"/>
          <w:i/>
          <w:iCs/>
        </w:rPr>
        <w:t>,</w:t>
      </w:r>
      <w:r w:rsidRPr="002318C9">
        <w:rPr>
          <w:rFonts w:ascii="Times New Roman" w:hAnsi="Times New Roman" w:cs="Times New Roman"/>
        </w:rPr>
        <w:t xml:space="preserve"> 10</w:t>
      </w:r>
      <w:r w:rsidR="00527622">
        <w:rPr>
          <w:rFonts w:ascii="Times New Roman" w:hAnsi="Times New Roman" w:cs="Times New Roman"/>
        </w:rPr>
        <w:t>-13;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527622">
        <w:rPr>
          <w:rFonts w:ascii="Times New Roman" w:hAnsi="Times New Roman" w:cs="Times New Roman"/>
        </w:rPr>
        <w:t xml:space="preserve"> 24-26</w:t>
      </w:r>
    </w:p>
  </w:footnote>
  <w:footnote w:id="187">
    <w:p w14:paraId="47FADA88" w14:textId="141ECCD3"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7622">
        <w:rPr>
          <w:rFonts w:ascii="Times New Roman" w:hAnsi="Times New Roman" w:cs="Times New Roman"/>
        </w:rPr>
        <w:t>Ibid</w:t>
      </w:r>
    </w:p>
  </w:footnote>
  <w:footnote w:id="188">
    <w:p w14:paraId="7D9E5FFB" w14:textId="0A5AE7D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7622">
        <w:rPr>
          <w:rFonts w:ascii="Times New Roman" w:hAnsi="Times New Roman" w:cs="Times New Roman"/>
        </w:rPr>
        <w:t>Ibid</w:t>
      </w:r>
    </w:p>
  </w:footnote>
  <w:footnote w:id="189">
    <w:p w14:paraId="3FD51273" w14:textId="06D7E42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7622">
        <w:rPr>
          <w:rFonts w:ascii="Times New Roman" w:hAnsi="Times New Roman" w:cs="Times New Roman"/>
        </w:rPr>
        <w:t>Ibid</w:t>
      </w:r>
    </w:p>
  </w:footnote>
  <w:footnote w:id="190">
    <w:p w14:paraId="6C319FC4"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91">
    <w:p w14:paraId="46CB01D0" w14:textId="125F184F" w:rsidR="006A6DED" w:rsidRPr="002C20F6" w:rsidRDefault="006A6DED" w:rsidP="002C20F6">
      <w:pPr>
        <w:pStyle w:val="FootnoteText"/>
        <w:rPr>
          <w:rFonts w:ascii="Times New Roman" w:hAnsi="Times New Roman" w:cs="Times New Roman"/>
        </w:rPr>
      </w:pPr>
      <w:r w:rsidRPr="002318C9">
        <w:rPr>
          <w:rStyle w:val="FootnoteReference"/>
          <w:rFonts w:ascii="Times New Roman" w:hAnsi="Times New Roman" w:cs="Times New Roman"/>
        </w:rPr>
        <w:footnoteRef/>
      </w:r>
      <w:r w:rsidRPr="002C20F6">
        <w:rPr>
          <w:rFonts w:ascii="Times New Roman" w:hAnsi="Times New Roman" w:cs="Times New Roman"/>
        </w:rPr>
        <w:t xml:space="preserve"> </w:t>
      </w:r>
      <w:bookmarkStart w:id="15" w:name="_Hlk197261837"/>
      <w:r w:rsidRPr="002C20F6">
        <w:rPr>
          <w:rFonts w:ascii="Times New Roman" w:hAnsi="Times New Roman" w:cs="Times New Roman"/>
        </w:rPr>
        <w:t>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7E1190">
        <w:rPr>
          <w:rFonts w:ascii="Times New Roman" w:hAnsi="Times New Roman" w:cs="Times New Roman"/>
          <w:i/>
          <w:iCs/>
        </w:rPr>
        <w:t>,</w:t>
      </w:r>
      <w:r w:rsidRPr="002C20F6">
        <w:rPr>
          <w:rFonts w:ascii="Times New Roman" w:hAnsi="Times New Roman" w:cs="Times New Roman"/>
        </w:rPr>
        <w:t xml:space="preserve"> 13-</w:t>
      </w:r>
      <w:r w:rsidR="00527622" w:rsidRPr="002C20F6">
        <w:rPr>
          <w:rFonts w:ascii="Times New Roman" w:hAnsi="Times New Roman" w:cs="Times New Roman"/>
        </w:rPr>
        <w:t>22;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527622" w:rsidRPr="002C20F6">
        <w:rPr>
          <w:rFonts w:ascii="Times New Roman" w:hAnsi="Times New Roman" w:cs="Times New Roman"/>
        </w:rPr>
        <w:t xml:space="preserve"> 27-41</w:t>
      </w:r>
      <w:bookmarkEnd w:id="15"/>
      <w:r w:rsidR="007203F3" w:rsidRPr="002C20F6">
        <w:rPr>
          <w:rFonts w:ascii="Times New Roman" w:hAnsi="Times New Roman" w:cs="Times New Roman"/>
        </w:rPr>
        <w:t>; Lee Benson</w:t>
      </w:r>
      <w:r w:rsidR="00071F06" w:rsidRPr="002C20F6">
        <w:rPr>
          <w:rFonts w:ascii="Times New Roman" w:hAnsi="Times New Roman" w:cs="Times New Roman"/>
        </w:rPr>
        <w:t xml:space="preserve">, </w:t>
      </w:r>
      <w:r w:rsidR="00071F06" w:rsidRPr="002C20F6">
        <w:rPr>
          <w:rFonts w:ascii="Times New Roman" w:hAnsi="Times New Roman" w:cs="Times New Roman"/>
          <w:i/>
          <w:iCs/>
        </w:rPr>
        <w:t>The Concept of Jacksonian Democracy: New York as a Test Case</w:t>
      </w:r>
      <w:r w:rsidR="00071F06" w:rsidRPr="002C20F6">
        <w:rPr>
          <w:rFonts w:ascii="Times New Roman" w:hAnsi="Times New Roman" w:cs="Times New Roman"/>
        </w:rPr>
        <w:t xml:space="preserve">. Princeton, NJ: Princeton University Press, 1961; William MacDonald, </w:t>
      </w:r>
      <w:r w:rsidR="00071F06" w:rsidRPr="002C20F6">
        <w:rPr>
          <w:rFonts w:ascii="Times New Roman" w:hAnsi="Times New Roman" w:cs="Times New Roman"/>
          <w:i/>
          <w:iCs/>
        </w:rPr>
        <w:t>Jacksonian Democracy, 1829-1837</w:t>
      </w:r>
      <w:r w:rsidR="00071F06" w:rsidRPr="002C20F6">
        <w:rPr>
          <w:rFonts w:ascii="Times New Roman" w:hAnsi="Times New Roman" w:cs="Times New Roman"/>
        </w:rPr>
        <w:t xml:space="preserve">. New York: Harper &amp; Brothers, 1906; </w:t>
      </w:r>
      <w:r w:rsidR="00367BB0" w:rsidRPr="002C20F6">
        <w:rPr>
          <w:rFonts w:ascii="Times New Roman" w:hAnsi="Times New Roman" w:cs="Times New Roman"/>
        </w:rPr>
        <w:t xml:space="preserve">William Nester, </w:t>
      </w:r>
      <w:r w:rsidR="00367BB0" w:rsidRPr="002C20F6">
        <w:rPr>
          <w:rFonts w:ascii="Times New Roman" w:hAnsi="Times New Roman" w:cs="Times New Roman"/>
          <w:i/>
          <w:iCs/>
        </w:rPr>
        <w:t>The Age of Jackson and the Art of American Power, 1815-1848</w:t>
      </w:r>
      <w:r w:rsidR="00367BB0" w:rsidRPr="002C20F6">
        <w:rPr>
          <w:rFonts w:ascii="Times New Roman" w:hAnsi="Times New Roman" w:cs="Times New Roman"/>
        </w:rPr>
        <w:t xml:space="preserve">. Washington, DC: Potomac Books, 2013; </w:t>
      </w:r>
      <w:r w:rsidR="00461FF4" w:rsidRPr="002C20F6">
        <w:rPr>
          <w:rFonts w:ascii="Times New Roman" w:hAnsi="Times New Roman" w:cs="Times New Roman"/>
        </w:rPr>
        <w:t xml:space="preserve">Edward Pessen, ed., </w:t>
      </w:r>
      <w:r w:rsidR="00461FF4" w:rsidRPr="002C20F6">
        <w:rPr>
          <w:rFonts w:ascii="Times New Roman" w:hAnsi="Times New Roman" w:cs="Times New Roman"/>
          <w:i/>
          <w:iCs/>
        </w:rPr>
        <w:t>New Perspectives on Jacksonian Parties and Politics</w:t>
      </w:r>
      <w:r w:rsidR="00461FF4" w:rsidRPr="002C20F6">
        <w:rPr>
          <w:rFonts w:ascii="Times New Roman" w:hAnsi="Times New Roman" w:cs="Times New Roman"/>
        </w:rPr>
        <w:t xml:space="preserve">. Boston: Allyn and Bacon, Inc., 1969; </w:t>
      </w:r>
      <w:r w:rsidR="002C20F6">
        <w:rPr>
          <w:rFonts w:ascii="Times New Roman" w:hAnsi="Times New Roman" w:cs="Times New Roman"/>
        </w:rPr>
        <w:t xml:space="preserve">Harry L. </w:t>
      </w:r>
      <w:r w:rsidR="002C20F6" w:rsidRPr="002C20F6">
        <w:rPr>
          <w:rFonts w:ascii="Times New Roman" w:hAnsi="Times New Roman" w:cs="Times New Roman"/>
        </w:rPr>
        <w:t xml:space="preserve">Watson, </w:t>
      </w:r>
      <w:r w:rsidR="002C20F6" w:rsidRPr="002C20F6">
        <w:rPr>
          <w:rFonts w:ascii="Times New Roman" w:hAnsi="Times New Roman" w:cs="Times New Roman"/>
          <w:i/>
          <w:iCs/>
        </w:rPr>
        <w:t>Liberty and Power: The Politics of Jacksonian America</w:t>
      </w:r>
      <w:r w:rsidR="002C20F6" w:rsidRPr="002C20F6">
        <w:rPr>
          <w:rFonts w:ascii="Times New Roman" w:hAnsi="Times New Roman" w:cs="Times New Roman"/>
        </w:rPr>
        <w:t>. New York: Hill &amp; Wang, 1990.</w:t>
      </w:r>
    </w:p>
  </w:footnote>
  <w:footnote w:id="192">
    <w:p w14:paraId="751159B5" w14:textId="1CEF045B"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7622">
        <w:rPr>
          <w:rFonts w:ascii="Times New Roman" w:hAnsi="Times New Roman" w:cs="Times New Roman"/>
        </w:rPr>
        <w:t>Ibid</w:t>
      </w:r>
    </w:p>
  </w:footnote>
  <w:footnote w:id="193">
    <w:p w14:paraId="35AB6A18" w14:textId="6D1036D0"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7622">
        <w:rPr>
          <w:rFonts w:ascii="Times New Roman" w:hAnsi="Times New Roman" w:cs="Times New Roman"/>
        </w:rPr>
        <w:t>Ibid</w:t>
      </w:r>
    </w:p>
  </w:footnote>
  <w:footnote w:id="194">
    <w:p w14:paraId="0C11DF95" w14:textId="187C909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7622">
        <w:rPr>
          <w:rFonts w:ascii="Times New Roman" w:hAnsi="Times New Roman" w:cs="Times New Roman"/>
        </w:rPr>
        <w:t>Ibid</w:t>
      </w:r>
    </w:p>
  </w:footnote>
  <w:footnote w:id="195">
    <w:p w14:paraId="24BB07D6" w14:textId="016A3BE2" w:rsidR="006A6DED" w:rsidRPr="00C14A8C"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7622">
        <w:rPr>
          <w:rFonts w:ascii="Times New Roman" w:hAnsi="Times New Roman" w:cs="Times New Roman"/>
        </w:rPr>
        <w:t>Ibid</w:t>
      </w:r>
      <w:r w:rsidRPr="002318C9">
        <w:rPr>
          <w:rFonts w:ascii="Times New Roman" w:hAnsi="Times New Roman" w:cs="Times New Roman"/>
        </w:rPr>
        <w:t xml:space="preserve">; </w:t>
      </w:r>
      <w:r w:rsidR="00C14A8C">
        <w:rPr>
          <w:rFonts w:ascii="Times New Roman" w:hAnsi="Times New Roman" w:cs="Times New Roman"/>
        </w:rPr>
        <w:t>Carl Joachim Friedrich</w:t>
      </w:r>
      <w:r w:rsidR="00C14A8C">
        <w:rPr>
          <w:rFonts w:ascii="Times New Roman" w:hAnsi="Times New Roman" w:cs="Times New Roman"/>
          <w:i/>
          <w:iCs/>
        </w:rPr>
        <w:t xml:space="preserve">, </w:t>
      </w:r>
      <w:r w:rsidR="00C14A8C">
        <w:rPr>
          <w:rFonts w:ascii="Times New Roman" w:hAnsi="Times New Roman" w:cs="Times New Roman"/>
        </w:rPr>
        <w:t xml:space="preserve">“The Rise and Decline of the Spoils Tradition.” </w:t>
      </w:r>
      <w:r w:rsidR="00C14A8C">
        <w:rPr>
          <w:rFonts w:ascii="Times New Roman" w:hAnsi="Times New Roman" w:cs="Times New Roman"/>
          <w:i/>
          <w:iCs/>
        </w:rPr>
        <w:t>The Annals of the American Academy of Political and Social Science</w:t>
      </w:r>
      <w:r w:rsidR="00C14A8C">
        <w:rPr>
          <w:rFonts w:ascii="Times New Roman" w:hAnsi="Times New Roman" w:cs="Times New Roman"/>
        </w:rPr>
        <w:t xml:space="preserve">. Vol. 189, Improved Personnel in Government Service, January 1937. </w:t>
      </w:r>
    </w:p>
  </w:footnote>
  <w:footnote w:id="196">
    <w:p w14:paraId="362852C4" w14:textId="6976F0D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A17CF" w:rsidRPr="008A17CF">
        <w:rPr>
          <w:rFonts w:ascii="Times New Roman" w:hAnsi="Times New Roman" w:cs="Times New Roman"/>
        </w:rPr>
        <w:t>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7E1190">
        <w:rPr>
          <w:rFonts w:ascii="Times New Roman" w:hAnsi="Times New Roman" w:cs="Times New Roman"/>
          <w:i/>
          <w:iCs/>
        </w:rPr>
        <w:t>,</w:t>
      </w:r>
      <w:r w:rsidR="008A17CF" w:rsidRPr="008A17CF">
        <w:rPr>
          <w:rFonts w:ascii="Times New Roman" w:hAnsi="Times New Roman" w:cs="Times New Roman"/>
        </w:rPr>
        <w:t xml:space="preserve"> 13-22;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8A17CF" w:rsidRPr="008A17CF">
        <w:rPr>
          <w:rFonts w:ascii="Times New Roman" w:hAnsi="Times New Roman" w:cs="Times New Roman"/>
        </w:rPr>
        <w:t xml:space="preserve"> 27-41</w:t>
      </w:r>
      <w:r w:rsidRPr="002318C9">
        <w:rPr>
          <w:rFonts w:ascii="Times New Roman" w:hAnsi="Times New Roman" w:cs="Times New Roman"/>
        </w:rPr>
        <w:t xml:space="preserve">; </w:t>
      </w:r>
      <w:r w:rsidR="00CD0363">
        <w:rPr>
          <w:rFonts w:ascii="Times New Roman" w:hAnsi="Times New Roman" w:cs="Times New Roman"/>
        </w:rPr>
        <w:t xml:space="preserve">Andrew </w:t>
      </w:r>
      <w:r w:rsidRPr="002318C9">
        <w:rPr>
          <w:rFonts w:ascii="Times New Roman" w:hAnsi="Times New Roman" w:cs="Times New Roman"/>
        </w:rPr>
        <w:t>Jackson</w:t>
      </w:r>
      <w:r w:rsidR="00CD0363">
        <w:rPr>
          <w:rFonts w:ascii="Times New Roman" w:hAnsi="Times New Roman" w:cs="Times New Roman"/>
        </w:rPr>
        <w:t xml:space="preserve">, </w:t>
      </w:r>
      <w:r w:rsidR="00CD0363">
        <w:rPr>
          <w:rFonts w:ascii="Times New Roman" w:hAnsi="Times New Roman" w:cs="Times New Roman"/>
          <w:i/>
          <w:iCs/>
        </w:rPr>
        <w:t>First Annual Message to Congress</w:t>
      </w:r>
      <w:r w:rsidR="00CD0363">
        <w:rPr>
          <w:rFonts w:ascii="Times New Roman" w:hAnsi="Times New Roman" w:cs="Times New Roman"/>
        </w:rPr>
        <w:t>, December 8, 1829.</w:t>
      </w:r>
    </w:p>
  </w:footnote>
  <w:footnote w:id="197">
    <w:p w14:paraId="43FC019E" w14:textId="4434DF53"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73F1" w:rsidRPr="002318C9">
        <w:rPr>
          <w:rFonts w:ascii="Times New Roman" w:hAnsi="Times New Roman" w:cs="Times New Roman"/>
        </w:rPr>
        <w:t>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7E1190">
        <w:rPr>
          <w:rFonts w:ascii="Times New Roman" w:hAnsi="Times New Roman" w:cs="Times New Roman"/>
          <w:i/>
          <w:iCs/>
        </w:rPr>
        <w:t>,</w:t>
      </w:r>
      <w:r w:rsidR="001173F1" w:rsidRPr="002318C9">
        <w:rPr>
          <w:rFonts w:ascii="Times New Roman" w:hAnsi="Times New Roman" w:cs="Times New Roman"/>
        </w:rPr>
        <w:t xml:space="preserve"> 13-</w:t>
      </w:r>
      <w:r w:rsidR="001173F1">
        <w:rPr>
          <w:rFonts w:ascii="Times New Roman" w:hAnsi="Times New Roman" w:cs="Times New Roman"/>
        </w:rPr>
        <w:t>22;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1173F1">
        <w:rPr>
          <w:rFonts w:ascii="Times New Roman" w:hAnsi="Times New Roman" w:cs="Times New Roman"/>
        </w:rPr>
        <w:t xml:space="preserve"> 27-41</w:t>
      </w:r>
      <w:r w:rsidRPr="002318C9">
        <w:rPr>
          <w:rFonts w:ascii="Times New Roman" w:hAnsi="Times New Roman" w:cs="Times New Roman"/>
        </w:rPr>
        <w:t xml:space="preserve">; </w:t>
      </w:r>
      <w:r w:rsidR="001173F1">
        <w:rPr>
          <w:rFonts w:ascii="Times New Roman" w:hAnsi="Times New Roman" w:cs="Times New Roman"/>
        </w:rPr>
        <w:t>Senator William L. Marcy,</w:t>
      </w:r>
      <w:r w:rsidR="001173F1">
        <w:rPr>
          <w:rFonts w:ascii="Times New Roman" w:hAnsi="Times New Roman" w:cs="Times New Roman"/>
          <w:i/>
          <w:iCs/>
        </w:rPr>
        <w:t xml:space="preserve"> Congressional Globe</w:t>
      </w:r>
      <w:r w:rsidR="001173F1">
        <w:rPr>
          <w:rFonts w:ascii="Times New Roman" w:hAnsi="Times New Roman" w:cs="Times New Roman"/>
        </w:rPr>
        <w:t>,</w:t>
      </w:r>
      <w:r w:rsidR="00CF2AF4">
        <w:rPr>
          <w:rFonts w:ascii="Times New Roman" w:hAnsi="Times New Roman" w:cs="Times New Roman"/>
        </w:rPr>
        <w:t xml:space="preserve"> 22</w:t>
      </w:r>
      <w:r w:rsidR="00CF2AF4" w:rsidRPr="00CF2AF4">
        <w:rPr>
          <w:rFonts w:ascii="Times New Roman" w:hAnsi="Times New Roman" w:cs="Times New Roman"/>
          <w:vertAlign w:val="superscript"/>
        </w:rPr>
        <w:t>nd</w:t>
      </w:r>
      <w:r w:rsidR="00CF2AF4">
        <w:rPr>
          <w:rFonts w:ascii="Times New Roman" w:hAnsi="Times New Roman" w:cs="Times New Roman"/>
        </w:rPr>
        <w:t xml:space="preserve"> Congress, 1</w:t>
      </w:r>
      <w:r w:rsidR="00CF2AF4" w:rsidRPr="00CF2AF4">
        <w:rPr>
          <w:rFonts w:ascii="Times New Roman" w:hAnsi="Times New Roman" w:cs="Times New Roman"/>
          <w:vertAlign w:val="superscript"/>
        </w:rPr>
        <w:t>st</w:t>
      </w:r>
      <w:r w:rsidR="00CF2AF4">
        <w:rPr>
          <w:rFonts w:ascii="Times New Roman" w:hAnsi="Times New Roman" w:cs="Times New Roman"/>
        </w:rPr>
        <w:t xml:space="preserve"> Session, </w:t>
      </w:r>
      <w:r w:rsidR="001173F1">
        <w:rPr>
          <w:rFonts w:ascii="Times New Roman" w:hAnsi="Times New Roman" w:cs="Times New Roman"/>
        </w:rPr>
        <w:t>January 25, 1832</w:t>
      </w:r>
      <w:r w:rsidR="00CF2AF4">
        <w:rPr>
          <w:rFonts w:ascii="Times New Roman" w:hAnsi="Times New Roman" w:cs="Times New Roman"/>
        </w:rPr>
        <w:t>. 97-99</w:t>
      </w:r>
    </w:p>
  </w:footnote>
  <w:footnote w:id="198">
    <w:p w14:paraId="35D6F120" w14:textId="14526366"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73F1" w:rsidRPr="002318C9">
        <w:rPr>
          <w:rFonts w:ascii="Times New Roman" w:hAnsi="Times New Roman" w:cs="Times New Roman"/>
        </w:rPr>
        <w:t>USCSC 13-</w:t>
      </w:r>
      <w:r w:rsidR="001173F1">
        <w:rPr>
          <w:rFonts w:ascii="Times New Roman" w:hAnsi="Times New Roman" w:cs="Times New Roman"/>
        </w:rPr>
        <w:t>22</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1173F1">
        <w:rPr>
          <w:rFonts w:ascii="Times New Roman" w:hAnsi="Times New Roman" w:cs="Times New Roman"/>
        </w:rPr>
        <w:t>;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1173F1">
        <w:rPr>
          <w:rFonts w:ascii="Times New Roman" w:hAnsi="Times New Roman" w:cs="Times New Roman"/>
        </w:rPr>
        <w:t xml:space="preserve"> 27-41</w:t>
      </w:r>
    </w:p>
  </w:footnote>
  <w:footnote w:id="199">
    <w:p w14:paraId="11ED3397" w14:textId="1ECC3C2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73F1">
        <w:rPr>
          <w:rFonts w:ascii="Times New Roman" w:hAnsi="Times New Roman" w:cs="Times New Roman"/>
        </w:rPr>
        <w:t>Ibid</w:t>
      </w:r>
    </w:p>
  </w:footnote>
  <w:footnote w:id="200">
    <w:p w14:paraId="53E0EEF6" w14:textId="7ACAD8D2" w:rsidR="006A6DED" w:rsidRPr="0098781E" w:rsidRDefault="006A6DED" w:rsidP="0098781E">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44AC5">
        <w:rPr>
          <w:rFonts w:ascii="Times New Roman" w:hAnsi="Times New Roman" w:cs="Times New Roman"/>
        </w:rPr>
        <w:t>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7E1190">
        <w:rPr>
          <w:rFonts w:ascii="Times New Roman" w:hAnsi="Times New Roman" w:cs="Times New Roman"/>
          <w:i/>
          <w:iCs/>
        </w:rPr>
        <w:t>,</w:t>
      </w:r>
      <w:r w:rsidRPr="002318C9">
        <w:rPr>
          <w:rFonts w:ascii="Times New Roman" w:hAnsi="Times New Roman" w:cs="Times New Roman"/>
        </w:rPr>
        <w:t xml:space="preserve"> 21-22</w:t>
      </w:r>
      <w:r w:rsidR="00D44AC5">
        <w:rPr>
          <w:rFonts w:ascii="Times New Roman" w:hAnsi="Times New Roman" w:cs="Times New Roman"/>
        </w:rPr>
        <w:t>;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D44AC5">
        <w:rPr>
          <w:rFonts w:ascii="Times New Roman" w:hAnsi="Times New Roman" w:cs="Times New Roman"/>
        </w:rPr>
        <w:t xml:space="preserve"> 33-41</w:t>
      </w:r>
      <w:r w:rsidR="00DF2A37">
        <w:rPr>
          <w:rFonts w:ascii="Times New Roman" w:hAnsi="Times New Roman" w:cs="Times New Roman"/>
        </w:rPr>
        <w:t>;</w:t>
      </w:r>
      <w:r w:rsidR="00DF2A37" w:rsidRPr="00DF2A37">
        <w:rPr>
          <w:rFonts w:ascii="Times New Roman" w:hAnsi="Times New Roman" w:cs="Times New Roman"/>
        </w:rPr>
        <w:t xml:space="preserve"> </w:t>
      </w:r>
      <w:r w:rsidR="00DF2A37">
        <w:rPr>
          <w:rFonts w:ascii="Times New Roman" w:hAnsi="Times New Roman" w:cs="Times New Roman"/>
        </w:rPr>
        <w:t>Watson</w:t>
      </w:r>
      <w:r w:rsidR="00E06483">
        <w:rPr>
          <w:rFonts w:ascii="Times New Roman" w:hAnsi="Times New Roman" w:cs="Times New Roman"/>
        </w:rPr>
        <w:t xml:space="preserve">, </w:t>
      </w:r>
      <w:r w:rsidR="00E06483">
        <w:rPr>
          <w:rFonts w:ascii="Times New Roman" w:hAnsi="Times New Roman" w:cs="Times New Roman"/>
          <w:i/>
          <w:iCs/>
        </w:rPr>
        <w:t>Liberty and Power</w:t>
      </w:r>
      <w:r w:rsidR="00DF2A37">
        <w:rPr>
          <w:rFonts w:ascii="Times New Roman" w:hAnsi="Times New Roman" w:cs="Times New Roman"/>
        </w:rPr>
        <w:t xml:space="preserve">; </w:t>
      </w:r>
      <w:r w:rsidR="0040358A">
        <w:rPr>
          <w:rFonts w:ascii="Times New Roman" w:hAnsi="Times New Roman" w:cs="Times New Roman"/>
        </w:rPr>
        <w:t xml:space="preserve">Joel H. </w:t>
      </w:r>
      <w:r w:rsidR="0040358A" w:rsidRPr="0040358A">
        <w:rPr>
          <w:rFonts w:ascii="Times New Roman" w:hAnsi="Times New Roman" w:cs="Times New Roman"/>
        </w:rPr>
        <w:t xml:space="preserve">Silbey, </w:t>
      </w:r>
      <w:r w:rsidR="0040358A" w:rsidRPr="0040358A">
        <w:rPr>
          <w:rFonts w:ascii="Times New Roman" w:hAnsi="Times New Roman" w:cs="Times New Roman"/>
          <w:i/>
          <w:iCs/>
        </w:rPr>
        <w:t>Martin Van Buren and the Emergence of American Popular Politics</w:t>
      </w:r>
      <w:r w:rsidR="0040358A" w:rsidRPr="0040358A">
        <w:rPr>
          <w:rFonts w:ascii="Times New Roman" w:hAnsi="Times New Roman" w:cs="Times New Roman"/>
        </w:rPr>
        <w:t>. Lanham, MD: Rowman &amp; Littlefield Publishers, Inc., 2002</w:t>
      </w:r>
      <w:r w:rsidR="0040358A">
        <w:rPr>
          <w:rFonts w:ascii="Times New Roman" w:hAnsi="Times New Roman" w:cs="Times New Roman"/>
        </w:rPr>
        <w:t xml:space="preserve">; John </w:t>
      </w:r>
      <w:r w:rsidR="0040358A" w:rsidRPr="0040358A">
        <w:rPr>
          <w:rFonts w:ascii="Times New Roman" w:hAnsi="Times New Roman" w:cs="Times New Roman"/>
        </w:rPr>
        <w:t xml:space="preserve">Niven, </w:t>
      </w:r>
      <w:r w:rsidR="0040358A" w:rsidRPr="0040358A">
        <w:rPr>
          <w:rFonts w:ascii="Times New Roman" w:hAnsi="Times New Roman" w:cs="Times New Roman"/>
          <w:i/>
          <w:iCs/>
        </w:rPr>
        <w:t>Martin Van Buren: The Romantic Age of American Politics</w:t>
      </w:r>
      <w:r w:rsidR="0040358A" w:rsidRPr="0040358A">
        <w:rPr>
          <w:rFonts w:ascii="Times New Roman" w:hAnsi="Times New Roman" w:cs="Times New Roman"/>
        </w:rPr>
        <w:t>. New York: Oxford University Press, 1983</w:t>
      </w:r>
      <w:r w:rsidR="0040358A">
        <w:rPr>
          <w:rFonts w:ascii="Times New Roman" w:hAnsi="Times New Roman" w:cs="Times New Roman"/>
        </w:rPr>
        <w:t xml:space="preserve">; </w:t>
      </w:r>
      <w:r w:rsidR="00B140CB">
        <w:rPr>
          <w:rFonts w:ascii="Times New Roman" w:hAnsi="Times New Roman" w:cs="Times New Roman"/>
        </w:rPr>
        <w:t xml:space="preserve">Donald B. </w:t>
      </w:r>
      <w:r w:rsidR="00B140CB" w:rsidRPr="00B140CB">
        <w:rPr>
          <w:rFonts w:ascii="Times New Roman" w:hAnsi="Times New Roman" w:cs="Times New Roman"/>
        </w:rPr>
        <w:t xml:space="preserve">Cole, </w:t>
      </w:r>
      <w:r w:rsidR="00B140CB" w:rsidRPr="00B140CB">
        <w:rPr>
          <w:rFonts w:ascii="Times New Roman" w:hAnsi="Times New Roman" w:cs="Times New Roman"/>
          <w:i/>
          <w:iCs/>
        </w:rPr>
        <w:t>Martin Van Buren and the American Political System</w:t>
      </w:r>
      <w:r w:rsidR="00B140CB" w:rsidRPr="00B140CB">
        <w:rPr>
          <w:rFonts w:ascii="Times New Roman" w:hAnsi="Times New Roman" w:cs="Times New Roman"/>
        </w:rPr>
        <w:t>. Princeton, NJ: Princeton University Press, 1984</w:t>
      </w:r>
      <w:r w:rsidR="00B140CB">
        <w:rPr>
          <w:rFonts w:ascii="Times New Roman" w:hAnsi="Times New Roman" w:cs="Times New Roman"/>
        </w:rPr>
        <w:t xml:space="preserve">; </w:t>
      </w:r>
      <w:r w:rsidR="0098781E">
        <w:rPr>
          <w:rFonts w:ascii="Times New Roman" w:hAnsi="Times New Roman" w:cs="Times New Roman"/>
        </w:rPr>
        <w:t xml:space="preserve">Jerome </w:t>
      </w:r>
      <w:r w:rsidR="0098781E" w:rsidRPr="0098781E">
        <w:rPr>
          <w:rFonts w:ascii="Times New Roman" w:hAnsi="Times New Roman" w:cs="Times New Roman"/>
        </w:rPr>
        <w:t>Mushkat</w:t>
      </w:r>
      <w:r w:rsidR="0098781E">
        <w:rPr>
          <w:rFonts w:ascii="Times New Roman" w:hAnsi="Times New Roman" w:cs="Times New Roman"/>
        </w:rPr>
        <w:t xml:space="preserve"> </w:t>
      </w:r>
      <w:r w:rsidR="0098781E" w:rsidRPr="0098781E">
        <w:rPr>
          <w:rFonts w:ascii="Times New Roman" w:hAnsi="Times New Roman" w:cs="Times New Roman"/>
        </w:rPr>
        <w:t xml:space="preserve">and Joseph G. Rayback. </w:t>
      </w:r>
      <w:r w:rsidR="0098781E" w:rsidRPr="0098781E">
        <w:rPr>
          <w:rFonts w:ascii="Times New Roman" w:hAnsi="Times New Roman" w:cs="Times New Roman"/>
          <w:i/>
          <w:iCs/>
        </w:rPr>
        <w:t>Martin Van Buren: Law, Politics, and the Shaping of Republican Ideology</w:t>
      </w:r>
      <w:r w:rsidR="0098781E" w:rsidRPr="0098781E">
        <w:rPr>
          <w:rFonts w:ascii="Times New Roman" w:hAnsi="Times New Roman" w:cs="Times New Roman"/>
        </w:rPr>
        <w:t>. DeKalb, IL: Northern Illinois Press, 1997.</w:t>
      </w:r>
    </w:p>
  </w:footnote>
  <w:footnote w:id="201">
    <w:p w14:paraId="773C3BAA" w14:textId="596168E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66668">
        <w:rPr>
          <w:rFonts w:ascii="Times New Roman" w:hAnsi="Times New Roman" w:cs="Times New Roman"/>
        </w:rPr>
        <w:t>Ibid</w:t>
      </w:r>
    </w:p>
  </w:footnote>
  <w:footnote w:id="202">
    <w:p w14:paraId="5CC9E2F7" w14:textId="1386CD8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66668">
        <w:rPr>
          <w:rFonts w:ascii="Times New Roman" w:hAnsi="Times New Roman" w:cs="Times New Roman"/>
        </w:rPr>
        <w:t>Ibid</w:t>
      </w:r>
    </w:p>
  </w:footnote>
  <w:footnote w:id="203">
    <w:p w14:paraId="48150176" w14:textId="303B960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66668">
        <w:rPr>
          <w:rFonts w:ascii="Times New Roman" w:hAnsi="Times New Roman" w:cs="Times New Roman"/>
        </w:rPr>
        <w:t>Ibid</w:t>
      </w:r>
    </w:p>
  </w:footnote>
  <w:footnote w:id="204">
    <w:p w14:paraId="68E5DCA3" w14:textId="10BAF90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34055">
        <w:rPr>
          <w:rFonts w:ascii="Times New Roman" w:hAnsi="Times New Roman" w:cs="Times New Roman"/>
        </w:rPr>
        <w:t>Watson</w:t>
      </w:r>
      <w:r w:rsidR="00E06483">
        <w:rPr>
          <w:rFonts w:ascii="Times New Roman" w:hAnsi="Times New Roman" w:cs="Times New Roman"/>
        </w:rPr>
        <w:t xml:space="preserve">, </w:t>
      </w:r>
      <w:r w:rsidR="00E06483">
        <w:rPr>
          <w:rFonts w:ascii="Times New Roman" w:hAnsi="Times New Roman" w:cs="Times New Roman"/>
          <w:i/>
          <w:iCs/>
        </w:rPr>
        <w:t>Liberty and Power</w:t>
      </w:r>
      <w:r w:rsidR="00734055">
        <w:rPr>
          <w:rFonts w:ascii="Times New Roman" w:hAnsi="Times New Roman" w:cs="Times New Roman"/>
        </w:rPr>
        <w:t>; Howe</w:t>
      </w:r>
      <w:r w:rsidR="00E06483">
        <w:rPr>
          <w:rFonts w:ascii="Times New Roman" w:hAnsi="Times New Roman" w:cs="Times New Roman"/>
        </w:rPr>
        <w:t>, “Is the Republican Party in Its Death-Struggle?”</w:t>
      </w:r>
      <w:r w:rsidR="00734055">
        <w:rPr>
          <w:rFonts w:ascii="Times New Roman" w:hAnsi="Times New Roman" w:cs="Times New Roman"/>
        </w:rPr>
        <w:t xml:space="preserve">; </w:t>
      </w:r>
      <w:r w:rsidR="00734055" w:rsidRPr="00734055">
        <w:rPr>
          <w:rFonts w:ascii="Times New Roman" w:hAnsi="Times New Roman" w:cs="Times New Roman"/>
        </w:rPr>
        <w:t xml:space="preserve">Silbey, </w:t>
      </w:r>
      <w:r w:rsidR="00734055" w:rsidRPr="00734055">
        <w:rPr>
          <w:rFonts w:ascii="Times New Roman" w:hAnsi="Times New Roman" w:cs="Times New Roman"/>
          <w:i/>
          <w:iCs/>
        </w:rPr>
        <w:t>Martin Van Buren</w:t>
      </w:r>
      <w:r w:rsidR="00734055" w:rsidRPr="00734055">
        <w:rPr>
          <w:rFonts w:ascii="Times New Roman" w:hAnsi="Times New Roman" w:cs="Times New Roman"/>
        </w:rPr>
        <w:t>; Niven</w:t>
      </w:r>
      <w:r w:rsidR="00E06483">
        <w:rPr>
          <w:rFonts w:ascii="Times New Roman" w:hAnsi="Times New Roman" w:cs="Times New Roman"/>
        </w:rPr>
        <w:t xml:space="preserve">, </w:t>
      </w:r>
      <w:r w:rsidR="00E06483">
        <w:rPr>
          <w:rFonts w:ascii="Times New Roman" w:hAnsi="Times New Roman" w:cs="Times New Roman"/>
          <w:i/>
          <w:iCs/>
        </w:rPr>
        <w:t>Martin Van Buren</w:t>
      </w:r>
      <w:r w:rsidR="00734055">
        <w:rPr>
          <w:rFonts w:ascii="Times New Roman" w:hAnsi="Times New Roman" w:cs="Times New Roman"/>
        </w:rPr>
        <w:t>;</w:t>
      </w:r>
      <w:r w:rsidR="00734055" w:rsidRPr="00734055">
        <w:rPr>
          <w:rFonts w:ascii="Times New Roman" w:hAnsi="Times New Roman" w:cs="Times New Roman"/>
        </w:rPr>
        <w:t xml:space="preserve"> </w:t>
      </w:r>
      <w:r w:rsidR="00734055">
        <w:rPr>
          <w:rFonts w:ascii="Times New Roman" w:hAnsi="Times New Roman" w:cs="Times New Roman"/>
        </w:rPr>
        <w:t>Nester</w:t>
      </w:r>
      <w:r w:rsidR="00E06483">
        <w:rPr>
          <w:rFonts w:ascii="Times New Roman" w:hAnsi="Times New Roman" w:cs="Times New Roman"/>
        </w:rPr>
        <w:t xml:space="preserve">, </w:t>
      </w:r>
      <w:r w:rsidR="00E06483">
        <w:rPr>
          <w:rFonts w:ascii="Times New Roman" w:hAnsi="Times New Roman" w:cs="Times New Roman"/>
          <w:i/>
          <w:iCs/>
        </w:rPr>
        <w:t>Age of Jackson</w:t>
      </w:r>
      <w:r w:rsidR="00734055">
        <w:rPr>
          <w:rFonts w:ascii="Times New Roman" w:hAnsi="Times New Roman" w:cs="Times New Roman"/>
        </w:rPr>
        <w:t>; Pessen</w:t>
      </w:r>
      <w:r w:rsidR="00E06483">
        <w:rPr>
          <w:rFonts w:ascii="Times New Roman" w:hAnsi="Times New Roman" w:cs="Times New Roman"/>
        </w:rPr>
        <w:t xml:space="preserve">, </w:t>
      </w:r>
      <w:r w:rsidR="00E06483">
        <w:rPr>
          <w:rFonts w:ascii="Times New Roman" w:hAnsi="Times New Roman" w:cs="Times New Roman"/>
          <w:i/>
          <w:iCs/>
        </w:rPr>
        <w:t>New Perspectives</w:t>
      </w:r>
      <w:r w:rsidR="00734055">
        <w:rPr>
          <w:rFonts w:ascii="Times New Roman" w:hAnsi="Times New Roman" w:cs="Times New Roman"/>
        </w:rPr>
        <w:t>; Cole</w:t>
      </w:r>
      <w:r w:rsidR="00E06483">
        <w:rPr>
          <w:rFonts w:ascii="Times New Roman" w:hAnsi="Times New Roman" w:cs="Times New Roman"/>
        </w:rPr>
        <w:t xml:space="preserve">, </w:t>
      </w:r>
      <w:r w:rsidR="00E06483">
        <w:rPr>
          <w:rFonts w:ascii="Times New Roman" w:hAnsi="Times New Roman" w:cs="Times New Roman"/>
          <w:i/>
          <w:iCs/>
        </w:rPr>
        <w:t>Martin Van Buren</w:t>
      </w:r>
      <w:r w:rsidR="00734055">
        <w:rPr>
          <w:rFonts w:ascii="Times New Roman" w:hAnsi="Times New Roman" w:cs="Times New Roman"/>
        </w:rPr>
        <w:t xml:space="preserve">; Daniel Walker </w:t>
      </w:r>
      <w:r w:rsidR="00734055" w:rsidRPr="00734055">
        <w:rPr>
          <w:rFonts w:ascii="Times New Roman" w:hAnsi="Times New Roman" w:cs="Times New Roman"/>
        </w:rPr>
        <w:t xml:space="preserve">Howe, </w:t>
      </w:r>
      <w:r w:rsidR="00734055" w:rsidRPr="00734055">
        <w:rPr>
          <w:rFonts w:ascii="Times New Roman" w:hAnsi="Times New Roman" w:cs="Times New Roman"/>
          <w:i/>
          <w:iCs/>
        </w:rPr>
        <w:t>What Hath God Wrought: The Transformation of America, 1815-1848</w:t>
      </w:r>
      <w:r w:rsidR="00734055" w:rsidRPr="00734055">
        <w:rPr>
          <w:rFonts w:ascii="Times New Roman" w:hAnsi="Times New Roman" w:cs="Times New Roman"/>
        </w:rPr>
        <w:t>. New York: Oxford University Press, 2007</w:t>
      </w:r>
      <w:r w:rsidR="00734055">
        <w:rPr>
          <w:rFonts w:ascii="Times New Roman" w:hAnsi="Times New Roman" w:cs="Times New Roman"/>
        </w:rPr>
        <w:t>.</w:t>
      </w:r>
    </w:p>
  </w:footnote>
  <w:footnote w:id="205">
    <w:p w14:paraId="554E5213" w14:textId="7F9ACF27" w:rsidR="006A6DED" w:rsidRPr="00734055"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7E1190">
        <w:rPr>
          <w:rFonts w:ascii="Times New Roman" w:hAnsi="Times New Roman" w:cs="Times New Roman"/>
          <w:i/>
          <w:iCs/>
        </w:rPr>
        <w:t>,</w:t>
      </w:r>
      <w:r w:rsidRPr="002318C9">
        <w:rPr>
          <w:rFonts w:ascii="Times New Roman" w:hAnsi="Times New Roman" w:cs="Times New Roman"/>
        </w:rPr>
        <w:t xml:space="preserve"> 23-</w:t>
      </w:r>
      <w:r w:rsidR="00734055">
        <w:rPr>
          <w:rFonts w:ascii="Times New Roman" w:hAnsi="Times New Roman" w:cs="Times New Roman"/>
        </w:rPr>
        <w:t>5</w:t>
      </w:r>
      <w:r w:rsidRPr="002318C9">
        <w:rPr>
          <w:rFonts w:ascii="Times New Roman" w:hAnsi="Times New Roman" w:cs="Times New Roman"/>
        </w:rPr>
        <w:t xml:space="preserve">; </w:t>
      </w:r>
      <w:r w:rsidR="00734055">
        <w:rPr>
          <w:rFonts w:ascii="Times New Roman" w:hAnsi="Times New Roman" w:cs="Times New Roman"/>
        </w:rPr>
        <w:t xml:space="preserve">Van Riper, </w:t>
      </w:r>
      <w:r w:rsidR="0031523D" w:rsidRPr="0031523D">
        <w:rPr>
          <w:rFonts w:ascii="Times New Roman" w:hAnsi="Times New Roman" w:cs="Times New Roman"/>
          <w:i/>
          <w:iCs/>
        </w:rPr>
        <w:t>History of the United States Civil Service</w:t>
      </w:r>
      <w:r w:rsidR="0031523D">
        <w:rPr>
          <w:rFonts w:ascii="Times New Roman" w:hAnsi="Times New Roman" w:cs="Times New Roman"/>
        </w:rPr>
        <w:t xml:space="preserve">, </w:t>
      </w:r>
      <w:r w:rsidR="00734055">
        <w:rPr>
          <w:rFonts w:ascii="Times New Roman" w:hAnsi="Times New Roman" w:cs="Times New Roman"/>
        </w:rPr>
        <w:t xml:space="preserve">41-51; William Henry Harrison, </w:t>
      </w:r>
      <w:r w:rsidR="00734055">
        <w:rPr>
          <w:rFonts w:ascii="Times New Roman" w:hAnsi="Times New Roman" w:cs="Times New Roman"/>
          <w:i/>
          <w:iCs/>
        </w:rPr>
        <w:t>Inaugural Address</w:t>
      </w:r>
      <w:r w:rsidR="00734055">
        <w:rPr>
          <w:rFonts w:ascii="Times New Roman" w:hAnsi="Times New Roman" w:cs="Times New Roman"/>
        </w:rPr>
        <w:t>, March 4, 1841.</w:t>
      </w:r>
    </w:p>
  </w:footnote>
  <w:footnote w:id="206">
    <w:p w14:paraId="38AF7C38" w14:textId="5D1DD917" w:rsidR="006A6DED" w:rsidRPr="008834C2"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7E1190">
        <w:rPr>
          <w:rFonts w:ascii="Times New Roman" w:hAnsi="Times New Roman" w:cs="Times New Roman"/>
          <w:i/>
          <w:iCs/>
        </w:rPr>
        <w:t>,</w:t>
      </w:r>
      <w:r w:rsidRPr="002318C9">
        <w:rPr>
          <w:rFonts w:ascii="Times New Roman" w:hAnsi="Times New Roman" w:cs="Times New Roman"/>
        </w:rPr>
        <w:t xml:space="preserve"> 2</w:t>
      </w:r>
      <w:r w:rsidR="00734055">
        <w:rPr>
          <w:rFonts w:ascii="Times New Roman" w:hAnsi="Times New Roman" w:cs="Times New Roman"/>
        </w:rPr>
        <w:t>3-25</w:t>
      </w:r>
      <w:r w:rsidRPr="002318C9">
        <w:rPr>
          <w:rFonts w:ascii="Times New Roman" w:hAnsi="Times New Roman" w:cs="Times New Roman"/>
        </w:rPr>
        <w:t xml:space="preserve">; </w:t>
      </w:r>
      <w:r w:rsidR="00734055">
        <w:rPr>
          <w:rFonts w:ascii="Times New Roman" w:hAnsi="Times New Roman" w:cs="Times New Roman"/>
        </w:rPr>
        <w:t>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734055">
        <w:rPr>
          <w:rFonts w:ascii="Times New Roman" w:hAnsi="Times New Roman" w:cs="Times New Roman"/>
        </w:rPr>
        <w:t xml:space="preserve"> 41-43; </w:t>
      </w:r>
      <w:r w:rsidR="008834C2">
        <w:rPr>
          <w:rFonts w:ascii="Times New Roman" w:hAnsi="Times New Roman" w:cs="Times New Roman"/>
        </w:rPr>
        <w:t xml:space="preserve">Norma Lois </w:t>
      </w:r>
      <w:r w:rsidR="00734055">
        <w:rPr>
          <w:rFonts w:ascii="Times New Roman" w:hAnsi="Times New Roman" w:cs="Times New Roman"/>
        </w:rPr>
        <w:t>Peterson</w:t>
      </w:r>
      <w:r w:rsidR="008834C2">
        <w:rPr>
          <w:rFonts w:ascii="Times New Roman" w:hAnsi="Times New Roman" w:cs="Times New Roman"/>
        </w:rPr>
        <w:t xml:space="preserve">, </w:t>
      </w:r>
      <w:r w:rsidR="008834C2">
        <w:rPr>
          <w:rFonts w:ascii="Times New Roman" w:hAnsi="Times New Roman" w:cs="Times New Roman"/>
          <w:i/>
          <w:iCs/>
        </w:rPr>
        <w:t>The Presidencies of William Henry Harrison and John Tyler</w:t>
      </w:r>
      <w:r w:rsidR="008834C2">
        <w:rPr>
          <w:rFonts w:ascii="Times New Roman" w:hAnsi="Times New Roman" w:cs="Times New Roman"/>
        </w:rPr>
        <w:t>. Lawrence: University of Kansas Press, 1989</w:t>
      </w:r>
      <w:r w:rsidR="00734055">
        <w:rPr>
          <w:rFonts w:ascii="Times New Roman" w:hAnsi="Times New Roman" w:cs="Times New Roman"/>
        </w:rPr>
        <w:t>;</w:t>
      </w:r>
      <w:r w:rsidR="008834C2">
        <w:rPr>
          <w:rFonts w:ascii="Times New Roman" w:hAnsi="Times New Roman" w:cs="Times New Roman"/>
        </w:rPr>
        <w:t xml:space="preserve"> Christopher J. Leahy, </w:t>
      </w:r>
      <w:r w:rsidR="008834C2">
        <w:rPr>
          <w:rFonts w:ascii="Times New Roman" w:hAnsi="Times New Roman" w:cs="Times New Roman"/>
          <w:i/>
          <w:iCs/>
        </w:rPr>
        <w:t>President Without a Party: The Life of John Tyler</w:t>
      </w:r>
      <w:r w:rsidR="008834C2">
        <w:rPr>
          <w:rFonts w:ascii="Times New Roman" w:hAnsi="Times New Roman" w:cs="Times New Roman"/>
        </w:rPr>
        <w:t>. Baton Rouge: Louisiana State University Press, 2020.</w:t>
      </w:r>
    </w:p>
  </w:footnote>
  <w:footnote w:id="207">
    <w:p w14:paraId="3F3D379A" w14:textId="58613F83"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7E1190">
        <w:rPr>
          <w:rFonts w:ascii="Times New Roman" w:hAnsi="Times New Roman" w:cs="Times New Roman"/>
          <w:i/>
          <w:iCs/>
        </w:rPr>
        <w:t>,</w:t>
      </w:r>
      <w:r w:rsidRPr="002318C9">
        <w:rPr>
          <w:rFonts w:ascii="Times New Roman" w:hAnsi="Times New Roman" w:cs="Times New Roman"/>
        </w:rPr>
        <w:t xml:space="preserve"> 2</w:t>
      </w:r>
      <w:r w:rsidR="00734055">
        <w:rPr>
          <w:rFonts w:ascii="Times New Roman" w:hAnsi="Times New Roman" w:cs="Times New Roman"/>
        </w:rPr>
        <w:t>3</w:t>
      </w:r>
      <w:r w:rsidRPr="002318C9">
        <w:rPr>
          <w:rFonts w:ascii="Times New Roman" w:hAnsi="Times New Roman" w:cs="Times New Roman"/>
        </w:rPr>
        <w:t>-25</w:t>
      </w:r>
      <w:r w:rsidR="006B6428">
        <w:rPr>
          <w:rFonts w:ascii="Times New Roman" w:hAnsi="Times New Roman" w:cs="Times New Roman"/>
        </w:rPr>
        <w:t>;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6B6428">
        <w:rPr>
          <w:rFonts w:ascii="Times New Roman" w:hAnsi="Times New Roman" w:cs="Times New Roman"/>
        </w:rPr>
        <w:t xml:space="preserve"> 41-51</w:t>
      </w:r>
    </w:p>
  </w:footnote>
  <w:footnote w:id="208">
    <w:p w14:paraId="2A8ADED2" w14:textId="02CB8E8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7E1190">
        <w:rPr>
          <w:rFonts w:ascii="Times New Roman" w:hAnsi="Times New Roman" w:cs="Times New Roman"/>
          <w:i/>
          <w:iCs/>
        </w:rPr>
        <w:t>,</w:t>
      </w:r>
      <w:r w:rsidRPr="002318C9">
        <w:rPr>
          <w:rFonts w:ascii="Times New Roman" w:hAnsi="Times New Roman" w:cs="Times New Roman"/>
        </w:rPr>
        <w:t xml:space="preserve"> 23-</w:t>
      </w:r>
      <w:r w:rsidR="00957852">
        <w:rPr>
          <w:rFonts w:ascii="Times New Roman" w:hAnsi="Times New Roman" w:cs="Times New Roman"/>
        </w:rPr>
        <w:t>31</w:t>
      </w:r>
      <w:r w:rsidRPr="002318C9">
        <w:rPr>
          <w:rFonts w:ascii="Times New Roman" w:hAnsi="Times New Roman" w:cs="Times New Roman"/>
        </w:rPr>
        <w:t>;</w:t>
      </w:r>
      <w:r w:rsidR="006C073F">
        <w:rPr>
          <w:rFonts w:ascii="Times New Roman" w:hAnsi="Times New Roman" w:cs="Times New Roman"/>
        </w:rPr>
        <w:t xml:space="preserve">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6C073F">
        <w:rPr>
          <w:rFonts w:ascii="Times New Roman" w:hAnsi="Times New Roman" w:cs="Times New Roman"/>
        </w:rPr>
        <w:t xml:space="preserve"> 44-60</w:t>
      </w:r>
    </w:p>
  </w:footnote>
  <w:footnote w:id="209">
    <w:p w14:paraId="2C92E9E5" w14:textId="1569B2E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57852">
        <w:rPr>
          <w:rFonts w:ascii="Times New Roman" w:hAnsi="Times New Roman" w:cs="Times New Roman"/>
        </w:rPr>
        <w:t>Ibid</w:t>
      </w:r>
    </w:p>
  </w:footnote>
  <w:footnote w:id="210">
    <w:p w14:paraId="1B23B43C" w14:textId="117AAC8F" w:rsidR="006A6DED" w:rsidRPr="00957852"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57852">
        <w:rPr>
          <w:rFonts w:ascii="Times New Roman" w:hAnsi="Times New Roman" w:cs="Times New Roman"/>
        </w:rPr>
        <w:t xml:space="preserve">Ibid; Joseph Reese Fry, </w:t>
      </w:r>
      <w:r w:rsidR="00957852">
        <w:rPr>
          <w:rFonts w:ascii="Times New Roman" w:hAnsi="Times New Roman" w:cs="Times New Roman"/>
          <w:i/>
          <w:iCs/>
        </w:rPr>
        <w:t>A Life of General Zachary Taylor</w:t>
      </w:r>
      <w:r w:rsidR="00957852">
        <w:rPr>
          <w:rFonts w:ascii="Times New Roman" w:hAnsi="Times New Roman" w:cs="Times New Roman"/>
        </w:rPr>
        <w:t xml:space="preserve">. Bedford, MA: Applewood Books, 2009 (originally 1848); K. Jack Bauer, </w:t>
      </w:r>
      <w:r w:rsidR="00957852">
        <w:rPr>
          <w:rFonts w:ascii="Times New Roman" w:hAnsi="Times New Roman" w:cs="Times New Roman"/>
          <w:i/>
          <w:iCs/>
        </w:rPr>
        <w:t>Zachary Taylor: Soldier, Planter, Statesman of the Old Southwest</w:t>
      </w:r>
      <w:r w:rsidR="00957852">
        <w:rPr>
          <w:rFonts w:ascii="Times New Roman" w:hAnsi="Times New Roman" w:cs="Times New Roman"/>
        </w:rPr>
        <w:t>. Baton Rouge: Louisiana State University Press, 1985.</w:t>
      </w:r>
    </w:p>
  </w:footnote>
  <w:footnote w:id="211">
    <w:p w14:paraId="43C6248F" w14:textId="48B48C7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57852" w:rsidRPr="002318C9">
        <w:rPr>
          <w:rFonts w:ascii="Times New Roman" w:hAnsi="Times New Roman" w:cs="Times New Roman"/>
        </w:rPr>
        <w:t>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7E1190">
        <w:rPr>
          <w:rFonts w:ascii="Times New Roman" w:hAnsi="Times New Roman" w:cs="Times New Roman"/>
          <w:i/>
          <w:iCs/>
        </w:rPr>
        <w:t>,</w:t>
      </w:r>
      <w:r w:rsidR="00957852" w:rsidRPr="002318C9">
        <w:rPr>
          <w:rFonts w:ascii="Times New Roman" w:hAnsi="Times New Roman" w:cs="Times New Roman"/>
        </w:rPr>
        <w:t xml:space="preserve"> 23-</w:t>
      </w:r>
      <w:r w:rsidR="00957852">
        <w:rPr>
          <w:rFonts w:ascii="Times New Roman" w:hAnsi="Times New Roman" w:cs="Times New Roman"/>
        </w:rPr>
        <w:t>31</w:t>
      </w:r>
      <w:r w:rsidR="00957852" w:rsidRPr="002318C9">
        <w:rPr>
          <w:rFonts w:ascii="Times New Roman" w:hAnsi="Times New Roman" w:cs="Times New Roman"/>
        </w:rPr>
        <w:t>;</w:t>
      </w:r>
      <w:r w:rsidR="00957852">
        <w:rPr>
          <w:rFonts w:ascii="Times New Roman" w:hAnsi="Times New Roman" w:cs="Times New Roman"/>
        </w:rPr>
        <w:t xml:space="preserve">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957852">
        <w:rPr>
          <w:rFonts w:ascii="Times New Roman" w:hAnsi="Times New Roman" w:cs="Times New Roman"/>
        </w:rPr>
        <w:t xml:space="preserve"> 44-60</w:t>
      </w:r>
    </w:p>
  </w:footnote>
  <w:footnote w:id="212">
    <w:p w14:paraId="237555B9" w14:textId="1E3B90C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57852">
        <w:rPr>
          <w:rFonts w:ascii="Times New Roman" w:hAnsi="Times New Roman" w:cs="Times New Roman"/>
        </w:rPr>
        <w:t>Ibid</w:t>
      </w:r>
    </w:p>
  </w:footnote>
  <w:footnote w:id="213">
    <w:p w14:paraId="67665087" w14:textId="13DB7C10"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57852">
        <w:rPr>
          <w:rFonts w:ascii="Times New Roman" w:hAnsi="Times New Roman" w:cs="Times New Roman"/>
        </w:rPr>
        <w:t>Ibid</w:t>
      </w:r>
    </w:p>
  </w:footnote>
  <w:footnote w:id="214">
    <w:p w14:paraId="69D1AA8E" w14:textId="77777777" w:rsidR="00D03B74" w:rsidRPr="002318C9" w:rsidRDefault="00D03B74" w:rsidP="00D03B74">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Ibid</w:t>
      </w:r>
    </w:p>
  </w:footnote>
  <w:footnote w:id="215">
    <w:p w14:paraId="43C51542" w14:textId="5F16E650" w:rsidR="00D03B74" w:rsidRPr="00D03B74" w:rsidRDefault="00D03B7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Ibid</w:t>
      </w:r>
    </w:p>
  </w:footnote>
  <w:footnote w:id="216">
    <w:p w14:paraId="4B86761F" w14:textId="3B050C23" w:rsidR="006A6DED" w:rsidRPr="00956911"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56911">
        <w:rPr>
          <w:rFonts w:ascii="Times New Roman" w:hAnsi="Times New Roman" w:cs="Times New Roman"/>
        </w:rPr>
        <w:t xml:space="preserve">Jeffrey D. </w:t>
      </w:r>
      <w:r w:rsidR="00956911" w:rsidRPr="00956911">
        <w:rPr>
          <w:rFonts w:ascii="Times New Roman" w:hAnsi="Times New Roman" w:cs="Times New Roman"/>
        </w:rPr>
        <w:t xml:space="preserve">Broxmeyer, “Bringing The ‘Ring’ Back In: The Politics Of Booty Capitalism.” </w:t>
      </w:r>
      <w:r w:rsidR="00956911" w:rsidRPr="00956911">
        <w:rPr>
          <w:rFonts w:ascii="Times New Roman" w:hAnsi="Times New Roman" w:cs="Times New Roman"/>
          <w:i/>
          <w:iCs/>
        </w:rPr>
        <w:t>The Journal of the Gilded Age and Progressive Era</w:t>
      </w:r>
      <w:r w:rsidR="00956911" w:rsidRPr="00956911">
        <w:rPr>
          <w:rFonts w:ascii="Times New Roman" w:hAnsi="Times New Roman" w:cs="Times New Roman"/>
        </w:rPr>
        <w:t xml:space="preserve"> 19, no. 2 (2020): 235–245</w:t>
      </w:r>
      <w:r w:rsidR="00957852">
        <w:rPr>
          <w:rFonts w:ascii="Times New Roman" w:hAnsi="Times New Roman" w:cs="Times New Roman"/>
        </w:rPr>
        <w:t xml:space="preserve">; </w:t>
      </w:r>
      <w:r w:rsidR="00956911">
        <w:rPr>
          <w:rFonts w:ascii="Times New Roman" w:hAnsi="Times New Roman" w:cs="Times New Roman"/>
        </w:rPr>
        <w:t xml:space="preserve">Thomas P. </w:t>
      </w:r>
      <w:r w:rsidR="00957852">
        <w:rPr>
          <w:rFonts w:ascii="Times New Roman" w:hAnsi="Times New Roman" w:cs="Times New Roman"/>
        </w:rPr>
        <w:t>Clifford</w:t>
      </w:r>
      <w:r w:rsidR="00956911">
        <w:rPr>
          <w:rFonts w:ascii="Times New Roman" w:hAnsi="Times New Roman" w:cs="Times New Roman"/>
        </w:rPr>
        <w:t xml:space="preserve">, </w:t>
      </w:r>
      <w:r w:rsidR="00956911">
        <w:rPr>
          <w:rFonts w:ascii="Times New Roman" w:hAnsi="Times New Roman" w:cs="Times New Roman"/>
          <w:i/>
          <w:iCs/>
        </w:rPr>
        <w:t>The Political Machine: An American Institution</w:t>
      </w:r>
      <w:r w:rsidR="00956911">
        <w:rPr>
          <w:rFonts w:ascii="Times New Roman" w:hAnsi="Times New Roman" w:cs="Times New Roman"/>
        </w:rPr>
        <w:t xml:space="preserve">. New York: Vantage Press, 1975; Alan Lessoff and James J. Connolly, “From political insult to political theory: The boss, the machine, and the pluralist city.” </w:t>
      </w:r>
      <w:r w:rsidR="00956911">
        <w:rPr>
          <w:rFonts w:ascii="Times New Roman" w:hAnsi="Times New Roman" w:cs="Times New Roman"/>
          <w:i/>
          <w:iCs/>
        </w:rPr>
        <w:t>Journal of Policy History</w:t>
      </w:r>
      <w:r w:rsidR="00956911">
        <w:rPr>
          <w:rFonts w:ascii="Times New Roman" w:hAnsi="Times New Roman" w:cs="Times New Roman"/>
        </w:rPr>
        <w:t>, 25.2 (2013)</w:t>
      </w:r>
    </w:p>
  </w:footnote>
  <w:footnote w:id="217">
    <w:p w14:paraId="006E5FBA" w14:textId="305E83EB"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96A98">
        <w:rPr>
          <w:rFonts w:ascii="Times New Roman" w:hAnsi="Times New Roman" w:cs="Times New Roman"/>
        </w:rPr>
        <w:t>Ibid</w:t>
      </w:r>
    </w:p>
  </w:footnote>
  <w:footnote w:id="218">
    <w:p w14:paraId="255B1B98" w14:textId="333B492A" w:rsidR="006A6DED" w:rsidRPr="0014780C" w:rsidRDefault="006A6DED" w:rsidP="0014780C">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4780C">
        <w:rPr>
          <w:rFonts w:ascii="Times New Roman" w:hAnsi="Times New Roman" w:cs="Times New Roman"/>
        </w:rPr>
        <w:t xml:space="preserve">Terry </w:t>
      </w:r>
      <w:r w:rsidR="0014780C" w:rsidRPr="0014780C">
        <w:rPr>
          <w:rFonts w:ascii="Times New Roman" w:hAnsi="Times New Roman" w:cs="Times New Roman"/>
        </w:rPr>
        <w:t xml:space="preserve">Golway, </w:t>
      </w:r>
      <w:r w:rsidR="0014780C" w:rsidRPr="0014780C">
        <w:rPr>
          <w:rFonts w:ascii="Times New Roman" w:hAnsi="Times New Roman" w:cs="Times New Roman"/>
          <w:i/>
          <w:iCs/>
        </w:rPr>
        <w:t xml:space="preserve">Machine Made: Tammany Hall and the Creation of Modern American Politics. </w:t>
      </w:r>
      <w:r w:rsidR="0014780C" w:rsidRPr="0014780C">
        <w:rPr>
          <w:rFonts w:ascii="Times New Roman" w:hAnsi="Times New Roman" w:cs="Times New Roman"/>
        </w:rPr>
        <w:t>New York: Liveright, 2014</w:t>
      </w:r>
      <w:r w:rsidR="0014780C">
        <w:rPr>
          <w:rFonts w:ascii="Times New Roman" w:hAnsi="Times New Roman" w:cs="Times New Roman"/>
        </w:rPr>
        <w:t xml:space="preserve">; </w:t>
      </w:r>
      <w:bookmarkStart w:id="16" w:name="_Hlk193973979"/>
      <w:r w:rsidR="0014780C">
        <w:rPr>
          <w:rFonts w:ascii="Times New Roman" w:hAnsi="Times New Roman" w:cs="Times New Roman"/>
        </w:rPr>
        <w:t xml:space="preserve">Kenneth D. </w:t>
      </w:r>
      <w:r w:rsidR="0014780C" w:rsidRPr="0014780C">
        <w:rPr>
          <w:rFonts w:ascii="Times New Roman" w:hAnsi="Times New Roman" w:cs="Times New Roman"/>
        </w:rPr>
        <w:t xml:space="preserve">Ackerman, </w:t>
      </w:r>
      <w:r w:rsidR="0014780C" w:rsidRPr="0014780C">
        <w:rPr>
          <w:rFonts w:ascii="Times New Roman" w:hAnsi="Times New Roman" w:cs="Times New Roman"/>
          <w:i/>
          <w:iCs/>
        </w:rPr>
        <w:t>Boss Tweed: The Rise and Fall of the Corrupt Pol Who Conceived the Soul of Modern New York</w:t>
      </w:r>
      <w:r w:rsidR="0014780C" w:rsidRPr="0014780C">
        <w:rPr>
          <w:rFonts w:ascii="Times New Roman" w:hAnsi="Times New Roman" w:cs="Times New Roman"/>
        </w:rPr>
        <w:t>. Boston: Da Capo Press, 2005</w:t>
      </w:r>
      <w:bookmarkEnd w:id="16"/>
      <w:r w:rsidR="0014780C">
        <w:rPr>
          <w:rFonts w:ascii="Times New Roman" w:hAnsi="Times New Roman" w:cs="Times New Roman"/>
        </w:rPr>
        <w:t xml:space="preserve">; </w:t>
      </w:r>
      <w:r w:rsidR="0014780C" w:rsidRPr="0014780C">
        <w:rPr>
          <w:rFonts w:ascii="Times New Roman" w:hAnsi="Times New Roman" w:cs="Times New Roman"/>
        </w:rPr>
        <w:t xml:space="preserve">Oliver E. Allen, </w:t>
      </w:r>
      <w:r w:rsidR="0014780C" w:rsidRPr="0014780C">
        <w:rPr>
          <w:rFonts w:ascii="Times New Roman" w:hAnsi="Times New Roman" w:cs="Times New Roman"/>
          <w:i/>
          <w:iCs/>
        </w:rPr>
        <w:t>The Tiger: The Rise and Fall of Tammany Hall</w:t>
      </w:r>
      <w:r w:rsidR="0014780C" w:rsidRPr="0014780C">
        <w:rPr>
          <w:rFonts w:ascii="Times New Roman" w:hAnsi="Times New Roman" w:cs="Times New Roman"/>
        </w:rPr>
        <w:t xml:space="preserve">. Boston: Da Copo Press, 1993; </w:t>
      </w:r>
    </w:p>
  </w:footnote>
  <w:footnote w:id="219">
    <w:p w14:paraId="333E5277" w14:textId="42A95405"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4780C">
        <w:rPr>
          <w:rFonts w:ascii="Times New Roman" w:hAnsi="Times New Roman" w:cs="Times New Roman"/>
        </w:rPr>
        <w:t>Ibid</w:t>
      </w:r>
    </w:p>
  </w:footnote>
  <w:footnote w:id="220">
    <w:p w14:paraId="78EE5FB4" w14:textId="19CB731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C1FB1">
        <w:rPr>
          <w:rFonts w:ascii="Times New Roman" w:hAnsi="Times New Roman" w:cs="Times New Roman"/>
        </w:rPr>
        <w:t>Broxmeyer</w:t>
      </w:r>
      <w:r w:rsidR="00745427">
        <w:rPr>
          <w:rFonts w:ascii="Times New Roman" w:hAnsi="Times New Roman" w:cs="Times New Roman"/>
        </w:rPr>
        <w:t>, “Bringing the ‘Ring’ Back In”</w:t>
      </w:r>
      <w:r w:rsidR="008C1FB1">
        <w:rPr>
          <w:rFonts w:ascii="Times New Roman" w:hAnsi="Times New Roman" w:cs="Times New Roman"/>
        </w:rPr>
        <w:t>; Clifford</w:t>
      </w:r>
      <w:r w:rsidR="00745427">
        <w:rPr>
          <w:rFonts w:ascii="Times New Roman" w:hAnsi="Times New Roman" w:cs="Times New Roman"/>
        </w:rPr>
        <w:t xml:space="preserve">, </w:t>
      </w:r>
      <w:r w:rsidR="00745427">
        <w:rPr>
          <w:rFonts w:ascii="Times New Roman" w:hAnsi="Times New Roman" w:cs="Times New Roman"/>
          <w:i/>
          <w:iCs/>
        </w:rPr>
        <w:t>The Political Machine</w:t>
      </w:r>
      <w:r w:rsidR="008C1FB1">
        <w:rPr>
          <w:rFonts w:ascii="Times New Roman" w:hAnsi="Times New Roman" w:cs="Times New Roman"/>
        </w:rPr>
        <w:t>; Lessoff and Connolly</w:t>
      </w:r>
      <w:r w:rsidR="00745427">
        <w:rPr>
          <w:rFonts w:ascii="Times New Roman" w:hAnsi="Times New Roman" w:cs="Times New Roman"/>
        </w:rPr>
        <w:t>, “From political insult to political theory”</w:t>
      </w:r>
    </w:p>
  </w:footnote>
  <w:footnote w:id="221">
    <w:p w14:paraId="0E23281D" w14:textId="77777777" w:rsidR="00C055D4" w:rsidRPr="002318C9" w:rsidRDefault="00C055D4" w:rsidP="00C055D4">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 xml:space="preserve">William J. </w:t>
      </w:r>
      <w:r w:rsidRPr="00DD76BE">
        <w:rPr>
          <w:rFonts w:ascii="Times New Roman" w:hAnsi="Times New Roman" w:cs="Times New Roman"/>
        </w:rPr>
        <w:t xml:space="preserve">Novak, </w:t>
      </w:r>
      <w:r w:rsidRPr="00DD76BE">
        <w:rPr>
          <w:rFonts w:ascii="Times New Roman" w:hAnsi="Times New Roman" w:cs="Times New Roman"/>
          <w:i/>
          <w:iCs/>
        </w:rPr>
        <w:t>The People's Welfare: Law and Regulation in Nineteenth-Century America.</w:t>
      </w:r>
      <w:r w:rsidRPr="00DD76BE">
        <w:rPr>
          <w:rFonts w:ascii="Times New Roman" w:hAnsi="Times New Roman" w:cs="Times New Roman"/>
        </w:rPr>
        <w:t xml:space="preserve"> Chapel Hill: University of North Carolina Press, 1997</w:t>
      </w:r>
      <w:r>
        <w:rPr>
          <w:rFonts w:ascii="Times New Roman" w:hAnsi="Times New Roman" w:cs="Times New Roman"/>
        </w:rPr>
        <w:t>.</w:t>
      </w:r>
      <w:r w:rsidRPr="002318C9">
        <w:rPr>
          <w:rFonts w:ascii="Times New Roman" w:hAnsi="Times New Roman" w:cs="Times New Roman"/>
        </w:rPr>
        <w:t xml:space="preserve"> </w:t>
      </w:r>
      <w:r>
        <w:rPr>
          <w:rFonts w:ascii="Times New Roman" w:hAnsi="Times New Roman" w:cs="Times New Roman"/>
        </w:rPr>
        <w:t>x.</w:t>
      </w:r>
    </w:p>
  </w:footnote>
  <w:footnote w:id="222">
    <w:p w14:paraId="6BDA74FC" w14:textId="5069BB5A"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33ED7">
        <w:rPr>
          <w:rFonts w:ascii="Times New Roman" w:hAnsi="Times New Roman" w:cs="Times New Roman"/>
        </w:rPr>
        <w:t xml:space="preserve">Thomas Nast, </w:t>
      </w:r>
      <w:r w:rsidRPr="00933ED7">
        <w:rPr>
          <w:rFonts w:ascii="Times New Roman" w:hAnsi="Times New Roman" w:cs="Times New Roman"/>
          <w:i/>
          <w:iCs/>
        </w:rPr>
        <w:t>Harper’s Weekly</w:t>
      </w:r>
      <w:r w:rsidRPr="002318C9">
        <w:rPr>
          <w:rFonts w:ascii="Times New Roman" w:hAnsi="Times New Roman" w:cs="Times New Roman"/>
        </w:rPr>
        <w:t>, October 29, 1870</w:t>
      </w:r>
    </w:p>
  </w:footnote>
  <w:footnote w:id="223">
    <w:p w14:paraId="06DB0C54" w14:textId="356A0205"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Novak</w:t>
      </w:r>
      <w:r w:rsidR="00273F0B">
        <w:rPr>
          <w:rFonts w:ascii="Times New Roman" w:hAnsi="Times New Roman" w:cs="Times New Roman"/>
        </w:rPr>
        <w:t xml:space="preserve">, </w:t>
      </w:r>
      <w:r w:rsidR="00273F0B">
        <w:rPr>
          <w:rFonts w:ascii="Times New Roman" w:hAnsi="Times New Roman" w:cs="Times New Roman"/>
          <w:i/>
          <w:iCs/>
        </w:rPr>
        <w:t>People’s Welfare,</w:t>
      </w:r>
      <w:r w:rsidRPr="002318C9">
        <w:rPr>
          <w:rFonts w:ascii="Times New Roman" w:hAnsi="Times New Roman" w:cs="Times New Roman"/>
        </w:rPr>
        <w:t xml:space="preserve"> 13</w:t>
      </w:r>
    </w:p>
  </w:footnote>
  <w:footnote w:id="224">
    <w:p w14:paraId="1C74B2CE" w14:textId="2D4E1A6B" w:rsidR="006A6DED" w:rsidRPr="00DD76BE" w:rsidRDefault="006A6DED" w:rsidP="00DD76BE">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D76BE">
        <w:rPr>
          <w:rFonts w:ascii="Times New Roman" w:hAnsi="Times New Roman" w:cs="Times New Roman"/>
        </w:rPr>
        <w:t xml:space="preserve">Gary </w:t>
      </w:r>
      <w:r w:rsidR="00DD76BE" w:rsidRPr="00DD76BE">
        <w:rPr>
          <w:rFonts w:ascii="Times New Roman" w:hAnsi="Times New Roman" w:cs="Times New Roman"/>
        </w:rPr>
        <w:t>Gerstle</w:t>
      </w:r>
      <w:r w:rsidR="00DD76BE">
        <w:rPr>
          <w:rFonts w:ascii="Times New Roman" w:hAnsi="Times New Roman" w:cs="Times New Roman"/>
        </w:rPr>
        <w:t>,</w:t>
      </w:r>
      <w:r w:rsidR="00DD76BE" w:rsidRPr="00DD76BE">
        <w:rPr>
          <w:rFonts w:ascii="Times New Roman" w:hAnsi="Times New Roman" w:cs="Times New Roman"/>
        </w:rPr>
        <w:t xml:space="preserve"> </w:t>
      </w:r>
      <w:r w:rsidR="00DD76BE" w:rsidRPr="00DD76BE">
        <w:rPr>
          <w:rFonts w:ascii="Times New Roman" w:hAnsi="Times New Roman" w:cs="Times New Roman"/>
          <w:i/>
          <w:iCs/>
        </w:rPr>
        <w:t>Liberty and Coercion: The Paradox of American Government from the Founding to the Present.</w:t>
      </w:r>
      <w:r w:rsidR="00DD76BE" w:rsidRPr="00DD76BE">
        <w:rPr>
          <w:rFonts w:ascii="Times New Roman" w:hAnsi="Times New Roman" w:cs="Times New Roman"/>
        </w:rPr>
        <w:t xml:space="preserve">  Princeton: Princeton University Press, 2015.</w:t>
      </w:r>
    </w:p>
  </w:footnote>
  <w:footnote w:id="225">
    <w:p w14:paraId="43FC5CD5" w14:textId="28D68BF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Gerstle</w:t>
      </w:r>
      <w:r w:rsidR="00216C45">
        <w:rPr>
          <w:rFonts w:ascii="Times New Roman" w:hAnsi="Times New Roman" w:cs="Times New Roman"/>
        </w:rPr>
        <w:t xml:space="preserve">, </w:t>
      </w:r>
      <w:r w:rsidR="00216C45" w:rsidRPr="002318C9">
        <w:rPr>
          <w:rFonts w:ascii="Times New Roman" w:hAnsi="Times New Roman" w:cs="Times New Roman"/>
          <w:i/>
          <w:iCs/>
        </w:rPr>
        <w:t>Liberty and Coercion</w:t>
      </w:r>
      <w:r w:rsidR="00216C45">
        <w:rPr>
          <w:rFonts w:ascii="Times New Roman" w:hAnsi="Times New Roman" w:cs="Times New Roman"/>
          <w:i/>
          <w:iCs/>
        </w:rPr>
        <w:t>,</w:t>
      </w:r>
      <w:r w:rsidRPr="002318C9">
        <w:rPr>
          <w:rFonts w:ascii="Times New Roman" w:hAnsi="Times New Roman" w:cs="Times New Roman"/>
        </w:rPr>
        <w:t xml:space="preserve"> 56-61</w:t>
      </w:r>
    </w:p>
  </w:footnote>
  <w:footnote w:id="226">
    <w:p w14:paraId="4382229B" w14:textId="78F862F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Gerstle</w:t>
      </w:r>
      <w:r w:rsidR="00216C45">
        <w:rPr>
          <w:rFonts w:ascii="Times New Roman" w:hAnsi="Times New Roman" w:cs="Times New Roman"/>
        </w:rPr>
        <w:t xml:space="preserve">, </w:t>
      </w:r>
      <w:r w:rsidR="00216C45" w:rsidRPr="002318C9">
        <w:rPr>
          <w:rFonts w:ascii="Times New Roman" w:hAnsi="Times New Roman" w:cs="Times New Roman"/>
          <w:i/>
          <w:iCs/>
        </w:rPr>
        <w:t>Liberty and Coercion</w:t>
      </w:r>
    </w:p>
  </w:footnote>
  <w:footnote w:id="227">
    <w:p w14:paraId="72767C3B" w14:textId="0EEF9E50" w:rsidR="006A6DED" w:rsidRPr="005809A5" w:rsidRDefault="006A6DED" w:rsidP="005809A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E1381">
        <w:rPr>
          <w:rFonts w:ascii="Times New Roman" w:hAnsi="Times New Roman" w:cs="Times New Roman"/>
        </w:rPr>
        <w:t>McPherson</w:t>
      </w:r>
      <w:r w:rsidR="009D3374">
        <w:rPr>
          <w:rFonts w:ascii="Times New Roman" w:hAnsi="Times New Roman" w:cs="Times New Roman"/>
        </w:rPr>
        <w:t xml:space="preserve">, </w:t>
      </w:r>
      <w:r w:rsidR="009D3374">
        <w:rPr>
          <w:rFonts w:ascii="Times New Roman" w:hAnsi="Times New Roman" w:cs="Times New Roman"/>
          <w:i/>
          <w:iCs/>
        </w:rPr>
        <w:t>Battle Cry</w:t>
      </w:r>
      <w:r w:rsidR="009D3374">
        <w:rPr>
          <w:rFonts w:ascii="Times New Roman" w:hAnsi="Times New Roman" w:cs="Times New Roman"/>
        </w:rPr>
        <w:t xml:space="preserve">; </w:t>
      </w:r>
      <w:r w:rsidR="00C77316">
        <w:rPr>
          <w:rFonts w:ascii="Times New Roman" w:hAnsi="Times New Roman" w:cs="Times New Roman"/>
        </w:rPr>
        <w:t xml:space="preserve">Lloyd E. </w:t>
      </w:r>
      <w:r w:rsidR="00C77316" w:rsidRPr="00C77316">
        <w:rPr>
          <w:rFonts w:ascii="Times New Roman" w:hAnsi="Times New Roman" w:cs="Times New Roman"/>
        </w:rPr>
        <w:t>Ambrosius, ed.</w:t>
      </w:r>
      <w:r w:rsidR="00C77316">
        <w:rPr>
          <w:rFonts w:ascii="Times New Roman" w:hAnsi="Times New Roman" w:cs="Times New Roman"/>
        </w:rPr>
        <w:t>,</w:t>
      </w:r>
      <w:r w:rsidR="00C77316" w:rsidRPr="00C77316">
        <w:rPr>
          <w:rFonts w:ascii="Times New Roman" w:hAnsi="Times New Roman" w:cs="Times New Roman"/>
        </w:rPr>
        <w:t xml:space="preserve"> </w:t>
      </w:r>
      <w:r w:rsidR="00C77316" w:rsidRPr="00C77316">
        <w:rPr>
          <w:rFonts w:ascii="Times New Roman" w:hAnsi="Times New Roman" w:cs="Times New Roman"/>
          <w:i/>
          <w:iCs/>
        </w:rPr>
        <w:t>A Crisis of Republicanism: American Politics in the Civil War Era</w:t>
      </w:r>
      <w:r w:rsidR="00C77316" w:rsidRPr="00C77316">
        <w:rPr>
          <w:rFonts w:ascii="Times New Roman" w:hAnsi="Times New Roman" w:cs="Times New Roman"/>
        </w:rPr>
        <w:t>. Lincoln: University of Nebraska Press, 1990</w:t>
      </w:r>
      <w:r w:rsidR="009D3374" w:rsidRPr="00C77316">
        <w:rPr>
          <w:rFonts w:ascii="Times New Roman" w:hAnsi="Times New Roman" w:cs="Times New Roman"/>
        </w:rPr>
        <w:t>; Guelzo</w:t>
      </w:r>
      <w:r w:rsidR="00273F0B">
        <w:rPr>
          <w:rFonts w:ascii="Times New Roman" w:hAnsi="Times New Roman" w:cs="Times New Roman"/>
        </w:rPr>
        <w:t xml:space="preserve">, </w:t>
      </w:r>
      <w:r w:rsidR="00273F0B">
        <w:rPr>
          <w:rFonts w:ascii="Times New Roman" w:hAnsi="Times New Roman" w:cs="Times New Roman"/>
          <w:i/>
          <w:iCs/>
        </w:rPr>
        <w:t>Fateful Lightning</w:t>
      </w:r>
      <w:r w:rsidR="009D3374" w:rsidRPr="00C77316">
        <w:rPr>
          <w:rFonts w:ascii="Times New Roman" w:hAnsi="Times New Roman" w:cs="Times New Roman"/>
        </w:rPr>
        <w:t xml:space="preserve">; </w:t>
      </w:r>
      <w:r w:rsidR="005809A5">
        <w:rPr>
          <w:rFonts w:ascii="Times New Roman" w:hAnsi="Times New Roman" w:cs="Times New Roman"/>
        </w:rPr>
        <w:t xml:space="preserve">William </w:t>
      </w:r>
      <w:r w:rsidR="005809A5" w:rsidRPr="005809A5">
        <w:rPr>
          <w:rFonts w:ascii="Times New Roman" w:hAnsi="Times New Roman" w:cs="Times New Roman"/>
        </w:rPr>
        <w:t>Nester,</w:t>
      </w:r>
      <w:r w:rsidR="005809A5">
        <w:rPr>
          <w:rFonts w:ascii="Times New Roman" w:hAnsi="Times New Roman" w:cs="Times New Roman"/>
        </w:rPr>
        <w:t xml:space="preserve"> </w:t>
      </w:r>
      <w:r w:rsidR="005809A5" w:rsidRPr="005809A5">
        <w:rPr>
          <w:rFonts w:ascii="Times New Roman" w:hAnsi="Times New Roman" w:cs="Times New Roman"/>
          <w:i/>
          <w:iCs/>
        </w:rPr>
        <w:t>The Age of Lincoln and the Art of American Power, 1848-1876</w:t>
      </w:r>
      <w:r w:rsidR="005809A5" w:rsidRPr="005809A5">
        <w:rPr>
          <w:rFonts w:ascii="Times New Roman" w:hAnsi="Times New Roman" w:cs="Times New Roman"/>
        </w:rPr>
        <w:t>. Lincoln, NE: Potomac Books, an imprint of the University of Nebraska Press, 2013</w:t>
      </w:r>
      <w:r w:rsidR="009D3374" w:rsidRPr="005809A5">
        <w:rPr>
          <w:rFonts w:ascii="Times New Roman" w:hAnsi="Times New Roman" w:cs="Times New Roman"/>
        </w:rPr>
        <w:t xml:space="preserve">; </w:t>
      </w:r>
      <w:r w:rsidR="005809A5" w:rsidRPr="005809A5">
        <w:rPr>
          <w:rFonts w:ascii="Times New Roman" w:hAnsi="Times New Roman" w:cs="Times New Roman"/>
        </w:rPr>
        <w:t xml:space="preserve">David Donald, </w:t>
      </w:r>
      <w:r w:rsidR="005809A5" w:rsidRPr="005809A5">
        <w:rPr>
          <w:rFonts w:ascii="Times New Roman" w:hAnsi="Times New Roman" w:cs="Times New Roman"/>
          <w:i/>
          <w:iCs/>
        </w:rPr>
        <w:t>The Politics of Reconstruction, 1863-1867</w:t>
      </w:r>
      <w:r w:rsidR="005809A5" w:rsidRPr="005809A5">
        <w:rPr>
          <w:rFonts w:ascii="Times New Roman" w:hAnsi="Times New Roman" w:cs="Times New Roman"/>
        </w:rPr>
        <w:t>. Cambridge, MA: Harvard University Press, 1984</w:t>
      </w:r>
      <w:r w:rsidR="009D3374" w:rsidRPr="005809A5">
        <w:rPr>
          <w:rFonts w:ascii="Times New Roman" w:hAnsi="Times New Roman" w:cs="Times New Roman"/>
        </w:rPr>
        <w:t>;</w:t>
      </w:r>
      <w:r w:rsidR="00544B5F" w:rsidRPr="005809A5">
        <w:rPr>
          <w:rFonts w:ascii="Times New Roman" w:hAnsi="Times New Roman" w:cs="Times New Roman"/>
        </w:rPr>
        <w:t xml:space="preserve"> Mark Wahlgren</w:t>
      </w:r>
      <w:r w:rsidR="009D3374" w:rsidRPr="005809A5">
        <w:rPr>
          <w:rFonts w:ascii="Times New Roman" w:hAnsi="Times New Roman" w:cs="Times New Roman"/>
        </w:rPr>
        <w:t xml:space="preserve"> Summers, </w:t>
      </w:r>
      <w:r w:rsidR="009D3374" w:rsidRPr="005809A5">
        <w:rPr>
          <w:rFonts w:ascii="Times New Roman" w:hAnsi="Times New Roman" w:cs="Times New Roman"/>
          <w:i/>
          <w:iCs/>
        </w:rPr>
        <w:t>The Plundering Generation: Corruption and the Crisis of the Union, 1849-1861</w:t>
      </w:r>
      <w:r w:rsidR="009D3374" w:rsidRPr="005809A5">
        <w:rPr>
          <w:rFonts w:ascii="Times New Roman" w:hAnsi="Times New Roman" w:cs="Times New Roman"/>
        </w:rPr>
        <w:t>. New York: Oxford University Press, 1987.</w:t>
      </w:r>
    </w:p>
  </w:footnote>
  <w:footnote w:id="228">
    <w:p w14:paraId="4688E12A" w14:textId="58785814" w:rsidR="006A6DED" w:rsidRPr="006F1143"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D3374">
        <w:rPr>
          <w:rFonts w:ascii="Times New Roman" w:hAnsi="Times New Roman" w:cs="Times New Roman"/>
        </w:rPr>
        <w:t>Ibid; Eicher &amp; Eicher</w:t>
      </w:r>
      <w:r w:rsidR="00273F0B">
        <w:rPr>
          <w:rFonts w:ascii="Times New Roman" w:hAnsi="Times New Roman" w:cs="Times New Roman"/>
        </w:rPr>
        <w:t xml:space="preserve">, </w:t>
      </w:r>
      <w:r w:rsidR="00273F0B">
        <w:rPr>
          <w:rFonts w:ascii="Times New Roman" w:hAnsi="Times New Roman" w:cs="Times New Roman"/>
          <w:i/>
          <w:iCs/>
        </w:rPr>
        <w:t>Civil War High Commands</w:t>
      </w:r>
      <w:r w:rsidR="009D3374">
        <w:rPr>
          <w:rFonts w:ascii="Times New Roman" w:hAnsi="Times New Roman" w:cs="Times New Roman"/>
        </w:rPr>
        <w:t xml:space="preserve">; James McPherson, </w:t>
      </w:r>
      <w:r w:rsidR="009D3374">
        <w:rPr>
          <w:rFonts w:ascii="Times New Roman" w:hAnsi="Times New Roman" w:cs="Times New Roman"/>
          <w:i/>
          <w:iCs/>
        </w:rPr>
        <w:t>For Cause and Comrades: Why Men Fought in the Civil War</w:t>
      </w:r>
      <w:r w:rsidR="009D3374">
        <w:rPr>
          <w:rFonts w:ascii="Times New Roman" w:hAnsi="Times New Roman" w:cs="Times New Roman"/>
        </w:rPr>
        <w:t>. New York: Oxford University Press, 1997</w:t>
      </w:r>
      <w:r w:rsidR="006F1143">
        <w:rPr>
          <w:rFonts w:ascii="Times New Roman" w:hAnsi="Times New Roman" w:cs="Times New Roman"/>
        </w:rPr>
        <w:t xml:space="preserve">; J. Matthew Gallman, </w:t>
      </w:r>
      <w:r w:rsidR="006F1143">
        <w:rPr>
          <w:rFonts w:ascii="Times New Roman" w:hAnsi="Times New Roman" w:cs="Times New Roman"/>
          <w:i/>
          <w:iCs/>
        </w:rPr>
        <w:t>Defining Duty in the Civil War: Personal Choice, Popular Culture, and the Union Home Front</w:t>
      </w:r>
      <w:r w:rsidR="006F1143">
        <w:rPr>
          <w:rFonts w:ascii="Times New Roman" w:hAnsi="Times New Roman" w:cs="Times New Roman"/>
        </w:rPr>
        <w:t>. Chapel Hill: University of North Carolina Press, 2015.</w:t>
      </w:r>
    </w:p>
  </w:footnote>
  <w:footnote w:id="229">
    <w:p w14:paraId="0C32DA4F" w14:textId="75761888" w:rsidR="006A6DED" w:rsidRPr="00CE7E7D" w:rsidRDefault="006A6DED" w:rsidP="00CE7E7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E7E7D" w:rsidRPr="00CE7E7D">
        <w:rPr>
          <w:rFonts w:ascii="Times New Roman" w:hAnsi="Times New Roman" w:cs="Times New Roman"/>
        </w:rPr>
        <w:t>Richard Franklin</w:t>
      </w:r>
      <w:r w:rsidR="00CE7E7D">
        <w:rPr>
          <w:rFonts w:ascii="Times New Roman" w:hAnsi="Times New Roman" w:cs="Times New Roman"/>
        </w:rPr>
        <w:t xml:space="preserve"> Bensel,</w:t>
      </w:r>
      <w:r w:rsidR="00CE7E7D" w:rsidRPr="00CE7E7D">
        <w:rPr>
          <w:rFonts w:ascii="Times New Roman" w:hAnsi="Times New Roman" w:cs="Times New Roman"/>
        </w:rPr>
        <w:t xml:space="preserve"> </w:t>
      </w:r>
      <w:r w:rsidR="00CE7E7D" w:rsidRPr="00CE7E7D">
        <w:rPr>
          <w:rFonts w:ascii="Times New Roman" w:hAnsi="Times New Roman" w:cs="Times New Roman"/>
          <w:i/>
          <w:iCs/>
        </w:rPr>
        <w:t>Yankee Leviathan: The Origins of Central State Authority in America, 1859-1877.</w:t>
      </w:r>
      <w:r w:rsidR="00CE7E7D" w:rsidRPr="00CE7E7D">
        <w:rPr>
          <w:rFonts w:ascii="Times New Roman" w:hAnsi="Times New Roman" w:cs="Times New Roman"/>
        </w:rPr>
        <w:t xml:space="preserve"> New York: Cambridge University Press, 1990.</w:t>
      </w:r>
    </w:p>
  </w:footnote>
  <w:footnote w:id="230">
    <w:p w14:paraId="15EDB835" w14:textId="7C11464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Gerstle</w:t>
      </w:r>
      <w:r w:rsidR="00216C45">
        <w:rPr>
          <w:rFonts w:ascii="Times New Roman" w:hAnsi="Times New Roman" w:cs="Times New Roman"/>
        </w:rPr>
        <w:t xml:space="preserve">, </w:t>
      </w:r>
      <w:r w:rsidR="00216C45" w:rsidRPr="002318C9">
        <w:rPr>
          <w:rFonts w:ascii="Times New Roman" w:hAnsi="Times New Roman" w:cs="Times New Roman"/>
          <w:i/>
          <w:iCs/>
        </w:rPr>
        <w:t>Liberty and Coercion</w:t>
      </w:r>
    </w:p>
  </w:footnote>
  <w:footnote w:id="231">
    <w:p w14:paraId="5BC082DF" w14:textId="52BFDA5B"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Gerstle</w:t>
      </w:r>
      <w:r w:rsidR="00216C45">
        <w:rPr>
          <w:rFonts w:ascii="Times New Roman" w:hAnsi="Times New Roman" w:cs="Times New Roman"/>
        </w:rPr>
        <w:t xml:space="preserve">, </w:t>
      </w:r>
      <w:r w:rsidR="00216C45" w:rsidRPr="002318C9">
        <w:rPr>
          <w:rFonts w:ascii="Times New Roman" w:hAnsi="Times New Roman" w:cs="Times New Roman"/>
          <w:i/>
          <w:iCs/>
        </w:rPr>
        <w:t>Liberty and Coercion</w:t>
      </w:r>
      <w:r w:rsidR="00216C45">
        <w:rPr>
          <w:rFonts w:ascii="Times New Roman" w:hAnsi="Times New Roman" w:cs="Times New Roman"/>
          <w:i/>
          <w:iCs/>
        </w:rPr>
        <w:t>,</w:t>
      </w:r>
      <w:r w:rsidRPr="002318C9">
        <w:rPr>
          <w:rFonts w:ascii="Times New Roman" w:hAnsi="Times New Roman" w:cs="Times New Roman"/>
        </w:rPr>
        <w:t xml:space="preserve"> 94</w:t>
      </w:r>
    </w:p>
  </w:footnote>
  <w:footnote w:id="232">
    <w:p w14:paraId="03699901" w14:textId="4E577F18" w:rsidR="006A6DED" w:rsidRPr="00F52AFD" w:rsidRDefault="006A6DED" w:rsidP="00F52AF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52AFD">
        <w:rPr>
          <w:rFonts w:ascii="Times New Roman" w:hAnsi="Times New Roman" w:cs="Times New Roman"/>
        </w:rPr>
        <w:t xml:space="preserve">Mark E. </w:t>
      </w:r>
      <w:r w:rsidR="00F52AFD" w:rsidRPr="00F52AFD">
        <w:rPr>
          <w:rFonts w:ascii="Times New Roman" w:hAnsi="Times New Roman" w:cs="Times New Roman"/>
        </w:rPr>
        <w:t xml:space="preserve">Neely Jr., </w:t>
      </w:r>
      <w:r w:rsidR="00F52AFD" w:rsidRPr="00F52AFD">
        <w:rPr>
          <w:rFonts w:ascii="Times New Roman" w:hAnsi="Times New Roman" w:cs="Times New Roman"/>
          <w:i/>
          <w:iCs/>
        </w:rPr>
        <w:t>The Fate of Liberty: Abraham Lincoln and Civil Liberties</w:t>
      </w:r>
      <w:r w:rsidR="00F52AFD" w:rsidRPr="00F52AFD">
        <w:rPr>
          <w:rFonts w:ascii="Times New Roman" w:hAnsi="Times New Roman" w:cs="Times New Roman"/>
        </w:rPr>
        <w:t>. New York: Oxford University Press, 1991.</w:t>
      </w:r>
    </w:p>
  </w:footnote>
  <w:footnote w:id="233">
    <w:p w14:paraId="051F75BD" w14:textId="67120B25"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Bensel</w:t>
      </w:r>
      <w:r w:rsidR="0036546E">
        <w:rPr>
          <w:rFonts w:ascii="Times New Roman" w:hAnsi="Times New Roman" w:cs="Times New Roman"/>
        </w:rPr>
        <w:t xml:space="preserve">, </w:t>
      </w:r>
      <w:r w:rsidR="0036546E" w:rsidRPr="002318C9">
        <w:rPr>
          <w:rFonts w:ascii="Times New Roman" w:hAnsi="Times New Roman" w:cs="Times New Roman"/>
          <w:i/>
          <w:iCs/>
        </w:rPr>
        <w:t>Yankee Leviathan</w:t>
      </w:r>
      <w:r w:rsidR="0036546E">
        <w:rPr>
          <w:rFonts w:ascii="Times New Roman" w:hAnsi="Times New Roman" w:cs="Times New Roman"/>
          <w:i/>
          <w:iCs/>
        </w:rPr>
        <w:t>,</w:t>
      </w:r>
      <w:r w:rsidRPr="002318C9">
        <w:rPr>
          <w:rFonts w:ascii="Times New Roman" w:hAnsi="Times New Roman" w:cs="Times New Roman"/>
        </w:rPr>
        <w:t xml:space="preserve"> 1</w:t>
      </w:r>
    </w:p>
  </w:footnote>
  <w:footnote w:id="234">
    <w:p w14:paraId="22F473E2" w14:textId="1D54CAC6" w:rsidR="006A6DED" w:rsidRPr="001C6560"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73D30">
        <w:rPr>
          <w:rFonts w:ascii="Times New Roman" w:hAnsi="Times New Roman" w:cs="Times New Roman"/>
        </w:rPr>
        <w:t xml:space="preserve">Michael Les </w:t>
      </w:r>
      <w:r w:rsidRPr="002318C9">
        <w:rPr>
          <w:rFonts w:ascii="Times New Roman" w:hAnsi="Times New Roman" w:cs="Times New Roman"/>
        </w:rPr>
        <w:t>Benedict</w:t>
      </w:r>
      <w:r w:rsidR="00073D30">
        <w:rPr>
          <w:rFonts w:ascii="Times New Roman" w:hAnsi="Times New Roman" w:cs="Times New Roman"/>
        </w:rPr>
        <w:t xml:space="preserve">, </w:t>
      </w:r>
      <w:r w:rsidR="00073D30">
        <w:rPr>
          <w:rFonts w:ascii="Times New Roman" w:hAnsi="Times New Roman" w:cs="Times New Roman"/>
          <w:i/>
          <w:iCs/>
        </w:rPr>
        <w:t>A Compromise of Principle: Congressional Republicans and Reconstruction</w:t>
      </w:r>
      <w:r w:rsidR="00965DCC">
        <w:rPr>
          <w:rFonts w:ascii="Times New Roman" w:hAnsi="Times New Roman" w:cs="Times New Roman"/>
          <w:i/>
          <w:iCs/>
        </w:rPr>
        <w:t>, 1863-1869</w:t>
      </w:r>
      <w:r w:rsidR="00073D30">
        <w:rPr>
          <w:rFonts w:ascii="Times New Roman" w:hAnsi="Times New Roman" w:cs="Times New Roman"/>
          <w:i/>
          <w:iCs/>
        </w:rPr>
        <w:t>.</w:t>
      </w:r>
      <w:r w:rsidR="00073D30">
        <w:rPr>
          <w:rFonts w:ascii="Times New Roman" w:hAnsi="Times New Roman" w:cs="Times New Roman"/>
        </w:rPr>
        <w:t xml:space="preserve"> </w:t>
      </w:r>
      <w:r w:rsidR="00965DCC">
        <w:rPr>
          <w:rFonts w:ascii="Times New Roman" w:hAnsi="Times New Roman" w:cs="Times New Roman"/>
        </w:rPr>
        <w:t>New York: W.W. Norton, 1974</w:t>
      </w:r>
      <w:r w:rsidRPr="002318C9">
        <w:rPr>
          <w:rFonts w:ascii="Times New Roman" w:hAnsi="Times New Roman" w:cs="Times New Roman"/>
        </w:rPr>
        <w:t>;</w:t>
      </w:r>
      <w:r w:rsidR="00073D30">
        <w:rPr>
          <w:rFonts w:ascii="Times New Roman" w:hAnsi="Times New Roman" w:cs="Times New Roman"/>
        </w:rPr>
        <w:t xml:space="preserve"> Michael Les Benedict, </w:t>
      </w:r>
      <w:r w:rsidR="00073D30">
        <w:rPr>
          <w:rFonts w:ascii="Times New Roman" w:hAnsi="Times New Roman" w:cs="Times New Roman"/>
          <w:i/>
          <w:iCs/>
        </w:rPr>
        <w:t>The Fruits of Victory: Alternatives in Restoring the Union, 1865-1877</w:t>
      </w:r>
      <w:r w:rsidR="00073D30">
        <w:rPr>
          <w:rFonts w:ascii="Times New Roman" w:hAnsi="Times New Roman" w:cs="Times New Roman"/>
        </w:rPr>
        <w:t xml:space="preserve">. </w:t>
      </w:r>
      <w:r w:rsidR="00965DCC">
        <w:rPr>
          <w:rFonts w:ascii="Times New Roman" w:hAnsi="Times New Roman" w:cs="Times New Roman"/>
        </w:rPr>
        <w:t>Lanham, MD: University Press of America, 1986</w:t>
      </w:r>
      <w:r w:rsidR="00073D30">
        <w:rPr>
          <w:rFonts w:ascii="Times New Roman" w:hAnsi="Times New Roman" w:cs="Times New Roman"/>
        </w:rPr>
        <w:t xml:space="preserve">; Daniel Elazar, </w:t>
      </w:r>
      <w:r w:rsidR="00073D30">
        <w:rPr>
          <w:rFonts w:ascii="Times New Roman" w:hAnsi="Times New Roman" w:cs="Times New Roman"/>
          <w:i/>
          <w:iCs/>
        </w:rPr>
        <w:t>Building Toward the Civil War: Generational Rhythms in American Politics</w:t>
      </w:r>
      <w:r w:rsidR="00073D30">
        <w:rPr>
          <w:rFonts w:ascii="Times New Roman" w:hAnsi="Times New Roman" w:cs="Times New Roman"/>
        </w:rPr>
        <w:t>. Lanham, MD: Madison Books: 1992; Daniel</w:t>
      </w:r>
      <w:r w:rsidRPr="002318C9">
        <w:rPr>
          <w:rFonts w:ascii="Times New Roman" w:hAnsi="Times New Roman" w:cs="Times New Roman"/>
        </w:rPr>
        <w:t xml:space="preserve"> Elazar</w:t>
      </w:r>
      <w:r w:rsidR="00073D30">
        <w:rPr>
          <w:rFonts w:ascii="Times New Roman" w:hAnsi="Times New Roman" w:cs="Times New Roman"/>
        </w:rPr>
        <w:t xml:space="preserve">, “Civil War and the Preservation of American Federalism.” </w:t>
      </w:r>
      <w:r w:rsidR="00073D30">
        <w:rPr>
          <w:rFonts w:ascii="Times New Roman" w:hAnsi="Times New Roman" w:cs="Times New Roman"/>
          <w:i/>
          <w:iCs/>
        </w:rPr>
        <w:t>Publius</w:t>
      </w:r>
      <w:r w:rsidR="00073D30">
        <w:rPr>
          <w:rFonts w:ascii="Times New Roman" w:hAnsi="Times New Roman" w:cs="Times New Roman"/>
        </w:rPr>
        <w:t xml:space="preserve"> vol 1, no 1 (1971)</w:t>
      </w:r>
      <w:r w:rsidRPr="002318C9">
        <w:rPr>
          <w:rFonts w:ascii="Times New Roman" w:hAnsi="Times New Roman" w:cs="Times New Roman"/>
        </w:rPr>
        <w:t xml:space="preserve">; </w:t>
      </w:r>
      <w:r w:rsidR="001C6560">
        <w:rPr>
          <w:rFonts w:ascii="Times New Roman" w:hAnsi="Times New Roman" w:cs="Times New Roman"/>
        </w:rPr>
        <w:t xml:space="preserve">Harold </w:t>
      </w:r>
      <w:r w:rsidRPr="002318C9">
        <w:rPr>
          <w:rFonts w:ascii="Times New Roman" w:hAnsi="Times New Roman" w:cs="Times New Roman"/>
        </w:rPr>
        <w:t>Hyman</w:t>
      </w:r>
      <w:r w:rsidR="001C6560">
        <w:rPr>
          <w:rFonts w:ascii="Times New Roman" w:hAnsi="Times New Roman" w:cs="Times New Roman"/>
        </w:rPr>
        <w:t xml:space="preserve">, </w:t>
      </w:r>
      <w:r w:rsidR="001C6560">
        <w:rPr>
          <w:rFonts w:ascii="Times New Roman" w:hAnsi="Times New Roman" w:cs="Times New Roman"/>
          <w:i/>
          <w:iCs/>
        </w:rPr>
        <w:t>A More Perfect Union: The Impact of the Civil War and Reconstruction on the Constitution</w:t>
      </w:r>
      <w:r w:rsidR="001C6560">
        <w:rPr>
          <w:rFonts w:ascii="Times New Roman" w:hAnsi="Times New Roman" w:cs="Times New Roman"/>
        </w:rPr>
        <w:t>. New York; Knopf, 1973.</w:t>
      </w:r>
    </w:p>
  </w:footnote>
  <w:footnote w:id="235">
    <w:p w14:paraId="170E5CA0" w14:textId="124C8C1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Bensel</w:t>
      </w:r>
      <w:r w:rsidR="0036546E">
        <w:rPr>
          <w:rFonts w:ascii="Times New Roman" w:hAnsi="Times New Roman" w:cs="Times New Roman"/>
        </w:rPr>
        <w:t xml:space="preserve">, </w:t>
      </w:r>
      <w:r w:rsidR="0036546E" w:rsidRPr="002318C9">
        <w:rPr>
          <w:rFonts w:ascii="Times New Roman" w:hAnsi="Times New Roman" w:cs="Times New Roman"/>
          <w:i/>
          <w:iCs/>
        </w:rPr>
        <w:t>Yankee Leviathan</w:t>
      </w:r>
    </w:p>
  </w:footnote>
  <w:footnote w:id="236">
    <w:p w14:paraId="1D043075" w14:textId="027284B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7E1190">
        <w:rPr>
          <w:rFonts w:ascii="Times New Roman" w:hAnsi="Times New Roman" w:cs="Times New Roman"/>
          <w:i/>
          <w:iCs/>
        </w:rPr>
        <w:t>,</w:t>
      </w:r>
      <w:r w:rsidR="00965DCC">
        <w:rPr>
          <w:rFonts w:ascii="Times New Roman" w:hAnsi="Times New Roman" w:cs="Times New Roman"/>
        </w:rPr>
        <w:t xml:space="preserve"> </w:t>
      </w:r>
      <w:r w:rsidRPr="002318C9">
        <w:rPr>
          <w:rFonts w:ascii="Times New Roman" w:hAnsi="Times New Roman" w:cs="Times New Roman"/>
        </w:rPr>
        <w:t>32-</w:t>
      </w:r>
      <w:r w:rsidR="00CA762E">
        <w:rPr>
          <w:rFonts w:ascii="Times New Roman" w:hAnsi="Times New Roman" w:cs="Times New Roman"/>
        </w:rPr>
        <w:t>36;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31523D">
        <w:rPr>
          <w:rFonts w:ascii="Times New Roman" w:hAnsi="Times New Roman" w:cs="Times New Roman"/>
          <w:i/>
          <w:iCs/>
        </w:rPr>
        <w:t>,</w:t>
      </w:r>
      <w:r w:rsidR="00CA762E">
        <w:rPr>
          <w:rFonts w:ascii="Times New Roman" w:hAnsi="Times New Roman" w:cs="Times New Roman"/>
        </w:rPr>
        <w:t xml:space="preserve"> 60-66</w:t>
      </w:r>
    </w:p>
  </w:footnote>
  <w:footnote w:id="237">
    <w:p w14:paraId="44C3B32C" w14:textId="4A4EB929"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A762E">
        <w:rPr>
          <w:rFonts w:ascii="Times New Roman" w:hAnsi="Times New Roman" w:cs="Times New Roman"/>
        </w:rPr>
        <w:t>Ibid</w:t>
      </w:r>
    </w:p>
  </w:footnote>
  <w:footnote w:id="238">
    <w:p w14:paraId="22BD8171" w14:textId="5D0AC318"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A762E">
        <w:rPr>
          <w:rFonts w:ascii="Times New Roman" w:hAnsi="Times New Roman" w:cs="Times New Roman"/>
        </w:rPr>
        <w:t>Ibid</w:t>
      </w:r>
    </w:p>
  </w:footnote>
  <w:footnote w:id="239">
    <w:p w14:paraId="5B1B9973" w14:textId="568803A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40">
    <w:p w14:paraId="4CDAC2F8" w14:textId="0D67557F" w:rsidR="006A6DED" w:rsidRPr="00636901" w:rsidRDefault="006A6DED" w:rsidP="006A6DE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00CA762E">
        <w:rPr>
          <w:rFonts w:ascii="Times New Roman" w:hAnsi="Times New Roman" w:cs="Times New Roman"/>
        </w:rPr>
        <w:t xml:space="preserve"> Ibid</w:t>
      </w:r>
      <w:r w:rsidRPr="002318C9">
        <w:rPr>
          <w:rFonts w:ascii="Times New Roman" w:hAnsi="Times New Roman" w:cs="Times New Roman"/>
        </w:rPr>
        <w:t>; Hoogenboom</w:t>
      </w:r>
      <w:r w:rsidR="00636901">
        <w:rPr>
          <w:rFonts w:ascii="Times New Roman" w:hAnsi="Times New Roman" w:cs="Times New Roman"/>
        </w:rPr>
        <w:t xml:space="preserve">, </w:t>
      </w:r>
      <w:r w:rsidR="00636901">
        <w:rPr>
          <w:rFonts w:ascii="Times New Roman" w:hAnsi="Times New Roman" w:cs="Times New Roman"/>
          <w:i/>
          <w:iCs/>
        </w:rPr>
        <w:t>Outlawing the Spoils</w:t>
      </w:r>
    </w:p>
  </w:footnote>
  <w:footnote w:id="241">
    <w:p w14:paraId="7F767709" w14:textId="16CF860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A762E">
        <w:rPr>
          <w:rFonts w:ascii="Times New Roman" w:hAnsi="Times New Roman" w:cs="Times New Roman"/>
        </w:rPr>
        <w:t>Ibid</w:t>
      </w:r>
    </w:p>
  </w:footnote>
  <w:footnote w:id="242">
    <w:p w14:paraId="7EC19764" w14:textId="156F8431" w:rsidR="006A6DED" w:rsidRPr="006F1143" w:rsidRDefault="006A6DED" w:rsidP="006F1143">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F1143">
        <w:rPr>
          <w:rFonts w:ascii="Times New Roman" w:hAnsi="Times New Roman" w:cs="Times New Roman"/>
        </w:rPr>
        <w:t xml:space="preserve">Nester, </w:t>
      </w:r>
      <w:r w:rsidR="006F1143">
        <w:rPr>
          <w:rFonts w:ascii="Times New Roman" w:hAnsi="Times New Roman" w:cs="Times New Roman"/>
          <w:i/>
          <w:iCs/>
        </w:rPr>
        <w:t>Age of Lincoln</w:t>
      </w:r>
      <w:r w:rsidR="006F1143">
        <w:rPr>
          <w:rFonts w:ascii="Times New Roman" w:hAnsi="Times New Roman" w:cs="Times New Roman"/>
        </w:rPr>
        <w:t>; Ambrosius</w:t>
      </w:r>
      <w:r w:rsidR="00273F0B">
        <w:rPr>
          <w:rFonts w:ascii="Times New Roman" w:hAnsi="Times New Roman" w:cs="Times New Roman"/>
        </w:rPr>
        <w:t xml:space="preserve">, </w:t>
      </w:r>
      <w:r w:rsidR="00273F0B">
        <w:rPr>
          <w:rFonts w:ascii="Times New Roman" w:hAnsi="Times New Roman" w:cs="Times New Roman"/>
          <w:i/>
          <w:iCs/>
        </w:rPr>
        <w:t>Crisis of Republicanism</w:t>
      </w:r>
      <w:r w:rsidR="006F1143">
        <w:rPr>
          <w:rFonts w:ascii="Times New Roman" w:hAnsi="Times New Roman" w:cs="Times New Roman"/>
        </w:rPr>
        <w:t>;</w:t>
      </w:r>
      <w:r w:rsidR="006F1143" w:rsidRPr="006F1143">
        <w:rPr>
          <w:rFonts w:ascii="Times New Roman" w:hAnsi="Times New Roman" w:cs="Times New Roman"/>
        </w:rPr>
        <w:t xml:space="preserve"> Dale</w:t>
      </w:r>
      <w:r w:rsidR="006F1143">
        <w:rPr>
          <w:rFonts w:ascii="Times New Roman" w:hAnsi="Times New Roman" w:cs="Times New Roman"/>
        </w:rPr>
        <w:t xml:space="preserve"> Baum,</w:t>
      </w:r>
      <w:r w:rsidR="006F1143" w:rsidRPr="006F1143">
        <w:rPr>
          <w:rFonts w:ascii="Times New Roman" w:hAnsi="Times New Roman" w:cs="Times New Roman"/>
        </w:rPr>
        <w:t xml:space="preserve"> </w:t>
      </w:r>
      <w:r w:rsidR="006F1143" w:rsidRPr="006F1143">
        <w:rPr>
          <w:rFonts w:ascii="Times New Roman" w:hAnsi="Times New Roman" w:cs="Times New Roman"/>
          <w:i/>
          <w:iCs/>
        </w:rPr>
        <w:t>The Civil War Party System: The Case of Massachusetts, 1848-1876</w:t>
      </w:r>
      <w:r w:rsidR="006F1143" w:rsidRPr="006F1143">
        <w:rPr>
          <w:rFonts w:ascii="Times New Roman" w:hAnsi="Times New Roman" w:cs="Times New Roman"/>
        </w:rPr>
        <w:t>. Chapel Hill, NC: University of North Carolina Press, 1984</w:t>
      </w:r>
      <w:r w:rsidR="006F1143">
        <w:rPr>
          <w:rFonts w:ascii="Times New Roman" w:hAnsi="Times New Roman" w:cs="Times New Roman"/>
        </w:rPr>
        <w:t xml:space="preserve">; Eric </w:t>
      </w:r>
      <w:r w:rsidR="006F1143" w:rsidRPr="006F1143">
        <w:rPr>
          <w:rFonts w:ascii="Times New Roman" w:hAnsi="Times New Roman" w:cs="Times New Roman"/>
        </w:rPr>
        <w:t xml:space="preserve">Foner, </w:t>
      </w:r>
      <w:r w:rsidR="006F1143" w:rsidRPr="006F1143">
        <w:rPr>
          <w:rFonts w:ascii="Times New Roman" w:hAnsi="Times New Roman" w:cs="Times New Roman"/>
          <w:i/>
          <w:iCs/>
        </w:rPr>
        <w:t>Politics and Ideology in the Age of the Civil War</w:t>
      </w:r>
      <w:r w:rsidR="006F1143" w:rsidRPr="006F1143">
        <w:rPr>
          <w:rFonts w:ascii="Times New Roman" w:hAnsi="Times New Roman" w:cs="Times New Roman"/>
        </w:rPr>
        <w:t>. New York: Oxford University Press, 1980</w:t>
      </w:r>
      <w:r w:rsidR="006F1143">
        <w:rPr>
          <w:rFonts w:ascii="Times New Roman" w:hAnsi="Times New Roman" w:cs="Times New Roman"/>
        </w:rPr>
        <w:t>.</w:t>
      </w:r>
    </w:p>
  </w:footnote>
  <w:footnote w:id="243">
    <w:p w14:paraId="63D9D2BC" w14:textId="2BF7531A" w:rsidR="006A6DED" w:rsidRPr="00D918F7" w:rsidRDefault="006A6DED" w:rsidP="00D918F7">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464AB">
        <w:rPr>
          <w:rFonts w:ascii="Times New Roman" w:hAnsi="Times New Roman" w:cs="Times New Roman"/>
        </w:rPr>
        <w:t xml:space="preserve">Ibid; </w:t>
      </w:r>
      <w:r w:rsidRPr="002318C9">
        <w:rPr>
          <w:rFonts w:ascii="Times New Roman" w:hAnsi="Times New Roman" w:cs="Times New Roman"/>
        </w:rPr>
        <w:t>This is a broad generalization. There were of course large numbers of Democrats outside of the Deep South and Republicans in the Deep South, but these were the traditional strongholds of these groups from the Civil War through the 1890s. For more, consider:</w:t>
      </w:r>
      <w:r w:rsidR="00D918F7">
        <w:rPr>
          <w:rFonts w:ascii="Times New Roman" w:hAnsi="Times New Roman" w:cs="Times New Roman"/>
        </w:rPr>
        <w:t xml:space="preserve"> </w:t>
      </w:r>
      <w:r w:rsidR="00D918F7" w:rsidRPr="00D918F7">
        <w:rPr>
          <w:rFonts w:ascii="Times New Roman" w:hAnsi="Times New Roman" w:cs="Times New Roman"/>
        </w:rPr>
        <w:t xml:space="preserve">William Gilette, </w:t>
      </w:r>
      <w:r w:rsidR="00D918F7" w:rsidRPr="00D918F7">
        <w:rPr>
          <w:rFonts w:ascii="Times New Roman" w:hAnsi="Times New Roman" w:cs="Times New Roman"/>
          <w:i/>
          <w:iCs/>
        </w:rPr>
        <w:t>Retreat from Reconstruction, 1869-1879</w:t>
      </w:r>
      <w:r w:rsidR="00D918F7" w:rsidRPr="00D918F7">
        <w:rPr>
          <w:rFonts w:ascii="Times New Roman" w:hAnsi="Times New Roman" w:cs="Times New Roman"/>
        </w:rPr>
        <w:t xml:space="preserve">. Baton Rouge: Louisiana State Press, 1982; James Alex Baggett, </w:t>
      </w:r>
      <w:r w:rsidR="00D918F7" w:rsidRPr="00D918F7">
        <w:rPr>
          <w:rFonts w:ascii="Times New Roman" w:hAnsi="Times New Roman" w:cs="Times New Roman"/>
          <w:i/>
          <w:iCs/>
        </w:rPr>
        <w:t>The Scalawags: Southern Dissenters in the Civil War and Reconstruction</w:t>
      </w:r>
      <w:r w:rsidR="00D918F7" w:rsidRPr="00D918F7">
        <w:rPr>
          <w:rFonts w:ascii="Times New Roman" w:hAnsi="Times New Roman" w:cs="Times New Roman"/>
        </w:rPr>
        <w:t xml:space="preserve">. Baton Rouge: Louisiana State University Press, 2003; Edward L. Ayers, </w:t>
      </w:r>
      <w:r w:rsidR="00D918F7" w:rsidRPr="00D918F7">
        <w:rPr>
          <w:rFonts w:ascii="Times New Roman" w:hAnsi="Times New Roman" w:cs="Times New Roman"/>
          <w:i/>
          <w:iCs/>
        </w:rPr>
        <w:t>The Promise of the New South: Life after Reconstruction</w:t>
      </w:r>
      <w:r w:rsidR="00D918F7" w:rsidRPr="00D918F7">
        <w:rPr>
          <w:rFonts w:ascii="Times New Roman" w:hAnsi="Times New Roman" w:cs="Times New Roman"/>
        </w:rPr>
        <w:t>. 15</w:t>
      </w:r>
      <w:r w:rsidR="00D918F7" w:rsidRPr="00D918F7">
        <w:rPr>
          <w:rFonts w:ascii="Times New Roman" w:hAnsi="Times New Roman" w:cs="Times New Roman"/>
          <w:vertAlign w:val="superscript"/>
        </w:rPr>
        <w:t>th</w:t>
      </w:r>
      <w:r w:rsidR="00D918F7" w:rsidRPr="00D918F7">
        <w:rPr>
          <w:rFonts w:ascii="Times New Roman" w:hAnsi="Times New Roman" w:cs="Times New Roman"/>
        </w:rPr>
        <w:t xml:space="preserve"> Anniversary Edition. New York: Oxford University Press, 2007; Michael Perman, </w:t>
      </w:r>
      <w:r w:rsidR="00D918F7" w:rsidRPr="00D918F7">
        <w:rPr>
          <w:rFonts w:ascii="Times New Roman" w:hAnsi="Times New Roman" w:cs="Times New Roman"/>
          <w:i/>
          <w:iCs/>
        </w:rPr>
        <w:t>The Road to Redemption: Southern Politics, 1869-1879</w:t>
      </w:r>
      <w:r w:rsidR="00D918F7" w:rsidRPr="00D918F7">
        <w:rPr>
          <w:rFonts w:ascii="Times New Roman" w:hAnsi="Times New Roman" w:cs="Times New Roman"/>
        </w:rPr>
        <w:t xml:space="preserve">.Chapel Hill: University of North Carolina Press, 1984; </w:t>
      </w:r>
      <w:r w:rsidR="00D918F7">
        <w:rPr>
          <w:rFonts w:ascii="Times New Roman" w:hAnsi="Times New Roman" w:cs="Times New Roman"/>
        </w:rPr>
        <w:t xml:space="preserve">C. Vann Woodward, </w:t>
      </w:r>
      <w:r w:rsidR="00D918F7" w:rsidRPr="00D918F7">
        <w:rPr>
          <w:rFonts w:ascii="Times New Roman" w:hAnsi="Times New Roman" w:cs="Times New Roman"/>
          <w:i/>
          <w:iCs/>
        </w:rPr>
        <w:t>Reunion and Reaction: The Compromise of 1877 and the End of Reconstruction</w:t>
      </w:r>
      <w:r w:rsidR="00D918F7" w:rsidRPr="00D918F7">
        <w:rPr>
          <w:rFonts w:ascii="Times New Roman" w:hAnsi="Times New Roman" w:cs="Times New Roman"/>
        </w:rPr>
        <w:t xml:space="preserve">. New York: Oxford University Press, 1951; James Tice Moore, “Origins of the Solid South: Redeemer Democrats and the Popular Will, 1870-1900.” </w:t>
      </w:r>
      <w:r w:rsidR="00D918F7" w:rsidRPr="00D918F7">
        <w:rPr>
          <w:rFonts w:ascii="Times New Roman" w:hAnsi="Times New Roman" w:cs="Times New Roman"/>
          <w:i/>
          <w:iCs/>
        </w:rPr>
        <w:t>Southern Studies</w:t>
      </w:r>
      <w:r w:rsidR="00D918F7" w:rsidRPr="00D918F7">
        <w:rPr>
          <w:rFonts w:ascii="Times New Roman" w:hAnsi="Times New Roman" w:cs="Times New Roman"/>
        </w:rPr>
        <w:t>, 1983, 22(3): 285-301.</w:t>
      </w:r>
    </w:p>
  </w:footnote>
  <w:footnote w:id="244">
    <w:p w14:paraId="3676566E" w14:textId="5DD8C23B" w:rsidR="006A6DED" w:rsidRPr="00193CE7" w:rsidRDefault="006A6DED" w:rsidP="00AC368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These terms included acceptance of emancipation, adherence to black suffrage, and a rewriting of state constitutions to reflect these changes therein. For more, consider:</w:t>
      </w:r>
      <w:r w:rsidR="00AC368A">
        <w:rPr>
          <w:rFonts w:ascii="Times New Roman" w:hAnsi="Times New Roman" w:cs="Times New Roman"/>
        </w:rPr>
        <w:t xml:space="preserve"> </w:t>
      </w:r>
      <w:r w:rsidR="006324B8">
        <w:rPr>
          <w:rFonts w:ascii="Times New Roman" w:hAnsi="Times New Roman" w:cs="Times New Roman"/>
        </w:rPr>
        <w:t xml:space="preserve">Philip B. </w:t>
      </w:r>
      <w:r w:rsidR="006324B8" w:rsidRPr="006324B8">
        <w:rPr>
          <w:rFonts w:ascii="Times New Roman" w:hAnsi="Times New Roman" w:cs="Times New Roman"/>
        </w:rPr>
        <w:t xml:space="preserve">Lyons, </w:t>
      </w:r>
      <w:r w:rsidR="006324B8" w:rsidRPr="006324B8">
        <w:rPr>
          <w:rFonts w:ascii="Times New Roman" w:hAnsi="Times New Roman" w:cs="Times New Roman"/>
          <w:i/>
          <w:iCs/>
        </w:rPr>
        <w:t>Statesmanship and Reconstruction: Moderate versus Radical Republicans on Restoring the Union after the Civil War.</w:t>
      </w:r>
      <w:r w:rsidR="006324B8" w:rsidRPr="006324B8">
        <w:rPr>
          <w:rFonts w:ascii="Times New Roman" w:hAnsi="Times New Roman" w:cs="Times New Roman"/>
        </w:rPr>
        <w:t xml:space="preserve"> Lanham, MD: Lexington Books, 2014</w:t>
      </w:r>
      <w:r w:rsidR="00193CE7" w:rsidRPr="006324B8">
        <w:rPr>
          <w:rFonts w:ascii="Times New Roman" w:hAnsi="Times New Roman" w:cs="Times New Roman"/>
        </w:rPr>
        <w:t xml:space="preserve">; Foner, </w:t>
      </w:r>
      <w:r w:rsidR="00193CE7" w:rsidRPr="006324B8">
        <w:rPr>
          <w:rFonts w:ascii="Times New Roman" w:hAnsi="Times New Roman" w:cs="Times New Roman"/>
          <w:i/>
          <w:iCs/>
        </w:rPr>
        <w:t>Reconstruction</w:t>
      </w:r>
      <w:r w:rsidR="00193CE7" w:rsidRPr="006324B8">
        <w:rPr>
          <w:rFonts w:ascii="Times New Roman" w:hAnsi="Times New Roman" w:cs="Times New Roman"/>
        </w:rPr>
        <w:t xml:space="preserve">; </w:t>
      </w:r>
      <w:r w:rsidR="00AC368A" w:rsidRPr="006324B8">
        <w:rPr>
          <w:rFonts w:ascii="Times New Roman" w:hAnsi="Times New Roman" w:cs="Times New Roman"/>
        </w:rPr>
        <w:t xml:space="preserve">Andrew L. Slap, </w:t>
      </w:r>
      <w:r w:rsidR="00AC368A" w:rsidRPr="006324B8">
        <w:rPr>
          <w:rFonts w:ascii="Times New Roman" w:hAnsi="Times New Roman" w:cs="Times New Roman"/>
          <w:i/>
          <w:iCs/>
        </w:rPr>
        <w:t>The Doom of Reconstruction: The Liberal Republicans in the Civil War Era</w:t>
      </w:r>
      <w:r w:rsidR="00AC368A" w:rsidRPr="006324B8">
        <w:rPr>
          <w:rFonts w:ascii="Times New Roman" w:hAnsi="Times New Roman" w:cs="Times New Roman"/>
        </w:rPr>
        <w:t>. New York: Fordham University Press, 2006</w:t>
      </w:r>
      <w:r w:rsidR="00193CE7">
        <w:rPr>
          <w:rFonts w:ascii="Times New Roman" w:hAnsi="Times New Roman" w:cs="Times New Roman"/>
        </w:rPr>
        <w:t xml:space="preserve">; Mark Wahlgren </w:t>
      </w:r>
      <w:r w:rsidR="00193CE7" w:rsidRPr="00193CE7">
        <w:rPr>
          <w:rFonts w:ascii="Times New Roman" w:hAnsi="Times New Roman" w:cs="Times New Roman"/>
        </w:rPr>
        <w:t xml:space="preserve">Summers, </w:t>
      </w:r>
      <w:r w:rsidR="00193CE7" w:rsidRPr="00193CE7">
        <w:rPr>
          <w:rFonts w:ascii="Times New Roman" w:hAnsi="Times New Roman" w:cs="Times New Roman"/>
          <w:i/>
          <w:iCs/>
        </w:rPr>
        <w:t>Railroads, Reconstruction, and the Gospel of Prosperity: Aid Under the Radical Republicans, 1865-1877.</w:t>
      </w:r>
      <w:r w:rsidR="00193CE7" w:rsidRPr="00193CE7">
        <w:rPr>
          <w:rFonts w:ascii="Times New Roman" w:hAnsi="Times New Roman" w:cs="Times New Roman"/>
        </w:rPr>
        <w:t xml:space="preserve"> Princeton: Princeton University Press, 1984; </w:t>
      </w:r>
      <w:r w:rsidR="00193CE7">
        <w:rPr>
          <w:rFonts w:ascii="Times New Roman" w:hAnsi="Times New Roman" w:cs="Times New Roman"/>
        </w:rPr>
        <w:t xml:space="preserve">Hans L. </w:t>
      </w:r>
      <w:r w:rsidR="00193CE7" w:rsidRPr="00193CE7">
        <w:rPr>
          <w:rFonts w:ascii="Times New Roman" w:hAnsi="Times New Roman" w:cs="Times New Roman"/>
        </w:rPr>
        <w:t xml:space="preserve">Trefousse, </w:t>
      </w:r>
      <w:r w:rsidR="00193CE7" w:rsidRPr="00193CE7">
        <w:rPr>
          <w:rFonts w:ascii="Times New Roman" w:hAnsi="Times New Roman" w:cs="Times New Roman"/>
          <w:i/>
          <w:iCs/>
        </w:rPr>
        <w:t>The Radical Republicans: Lincoln’s Vanguard for Racial Justice.</w:t>
      </w:r>
      <w:r w:rsidR="00193CE7" w:rsidRPr="00193CE7">
        <w:rPr>
          <w:rFonts w:ascii="Times New Roman" w:hAnsi="Times New Roman" w:cs="Times New Roman"/>
        </w:rPr>
        <w:t xml:space="preserve"> New York: Knopf, 1969.</w:t>
      </w:r>
    </w:p>
  </w:footnote>
  <w:footnote w:id="245">
    <w:p w14:paraId="74DE9585" w14:textId="2047EACA" w:rsidR="006A6DED" w:rsidRPr="00193CE7"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93CE7">
        <w:rPr>
          <w:rFonts w:ascii="Times New Roman" w:hAnsi="Times New Roman" w:cs="Times New Roman"/>
        </w:rPr>
        <w:t>Ibid;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193CE7">
        <w:rPr>
          <w:rFonts w:ascii="Times New Roman" w:hAnsi="Times New Roman" w:cs="Times New Roman"/>
        </w:rPr>
        <w:t xml:space="preserve">; Hoogenboom, </w:t>
      </w:r>
      <w:r w:rsidR="00193CE7">
        <w:rPr>
          <w:rFonts w:ascii="Times New Roman" w:hAnsi="Times New Roman" w:cs="Times New Roman"/>
          <w:i/>
          <w:iCs/>
        </w:rPr>
        <w:t>Outlawing the Spoils</w:t>
      </w:r>
      <w:r w:rsidR="00193CE7">
        <w:rPr>
          <w:rFonts w:ascii="Times New Roman" w:hAnsi="Times New Roman" w:cs="Times New Roman"/>
        </w:rPr>
        <w:t>; 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p>
  </w:footnote>
  <w:footnote w:id="246">
    <w:p w14:paraId="1A1B0E2C" w14:textId="1643B7DA" w:rsidR="006A6DED" w:rsidRPr="0067184C" w:rsidRDefault="006A6DED" w:rsidP="0067184C">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more on the history and historiography of the third party system, consider:</w:t>
      </w:r>
      <w:r w:rsidR="00347AFD">
        <w:rPr>
          <w:rFonts w:ascii="Times New Roman" w:hAnsi="Times New Roman" w:cs="Times New Roman"/>
        </w:rPr>
        <w:t xml:space="preserve"> </w:t>
      </w:r>
      <w:r w:rsidR="0067184C">
        <w:rPr>
          <w:rFonts w:ascii="Times New Roman" w:hAnsi="Times New Roman" w:cs="Times New Roman"/>
        </w:rPr>
        <w:t xml:space="preserve">Paul </w:t>
      </w:r>
      <w:r w:rsidR="0067184C" w:rsidRPr="00A933D8">
        <w:rPr>
          <w:rFonts w:ascii="Times New Roman" w:hAnsi="Times New Roman" w:cs="Times New Roman"/>
        </w:rPr>
        <w:t xml:space="preserve">Kleppner, </w:t>
      </w:r>
      <w:r w:rsidR="0067184C" w:rsidRPr="00A933D8">
        <w:rPr>
          <w:rFonts w:ascii="Times New Roman" w:hAnsi="Times New Roman" w:cs="Times New Roman"/>
          <w:i/>
          <w:iCs/>
        </w:rPr>
        <w:t>The Third Electoral System 1853–1892: Parties, Voters, and Political Cultures</w:t>
      </w:r>
      <w:r w:rsidR="0067184C" w:rsidRPr="0067184C">
        <w:rPr>
          <w:rFonts w:ascii="Times New Roman" w:hAnsi="Times New Roman" w:cs="Times New Roman"/>
          <w:i/>
          <w:iCs/>
        </w:rPr>
        <w:t xml:space="preserve">. </w:t>
      </w:r>
      <w:r w:rsidR="0067184C" w:rsidRPr="0067184C">
        <w:rPr>
          <w:rFonts w:ascii="Times New Roman" w:hAnsi="Times New Roman" w:cs="Times New Roman"/>
        </w:rPr>
        <w:t xml:space="preserve">Chapel Hill: University of North Carolina Press, </w:t>
      </w:r>
      <w:r w:rsidR="0067184C" w:rsidRPr="00A933D8">
        <w:rPr>
          <w:rFonts w:ascii="Times New Roman" w:hAnsi="Times New Roman" w:cs="Times New Roman"/>
        </w:rPr>
        <w:t>1979</w:t>
      </w:r>
      <w:r w:rsidR="0067184C">
        <w:rPr>
          <w:rFonts w:ascii="Times New Roman" w:hAnsi="Times New Roman" w:cs="Times New Roman"/>
        </w:rPr>
        <w:t xml:space="preserve">; Stephen L. </w:t>
      </w:r>
      <w:r w:rsidR="0067184C" w:rsidRPr="0067184C">
        <w:rPr>
          <w:rFonts w:ascii="Times New Roman" w:hAnsi="Times New Roman" w:cs="Times New Roman"/>
        </w:rPr>
        <w:t xml:space="preserve">Hansen, </w:t>
      </w:r>
      <w:r w:rsidR="0067184C" w:rsidRPr="0067184C">
        <w:rPr>
          <w:rFonts w:ascii="Times New Roman" w:hAnsi="Times New Roman" w:cs="Times New Roman"/>
          <w:i/>
          <w:iCs/>
        </w:rPr>
        <w:t>The Making of the Third Party System: Voters and Parties in Illinois, 1850–1876</w:t>
      </w:r>
      <w:r w:rsidR="0067184C" w:rsidRPr="0067184C">
        <w:rPr>
          <w:rFonts w:ascii="Times New Roman" w:hAnsi="Times New Roman" w:cs="Times New Roman"/>
        </w:rPr>
        <w:t>. Ann Arbor, MI: UMI Research Press, 1980</w:t>
      </w:r>
      <w:r w:rsidR="0067184C">
        <w:rPr>
          <w:rFonts w:ascii="Times New Roman" w:hAnsi="Times New Roman" w:cs="Times New Roman"/>
        </w:rPr>
        <w:t xml:space="preserve">; </w:t>
      </w:r>
      <w:r w:rsidR="0080787F">
        <w:rPr>
          <w:rFonts w:ascii="Times New Roman" w:hAnsi="Times New Roman" w:cs="Times New Roman"/>
        </w:rPr>
        <w:t xml:space="preserve">James E. </w:t>
      </w:r>
      <w:r w:rsidR="0080787F" w:rsidRPr="0080787F">
        <w:rPr>
          <w:rFonts w:ascii="Times New Roman" w:hAnsi="Times New Roman" w:cs="Times New Roman"/>
        </w:rPr>
        <w:t xml:space="preserve">Campbell, "Party Systems and Realignments in the United States, 1868–2004", </w:t>
      </w:r>
      <w:r w:rsidR="0080787F" w:rsidRPr="0080787F">
        <w:rPr>
          <w:rFonts w:ascii="Times New Roman" w:hAnsi="Times New Roman" w:cs="Times New Roman"/>
          <w:i/>
          <w:iCs/>
        </w:rPr>
        <w:t>Social Science History</w:t>
      </w:r>
      <w:r w:rsidR="0080787F" w:rsidRPr="0080787F">
        <w:rPr>
          <w:rFonts w:ascii="Times New Roman" w:hAnsi="Times New Roman" w:cs="Times New Roman"/>
        </w:rPr>
        <w:t>, Fall 2006, vol. 30, issue 3. pp. 359–386</w:t>
      </w:r>
      <w:r w:rsidR="0080787F">
        <w:rPr>
          <w:rFonts w:ascii="Times New Roman" w:hAnsi="Times New Roman" w:cs="Times New Roman"/>
        </w:rPr>
        <w:t>.</w:t>
      </w:r>
    </w:p>
  </w:footnote>
  <w:footnote w:id="247">
    <w:p w14:paraId="1AFB7565" w14:textId="29DE508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0787F">
        <w:rPr>
          <w:rFonts w:ascii="Times New Roman" w:hAnsi="Times New Roman" w:cs="Times New Roman"/>
        </w:rPr>
        <w:t xml:space="preserve">Martha Hodes, </w:t>
      </w:r>
      <w:r w:rsidR="0080787F">
        <w:rPr>
          <w:rFonts w:ascii="Times New Roman" w:hAnsi="Times New Roman" w:cs="Times New Roman"/>
          <w:i/>
          <w:iCs/>
        </w:rPr>
        <w:t xml:space="preserve">Mourning </w:t>
      </w:r>
      <w:r w:rsidR="0080787F" w:rsidRPr="0080787F">
        <w:rPr>
          <w:rFonts w:ascii="Times New Roman" w:hAnsi="Times New Roman" w:cs="Times New Roman"/>
          <w:i/>
          <w:iCs/>
        </w:rPr>
        <w:t>Lincoln</w:t>
      </w:r>
      <w:r w:rsidR="0080787F">
        <w:rPr>
          <w:rFonts w:ascii="Times New Roman" w:hAnsi="Times New Roman" w:cs="Times New Roman"/>
          <w:i/>
          <w:iCs/>
        </w:rPr>
        <w:t>.</w:t>
      </w:r>
      <w:r w:rsidR="0080787F">
        <w:rPr>
          <w:rFonts w:ascii="Times New Roman" w:hAnsi="Times New Roman" w:cs="Times New Roman"/>
        </w:rPr>
        <w:t xml:space="preserve"> New Haven: Yale University Press, 2015; Edward Steers Jr., </w:t>
      </w:r>
      <w:r w:rsidR="0080787F">
        <w:rPr>
          <w:rFonts w:ascii="Times New Roman" w:hAnsi="Times New Roman" w:cs="Times New Roman"/>
          <w:i/>
          <w:iCs/>
        </w:rPr>
        <w:t>Lincoln’s Assassination.</w:t>
      </w:r>
      <w:r w:rsidR="0080787F">
        <w:rPr>
          <w:rFonts w:ascii="Times New Roman" w:hAnsi="Times New Roman" w:cs="Times New Roman"/>
        </w:rPr>
        <w:t xml:space="preserve"> Carbondale: Southern Illinois University Press, 2025; Harold Holzer, Craig L. Symonds, and Frank L. Williams, eds. </w:t>
      </w:r>
      <w:r w:rsidR="0080787F">
        <w:rPr>
          <w:rFonts w:ascii="Times New Roman" w:hAnsi="Times New Roman" w:cs="Times New Roman"/>
          <w:i/>
          <w:iCs/>
        </w:rPr>
        <w:t>The Lincoln Assassination: Crime and Punishment, Myth and Memory.</w:t>
      </w:r>
      <w:r w:rsidR="0080787F">
        <w:rPr>
          <w:rFonts w:ascii="Times New Roman" w:hAnsi="Times New Roman" w:cs="Times New Roman"/>
        </w:rPr>
        <w:t xml:space="preserve"> New York: Fordham University Press, 2010.</w:t>
      </w:r>
    </w:p>
  </w:footnote>
  <w:footnote w:id="248">
    <w:p w14:paraId="3BD35B24" w14:textId="6E8B5FF2" w:rsidR="006A6DED" w:rsidRPr="00C67416"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12FCC">
        <w:rPr>
          <w:rFonts w:ascii="Times New Roman" w:hAnsi="Times New Roman" w:cs="Times New Roman"/>
        </w:rPr>
        <w:t xml:space="preserve">Foner, </w:t>
      </w:r>
      <w:r w:rsidR="00B12FCC">
        <w:rPr>
          <w:rFonts w:ascii="Times New Roman" w:hAnsi="Times New Roman" w:cs="Times New Roman"/>
          <w:i/>
          <w:iCs/>
        </w:rPr>
        <w:t>Reconstruction</w:t>
      </w:r>
      <w:r w:rsidR="00B12FCC">
        <w:rPr>
          <w:rFonts w:ascii="Times New Roman" w:hAnsi="Times New Roman" w:cs="Times New Roman"/>
        </w:rPr>
        <w:t xml:space="preserve">; </w:t>
      </w:r>
      <w:r w:rsidR="00C67416">
        <w:rPr>
          <w:rFonts w:ascii="Times New Roman" w:hAnsi="Times New Roman" w:cs="Times New Roman"/>
        </w:rPr>
        <w:t xml:space="preserve">Hans L. Trefousse, </w:t>
      </w:r>
      <w:r w:rsidR="00C67416">
        <w:rPr>
          <w:rFonts w:ascii="Times New Roman" w:hAnsi="Times New Roman" w:cs="Times New Roman"/>
          <w:i/>
          <w:iCs/>
        </w:rPr>
        <w:t>Andrew Johnson: A Biography</w:t>
      </w:r>
      <w:r w:rsidR="00C67416">
        <w:rPr>
          <w:rFonts w:ascii="Times New Roman" w:hAnsi="Times New Roman" w:cs="Times New Roman"/>
        </w:rPr>
        <w:t>. New York: W.W. Norton, 1989.</w:t>
      </w:r>
    </w:p>
  </w:footnote>
  <w:footnote w:id="249">
    <w:p w14:paraId="365C3771" w14:textId="7E1B5A5B" w:rsidR="006A6DED" w:rsidRPr="00C67416" w:rsidRDefault="006A6DED" w:rsidP="006A6DE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67416">
        <w:rPr>
          <w:rFonts w:ascii="Times New Roman" w:hAnsi="Times New Roman" w:cs="Times New Roman"/>
        </w:rPr>
        <w:t>Ibid</w:t>
      </w:r>
    </w:p>
  </w:footnote>
  <w:footnote w:id="250">
    <w:p w14:paraId="0AC7A8D8" w14:textId="5ECB73AD" w:rsidR="006A6DED" w:rsidRPr="00C67416"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06B91">
        <w:rPr>
          <w:rFonts w:ascii="Times New Roman" w:hAnsi="Times New Roman" w:cs="Times New Roman"/>
        </w:rPr>
        <w:t>Ibid</w:t>
      </w:r>
    </w:p>
  </w:footnote>
  <w:footnote w:id="251">
    <w:p w14:paraId="28A52230" w14:textId="6BBB77F4" w:rsidR="006A6DED" w:rsidRPr="00273F0B" w:rsidRDefault="006A6DED" w:rsidP="006A6DE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06B91">
        <w:rPr>
          <w:rFonts w:ascii="Times New Roman" w:hAnsi="Times New Roman" w:cs="Times New Roman"/>
        </w:rPr>
        <w:t xml:space="preserve">Ibid; Summers, </w:t>
      </w:r>
      <w:r w:rsidR="00506B91">
        <w:rPr>
          <w:rFonts w:ascii="Times New Roman" w:hAnsi="Times New Roman" w:cs="Times New Roman"/>
          <w:i/>
          <w:iCs/>
        </w:rPr>
        <w:t>Railroads</w:t>
      </w:r>
      <w:r w:rsidR="00506B91">
        <w:rPr>
          <w:rFonts w:ascii="Times New Roman" w:hAnsi="Times New Roman" w:cs="Times New Roman"/>
        </w:rPr>
        <w:t xml:space="preserve">; Trefousse, </w:t>
      </w:r>
      <w:r w:rsidR="00506B91">
        <w:rPr>
          <w:rFonts w:ascii="Times New Roman" w:hAnsi="Times New Roman" w:cs="Times New Roman"/>
          <w:i/>
          <w:iCs/>
        </w:rPr>
        <w:t>Radical Republicans;</w:t>
      </w:r>
      <w:r w:rsidR="00506B91">
        <w:rPr>
          <w:rFonts w:ascii="Times New Roman" w:hAnsi="Times New Roman" w:cs="Times New Roman"/>
        </w:rPr>
        <w:t xml:space="preserve"> Lyons</w:t>
      </w:r>
      <w:r w:rsidR="00273F0B">
        <w:rPr>
          <w:rFonts w:ascii="Times New Roman" w:hAnsi="Times New Roman" w:cs="Times New Roman"/>
        </w:rPr>
        <w:t xml:space="preserve">, </w:t>
      </w:r>
      <w:r w:rsidR="00273F0B">
        <w:rPr>
          <w:rFonts w:ascii="Times New Roman" w:hAnsi="Times New Roman" w:cs="Times New Roman"/>
          <w:i/>
          <w:iCs/>
        </w:rPr>
        <w:t>Statesmanship and Reconstruction</w:t>
      </w:r>
    </w:p>
  </w:footnote>
  <w:footnote w:id="252">
    <w:p w14:paraId="621D5C5C" w14:textId="5F7F0C54"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650FB">
        <w:rPr>
          <w:rFonts w:ascii="Times New Roman" w:hAnsi="Times New Roman" w:cs="Times New Roman"/>
        </w:rPr>
        <w:t>Ibid</w:t>
      </w:r>
    </w:p>
  </w:footnote>
  <w:footnote w:id="253">
    <w:p w14:paraId="1B6D15DB" w14:textId="285D7B04" w:rsidR="006A6DED" w:rsidRPr="002307A7" w:rsidRDefault="006A6DED" w:rsidP="002307A7">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E5DBF">
        <w:rPr>
          <w:rFonts w:ascii="Times New Roman" w:hAnsi="Times New Roman" w:cs="Times New Roman"/>
        </w:rPr>
        <w:t xml:space="preserve">Ibid; Martin E. </w:t>
      </w:r>
      <w:r w:rsidR="007E5DBF" w:rsidRPr="007E5DBF">
        <w:rPr>
          <w:rFonts w:ascii="Times New Roman" w:hAnsi="Times New Roman" w:cs="Times New Roman"/>
        </w:rPr>
        <w:t xml:space="preserve">Mantell, </w:t>
      </w:r>
      <w:r w:rsidR="007E5DBF" w:rsidRPr="007E5DBF">
        <w:rPr>
          <w:rFonts w:ascii="Times New Roman" w:hAnsi="Times New Roman" w:cs="Times New Roman"/>
          <w:i/>
          <w:iCs/>
        </w:rPr>
        <w:t>Johnson, Grant, and the Politics of Reconstruction</w:t>
      </w:r>
      <w:r w:rsidR="007E5DBF" w:rsidRPr="007E5DBF">
        <w:rPr>
          <w:rFonts w:ascii="Times New Roman" w:hAnsi="Times New Roman" w:cs="Times New Roman"/>
        </w:rPr>
        <w:t xml:space="preserve">. New York, NY: Columbia University Press, 1973; </w:t>
      </w:r>
      <w:r w:rsidR="002307A7">
        <w:rPr>
          <w:rFonts w:ascii="Times New Roman" w:hAnsi="Times New Roman" w:cs="Times New Roman"/>
        </w:rPr>
        <w:t xml:space="preserve">Howard K. </w:t>
      </w:r>
      <w:r w:rsidR="002307A7" w:rsidRPr="002307A7">
        <w:rPr>
          <w:rFonts w:ascii="Times New Roman" w:hAnsi="Times New Roman" w:cs="Times New Roman"/>
        </w:rPr>
        <w:t xml:space="preserve">Beale, </w:t>
      </w:r>
      <w:r w:rsidR="002307A7" w:rsidRPr="002307A7">
        <w:rPr>
          <w:rFonts w:ascii="Times New Roman" w:hAnsi="Times New Roman" w:cs="Times New Roman"/>
          <w:i/>
          <w:iCs/>
        </w:rPr>
        <w:t>The Critical Year: A Study of Andrew Johnson and Reconstruction</w:t>
      </w:r>
      <w:r w:rsidR="002307A7" w:rsidRPr="002307A7">
        <w:rPr>
          <w:rFonts w:ascii="Times New Roman" w:hAnsi="Times New Roman" w:cs="Times New Roman"/>
        </w:rPr>
        <w:t xml:space="preserve"> New York: Harcourt, Brace and Co., 1930.</w:t>
      </w:r>
    </w:p>
  </w:footnote>
  <w:footnote w:id="254">
    <w:p w14:paraId="42EC43A2" w14:textId="139A32B4"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E5DBF">
        <w:rPr>
          <w:rFonts w:ascii="Times New Roman" w:hAnsi="Times New Roman" w:cs="Times New Roman"/>
        </w:rPr>
        <w:t>Ibid</w:t>
      </w:r>
    </w:p>
  </w:footnote>
  <w:footnote w:id="255">
    <w:p w14:paraId="7CEB65DB" w14:textId="0B36F7D9" w:rsidR="006A6DED" w:rsidRPr="00E11605" w:rsidRDefault="006A6DED" w:rsidP="00E1160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E5DBF">
        <w:rPr>
          <w:rFonts w:ascii="Times New Roman" w:hAnsi="Times New Roman" w:cs="Times New Roman"/>
        </w:rPr>
        <w:t xml:space="preserve">Ibid; </w:t>
      </w:r>
      <w:r w:rsidR="002D6F6D">
        <w:rPr>
          <w:rFonts w:ascii="Times New Roman" w:hAnsi="Times New Roman" w:cs="Times New Roman"/>
        </w:rPr>
        <w:t xml:space="preserve">David O. </w:t>
      </w:r>
      <w:r w:rsidR="002D6F6D" w:rsidRPr="002D6F6D">
        <w:rPr>
          <w:rFonts w:ascii="Times New Roman" w:hAnsi="Times New Roman" w:cs="Times New Roman"/>
        </w:rPr>
        <w:t xml:space="preserve">Stewart, </w:t>
      </w:r>
      <w:r w:rsidR="002D6F6D" w:rsidRPr="002D6F6D">
        <w:rPr>
          <w:rFonts w:ascii="Times New Roman" w:hAnsi="Times New Roman" w:cs="Times New Roman"/>
          <w:i/>
          <w:iCs/>
        </w:rPr>
        <w:t>Impeached: The Trial of President Andrew Johnson and the Fight for Lincoln’s Legacy</w:t>
      </w:r>
      <w:r w:rsidR="002D6F6D" w:rsidRPr="002D6F6D">
        <w:rPr>
          <w:rFonts w:ascii="Times New Roman" w:hAnsi="Times New Roman" w:cs="Times New Roman"/>
        </w:rPr>
        <w:t>. New York: Simon &amp; Schuster, 2009</w:t>
      </w:r>
      <w:r w:rsidR="007E5DBF" w:rsidRPr="002D6F6D">
        <w:rPr>
          <w:rFonts w:ascii="Times New Roman" w:hAnsi="Times New Roman" w:cs="Times New Roman"/>
        </w:rPr>
        <w:t xml:space="preserve">; </w:t>
      </w:r>
      <w:r w:rsidR="00E11605">
        <w:rPr>
          <w:rFonts w:ascii="Times New Roman" w:hAnsi="Times New Roman" w:cs="Times New Roman"/>
        </w:rPr>
        <w:t xml:space="preserve">Brenda </w:t>
      </w:r>
      <w:r w:rsidR="00E11605" w:rsidRPr="00E11605">
        <w:rPr>
          <w:rFonts w:ascii="Times New Roman" w:hAnsi="Times New Roman" w:cs="Times New Roman"/>
        </w:rPr>
        <w:t xml:space="preserve">Wineapple, </w:t>
      </w:r>
      <w:r w:rsidR="00E11605" w:rsidRPr="00E11605">
        <w:rPr>
          <w:rFonts w:ascii="Times New Roman" w:hAnsi="Times New Roman" w:cs="Times New Roman"/>
          <w:i/>
          <w:iCs/>
        </w:rPr>
        <w:t>The Impeachers: The Trial of Andrew Johnson and the Dream of a Just Nation.</w:t>
      </w:r>
      <w:r w:rsidR="00E11605" w:rsidRPr="00E11605">
        <w:rPr>
          <w:rFonts w:ascii="Times New Roman" w:hAnsi="Times New Roman" w:cs="Times New Roman"/>
        </w:rPr>
        <w:t xml:space="preserve"> New York: Random House, 2019. </w:t>
      </w:r>
    </w:p>
  </w:footnote>
  <w:footnote w:id="256">
    <w:p w14:paraId="6DAF71C0" w14:textId="068700A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E5DBF">
        <w:rPr>
          <w:rFonts w:ascii="Times New Roman" w:hAnsi="Times New Roman" w:cs="Times New Roman"/>
        </w:rPr>
        <w:t>Ibid</w:t>
      </w:r>
    </w:p>
  </w:footnote>
  <w:footnote w:id="257">
    <w:p w14:paraId="7EABC1DD" w14:textId="72176C54" w:rsidR="006A6DED" w:rsidRPr="00C81245"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81245">
        <w:rPr>
          <w:rFonts w:ascii="Times New Roman" w:hAnsi="Times New Roman" w:cs="Times New Roman"/>
        </w:rPr>
        <w:t xml:space="preserve">Foner, </w:t>
      </w:r>
      <w:r w:rsidR="00C81245">
        <w:rPr>
          <w:rFonts w:ascii="Times New Roman" w:hAnsi="Times New Roman" w:cs="Times New Roman"/>
          <w:i/>
          <w:iCs/>
        </w:rPr>
        <w:t>Reconstruction</w:t>
      </w:r>
      <w:r w:rsidR="00C81245">
        <w:rPr>
          <w:rFonts w:ascii="Times New Roman" w:hAnsi="Times New Roman" w:cs="Times New Roman"/>
        </w:rPr>
        <w:t>; Bensel</w:t>
      </w:r>
      <w:r w:rsidR="0036546E">
        <w:rPr>
          <w:rFonts w:ascii="Times New Roman" w:hAnsi="Times New Roman" w:cs="Times New Roman"/>
        </w:rPr>
        <w:t xml:space="preserve">, </w:t>
      </w:r>
      <w:r w:rsidR="0036546E" w:rsidRPr="002318C9">
        <w:rPr>
          <w:rFonts w:ascii="Times New Roman" w:hAnsi="Times New Roman" w:cs="Times New Roman"/>
          <w:i/>
          <w:iCs/>
        </w:rPr>
        <w:t>Yankee Leviathan</w:t>
      </w:r>
      <w:r w:rsidR="00C81245">
        <w:rPr>
          <w:rFonts w:ascii="Times New Roman" w:hAnsi="Times New Roman" w:cs="Times New Roman"/>
        </w:rPr>
        <w:t>; Gerstle</w:t>
      </w:r>
      <w:r w:rsidR="00216C45">
        <w:rPr>
          <w:rFonts w:ascii="Times New Roman" w:hAnsi="Times New Roman" w:cs="Times New Roman"/>
        </w:rPr>
        <w:t xml:space="preserve">, </w:t>
      </w:r>
      <w:r w:rsidR="00216C45" w:rsidRPr="002318C9">
        <w:rPr>
          <w:rFonts w:ascii="Times New Roman" w:hAnsi="Times New Roman" w:cs="Times New Roman"/>
          <w:i/>
          <w:iCs/>
        </w:rPr>
        <w:t>Liberty and Coercion</w:t>
      </w:r>
      <w:r w:rsidR="00C81245">
        <w:rPr>
          <w:rFonts w:ascii="Times New Roman" w:hAnsi="Times New Roman" w:cs="Times New Roman"/>
        </w:rPr>
        <w:t xml:space="preserve">; Paul A. Cimbala, </w:t>
      </w:r>
      <w:r w:rsidR="00C81245">
        <w:rPr>
          <w:rFonts w:ascii="Times New Roman" w:hAnsi="Times New Roman" w:cs="Times New Roman"/>
          <w:i/>
          <w:iCs/>
        </w:rPr>
        <w:t>The Freedman’s Bureau: Reconstructing the American South after the Civil War.</w:t>
      </w:r>
      <w:r w:rsidR="00C81245">
        <w:rPr>
          <w:rFonts w:ascii="Times New Roman" w:hAnsi="Times New Roman" w:cs="Times New Roman"/>
        </w:rPr>
        <w:t xml:space="preserve"> Malabar, FL: Krieger, 2005.</w:t>
      </w:r>
    </w:p>
  </w:footnote>
  <w:footnote w:id="258">
    <w:p w14:paraId="1E3949E0" w14:textId="42A2C8AB" w:rsidR="006A6DED" w:rsidRPr="00C81245" w:rsidRDefault="006A6DED" w:rsidP="00C8124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81245" w:rsidRPr="00C81245">
        <w:rPr>
          <w:rFonts w:ascii="Times New Roman" w:hAnsi="Times New Roman" w:cs="Times New Roman"/>
        </w:rPr>
        <w:t>Samuel Jones</w:t>
      </w:r>
      <w:r w:rsidR="00C81245">
        <w:rPr>
          <w:rFonts w:ascii="Times New Roman" w:hAnsi="Times New Roman" w:cs="Times New Roman"/>
        </w:rPr>
        <w:t xml:space="preserve"> Tilden,</w:t>
      </w:r>
      <w:r w:rsidR="00C81245" w:rsidRPr="00C81245">
        <w:rPr>
          <w:rFonts w:ascii="Times New Roman" w:hAnsi="Times New Roman" w:cs="Times New Roman"/>
        </w:rPr>
        <w:t xml:space="preserve"> “The New York City Ring: It’s Origin, Maturity, and Fall” (first published 1873), in </w:t>
      </w:r>
      <w:r w:rsidR="00C81245" w:rsidRPr="00C81245">
        <w:rPr>
          <w:rFonts w:ascii="Times New Roman" w:hAnsi="Times New Roman" w:cs="Times New Roman"/>
          <w:i/>
          <w:iCs/>
        </w:rPr>
        <w:t>The Writing and Speeches of Samuel J. Tilden</w:t>
      </w:r>
      <w:r w:rsidR="00C81245" w:rsidRPr="00C81245">
        <w:rPr>
          <w:rFonts w:ascii="Times New Roman" w:hAnsi="Times New Roman" w:cs="Times New Roman"/>
        </w:rPr>
        <w:t>, vol. 1, ed. John Bigelow (New York: Harper &amp; Brothers, 1885).</w:t>
      </w:r>
    </w:p>
  </w:footnote>
  <w:footnote w:id="259">
    <w:p w14:paraId="16D3E354" w14:textId="470C7A76"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Broxmeyer</w:t>
      </w:r>
      <w:r w:rsidR="000A54C3">
        <w:rPr>
          <w:rFonts w:ascii="Times New Roman" w:hAnsi="Times New Roman" w:cs="Times New Roman"/>
        </w:rPr>
        <w:t>, “Bringing The ‘Ring’ Back In,”</w:t>
      </w:r>
      <w:r w:rsidRPr="002318C9">
        <w:rPr>
          <w:rFonts w:ascii="Times New Roman" w:hAnsi="Times New Roman" w:cs="Times New Roman"/>
        </w:rPr>
        <w:t xml:space="preserve"> 237</w:t>
      </w:r>
    </w:p>
  </w:footnote>
  <w:footnote w:id="260">
    <w:p w14:paraId="59C4D5E5"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61">
    <w:p w14:paraId="6F4E9DDC" w14:textId="221631EA"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E0DDF">
        <w:rPr>
          <w:rFonts w:ascii="Times New Roman" w:hAnsi="Times New Roman" w:cs="Times New Roman"/>
        </w:rPr>
        <w:t>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5E0DDF">
        <w:rPr>
          <w:rFonts w:ascii="Times New Roman" w:hAnsi="Times New Roman" w:cs="Times New Roman"/>
        </w:rPr>
        <w:t>; Hoogenboom; 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p>
  </w:footnote>
  <w:footnote w:id="262">
    <w:p w14:paraId="360B01CD" w14:textId="5507701D" w:rsidR="006A6DED" w:rsidRPr="00335445" w:rsidRDefault="006A6DED" w:rsidP="0033544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35445" w:rsidRPr="00335445">
        <w:rPr>
          <w:rFonts w:ascii="Times New Roman" w:hAnsi="Times New Roman" w:cs="Times New Roman"/>
        </w:rPr>
        <w:t>"Gen. Babcock Drowned".</w:t>
      </w:r>
      <w:r w:rsidR="00335445" w:rsidRPr="00335445">
        <w:rPr>
          <w:rFonts w:ascii="Times New Roman" w:hAnsi="Times New Roman" w:cs="Times New Roman"/>
          <w:i/>
          <w:iCs/>
        </w:rPr>
        <w:t xml:space="preserve"> New York Times. </w:t>
      </w:r>
      <w:r w:rsidR="00335445" w:rsidRPr="00335445">
        <w:rPr>
          <w:rFonts w:ascii="Times New Roman" w:hAnsi="Times New Roman" w:cs="Times New Roman"/>
        </w:rPr>
        <w:t>June 4, 1884</w:t>
      </w:r>
      <w:r w:rsidRPr="00335445">
        <w:rPr>
          <w:rFonts w:ascii="Times New Roman" w:hAnsi="Times New Roman" w:cs="Times New Roman"/>
        </w:rPr>
        <w:t xml:space="preserve">; </w:t>
      </w:r>
      <w:r w:rsidR="00335445">
        <w:rPr>
          <w:rFonts w:ascii="Times New Roman" w:hAnsi="Times New Roman" w:cs="Times New Roman"/>
        </w:rPr>
        <w:t xml:space="preserve">Ralph </w:t>
      </w:r>
      <w:r w:rsidR="00335445" w:rsidRPr="00335445">
        <w:rPr>
          <w:rFonts w:ascii="Times New Roman" w:hAnsi="Times New Roman" w:cs="Times New Roman"/>
        </w:rPr>
        <w:t>Kirshner,</w:t>
      </w:r>
      <w:r w:rsidR="00335445">
        <w:rPr>
          <w:rFonts w:ascii="Times New Roman" w:hAnsi="Times New Roman" w:cs="Times New Roman"/>
        </w:rPr>
        <w:t xml:space="preserve"> </w:t>
      </w:r>
      <w:r w:rsidR="00335445" w:rsidRPr="00335445">
        <w:rPr>
          <w:rFonts w:ascii="Times New Roman" w:hAnsi="Times New Roman" w:cs="Times New Roman"/>
          <w:i/>
          <w:iCs/>
        </w:rPr>
        <w:t>The Class of 1861: Custer, Ames, and Their Classmates After West Point</w:t>
      </w:r>
      <w:r w:rsidR="00335445" w:rsidRPr="00335445">
        <w:rPr>
          <w:rFonts w:ascii="Times New Roman" w:hAnsi="Times New Roman" w:cs="Times New Roman"/>
        </w:rPr>
        <w:t>. Carbondale: Southern Illinois University Press, 1999.</w:t>
      </w:r>
      <w:r w:rsidRPr="00335445">
        <w:rPr>
          <w:rFonts w:ascii="Times New Roman" w:hAnsi="Times New Roman" w:cs="Times New Roman"/>
        </w:rPr>
        <w:t xml:space="preserve"> 133</w:t>
      </w:r>
    </w:p>
  </w:footnote>
  <w:footnote w:id="263">
    <w:p w14:paraId="5F50D922" w14:textId="7AFF2EFF" w:rsidR="006A6DED" w:rsidRPr="00F130F1" w:rsidRDefault="006A6DED" w:rsidP="00F130F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67EE4">
        <w:rPr>
          <w:rFonts w:ascii="Times New Roman" w:hAnsi="Times New Roman" w:cs="Times New Roman"/>
        </w:rPr>
        <w:t xml:space="preserve">Ron </w:t>
      </w:r>
      <w:r w:rsidR="00F67EE4" w:rsidRPr="00F67EE4">
        <w:rPr>
          <w:rFonts w:ascii="Times New Roman" w:hAnsi="Times New Roman" w:cs="Times New Roman"/>
        </w:rPr>
        <w:t xml:space="preserve">Chernow, </w:t>
      </w:r>
      <w:r w:rsidR="00F67EE4" w:rsidRPr="00F67EE4">
        <w:rPr>
          <w:rFonts w:ascii="Times New Roman" w:hAnsi="Times New Roman" w:cs="Times New Roman"/>
          <w:i/>
          <w:iCs/>
        </w:rPr>
        <w:t>Grant</w:t>
      </w:r>
      <w:r w:rsidR="00F67EE4" w:rsidRPr="00F67EE4">
        <w:rPr>
          <w:rFonts w:ascii="Times New Roman" w:hAnsi="Times New Roman" w:cs="Times New Roman"/>
        </w:rPr>
        <w:t>. Waterville, ME: Thorndike Press, a Part of Gale, a Cengage Company, 2018.</w:t>
      </w:r>
      <w:r w:rsidR="00F67EE4">
        <w:rPr>
          <w:rFonts w:ascii="Times New Roman" w:hAnsi="Times New Roman" w:cs="Times New Roman"/>
        </w:rPr>
        <w:t xml:space="preserve"> </w:t>
      </w:r>
      <w:r w:rsidR="00F71681">
        <w:rPr>
          <w:rFonts w:ascii="Times New Roman" w:hAnsi="Times New Roman" w:cs="Times New Roman"/>
        </w:rPr>
        <w:t xml:space="preserve">533-534; </w:t>
      </w:r>
      <w:r w:rsidR="00F130F1">
        <w:rPr>
          <w:rFonts w:ascii="Times New Roman" w:hAnsi="Times New Roman" w:cs="Times New Roman"/>
        </w:rPr>
        <w:t xml:space="preserve">Jean Edward </w:t>
      </w:r>
      <w:r w:rsidR="00F130F1" w:rsidRPr="00F130F1">
        <w:rPr>
          <w:rFonts w:ascii="Times New Roman" w:hAnsi="Times New Roman" w:cs="Times New Roman"/>
        </w:rPr>
        <w:t xml:space="preserve">Smith, </w:t>
      </w:r>
      <w:r w:rsidR="00F130F1" w:rsidRPr="00F130F1">
        <w:rPr>
          <w:rFonts w:ascii="Times New Roman" w:hAnsi="Times New Roman" w:cs="Times New Roman"/>
          <w:i/>
          <w:iCs/>
        </w:rPr>
        <w:t>Grant</w:t>
      </w:r>
      <w:r w:rsidR="00F130F1" w:rsidRPr="00F130F1">
        <w:rPr>
          <w:rFonts w:ascii="Times New Roman" w:hAnsi="Times New Roman" w:cs="Times New Roman"/>
        </w:rPr>
        <w:t>. New York, NY: Simon &amp; Schuster, 2001.</w:t>
      </w:r>
      <w:r w:rsidR="00F130F1">
        <w:rPr>
          <w:rFonts w:ascii="Times New Roman" w:hAnsi="Times New Roman" w:cs="Times New Roman"/>
        </w:rPr>
        <w:t xml:space="preserve"> </w:t>
      </w:r>
      <w:r w:rsidR="00F71681" w:rsidRPr="00F130F1">
        <w:rPr>
          <w:rFonts w:ascii="Times New Roman" w:hAnsi="Times New Roman" w:cs="Times New Roman"/>
        </w:rPr>
        <w:t>434</w:t>
      </w:r>
      <w:r w:rsidR="00F130F1">
        <w:rPr>
          <w:rFonts w:ascii="Times New Roman" w:hAnsi="Times New Roman" w:cs="Times New Roman"/>
        </w:rPr>
        <w:t>.</w:t>
      </w:r>
    </w:p>
  </w:footnote>
  <w:footnote w:id="264">
    <w:p w14:paraId="3BA6C804" w14:textId="55FACF55" w:rsidR="006A6DED" w:rsidRPr="00F130F1" w:rsidRDefault="006A6DED" w:rsidP="00F130F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67EE4">
        <w:rPr>
          <w:rFonts w:ascii="Times New Roman" w:hAnsi="Times New Roman" w:cs="Times New Roman"/>
        </w:rPr>
        <w:t>Jean Edward Smith</w:t>
      </w:r>
      <w:r w:rsidR="00552BFB">
        <w:rPr>
          <w:rFonts w:ascii="Times New Roman" w:hAnsi="Times New Roman" w:cs="Times New Roman"/>
        </w:rPr>
        <w:t xml:space="preserve">, </w:t>
      </w:r>
      <w:r w:rsidR="00552BFB">
        <w:rPr>
          <w:rFonts w:ascii="Times New Roman" w:hAnsi="Times New Roman" w:cs="Times New Roman"/>
          <w:i/>
          <w:iCs/>
        </w:rPr>
        <w:t>Grant,</w:t>
      </w:r>
      <w:r w:rsidR="00F67EE4">
        <w:rPr>
          <w:rFonts w:ascii="Times New Roman" w:hAnsi="Times New Roman" w:cs="Times New Roman"/>
        </w:rPr>
        <w:t xml:space="preserve"> 424-426; Mantell</w:t>
      </w:r>
      <w:r w:rsidR="000A54C3">
        <w:rPr>
          <w:rFonts w:ascii="Times New Roman" w:hAnsi="Times New Roman" w:cs="Times New Roman"/>
        </w:rPr>
        <w:t xml:space="preserve">, </w:t>
      </w:r>
      <w:r w:rsidR="000A54C3">
        <w:rPr>
          <w:rFonts w:ascii="Times New Roman" w:hAnsi="Times New Roman" w:cs="Times New Roman"/>
          <w:i/>
          <w:iCs/>
        </w:rPr>
        <w:t>Johnson, Grant, and the Politics of Reconstruction</w:t>
      </w:r>
      <w:r w:rsidR="00F67EE4">
        <w:rPr>
          <w:rFonts w:ascii="Times New Roman" w:hAnsi="Times New Roman" w:cs="Times New Roman"/>
        </w:rPr>
        <w:t xml:space="preserve">; </w:t>
      </w:r>
      <w:r w:rsidR="00F130F1">
        <w:rPr>
          <w:rFonts w:ascii="Times New Roman" w:hAnsi="Times New Roman" w:cs="Times New Roman"/>
        </w:rPr>
        <w:t xml:space="preserve">Henry W. </w:t>
      </w:r>
      <w:r w:rsidR="00F130F1" w:rsidRPr="00F130F1">
        <w:rPr>
          <w:rFonts w:ascii="Times New Roman" w:hAnsi="Times New Roman" w:cs="Times New Roman"/>
        </w:rPr>
        <w:t xml:space="preserve">Brands, </w:t>
      </w:r>
      <w:r w:rsidR="00F130F1" w:rsidRPr="00F130F1">
        <w:rPr>
          <w:rFonts w:ascii="Times New Roman" w:hAnsi="Times New Roman" w:cs="Times New Roman"/>
          <w:i/>
          <w:iCs/>
        </w:rPr>
        <w:t>The Man Who Saved The Union: Ulysses Grant in War and Peace</w:t>
      </w:r>
      <w:r w:rsidR="00F130F1" w:rsidRPr="00F130F1">
        <w:rPr>
          <w:rFonts w:ascii="Times New Roman" w:hAnsi="Times New Roman" w:cs="Times New Roman"/>
        </w:rPr>
        <w:t>. New York, NY: Random House, 2012.</w:t>
      </w:r>
      <w:r w:rsidRPr="00F130F1">
        <w:rPr>
          <w:rFonts w:ascii="Times New Roman" w:hAnsi="Times New Roman" w:cs="Times New Roman"/>
        </w:rPr>
        <w:t xml:space="preserve"> 410-</w:t>
      </w:r>
      <w:r w:rsidR="00F67EE4" w:rsidRPr="00F130F1">
        <w:rPr>
          <w:rFonts w:ascii="Times New Roman" w:hAnsi="Times New Roman" w:cs="Times New Roman"/>
        </w:rPr>
        <w:t>41</w:t>
      </w:r>
      <w:r w:rsidRPr="00F130F1">
        <w:rPr>
          <w:rFonts w:ascii="Times New Roman" w:hAnsi="Times New Roman" w:cs="Times New Roman"/>
        </w:rPr>
        <w:t>1;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Pr="00F130F1">
        <w:rPr>
          <w:rFonts w:ascii="Times New Roman" w:hAnsi="Times New Roman" w:cs="Times New Roman"/>
        </w:rPr>
        <w:t xml:space="preserve"> 5</w:t>
      </w:r>
      <w:r w:rsidR="00F67EE4" w:rsidRPr="00F130F1">
        <w:rPr>
          <w:rFonts w:ascii="Times New Roman" w:hAnsi="Times New Roman" w:cs="Times New Roman"/>
        </w:rPr>
        <w:t>33</w:t>
      </w:r>
      <w:r w:rsidRPr="00F130F1">
        <w:rPr>
          <w:rFonts w:ascii="Times New Roman" w:hAnsi="Times New Roman" w:cs="Times New Roman"/>
        </w:rPr>
        <w:t>-</w:t>
      </w:r>
      <w:r w:rsidR="00F67EE4" w:rsidRPr="00F130F1">
        <w:rPr>
          <w:rFonts w:ascii="Times New Roman" w:hAnsi="Times New Roman" w:cs="Times New Roman"/>
        </w:rPr>
        <w:t>55</w:t>
      </w:r>
      <w:r w:rsidRPr="00F130F1">
        <w:rPr>
          <w:rFonts w:ascii="Times New Roman" w:hAnsi="Times New Roman" w:cs="Times New Roman"/>
        </w:rPr>
        <w:t>7;</w:t>
      </w:r>
      <w:r w:rsidR="00F67EE4" w:rsidRPr="00F130F1">
        <w:rPr>
          <w:rFonts w:ascii="Times New Roman" w:hAnsi="Times New Roman" w:cs="Times New Roman"/>
        </w:rPr>
        <w:t xml:space="preserve"> </w:t>
      </w:r>
      <w:r w:rsidR="00286706">
        <w:rPr>
          <w:rFonts w:ascii="Times New Roman" w:hAnsi="Times New Roman" w:cs="Times New Roman"/>
        </w:rPr>
        <w:t xml:space="preserve">Heather Cox </w:t>
      </w:r>
      <w:r w:rsidR="00286706" w:rsidRPr="00286706">
        <w:rPr>
          <w:rFonts w:ascii="Times New Roman" w:hAnsi="Times New Roman" w:cs="Times New Roman"/>
        </w:rPr>
        <w:t xml:space="preserve">Richardson, </w:t>
      </w:r>
      <w:r w:rsidR="00286706" w:rsidRPr="00286706">
        <w:rPr>
          <w:rFonts w:ascii="Times New Roman" w:hAnsi="Times New Roman" w:cs="Times New Roman"/>
          <w:i/>
          <w:iCs/>
        </w:rPr>
        <w:t>West from Appomattox: The Reconstruction of America after the Civil War</w:t>
      </w:r>
      <w:r w:rsidR="00286706" w:rsidRPr="00286706">
        <w:rPr>
          <w:rFonts w:ascii="Times New Roman" w:hAnsi="Times New Roman" w:cs="Times New Roman"/>
        </w:rPr>
        <w:t>. New Haven, CT: Yale University Press, 2007</w:t>
      </w:r>
      <w:r w:rsidR="00286706">
        <w:rPr>
          <w:rFonts w:ascii="Times New Roman" w:hAnsi="Times New Roman" w:cs="Times New Roman"/>
        </w:rPr>
        <w:t xml:space="preserve">; </w:t>
      </w:r>
      <w:r w:rsidR="00F67EE4" w:rsidRPr="00F130F1">
        <w:rPr>
          <w:rFonts w:ascii="Times New Roman" w:hAnsi="Times New Roman" w:cs="Times New Roman"/>
        </w:rPr>
        <w:t xml:space="preserve">M.M. McAllen, </w:t>
      </w:r>
      <w:r w:rsidR="00F67EE4" w:rsidRPr="00F130F1">
        <w:rPr>
          <w:rFonts w:ascii="Times New Roman" w:hAnsi="Times New Roman" w:cs="Times New Roman"/>
          <w:i/>
          <w:iCs/>
        </w:rPr>
        <w:t>Maximilian and Carlota: Europe’s Last Empire in Mexico</w:t>
      </w:r>
      <w:r w:rsidR="00F67EE4" w:rsidRPr="00F130F1">
        <w:rPr>
          <w:rFonts w:ascii="Times New Roman" w:hAnsi="Times New Roman" w:cs="Times New Roman"/>
        </w:rPr>
        <w:t>. San Antonio, TX: Trinity University Press, 2014.</w:t>
      </w:r>
    </w:p>
  </w:footnote>
  <w:footnote w:id="265">
    <w:p w14:paraId="0854130E" w14:textId="209CAF72" w:rsidR="006A6DED" w:rsidRPr="007068C7" w:rsidRDefault="006A6DED" w:rsidP="007068C7">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068C7" w:rsidRPr="007068C7">
        <w:rPr>
          <w:rFonts w:ascii="Times New Roman" w:hAnsi="Times New Roman" w:cs="Times New Roman"/>
        </w:rPr>
        <w:t>"Gen. Babcock Drowned".</w:t>
      </w:r>
      <w:r w:rsidR="007068C7" w:rsidRPr="007068C7">
        <w:rPr>
          <w:rFonts w:ascii="Times New Roman" w:hAnsi="Times New Roman" w:cs="Times New Roman"/>
          <w:i/>
          <w:iCs/>
        </w:rPr>
        <w:t xml:space="preserve"> New York Times. </w:t>
      </w:r>
      <w:r w:rsidR="007068C7" w:rsidRPr="007068C7">
        <w:rPr>
          <w:rFonts w:ascii="Times New Roman" w:hAnsi="Times New Roman" w:cs="Times New Roman"/>
        </w:rPr>
        <w:t>June 4, 1884</w:t>
      </w:r>
      <w:r w:rsidR="007068C7">
        <w:rPr>
          <w:rFonts w:ascii="Times New Roman" w:hAnsi="Times New Roman" w:cs="Times New Roman"/>
        </w:rPr>
        <w:t>; Kirshner</w:t>
      </w:r>
      <w:r w:rsidR="000A54C3">
        <w:rPr>
          <w:rFonts w:ascii="Times New Roman" w:hAnsi="Times New Roman" w:cs="Times New Roman"/>
        </w:rPr>
        <w:t xml:space="preserve">, </w:t>
      </w:r>
      <w:r w:rsidR="000A54C3">
        <w:rPr>
          <w:rFonts w:ascii="Times New Roman" w:hAnsi="Times New Roman" w:cs="Times New Roman"/>
          <w:i/>
          <w:iCs/>
        </w:rPr>
        <w:t>Class of 1861,</w:t>
      </w:r>
      <w:r w:rsidR="007068C7">
        <w:rPr>
          <w:rFonts w:ascii="Times New Roman" w:hAnsi="Times New Roman" w:cs="Times New Roman"/>
        </w:rPr>
        <w:t xml:space="preserve"> 131-133; Charles W. </w:t>
      </w:r>
      <w:r w:rsidR="007068C7" w:rsidRPr="007068C7">
        <w:rPr>
          <w:rFonts w:ascii="Times New Roman" w:hAnsi="Times New Roman" w:cs="Times New Roman"/>
        </w:rPr>
        <w:t xml:space="preserve">Calhoun, </w:t>
      </w:r>
      <w:r w:rsidR="007068C7" w:rsidRPr="007068C7">
        <w:rPr>
          <w:rFonts w:ascii="Times New Roman" w:hAnsi="Times New Roman" w:cs="Times New Roman"/>
          <w:i/>
          <w:iCs/>
        </w:rPr>
        <w:t>The Presidency of Ulysses S. Grant</w:t>
      </w:r>
      <w:r w:rsidR="007068C7" w:rsidRPr="007068C7">
        <w:rPr>
          <w:rFonts w:ascii="Times New Roman" w:hAnsi="Times New Roman" w:cs="Times New Roman"/>
        </w:rPr>
        <w:t>. Lawrence, KS: University Press of Kansas, 2017</w:t>
      </w:r>
      <w:r w:rsidR="007068C7">
        <w:rPr>
          <w:rFonts w:ascii="Times New Roman" w:hAnsi="Times New Roman" w:cs="Times New Roman"/>
        </w:rPr>
        <w:t>.</w:t>
      </w:r>
    </w:p>
  </w:footnote>
  <w:footnote w:id="266">
    <w:p w14:paraId="1C6BAC25"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67">
    <w:p w14:paraId="69B7D9C9"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68">
    <w:p w14:paraId="4D2AE5C3" w14:textId="76581D3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068C7">
        <w:rPr>
          <w:rFonts w:ascii="Times New Roman" w:hAnsi="Times New Roman" w:cs="Times New Roman"/>
        </w:rPr>
        <w:t xml:space="preserve">Ibid; </w:t>
      </w:r>
      <w:r w:rsidR="007068C7" w:rsidRPr="007068C7">
        <w:rPr>
          <w:rFonts w:ascii="Times New Roman" w:hAnsi="Times New Roman" w:cs="Times New Roman"/>
        </w:rPr>
        <w:t xml:space="preserve">Lingley, “Orville E. Babcock,” </w:t>
      </w:r>
      <w:r w:rsidR="007068C7" w:rsidRPr="007068C7">
        <w:rPr>
          <w:rFonts w:ascii="Times New Roman" w:hAnsi="Times New Roman" w:cs="Times New Roman"/>
          <w:i/>
          <w:iCs/>
        </w:rPr>
        <w:t>Dictionary of American Biography</w:t>
      </w:r>
    </w:p>
  </w:footnote>
  <w:footnote w:id="269">
    <w:p w14:paraId="01BD3958" w14:textId="2414F98C" w:rsidR="006A6DED" w:rsidRPr="007068C7"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068C7">
        <w:rPr>
          <w:rFonts w:ascii="Times New Roman" w:hAnsi="Times New Roman" w:cs="Times New Roman"/>
        </w:rPr>
        <w:t>Inventory of the Orville Babcock Papers, Newberry Library</w:t>
      </w:r>
    </w:p>
  </w:footnote>
  <w:footnote w:id="270">
    <w:p w14:paraId="534D8DBB" w14:textId="76EB363B"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068C7">
        <w:rPr>
          <w:rFonts w:ascii="Times New Roman" w:hAnsi="Times New Roman" w:cs="Times New Roman"/>
        </w:rPr>
        <w:t>Ibid</w:t>
      </w:r>
    </w:p>
  </w:footnote>
  <w:footnote w:id="271">
    <w:p w14:paraId="61431195" w14:textId="69C65B16" w:rsidR="006A6DED" w:rsidRPr="001A0669" w:rsidRDefault="006A6DED" w:rsidP="001A0669">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A0669">
        <w:rPr>
          <w:rFonts w:ascii="Times New Roman" w:hAnsi="Times New Roman" w:cs="Times New Roman"/>
        </w:rPr>
        <w:t xml:space="preserve">Orville </w:t>
      </w:r>
      <w:r w:rsidR="001A0669" w:rsidRPr="001A0669">
        <w:rPr>
          <w:rFonts w:ascii="Times New Roman" w:hAnsi="Times New Roman" w:cs="Times New Roman"/>
        </w:rPr>
        <w:t xml:space="preserve">Babcock to General John Rawlins, October 5, 1866. In Edwin Stanton. </w:t>
      </w:r>
      <w:r w:rsidR="001A0669" w:rsidRPr="001A0669">
        <w:rPr>
          <w:rFonts w:ascii="Times New Roman" w:hAnsi="Times New Roman" w:cs="Times New Roman"/>
          <w:i/>
          <w:iCs/>
        </w:rPr>
        <w:t>Military Posts: Letter from the Secretary of War in Answer to A resolution of the House of the 5</w:t>
      </w:r>
      <w:r w:rsidR="001A0669" w:rsidRPr="001A0669">
        <w:rPr>
          <w:rFonts w:ascii="Times New Roman" w:hAnsi="Times New Roman" w:cs="Times New Roman"/>
          <w:i/>
          <w:iCs/>
          <w:vertAlign w:val="superscript"/>
        </w:rPr>
        <w:t>th</w:t>
      </w:r>
      <w:r w:rsidR="001A0669" w:rsidRPr="001A0669">
        <w:rPr>
          <w:rFonts w:ascii="Times New Roman" w:hAnsi="Times New Roman" w:cs="Times New Roman"/>
          <w:i/>
          <w:iCs/>
        </w:rPr>
        <w:t xml:space="preserve"> December, transmitting a report of inspection of military posts</w:t>
      </w:r>
      <w:r w:rsidR="001A0669" w:rsidRPr="001A0669">
        <w:rPr>
          <w:rFonts w:ascii="Times New Roman" w:hAnsi="Times New Roman" w:cs="Times New Roman"/>
        </w:rPr>
        <w:t>. House of Representatives, 39</w:t>
      </w:r>
      <w:r w:rsidR="001A0669" w:rsidRPr="001A0669">
        <w:rPr>
          <w:rFonts w:ascii="Times New Roman" w:hAnsi="Times New Roman" w:cs="Times New Roman"/>
          <w:vertAlign w:val="superscript"/>
        </w:rPr>
        <w:t>th</w:t>
      </w:r>
      <w:r w:rsidR="001A0669" w:rsidRPr="001A0669">
        <w:rPr>
          <w:rFonts w:ascii="Times New Roman" w:hAnsi="Times New Roman" w:cs="Times New Roman"/>
        </w:rPr>
        <w:t xml:space="preserve"> Congress, 2</w:t>
      </w:r>
      <w:r w:rsidR="001A0669" w:rsidRPr="001A0669">
        <w:rPr>
          <w:rFonts w:ascii="Times New Roman" w:hAnsi="Times New Roman" w:cs="Times New Roman"/>
          <w:vertAlign w:val="superscript"/>
        </w:rPr>
        <w:t>nd</w:t>
      </w:r>
      <w:r w:rsidR="001A0669" w:rsidRPr="001A0669">
        <w:rPr>
          <w:rFonts w:ascii="Times New Roman" w:hAnsi="Times New Roman" w:cs="Times New Roman"/>
        </w:rPr>
        <w:t xml:space="preserve"> Session, Executive Document 20.</w:t>
      </w:r>
    </w:p>
  </w:footnote>
  <w:footnote w:id="272">
    <w:p w14:paraId="65065905"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73">
    <w:p w14:paraId="3F91F121"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74">
    <w:p w14:paraId="5CDC506F" w14:textId="4B7B21F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A0669">
        <w:rPr>
          <w:rFonts w:ascii="Times New Roman" w:hAnsi="Times New Roman" w:cs="Times New Roman"/>
        </w:rPr>
        <w:t xml:space="preserve">Orville Babcock to John Rawlins in </w:t>
      </w:r>
      <w:r w:rsidR="001A0669">
        <w:rPr>
          <w:rFonts w:ascii="Times New Roman" w:hAnsi="Times New Roman" w:cs="Times New Roman"/>
          <w:i/>
          <w:iCs/>
        </w:rPr>
        <w:t>Military Posts</w:t>
      </w:r>
      <w:r w:rsidRPr="002318C9">
        <w:rPr>
          <w:rFonts w:ascii="Times New Roman" w:hAnsi="Times New Roman" w:cs="Times New Roman"/>
        </w:rPr>
        <w:t xml:space="preserve"> 2</w:t>
      </w:r>
    </w:p>
  </w:footnote>
  <w:footnote w:id="275">
    <w:p w14:paraId="0B069D2D"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76">
    <w:p w14:paraId="17C87B93"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77">
    <w:p w14:paraId="01398109"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78">
    <w:p w14:paraId="1617E674"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79">
    <w:p w14:paraId="2DF09BC0"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80">
    <w:p w14:paraId="0293EF28" w14:textId="62A3BDE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D2018" w:rsidRPr="000D2018">
        <w:rPr>
          <w:rFonts w:ascii="Times New Roman" w:hAnsi="Times New Roman" w:cs="Times New Roman"/>
        </w:rPr>
        <w:t xml:space="preserve">Orville Babcock to John Rawlins in </w:t>
      </w:r>
      <w:r w:rsidR="000D2018" w:rsidRPr="000D2018">
        <w:rPr>
          <w:rFonts w:ascii="Times New Roman" w:hAnsi="Times New Roman" w:cs="Times New Roman"/>
          <w:i/>
          <w:iCs/>
        </w:rPr>
        <w:t>Military Posts,</w:t>
      </w:r>
      <w:r w:rsidR="000D2018" w:rsidRPr="000D2018">
        <w:rPr>
          <w:rFonts w:ascii="Times New Roman" w:hAnsi="Times New Roman" w:cs="Times New Roman"/>
        </w:rPr>
        <w:t xml:space="preserve"> </w:t>
      </w:r>
      <w:r w:rsidRPr="002318C9">
        <w:rPr>
          <w:rFonts w:ascii="Times New Roman" w:hAnsi="Times New Roman" w:cs="Times New Roman"/>
        </w:rPr>
        <w:t>3</w:t>
      </w:r>
    </w:p>
  </w:footnote>
  <w:footnote w:id="281">
    <w:p w14:paraId="004A7790" w14:textId="5BF95CD3"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D2018" w:rsidRPr="000D2018">
        <w:rPr>
          <w:rFonts w:ascii="Times New Roman" w:hAnsi="Times New Roman" w:cs="Times New Roman"/>
        </w:rPr>
        <w:t xml:space="preserve">Orville Babcock to John Rawlins in </w:t>
      </w:r>
      <w:r w:rsidR="000D2018" w:rsidRPr="000D2018">
        <w:rPr>
          <w:rFonts w:ascii="Times New Roman" w:hAnsi="Times New Roman" w:cs="Times New Roman"/>
          <w:i/>
          <w:iCs/>
        </w:rPr>
        <w:t>Military Posts</w:t>
      </w:r>
    </w:p>
  </w:footnote>
  <w:footnote w:id="282">
    <w:p w14:paraId="43D9769D" w14:textId="398F84A6"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D2018" w:rsidRPr="000D2018">
        <w:rPr>
          <w:rFonts w:ascii="Times New Roman" w:hAnsi="Times New Roman" w:cs="Times New Roman"/>
        </w:rPr>
        <w:t xml:space="preserve">Orville Babcock to John Rawlins in </w:t>
      </w:r>
      <w:r w:rsidR="000D2018" w:rsidRPr="000D2018">
        <w:rPr>
          <w:rFonts w:ascii="Times New Roman" w:hAnsi="Times New Roman" w:cs="Times New Roman"/>
          <w:i/>
          <w:iCs/>
        </w:rPr>
        <w:t>Military Posts,</w:t>
      </w:r>
      <w:r w:rsidR="000D2018" w:rsidRPr="000D2018">
        <w:rPr>
          <w:rFonts w:ascii="Times New Roman" w:hAnsi="Times New Roman" w:cs="Times New Roman"/>
        </w:rPr>
        <w:t xml:space="preserve"> </w:t>
      </w:r>
      <w:r w:rsidRPr="002318C9">
        <w:rPr>
          <w:rFonts w:ascii="Times New Roman" w:hAnsi="Times New Roman" w:cs="Times New Roman"/>
        </w:rPr>
        <w:t>3-4</w:t>
      </w:r>
    </w:p>
  </w:footnote>
  <w:footnote w:id="283">
    <w:p w14:paraId="08A84D12"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84">
    <w:p w14:paraId="3BA169F4"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85">
    <w:p w14:paraId="3A6A9B3E"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86">
    <w:p w14:paraId="26D27F0E" w14:textId="15FB9761" w:rsidR="006A6DED" w:rsidRPr="00600438"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Richardson</w:t>
      </w:r>
      <w:r w:rsidR="00ED0313">
        <w:rPr>
          <w:rFonts w:ascii="Times New Roman" w:hAnsi="Times New Roman" w:cs="Times New Roman"/>
        </w:rPr>
        <w:t>,</w:t>
      </w:r>
      <w:r w:rsidRPr="002318C9">
        <w:rPr>
          <w:rFonts w:ascii="Times New Roman" w:hAnsi="Times New Roman" w:cs="Times New Roman"/>
        </w:rPr>
        <w:t xml:space="preserve"> </w:t>
      </w:r>
      <w:r w:rsidR="000D2018">
        <w:rPr>
          <w:rFonts w:ascii="Times New Roman" w:hAnsi="Times New Roman" w:cs="Times New Roman"/>
          <w:i/>
          <w:iCs/>
        </w:rPr>
        <w:t>West from Appomattox</w:t>
      </w:r>
      <w:r w:rsidRPr="002318C9">
        <w:rPr>
          <w:rFonts w:ascii="Times New Roman" w:hAnsi="Times New Roman" w:cs="Times New Roman"/>
        </w:rPr>
        <w:t xml:space="preserve">; </w:t>
      </w:r>
      <w:r w:rsidR="00600438">
        <w:rPr>
          <w:rFonts w:ascii="Times New Roman" w:hAnsi="Times New Roman" w:cs="Times New Roman"/>
        </w:rPr>
        <w:t xml:space="preserve">Bradley R. Clampitt, </w:t>
      </w:r>
      <w:r w:rsidR="00600438">
        <w:rPr>
          <w:rFonts w:ascii="Times New Roman" w:hAnsi="Times New Roman" w:cs="Times New Roman"/>
          <w:i/>
          <w:iCs/>
        </w:rPr>
        <w:t xml:space="preserve">The Civil War and Reconstruction in Indian Territory. </w:t>
      </w:r>
      <w:r w:rsidR="00600438">
        <w:rPr>
          <w:rFonts w:ascii="Times New Roman" w:hAnsi="Times New Roman" w:cs="Times New Roman"/>
        </w:rPr>
        <w:t>Lincoln: University of Nebraska Press, 2015</w:t>
      </w:r>
    </w:p>
  </w:footnote>
  <w:footnote w:id="287">
    <w:p w14:paraId="7460F447" w14:textId="3603590B" w:rsidR="006A6DED" w:rsidRPr="00600438"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r w:rsidR="000A54C3">
        <w:rPr>
          <w:rFonts w:ascii="Times New Roman" w:hAnsi="Times New Roman" w:cs="Times New Roman"/>
        </w:rPr>
        <w:t>;</w:t>
      </w:r>
      <w:r w:rsidR="00600438">
        <w:rPr>
          <w:rFonts w:ascii="Times New Roman" w:hAnsi="Times New Roman" w:cs="Times New Roman"/>
        </w:rPr>
        <w:t xml:space="preserve"> Orville Babcock to John Rawlins in </w:t>
      </w:r>
      <w:r w:rsidR="00600438">
        <w:rPr>
          <w:rFonts w:ascii="Times New Roman" w:hAnsi="Times New Roman" w:cs="Times New Roman"/>
          <w:i/>
          <w:iCs/>
        </w:rPr>
        <w:t xml:space="preserve">Military Posts, </w:t>
      </w:r>
      <w:r w:rsidR="00600438">
        <w:rPr>
          <w:rFonts w:ascii="Times New Roman" w:hAnsi="Times New Roman" w:cs="Times New Roman"/>
        </w:rPr>
        <w:t>3-4</w:t>
      </w:r>
    </w:p>
  </w:footnote>
  <w:footnote w:id="288">
    <w:p w14:paraId="468850D6"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89">
    <w:p w14:paraId="7692041F"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90">
    <w:p w14:paraId="5AB5060E"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91">
    <w:p w14:paraId="6DB63D65" w14:textId="6C6315D5"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00438" w:rsidRPr="00600438">
        <w:rPr>
          <w:rFonts w:ascii="Times New Roman" w:hAnsi="Times New Roman" w:cs="Times New Roman"/>
        </w:rPr>
        <w:t xml:space="preserve">Orville Babcock to John Rawlins in </w:t>
      </w:r>
      <w:r w:rsidR="00600438" w:rsidRPr="00600438">
        <w:rPr>
          <w:rFonts w:ascii="Times New Roman" w:hAnsi="Times New Roman" w:cs="Times New Roman"/>
          <w:i/>
          <w:iCs/>
        </w:rPr>
        <w:t>Military Posts,</w:t>
      </w:r>
      <w:r w:rsidR="00600438">
        <w:rPr>
          <w:rFonts w:ascii="Times New Roman" w:hAnsi="Times New Roman" w:cs="Times New Roman"/>
        </w:rPr>
        <w:t xml:space="preserve"> </w:t>
      </w:r>
      <w:r w:rsidRPr="002318C9">
        <w:rPr>
          <w:rFonts w:ascii="Times New Roman" w:hAnsi="Times New Roman" w:cs="Times New Roman"/>
        </w:rPr>
        <w:t>5</w:t>
      </w:r>
    </w:p>
  </w:footnote>
  <w:footnote w:id="292">
    <w:p w14:paraId="035E44A1"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93">
    <w:p w14:paraId="527B8E8F"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94">
    <w:p w14:paraId="6918D505"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95">
    <w:p w14:paraId="78B10F2F"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296">
    <w:p w14:paraId="3BA06D45" w14:textId="011FE506"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0720" w:rsidRPr="00110720">
        <w:rPr>
          <w:rFonts w:ascii="Times New Roman" w:hAnsi="Times New Roman" w:cs="Times New Roman"/>
        </w:rPr>
        <w:t xml:space="preserve">Orville Babcock to John Rawlins in </w:t>
      </w:r>
      <w:r w:rsidR="00110720" w:rsidRPr="00110720">
        <w:rPr>
          <w:rFonts w:ascii="Times New Roman" w:hAnsi="Times New Roman" w:cs="Times New Roman"/>
          <w:i/>
          <w:iCs/>
        </w:rPr>
        <w:t>Military Posts,</w:t>
      </w:r>
      <w:r w:rsidRPr="002318C9">
        <w:rPr>
          <w:rFonts w:ascii="Times New Roman" w:hAnsi="Times New Roman" w:cs="Times New Roman"/>
        </w:rPr>
        <w:t xml:space="preserve"> 5-7</w:t>
      </w:r>
    </w:p>
  </w:footnote>
  <w:footnote w:id="297">
    <w:p w14:paraId="148CB8D3" w14:textId="4D72557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0150B" w:rsidRPr="00E0150B">
        <w:rPr>
          <w:rFonts w:ascii="Times New Roman" w:hAnsi="Times New Roman" w:cs="Times New Roman"/>
        </w:rPr>
        <w:t xml:space="preserve">Orville Babcock to John Rawlins in </w:t>
      </w:r>
      <w:r w:rsidR="00E0150B" w:rsidRPr="00E0150B">
        <w:rPr>
          <w:rFonts w:ascii="Times New Roman" w:hAnsi="Times New Roman" w:cs="Times New Roman"/>
          <w:i/>
          <w:iCs/>
        </w:rPr>
        <w:t>Military Posts,</w:t>
      </w:r>
      <w:r w:rsidR="00E0150B" w:rsidRPr="00E0150B">
        <w:rPr>
          <w:rFonts w:ascii="Times New Roman" w:hAnsi="Times New Roman" w:cs="Times New Roman"/>
        </w:rPr>
        <w:t xml:space="preserve"> </w:t>
      </w:r>
      <w:r w:rsidRPr="002318C9">
        <w:rPr>
          <w:rFonts w:ascii="Times New Roman" w:hAnsi="Times New Roman" w:cs="Times New Roman"/>
        </w:rPr>
        <w:t>6</w:t>
      </w:r>
    </w:p>
  </w:footnote>
  <w:footnote w:id="298">
    <w:p w14:paraId="759B3870" w14:textId="29899193"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0150B" w:rsidRPr="00E0150B">
        <w:rPr>
          <w:rFonts w:ascii="Times New Roman" w:hAnsi="Times New Roman" w:cs="Times New Roman"/>
        </w:rPr>
        <w:t xml:space="preserve">Orville Babcock to John Rawlins in </w:t>
      </w:r>
      <w:r w:rsidR="00E0150B" w:rsidRPr="00E0150B">
        <w:rPr>
          <w:rFonts w:ascii="Times New Roman" w:hAnsi="Times New Roman" w:cs="Times New Roman"/>
          <w:i/>
          <w:iCs/>
        </w:rPr>
        <w:t>Military Posts,</w:t>
      </w:r>
      <w:r w:rsidR="00E0150B" w:rsidRPr="00E0150B">
        <w:rPr>
          <w:rFonts w:ascii="Times New Roman" w:hAnsi="Times New Roman" w:cs="Times New Roman"/>
        </w:rPr>
        <w:t xml:space="preserve"> </w:t>
      </w:r>
      <w:r w:rsidRPr="002318C9">
        <w:rPr>
          <w:rFonts w:ascii="Times New Roman" w:hAnsi="Times New Roman" w:cs="Times New Roman"/>
        </w:rPr>
        <w:t>7</w:t>
      </w:r>
    </w:p>
  </w:footnote>
  <w:footnote w:id="299">
    <w:p w14:paraId="5ED10CF5"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00">
    <w:p w14:paraId="14EAFEFB" w14:textId="20917FC5" w:rsidR="006A6DED" w:rsidRPr="00E0150B"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0150B" w:rsidRPr="00E0150B">
        <w:rPr>
          <w:rFonts w:ascii="Times New Roman" w:hAnsi="Times New Roman" w:cs="Times New Roman"/>
        </w:rPr>
        <w:t xml:space="preserve">Orville Babcock to John Rawlins in </w:t>
      </w:r>
      <w:r w:rsidR="00E0150B" w:rsidRPr="00E0150B">
        <w:rPr>
          <w:rFonts w:ascii="Times New Roman" w:hAnsi="Times New Roman" w:cs="Times New Roman"/>
          <w:i/>
          <w:iCs/>
        </w:rPr>
        <w:t>Military Posts,</w:t>
      </w:r>
      <w:r w:rsidR="00E0150B" w:rsidRPr="00E0150B">
        <w:rPr>
          <w:rFonts w:ascii="Times New Roman" w:hAnsi="Times New Roman" w:cs="Times New Roman"/>
        </w:rPr>
        <w:t xml:space="preserve"> </w:t>
      </w:r>
      <w:r w:rsidRPr="002318C9">
        <w:rPr>
          <w:rFonts w:ascii="Times New Roman" w:hAnsi="Times New Roman" w:cs="Times New Roman"/>
        </w:rPr>
        <w:t xml:space="preserve">7; </w:t>
      </w:r>
      <w:r w:rsidR="00E0150B">
        <w:rPr>
          <w:rFonts w:ascii="Times New Roman" w:hAnsi="Times New Roman" w:cs="Times New Roman"/>
        </w:rPr>
        <w:t xml:space="preserve">Martin W. Sandler, </w:t>
      </w:r>
      <w:r w:rsidR="00E0150B">
        <w:rPr>
          <w:rFonts w:ascii="Times New Roman" w:hAnsi="Times New Roman" w:cs="Times New Roman"/>
          <w:i/>
          <w:iCs/>
        </w:rPr>
        <w:t>Iron Rails, Iron Men, and the Race to Link the Nation: The Story of the Transcontinental Railroad</w:t>
      </w:r>
      <w:r w:rsidR="00E0150B">
        <w:rPr>
          <w:rFonts w:ascii="Times New Roman" w:hAnsi="Times New Roman" w:cs="Times New Roman"/>
        </w:rPr>
        <w:t>. Somerville, MA: Candlewick Press, 2015.</w:t>
      </w:r>
    </w:p>
  </w:footnote>
  <w:footnote w:id="301">
    <w:p w14:paraId="16448CD9" w14:textId="771FF89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0150B" w:rsidRPr="00E0150B">
        <w:rPr>
          <w:rFonts w:ascii="Times New Roman" w:hAnsi="Times New Roman" w:cs="Times New Roman"/>
        </w:rPr>
        <w:t xml:space="preserve">Orville Babcock to John Rawlins in </w:t>
      </w:r>
      <w:r w:rsidR="00E0150B" w:rsidRPr="00E0150B">
        <w:rPr>
          <w:rFonts w:ascii="Times New Roman" w:hAnsi="Times New Roman" w:cs="Times New Roman"/>
          <w:i/>
          <w:iCs/>
        </w:rPr>
        <w:t>Military Posts,</w:t>
      </w:r>
      <w:r w:rsidR="00E0150B" w:rsidRPr="00E0150B">
        <w:rPr>
          <w:rFonts w:ascii="Times New Roman" w:hAnsi="Times New Roman" w:cs="Times New Roman"/>
        </w:rPr>
        <w:t xml:space="preserve"> </w:t>
      </w:r>
      <w:r w:rsidRPr="002318C9">
        <w:rPr>
          <w:rFonts w:ascii="Times New Roman" w:hAnsi="Times New Roman" w:cs="Times New Roman"/>
        </w:rPr>
        <w:t>1</w:t>
      </w:r>
    </w:p>
  </w:footnote>
  <w:footnote w:id="302">
    <w:p w14:paraId="5EDC1402" w14:textId="08E3A3F5" w:rsidR="006A6DED" w:rsidRPr="007A6091"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A6091">
        <w:rPr>
          <w:rFonts w:ascii="Times New Roman" w:hAnsi="Times New Roman" w:cs="Times New Roman"/>
        </w:rPr>
        <w:t xml:space="preserve">Paul Kahan, </w:t>
      </w:r>
      <w:r w:rsidR="007A6091">
        <w:rPr>
          <w:rFonts w:ascii="Times New Roman" w:hAnsi="Times New Roman" w:cs="Times New Roman"/>
          <w:i/>
          <w:iCs/>
        </w:rPr>
        <w:t>The Presidency of Ulysses S. Grant Preserving the Civil War’s Legacy</w:t>
      </w:r>
      <w:r w:rsidR="007A6091">
        <w:rPr>
          <w:rFonts w:ascii="Times New Roman" w:hAnsi="Times New Roman" w:cs="Times New Roman"/>
        </w:rPr>
        <w:t>. Yardley, PA: Westholme Publishing, 2018. 130-132.</w:t>
      </w:r>
    </w:p>
  </w:footnote>
  <w:footnote w:id="303">
    <w:p w14:paraId="3BF86CE4" w14:textId="2CF32F58"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A1837">
        <w:rPr>
          <w:rFonts w:ascii="Times New Roman" w:hAnsi="Times New Roman" w:cs="Times New Roman"/>
        </w:rPr>
        <w:t xml:space="preserve">Orville Babcock to John Rawlins in </w:t>
      </w:r>
      <w:r w:rsidR="00BA1837">
        <w:rPr>
          <w:rFonts w:ascii="Times New Roman" w:hAnsi="Times New Roman" w:cs="Times New Roman"/>
          <w:i/>
          <w:iCs/>
        </w:rPr>
        <w:t>Military Posts,</w:t>
      </w:r>
      <w:r w:rsidR="00BA1837" w:rsidRPr="002318C9">
        <w:rPr>
          <w:rFonts w:ascii="Times New Roman" w:hAnsi="Times New Roman" w:cs="Times New Roman"/>
        </w:rPr>
        <w:t xml:space="preserve"> </w:t>
      </w:r>
      <w:r w:rsidRPr="002318C9">
        <w:rPr>
          <w:rFonts w:ascii="Times New Roman" w:hAnsi="Times New Roman" w:cs="Times New Roman"/>
        </w:rPr>
        <w:t>7-9</w:t>
      </w:r>
    </w:p>
  </w:footnote>
  <w:footnote w:id="304">
    <w:p w14:paraId="44762A57" w14:textId="086C1CB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A1837">
        <w:rPr>
          <w:rFonts w:ascii="Times New Roman" w:hAnsi="Times New Roman" w:cs="Times New Roman"/>
        </w:rPr>
        <w:t xml:space="preserve">Orville Babcock to John Rawlins in </w:t>
      </w:r>
      <w:r w:rsidR="00BA1837">
        <w:rPr>
          <w:rFonts w:ascii="Times New Roman" w:hAnsi="Times New Roman" w:cs="Times New Roman"/>
          <w:i/>
          <w:iCs/>
        </w:rPr>
        <w:t>Military Posts,</w:t>
      </w:r>
      <w:r w:rsidR="00BA1837" w:rsidRPr="002318C9">
        <w:rPr>
          <w:rFonts w:ascii="Times New Roman" w:hAnsi="Times New Roman" w:cs="Times New Roman"/>
        </w:rPr>
        <w:t xml:space="preserve"> </w:t>
      </w:r>
      <w:r w:rsidRPr="002318C9">
        <w:rPr>
          <w:rFonts w:ascii="Times New Roman" w:hAnsi="Times New Roman" w:cs="Times New Roman"/>
        </w:rPr>
        <w:t>7</w:t>
      </w:r>
    </w:p>
  </w:footnote>
  <w:footnote w:id="305">
    <w:p w14:paraId="04431856" w14:textId="525CDDA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The background information garnered by Babcock would be used as a basis for several policies towards Mormons in the Grant Administration. In 1871, then President Grant prosecuted several Mormons in Utah, including Brigham Young, for polygamy. In 1874, President Grant signed the Poland Act into law, limiting Mormons’ jury service. Kahan</w:t>
      </w:r>
      <w:r w:rsidR="000A54C3">
        <w:rPr>
          <w:rFonts w:ascii="Times New Roman" w:hAnsi="Times New Roman" w:cs="Times New Roman"/>
        </w:rPr>
        <w:t xml:space="preserve">, </w:t>
      </w:r>
      <w:r w:rsidR="000A54C3">
        <w:rPr>
          <w:rFonts w:ascii="Times New Roman" w:hAnsi="Times New Roman" w:cs="Times New Roman"/>
          <w:i/>
          <w:iCs/>
        </w:rPr>
        <w:t>Presidency of Ulysses S. Grant,</w:t>
      </w:r>
      <w:r w:rsidRPr="002318C9">
        <w:rPr>
          <w:rFonts w:ascii="Times New Roman" w:hAnsi="Times New Roman" w:cs="Times New Roman"/>
        </w:rPr>
        <w:t xml:space="preserve"> 130-2</w:t>
      </w:r>
    </w:p>
  </w:footnote>
  <w:footnote w:id="306">
    <w:p w14:paraId="1D094EB8" w14:textId="59F7DFA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A1837">
        <w:rPr>
          <w:rFonts w:ascii="Times New Roman" w:hAnsi="Times New Roman" w:cs="Times New Roman"/>
        </w:rPr>
        <w:t xml:space="preserve">Orville Babcock to John Rawlins in </w:t>
      </w:r>
      <w:r w:rsidR="00BA1837">
        <w:rPr>
          <w:rFonts w:ascii="Times New Roman" w:hAnsi="Times New Roman" w:cs="Times New Roman"/>
          <w:i/>
          <w:iCs/>
        </w:rPr>
        <w:t>Military Posts,</w:t>
      </w:r>
      <w:r w:rsidRPr="002318C9">
        <w:rPr>
          <w:rFonts w:ascii="Times New Roman" w:hAnsi="Times New Roman" w:cs="Times New Roman"/>
        </w:rPr>
        <w:t xml:space="preserve"> 7</w:t>
      </w:r>
    </w:p>
  </w:footnote>
  <w:footnote w:id="307">
    <w:p w14:paraId="091DBA85" w14:textId="3DD6B72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A1837">
        <w:rPr>
          <w:rFonts w:ascii="Times New Roman" w:hAnsi="Times New Roman" w:cs="Times New Roman"/>
        </w:rPr>
        <w:t>I</w:t>
      </w:r>
      <w:r w:rsidRPr="002318C9">
        <w:rPr>
          <w:rFonts w:ascii="Times New Roman" w:hAnsi="Times New Roman" w:cs="Times New Roman"/>
        </w:rPr>
        <w:t>bid</w:t>
      </w:r>
    </w:p>
  </w:footnote>
  <w:footnote w:id="308">
    <w:p w14:paraId="54893357"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09">
    <w:p w14:paraId="2E838532"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10">
    <w:p w14:paraId="06999AEC" w14:textId="3B7E1DB6"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A1837">
        <w:rPr>
          <w:rFonts w:ascii="Times New Roman" w:hAnsi="Times New Roman" w:cs="Times New Roman"/>
        </w:rPr>
        <w:t xml:space="preserve">Orville Babcock to John Rawlins in </w:t>
      </w:r>
      <w:r w:rsidR="00BA1837">
        <w:rPr>
          <w:rFonts w:ascii="Times New Roman" w:hAnsi="Times New Roman" w:cs="Times New Roman"/>
          <w:i/>
          <w:iCs/>
        </w:rPr>
        <w:t>Military Posts,</w:t>
      </w:r>
      <w:r w:rsidR="00BA1837" w:rsidRPr="002318C9">
        <w:rPr>
          <w:rFonts w:ascii="Times New Roman" w:hAnsi="Times New Roman" w:cs="Times New Roman"/>
        </w:rPr>
        <w:t xml:space="preserve"> </w:t>
      </w:r>
      <w:r w:rsidRPr="002318C9">
        <w:rPr>
          <w:rFonts w:ascii="Times New Roman" w:hAnsi="Times New Roman" w:cs="Times New Roman"/>
        </w:rPr>
        <w:t>7-8</w:t>
      </w:r>
    </w:p>
  </w:footnote>
  <w:footnote w:id="311">
    <w:p w14:paraId="4DD8F559" w14:textId="37B8E6C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A1837">
        <w:rPr>
          <w:rFonts w:ascii="Times New Roman" w:hAnsi="Times New Roman" w:cs="Times New Roman"/>
        </w:rPr>
        <w:t xml:space="preserve">Orville Babcock to John Rawlins in </w:t>
      </w:r>
      <w:r w:rsidR="00BA1837">
        <w:rPr>
          <w:rFonts w:ascii="Times New Roman" w:hAnsi="Times New Roman" w:cs="Times New Roman"/>
          <w:i/>
          <w:iCs/>
        </w:rPr>
        <w:t>Military Posts,</w:t>
      </w:r>
      <w:r w:rsidR="00BA1837" w:rsidRPr="002318C9">
        <w:rPr>
          <w:rFonts w:ascii="Times New Roman" w:hAnsi="Times New Roman" w:cs="Times New Roman"/>
        </w:rPr>
        <w:t xml:space="preserve"> </w:t>
      </w:r>
      <w:r w:rsidRPr="002318C9">
        <w:rPr>
          <w:rFonts w:ascii="Times New Roman" w:hAnsi="Times New Roman" w:cs="Times New Roman"/>
        </w:rPr>
        <w:t>8</w:t>
      </w:r>
    </w:p>
  </w:footnote>
  <w:footnote w:id="312">
    <w:p w14:paraId="17493838"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13">
    <w:p w14:paraId="6EFE6A7F"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14">
    <w:p w14:paraId="31488625"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15">
    <w:p w14:paraId="464F0498"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16">
    <w:p w14:paraId="60701C2D" w14:textId="1D3CC110" w:rsidR="006A6DED" w:rsidRPr="00F77E64"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r w:rsidR="00A8539A">
        <w:rPr>
          <w:rFonts w:ascii="Times New Roman" w:hAnsi="Times New Roman" w:cs="Times New Roman"/>
        </w:rPr>
        <w:t xml:space="preserve">; </w:t>
      </w:r>
      <w:r w:rsidR="00F77E64">
        <w:rPr>
          <w:rFonts w:ascii="Times New Roman" w:hAnsi="Times New Roman" w:cs="Times New Roman"/>
        </w:rPr>
        <w:t xml:space="preserve">John S. Goff, “John Titus, Chief Justice of Arizona, 1870-1874.” </w:t>
      </w:r>
      <w:r w:rsidR="00F77E64">
        <w:rPr>
          <w:rFonts w:ascii="Times New Roman" w:hAnsi="Times New Roman" w:cs="Times New Roman"/>
          <w:i/>
          <w:iCs/>
        </w:rPr>
        <w:t>Arizona and the West</w:t>
      </w:r>
      <w:r w:rsidR="00F77E64">
        <w:rPr>
          <w:rFonts w:ascii="Times New Roman" w:hAnsi="Times New Roman" w:cs="Times New Roman"/>
        </w:rPr>
        <w:t>. 14</w:t>
      </w:r>
      <w:r w:rsidR="006F332E">
        <w:rPr>
          <w:rFonts w:ascii="Times New Roman" w:hAnsi="Times New Roman" w:cs="Times New Roman"/>
        </w:rPr>
        <w:t>.1 (Spring 1972).</w:t>
      </w:r>
    </w:p>
  </w:footnote>
  <w:footnote w:id="317">
    <w:p w14:paraId="47F5C5D6" w14:textId="7EA75AE5"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A1837">
        <w:rPr>
          <w:rFonts w:ascii="Times New Roman" w:hAnsi="Times New Roman" w:cs="Times New Roman"/>
        </w:rPr>
        <w:t xml:space="preserve">Orville Babcock to John Rawlins in </w:t>
      </w:r>
      <w:r w:rsidR="00BA1837">
        <w:rPr>
          <w:rFonts w:ascii="Times New Roman" w:hAnsi="Times New Roman" w:cs="Times New Roman"/>
          <w:i/>
          <w:iCs/>
        </w:rPr>
        <w:t>Military Posts,</w:t>
      </w:r>
      <w:r w:rsidR="00BA1837" w:rsidRPr="002318C9">
        <w:rPr>
          <w:rFonts w:ascii="Times New Roman" w:hAnsi="Times New Roman" w:cs="Times New Roman"/>
        </w:rPr>
        <w:t xml:space="preserve"> </w:t>
      </w:r>
      <w:r w:rsidRPr="002318C9">
        <w:rPr>
          <w:rFonts w:ascii="Times New Roman" w:hAnsi="Times New Roman" w:cs="Times New Roman"/>
        </w:rPr>
        <w:t>8</w:t>
      </w:r>
    </w:p>
  </w:footnote>
  <w:footnote w:id="318">
    <w:p w14:paraId="3AB37444"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19">
    <w:p w14:paraId="11802029"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20">
    <w:p w14:paraId="7B5E74FF"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21">
    <w:p w14:paraId="71BB4C00"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22">
    <w:p w14:paraId="395F9576" w14:textId="0CFF8AF8"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Pr="002318C9">
        <w:rPr>
          <w:rFonts w:ascii="Times New Roman" w:hAnsi="Times New Roman" w:cs="Times New Roman"/>
        </w:rPr>
        <w:t>8-9</w:t>
      </w:r>
    </w:p>
  </w:footnote>
  <w:footnote w:id="323">
    <w:p w14:paraId="22F59447"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24">
    <w:p w14:paraId="42463B6A" w14:textId="5060BCB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Pr="002318C9">
        <w:rPr>
          <w:rFonts w:ascii="Times New Roman" w:hAnsi="Times New Roman" w:cs="Times New Roman"/>
        </w:rPr>
        <w:t>9</w:t>
      </w:r>
    </w:p>
  </w:footnote>
  <w:footnote w:id="325">
    <w:p w14:paraId="1B622043"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26">
    <w:p w14:paraId="1E7C5A25" w14:textId="2D7A16A0"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Pr="002318C9">
        <w:rPr>
          <w:rFonts w:ascii="Times New Roman" w:hAnsi="Times New Roman" w:cs="Times New Roman"/>
        </w:rPr>
        <w:t>9</w:t>
      </w:r>
    </w:p>
  </w:footnote>
  <w:footnote w:id="327">
    <w:p w14:paraId="239B12F0" w14:textId="09BEC7C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Pr="002318C9">
        <w:rPr>
          <w:rFonts w:ascii="Times New Roman" w:hAnsi="Times New Roman" w:cs="Times New Roman"/>
        </w:rPr>
        <w:t>9-11</w:t>
      </w:r>
    </w:p>
  </w:footnote>
  <w:footnote w:id="328">
    <w:p w14:paraId="0F323E55" w14:textId="04C90D69"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Pr="002318C9">
        <w:rPr>
          <w:rFonts w:ascii="Times New Roman" w:hAnsi="Times New Roman" w:cs="Times New Roman"/>
        </w:rPr>
        <w:t>11</w:t>
      </w:r>
    </w:p>
  </w:footnote>
  <w:footnote w:id="329">
    <w:p w14:paraId="158DFEC0"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30">
    <w:p w14:paraId="0372C440"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31">
    <w:p w14:paraId="64DF7D13"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32">
    <w:p w14:paraId="6CCE3A16"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33">
    <w:p w14:paraId="3E974552" w14:textId="2309686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Pr="002318C9">
        <w:rPr>
          <w:rFonts w:ascii="Times New Roman" w:hAnsi="Times New Roman" w:cs="Times New Roman"/>
        </w:rPr>
        <w:t>12</w:t>
      </w:r>
    </w:p>
  </w:footnote>
  <w:footnote w:id="334">
    <w:p w14:paraId="4C4B20D9"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35">
    <w:p w14:paraId="7937F84D" w14:textId="4587A59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00FF7196">
        <w:rPr>
          <w:rFonts w:ascii="Times New Roman" w:hAnsi="Times New Roman" w:cs="Times New Roman"/>
        </w:rPr>
        <w:t>12-</w:t>
      </w:r>
      <w:r w:rsidRPr="002318C9">
        <w:rPr>
          <w:rFonts w:ascii="Times New Roman" w:hAnsi="Times New Roman" w:cs="Times New Roman"/>
        </w:rPr>
        <w:t>13</w:t>
      </w:r>
    </w:p>
  </w:footnote>
  <w:footnote w:id="336">
    <w:p w14:paraId="733D8925" w14:textId="7F3EE46A"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Pr="002318C9">
        <w:rPr>
          <w:rFonts w:ascii="Times New Roman" w:hAnsi="Times New Roman" w:cs="Times New Roman"/>
        </w:rPr>
        <w:t>13</w:t>
      </w:r>
    </w:p>
  </w:footnote>
  <w:footnote w:id="337">
    <w:p w14:paraId="1AC3554B" w14:textId="3BB734E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Ibid</w:t>
      </w:r>
    </w:p>
  </w:footnote>
  <w:footnote w:id="338">
    <w:p w14:paraId="52ABD3AB" w14:textId="6FC5123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Pr="002318C9">
        <w:rPr>
          <w:rFonts w:ascii="Times New Roman" w:hAnsi="Times New Roman" w:cs="Times New Roman"/>
        </w:rPr>
        <w:t>14</w:t>
      </w:r>
    </w:p>
  </w:footnote>
  <w:footnote w:id="339">
    <w:p w14:paraId="24E43485" w14:textId="752DA4C5"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Pr="002318C9">
        <w:rPr>
          <w:rFonts w:ascii="Times New Roman" w:hAnsi="Times New Roman" w:cs="Times New Roman"/>
        </w:rPr>
        <w:t>13</w:t>
      </w:r>
    </w:p>
  </w:footnote>
  <w:footnote w:id="340">
    <w:p w14:paraId="61BF8D49"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41">
    <w:p w14:paraId="0C9C017D" w14:textId="65F2D3B3"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Pr="002318C9">
        <w:rPr>
          <w:rFonts w:ascii="Times New Roman" w:hAnsi="Times New Roman" w:cs="Times New Roman"/>
        </w:rPr>
        <w:t>14</w:t>
      </w:r>
    </w:p>
  </w:footnote>
  <w:footnote w:id="342">
    <w:p w14:paraId="57F1D553" w14:textId="61A09090"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r w:rsidR="00FF7196" w:rsidRPr="002318C9">
        <w:rPr>
          <w:rFonts w:ascii="Times New Roman" w:hAnsi="Times New Roman" w:cs="Times New Roman"/>
        </w:rPr>
        <w:t xml:space="preserve"> </w:t>
      </w:r>
      <w:r w:rsidR="00FF7196">
        <w:rPr>
          <w:rFonts w:ascii="Times New Roman" w:hAnsi="Times New Roman" w:cs="Times New Roman"/>
        </w:rPr>
        <w:t>14-</w:t>
      </w:r>
      <w:r w:rsidRPr="002318C9">
        <w:rPr>
          <w:rFonts w:ascii="Times New Roman" w:hAnsi="Times New Roman" w:cs="Times New Roman"/>
        </w:rPr>
        <w:t>15</w:t>
      </w:r>
    </w:p>
  </w:footnote>
  <w:footnote w:id="343">
    <w:p w14:paraId="7391C4D7" w14:textId="2C5FF38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7196">
        <w:rPr>
          <w:rFonts w:ascii="Times New Roman" w:hAnsi="Times New Roman" w:cs="Times New Roman"/>
        </w:rPr>
        <w:t xml:space="preserve">Orville Babcock to John Rawlins in </w:t>
      </w:r>
      <w:r w:rsidR="00FF7196">
        <w:rPr>
          <w:rFonts w:ascii="Times New Roman" w:hAnsi="Times New Roman" w:cs="Times New Roman"/>
          <w:i/>
          <w:iCs/>
        </w:rPr>
        <w:t>Military Posts</w:t>
      </w:r>
    </w:p>
  </w:footnote>
  <w:footnote w:id="344">
    <w:p w14:paraId="3A395754" w14:textId="3E0BA9B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Pr="002318C9">
        <w:rPr>
          <w:rFonts w:ascii="Times New Roman" w:hAnsi="Times New Roman" w:cs="Times New Roman"/>
        </w:rPr>
        <w:t xml:space="preserve"> 588</w:t>
      </w:r>
    </w:p>
  </w:footnote>
  <w:footnote w:id="345">
    <w:p w14:paraId="44D808A8" w14:textId="59AFBBAB" w:rsidR="006A6DED" w:rsidRPr="00FF0ECD"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00FF0ECD">
        <w:rPr>
          <w:rFonts w:ascii="Times New Roman" w:hAnsi="Times New Roman" w:cs="Times New Roman"/>
        </w:rPr>
        <w:t xml:space="preserve"> </w:t>
      </w:r>
      <w:r w:rsidR="00434F20">
        <w:rPr>
          <w:rFonts w:ascii="Times New Roman" w:hAnsi="Times New Roman" w:cs="Times New Roman"/>
          <w:i/>
          <w:iCs/>
        </w:rPr>
        <w:t>An Act to provide for the more efficient Government of the Rebel States</w:t>
      </w:r>
      <w:r w:rsidR="00434F20">
        <w:rPr>
          <w:rFonts w:ascii="Times New Roman" w:hAnsi="Times New Roman" w:cs="Times New Roman"/>
        </w:rPr>
        <w:t>,</w:t>
      </w:r>
      <w:r w:rsidR="00FF0ECD">
        <w:rPr>
          <w:rFonts w:ascii="Times New Roman" w:hAnsi="Times New Roman" w:cs="Times New Roman"/>
        </w:rPr>
        <w:t xml:space="preserve"> c.153, </w:t>
      </w:r>
      <w:r w:rsidR="00FF0ECD">
        <w:rPr>
          <w:rFonts w:ascii="Times New Roman" w:hAnsi="Times New Roman" w:cs="Times New Roman"/>
          <w:i/>
          <w:iCs/>
        </w:rPr>
        <w:t>U.S. Statutes at Large</w:t>
      </w:r>
      <w:r w:rsidR="00FF0ECD">
        <w:rPr>
          <w:rFonts w:ascii="Times New Roman" w:hAnsi="Times New Roman" w:cs="Times New Roman"/>
        </w:rPr>
        <w:t xml:space="preserve"> 14 (1867): 428-430; </w:t>
      </w:r>
      <w:r w:rsidR="00434F20">
        <w:rPr>
          <w:rFonts w:ascii="Times New Roman" w:hAnsi="Times New Roman" w:cs="Times New Roman"/>
          <w:i/>
          <w:iCs/>
        </w:rPr>
        <w:t>An Act supplementary to an Act entitled “An Act to provide for the more efficient Government of the Rebel States,” passed March second, eighteen hundred and sixty-seven, and to facilitate Restoration</w:t>
      </w:r>
      <w:r w:rsidR="00434F20">
        <w:rPr>
          <w:rFonts w:ascii="Times New Roman" w:hAnsi="Times New Roman" w:cs="Times New Roman"/>
        </w:rPr>
        <w:t xml:space="preserve">, </w:t>
      </w:r>
      <w:r w:rsidR="00FF0ECD">
        <w:rPr>
          <w:rFonts w:ascii="Times New Roman" w:hAnsi="Times New Roman" w:cs="Times New Roman"/>
        </w:rPr>
        <w:t xml:space="preserve">c.6, </w:t>
      </w:r>
      <w:r w:rsidR="00FF0ECD">
        <w:rPr>
          <w:rFonts w:ascii="Times New Roman" w:hAnsi="Times New Roman" w:cs="Times New Roman"/>
          <w:i/>
          <w:iCs/>
        </w:rPr>
        <w:t>U.S. Statutes at Large</w:t>
      </w:r>
      <w:r w:rsidR="00FF0ECD">
        <w:rPr>
          <w:rFonts w:ascii="Times New Roman" w:hAnsi="Times New Roman" w:cs="Times New Roman"/>
        </w:rPr>
        <w:t xml:space="preserve"> 15 (1867): 2-5;</w:t>
      </w:r>
      <w:r w:rsidR="00434F20">
        <w:rPr>
          <w:rFonts w:ascii="Times New Roman" w:hAnsi="Times New Roman" w:cs="Times New Roman"/>
        </w:rPr>
        <w:t xml:space="preserve"> </w:t>
      </w:r>
      <w:r w:rsidR="00434F20">
        <w:rPr>
          <w:rFonts w:ascii="Times New Roman" w:hAnsi="Times New Roman" w:cs="Times New Roman"/>
          <w:i/>
          <w:iCs/>
        </w:rPr>
        <w:t>An Act supplementary to an Act entitled “An Act to provide for the more efficient Government of the Rebel States,” passed on the second day of March, eighteen hundred and sixty-seven, and the Act supplementary thereto, passed on the twenty-third day of March, eighteen hundred and sixty-seven</w:t>
      </w:r>
      <w:r w:rsidR="00434F20">
        <w:rPr>
          <w:rFonts w:ascii="Times New Roman" w:hAnsi="Times New Roman" w:cs="Times New Roman"/>
        </w:rPr>
        <w:t>,</w:t>
      </w:r>
      <w:r w:rsidR="00FF0ECD">
        <w:rPr>
          <w:rFonts w:ascii="Times New Roman" w:hAnsi="Times New Roman" w:cs="Times New Roman"/>
        </w:rPr>
        <w:t xml:space="preserve"> c.30, </w:t>
      </w:r>
      <w:r w:rsidR="00FF0ECD">
        <w:rPr>
          <w:rFonts w:ascii="Times New Roman" w:hAnsi="Times New Roman" w:cs="Times New Roman"/>
          <w:i/>
          <w:iCs/>
        </w:rPr>
        <w:t>U.S. Statutes at Large</w:t>
      </w:r>
      <w:r w:rsidR="00FF0ECD">
        <w:rPr>
          <w:rFonts w:ascii="Times New Roman" w:hAnsi="Times New Roman" w:cs="Times New Roman"/>
        </w:rPr>
        <w:t xml:space="preserve"> 15 (1867): 14-16;</w:t>
      </w:r>
      <w:r w:rsidR="00434F20">
        <w:rPr>
          <w:rFonts w:ascii="Times New Roman" w:hAnsi="Times New Roman" w:cs="Times New Roman"/>
        </w:rPr>
        <w:t xml:space="preserve"> </w:t>
      </w:r>
      <w:r w:rsidR="006C72C0">
        <w:rPr>
          <w:rFonts w:ascii="Times New Roman" w:hAnsi="Times New Roman" w:cs="Times New Roman"/>
          <w:i/>
          <w:iCs/>
        </w:rPr>
        <w:t>An Act to Amend the Act passed March twenty-third, eighteen hundred and sixty-seven, entitled “An Act supplementary to ‘An Act to provide for the more efficient Government of the rebel States,’ passed March second, eighteen hundred and sixty-seven, and to facilitate their Restoration</w:t>
      </w:r>
      <w:r w:rsidR="00434F20">
        <w:rPr>
          <w:rFonts w:ascii="Times New Roman" w:hAnsi="Times New Roman" w:cs="Times New Roman"/>
        </w:rPr>
        <w:t>,</w:t>
      </w:r>
      <w:r w:rsidR="006C72C0">
        <w:rPr>
          <w:rFonts w:ascii="Times New Roman" w:hAnsi="Times New Roman" w:cs="Times New Roman"/>
        </w:rPr>
        <w:t>”</w:t>
      </w:r>
      <w:r w:rsidR="00FF0ECD">
        <w:rPr>
          <w:rFonts w:ascii="Times New Roman" w:hAnsi="Times New Roman" w:cs="Times New Roman"/>
        </w:rPr>
        <w:t xml:space="preserve"> c.25, </w:t>
      </w:r>
      <w:r w:rsidR="00FF0ECD">
        <w:rPr>
          <w:rFonts w:ascii="Times New Roman" w:hAnsi="Times New Roman" w:cs="Times New Roman"/>
          <w:i/>
          <w:iCs/>
        </w:rPr>
        <w:t>U.S. Statutes at Large</w:t>
      </w:r>
      <w:r w:rsidR="00FF0ECD">
        <w:rPr>
          <w:rFonts w:ascii="Times New Roman" w:hAnsi="Times New Roman" w:cs="Times New Roman"/>
        </w:rPr>
        <w:t xml:space="preserve"> 15 (1868): 41</w:t>
      </w:r>
    </w:p>
  </w:footnote>
  <w:footnote w:id="346">
    <w:p w14:paraId="2ED0F863" w14:textId="1AC5B2E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5BD5">
        <w:rPr>
          <w:rFonts w:ascii="Times New Roman" w:hAnsi="Times New Roman" w:cs="Times New Roman"/>
        </w:rPr>
        <w:t xml:space="preserve">Ulysses S. Grant to Philip Sheridan, March 29, 1867, in John Simon, ed., </w:t>
      </w:r>
      <w:r w:rsidR="002C5BD5">
        <w:rPr>
          <w:rFonts w:ascii="Times New Roman" w:hAnsi="Times New Roman" w:cs="Times New Roman"/>
          <w:i/>
          <w:iCs/>
        </w:rPr>
        <w:t>The Papers of Ulysses S. Grant, vol. 17</w:t>
      </w:r>
      <w:r w:rsidR="002C5BD5">
        <w:rPr>
          <w:rFonts w:ascii="Times New Roman" w:hAnsi="Times New Roman" w:cs="Times New Roman"/>
        </w:rPr>
        <w:t>. Carbondale: Southern Illinois University Press, 1997. 122.</w:t>
      </w:r>
    </w:p>
  </w:footnote>
  <w:footnote w:id="347">
    <w:p w14:paraId="21D5C243"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48">
    <w:p w14:paraId="208A4515" w14:textId="5B5DB97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5BD5" w:rsidRPr="002318C9">
        <w:rPr>
          <w:rFonts w:ascii="Times New Roman" w:hAnsi="Times New Roman" w:cs="Times New Roman"/>
        </w:rPr>
        <w:t>Gen Orville Babcock to Col. Adam Badeau, May 10, 1867</w:t>
      </w:r>
      <w:r w:rsidR="002C5BD5">
        <w:rPr>
          <w:rFonts w:ascii="Times New Roman" w:hAnsi="Times New Roman" w:cs="Times New Roman"/>
        </w:rPr>
        <w:t xml:space="preserve">, in </w:t>
      </w:r>
      <w:r w:rsidR="006F1B73">
        <w:rPr>
          <w:rFonts w:ascii="Times New Roman" w:hAnsi="Times New Roman" w:cs="Times New Roman"/>
        </w:rPr>
        <w:t xml:space="preserve">Simon, </w:t>
      </w:r>
      <w:r w:rsidR="006F1B73">
        <w:rPr>
          <w:rFonts w:ascii="Times New Roman" w:hAnsi="Times New Roman" w:cs="Times New Roman"/>
          <w:i/>
          <w:iCs/>
        </w:rPr>
        <w:t xml:space="preserve">Papers of Ulysses S. Grant, </w:t>
      </w:r>
      <w:r w:rsidR="006F1B73" w:rsidRPr="006F1B73">
        <w:rPr>
          <w:rFonts w:ascii="Times New Roman" w:hAnsi="Times New Roman" w:cs="Times New Roman"/>
          <w:i/>
          <w:iCs/>
        </w:rPr>
        <w:t>17</w:t>
      </w:r>
      <w:r w:rsidR="006F1B73">
        <w:rPr>
          <w:rFonts w:ascii="Times New Roman" w:hAnsi="Times New Roman" w:cs="Times New Roman"/>
          <w:i/>
          <w:iCs/>
        </w:rPr>
        <w:t xml:space="preserve">, </w:t>
      </w:r>
      <w:r w:rsidRPr="002318C9">
        <w:rPr>
          <w:rFonts w:ascii="Times New Roman" w:hAnsi="Times New Roman" w:cs="Times New Roman"/>
        </w:rPr>
        <w:t>127</w:t>
      </w:r>
      <w:r w:rsidR="002C5BD5">
        <w:rPr>
          <w:rFonts w:ascii="Times New Roman" w:hAnsi="Times New Roman" w:cs="Times New Roman"/>
        </w:rPr>
        <w:t>.</w:t>
      </w:r>
      <w:r w:rsidR="00240252" w:rsidRPr="00240252">
        <w:rPr>
          <w:rFonts w:ascii="Times New Roman" w:hAnsi="Times New Roman" w:cs="Times New Roman"/>
        </w:rPr>
        <w:t xml:space="preserve"> </w:t>
      </w:r>
    </w:p>
  </w:footnote>
  <w:footnote w:id="349">
    <w:p w14:paraId="7388E7B4" w14:textId="0CD079CC" w:rsidR="006A6DED" w:rsidRPr="00240252"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40252">
        <w:rPr>
          <w:rFonts w:ascii="Times New Roman" w:hAnsi="Times New Roman" w:cs="Times New Roman"/>
        </w:rPr>
        <w:t>Ibid</w:t>
      </w:r>
    </w:p>
  </w:footnote>
  <w:footnote w:id="350">
    <w:p w14:paraId="662DE39E"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51">
    <w:p w14:paraId="09820EBA"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the emphasis is left from the original and suggests that at the time, “Negro” was referred to as an entirely separate class in society.</w:t>
      </w:r>
    </w:p>
  </w:footnote>
  <w:footnote w:id="352">
    <w:p w14:paraId="5D7B9F61"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53">
    <w:p w14:paraId="6A9E33B6"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54">
    <w:p w14:paraId="5232C766"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55">
    <w:p w14:paraId="01187EAF"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56">
    <w:p w14:paraId="23C09EE5"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57">
    <w:p w14:paraId="2F9C8E30"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58">
    <w:p w14:paraId="240781FF"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59">
    <w:p w14:paraId="4F12D875"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60">
    <w:p w14:paraId="2106E745"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61">
    <w:p w14:paraId="20E30D4C" w14:textId="3DF9EF55" w:rsidR="006A6DED" w:rsidRPr="00240252"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r w:rsidR="00240252">
        <w:rPr>
          <w:rFonts w:ascii="Times New Roman" w:hAnsi="Times New Roman" w:cs="Times New Roman"/>
        </w:rPr>
        <w:t xml:space="preserve">; </w:t>
      </w:r>
      <w:r w:rsidR="002C5BD5">
        <w:rPr>
          <w:rFonts w:ascii="Times New Roman" w:hAnsi="Times New Roman" w:cs="Times New Roman"/>
        </w:rPr>
        <w:t xml:space="preserve">Horace Porter to Adam Badeau, Late May 1867, in </w:t>
      </w:r>
      <w:r w:rsidR="00240252">
        <w:rPr>
          <w:rFonts w:ascii="Times New Roman" w:hAnsi="Times New Roman" w:cs="Times New Roman"/>
        </w:rPr>
        <w:t xml:space="preserve">Simon, </w:t>
      </w:r>
      <w:r w:rsidR="00240252">
        <w:rPr>
          <w:rFonts w:ascii="Times New Roman" w:hAnsi="Times New Roman" w:cs="Times New Roman"/>
          <w:i/>
          <w:iCs/>
        </w:rPr>
        <w:t>Papers of Ulysses S. Grant, 17</w:t>
      </w:r>
      <w:r w:rsidR="002C5BD5">
        <w:rPr>
          <w:rFonts w:ascii="Times New Roman" w:hAnsi="Times New Roman" w:cs="Times New Roman"/>
          <w:i/>
          <w:iCs/>
        </w:rPr>
        <w:t>,</w:t>
      </w:r>
      <w:r w:rsidR="00240252">
        <w:rPr>
          <w:rFonts w:ascii="Times New Roman" w:hAnsi="Times New Roman" w:cs="Times New Roman"/>
          <w:i/>
          <w:iCs/>
        </w:rPr>
        <w:t xml:space="preserve"> </w:t>
      </w:r>
      <w:r w:rsidR="00240252">
        <w:rPr>
          <w:rFonts w:ascii="Times New Roman" w:hAnsi="Times New Roman" w:cs="Times New Roman"/>
        </w:rPr>
        <w:t>128</w:t>
      </w:r>
      <w:r w:rsidR="002C5BD5">
        <w:rPr>
          <w:rFonts w:ascii="Times New Roman" w:hAnsi="Times New Roman" w:cs="Times New Roman"/>
        </w:rPr>
        <w:t>.</w:t>
      </w:r>
      <w:r w:rsidR="00240252">
        <w:rPr>
          <w:rFonts w:ascii="Times New Roman" w:hAnsi="Times New Roman" w:cs="Times New Roman"/>
        </w:rPr>
        <w:t xml:space="preserve"> </w:t>
      </w:r>
    </w:p>
  </w:footnote>
  <w:footnote w:id="362">
    <w:p w14:paraId="4181DE2C" w14:textId="32AE3B2E" w:rsidR="006A6DED" w:rsidRPr="00240252"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40252">
        <w:rPr>
          <w:rFonts w:ascii="Times New Roman" w:hAnsi="Times New Roman" w:cs="Times New Roman"/>
        </w:rPr>
        <w:t>Ibid</w:t>
      </w:r>
    </w:p>
  </w:footnote>
  <w:footnote w:id="363">
    <w:p w14:paraId="2E35155A"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64">
    <w:p w14:paraId="4580EF98"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65">
    <w:p w14:paraId="7E746225" w14:textId="6D2C953E"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34BB4" w:rsidRPr="002318C9">
        <w:rPr>
          <w:rFonts w:ascii="Times New Roman" w:hAnsi="Times New Roman" w:cs="Times New Roman"/>
        </w:rPr>
        <w:t>Gen Sheridan to USG, telegraph, May 18, 1867</w:t>
      </w:r>
      <w:r w:rsidR="00E34BB4">
        <w:rPr>
          <w:rFonts w:ascii="Times New Roman" w:hAnsi="Times New Roman" w:cs="Times New Roman"/>
        </w:rPr>
        <w:t xml:space="preserve">, in </w:t>
      </w:r>
      <w:r w:rsidR="00240252">
        <w:rPr>
          <w:rFonts w:ascii="Times New Roman" w:hAnsi="Times New Roman" w:cs="Times New Roman"/>
        </w:rPr>
        <w:t xml:space="preserve">Simon, </w:t>
      </w:r>
      <w:r w:rsidR="00240252">
        <w:rPr>
          <w:rFonts w:ascii="Times New Roman" w:hAnsi="Times New Roman" w:cs="Times New Roman"/>
          <w:i/>
          <w:iCs/>
        </w:rPr>
        <w:t xml:space="preserve">Papers of Ulysses S. Grant, 17, </w:t>
      </w:r>
      <w:r w:rsidRPr="002318C9">
        <w:rPr>
          <w:rFonts w:ascii="Times New Roman" w:hAnsi="Times New Roman" w:cs="Times New Roman"/>
        </w:rPr>
        <w:t>128-</w:t>
      </w:r>
      <w:r w:rsidR="00240252">
        <w:rPr>
          <w:rFonts w:ascii="Times New Roman" w:hAnsi="Times New Roman" w:cs="Times New Roman"/>
        </w:rPr>
        <w:t>129</w:t>
      </w:r>
      <w:r w:rsidRPr="002318C9">
        <w:rPr>
          <w:rFonts w:ascii="Times New Roman" w:hAnsi="Times New Roman" w:cs="Times New Roman"/>
        </w:rPr>
        <w:t>. It is unclear from the existing records if Babcock and Porter visited the Fourth Military District, including Arkansas and Mississippi, as there is no report from either regarding any information from either of these states.</w:t>
      </w:r>
    </w:p>
  </w:footnote>
  <w:footnote w:id="366">
    <w:p w14:paraId="51E63407" w14:textId="66714A79"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40252" w:rsidRPr="00240252">
        <w:rPr>
          <w:rFonts w:ascii="Times New Roman" w:hAnsi="Times New Roman" w:cs="Times New Roman"/>
        </w:rPr>
        <w:t xml:space="preserve">Simon, </w:t>
      </w:r>
      <w:r w:rsidR="00240252" w:rsidRPr="00240252">
        <w:rPr>
          <w:rFonts w:ascii="Times New Roman" w:hAnsi="Times New Roman" w:cs="Times New Roman"/>
          <w:i/>
          <w:iCs/>
        </w:rPr>
        <w:t>Papers of Ulysses S. Grant, 17</w:t>
      </w:r>
      <w:r w:rsidR="00240252">
        <w:rPr>
          <w:rFonts w:ascii="Times New Roman" w:hAnsi="Times New Roman" w:cs="Times New Roman"/>
          <w:i/>
          <w:iCs/>
        </w:rPr>
        <w:t>,</w:t>
      </w:r>
      <w:r w:rsidRPr="002318C9">
        <w:rPr>
          <w:rFonts w:ascii="Times New Roman" w:hAnsi="Times New Roman" w:cs="Times New Roman"/>
        </w:rPr>
        <w:t xml:space="preserve"> 244;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Pr="002318C9">
        <w:rPr>
          <w:rFonts w:ascii="Times New Roman" w:hAnsi="Times New Roman" w:cs="Times New Roman"/>
        </w:rPr>
        <w:t xml:space="preserve"> 614</w:t>
      </w:r>
    </w:p>
  </w:footnote>
  <w:footnote w:id="367">
    <w:p w14:paraId="0766E3DD" w14:textId="0A059B1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D7331" w:rsidRPr="000D7331">
        <w:rPr>
          <w:rFonts w:ascii="Times New Roman" w:hAnsi="Times New Roman" w:cs="Times New Roman"/>
        </w:rPr>
        <w:t xml:space="preserve">William S. McFeely, </w:t>
      </w:r>
      <w:r w:rsidR="000D7331" w:rsidRPr="000D7331">
        <w:rPr>
          <w:rFonts w:ascii="Times New Roman" w:hAnsi="Times New Roman" w:cs="Times New Roman"/>
          <w:i/>
          <w:iCs/>
        </w:rPr>
        <w:t>Grant: A Biography</w:t>
      </w:r>
      <w:r w:rsidR="000D7331" w:rsidRPr="000D7331">
        <w:rPr>
          <w:rFonts w:ascii="Times New Roman" w:hAnsi="Times New Roman" w:cs="Times New Roman"/>
        </w:rPr>
        <w:t>. New York: W.W. Norton, 1981</w:t>
      </w:r>
      <w:r w:rsidR="000D7331">
        <w:rPr>
          <w:rFonts w:ascii="Times New Roman" w:hAnsi="Times New Roman" w:cs="Times New Roman"/>
        </w:rPr>
        <w:t>.</w:t>
      </w:r>
      <w:r w:rsidRPr="002318C9">
        <w:rPr>
          <w:rFonts w:ascii="Times New Roman" w:hAnsi="Times New Roman" w:cs="Times New Roman"/>
        </w:rPr>
        <w:t xml:space="preserve"> 264-</w:t>
      </w:r>
      <w:r w:rsidR="000D7331">
        <w:rPr>
          <w:rFonts w:ascii="Times New Roman" w:hAnsi="Times New Roman" w:cs="Times New Roman"/>
        </w:rPr>
        <w:t>26</w:t>
      </w:r>
      <w:r w:rsidRPr="002318C9">
        <w:rPr>
          <w:rFonts w:ascii="Times New Roman" w:hAnsi="Times New Roman" w:cs="Times New Roman"/>
        </w:rPr>
        <w:t>7</w:t>
      </w:r>
      <w:r w:rsidR="000D7331">
        <w:rPr>
          <w:rFonts w:ascii="Times New Roman" w:hAnsi="Times New Roman" w:cs="Times New Roman"/>
        </w:rPr>
        <w:t>.</w:t>
      </w:r>
    </w:p>
  </w:footnote>
  <w:footnote w:id="368">
    <w:p w14:paraId="1140374E" w14:textId="15775CA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55; JE Smith 461</w:t>
      </w:r>
    </w:p>
  </w:footnote>
  <w:footnote w:id="369">
    <w:p w14:paraId="679670A4" w14:textId="2512EE84"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McFeely</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Pr="002318C9">
        <w:rPr>
          <w:rFonts w:ascii="Times New Roman" w:hAnsi="Times New Roman" w:cs="Times New Roman"/>
        </w:rPr>
        <w:t xml:space="preserve"> 284</w:t>
      </w:r>
    </w:p>
  </w:footnote>
  <w:footnote w:id="370">
    <w:p w14:paraId="116C4475" w14:textId="41546E7C" w:rsidR="006A6DED" w:rsidRPr="00B33BCC"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Washburne would step down shortly after and became the </w:t>
      </w:r>
      <w:r w:rsidR="00B33BCC">
        <w:rPr>
          <w:rFonts w:ascii="Times New Roman" w:hAnsi="Times New Roman" w:cs="Times New Roman"/>
        </w:rPr>
        <w:t>Frenc</w:t>
      </w:r>
      <w:r w:rsidRPr="002318C9">
        <w:rPr>
          <w:rFonts w:ascii="Times New Roman" w:hAnsi="Times New Roman" w:cs="Times New Roman"/>
        </w:rPr>
        <w:t xml:space="preserve">h Ambassador. </w:t>
      </w:r>
      <w:r w:rsidR="00D0552C">
        <w:rPr>
          <w:rFonts w:ascii="Times New Roman" w:hAnsi="Times New Roman" w:cs="Times New Roman"/>
        </w:rPr>
        <w:t xml:space="preserve">Josiah </w:t>
      </w:r>
      <w:r w:rsidR="00D0552C" w:rsidRPr="00D0552C">
        <w:rPr>
          <w:rFonts w:ascii="Times New Roman" w:hAnsi="Times New Roman" w:cs="Times New Roman"/>
        </w:rPr>
        <w:t>Bunting</w:t>
      </w:r>
      <w:r w:rsidR="00D0552C">
        <w:rPr>
          <w:rFonts w:ascii="Times New Roman" w:hAnsi="Times New Roman" w:cs="Times New Roman"/>
        </w:rPr>
        <w:t xml:space="preserve"> </w:t>
      </w:r>
      <w:r w:rsidR="00D0552C" w:rsidRPr="00D0552C">
        <w:rPr>
          <w:rFonts w:ascii="Times New Roman" w:hAnsi="Times New Roman" w:cs="Times New Roman"/>
        </w:rPr>
        <w:t>III</w:t>
      </w:r>
      <w:r w:rsidR="00D0552C">
        <w:rPr>
          <w:rFonts w:ascii="Times New Roman" w:hAnsi="Times New Roman" w:cs="Times New Roman"/>
        </w:rPr>
        <w:t>,</w:t>
      </w:r>
      <w:r w:rsidR="00D0552C" w:rsidRPr="00D0552C">
        <w:rPr>
          <w:rFonts w:ascii="Times New Roman" w:hAnsi="Times New Roman" w:cs="Times New Roman"/>
        </w:rPr>
        <w:t xml:space="preserve"> </w:t>
      </w:r>
      <w:r w:rsidR="00D0552C" w:rsidRPr="00D0552C">
        <w:rPr>
          <w:rFonts w:ascii="Times New Roman" w:hAnsi="Times New Roman" w:cs="Times New Roman"/>
          <w:i/>
          <w:iCs/>
        </w:rPr>
        <w:t>Ulysses S. Grant: The American Presidents Series</w:t>
      </w:r>
      <w:r w:rsidR="00D0552C" w:rsidRPr="00D0552C">
        <w:rPr>
          <w:rFonts w:ascii="Times New Roman" w:hAnsi="Times New Roman" w:cs="Times New Roman"/>
        </w:rPr>
        <w:t>. New York, NY: Times Books, 2004</w:t>
      </w:r>
      <w:r w:rsidR="00B33BCC">
        <w:rPr>
          <w:rFonts w:ascii="Times New Roman" w:hAnsi="Times New Roman" w:cs="Times New Roman"/>
        </w:rPr>
        <w:t xml:space="preserve">; Michael Hill, </w:t>
      </w:r>
      <w:r w:rsidR="00B33BCC">
        <w:rPr>
          <w:rFonts w:ascii="Times New Roman" w:hAnsi="Times New Roman" w:cs="Times New Roman"/>
          <w:i/>
          <w:iCs/>
        </w:rPr>
        <w:t>Elihu Washburne: The Diary and Letters of America’s Minister to France During the Siege and Commune of Paris</w:t>
      </w:r>
      <w:r w:rsidR="00B33BCC">
        <w:rPr>
          <w:rFonts w:ascii="Times New Roman" w:hAnsi="Times New Roman" w:cs="Times New Roman"/>
        </w:rPr>
        <w:t>. New York: Simon &amp; Schuster, 2012.</w:t>
      </w:r>
    </w:p>
  </w:footnote>
  <w:footnote w:id="371">
    <w:p w14:paraId="018B002B" w14:textId="3F34DDF8"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0552C">
        <w:rPr>
          <w:rFonts w:ascii="Times New Roman" w:hAnsi="Times New Roman" w:cs="Times New Roman"/>
        </w:rPr>
        <w:t>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D0552C">
        <w:rPr>
          <w:rFonts w:ascii="Times New Roman" w:hAnsi="Times New Roman" w:cs="Times New Roman"/>
        </w:rPr>
        <w:t>; Jean Edward Smith</w:t>
      </w:r>
      <w:r w:rsidR="00552BFB">
        <w:rPr>
          <w:rFonts w:ascii="Times New Roman" w:hAnsi="Times New Roman" w:cs="Times New Roman"/>
        </w:rPr>
        <w:t xml:space="preserve">, </w:t>
      </w:r>
      <w:r w:rsidR="00552BFB">
        <w:rPr>
          <w:rFonts w:ascii="Times New Roman" w:hAnsi="Times New Roman" w:cs="Times New Roman"/>
          <w:i/>
          <w:iCs/>
        </w:rPr>
        <w:t>Grant</w:t>
      </w:r>
      <w:r w:rsidR="00D0552C">
        <w:rPr>
          <w:rFonts w:ascii="Times New Roman" w:hAnsi="Times New Roman" w:cs="Times New Roman"/>
        </w:rPr>
        <w:t>; Ronald White</w:t>
      </w:r>
      <w:r w:rsidR="009A68A0">
        <w:rPr>
          <w:rFonts w:ascii="Times New Roman" w:hAnsi="Times New Roman" w:cs="Times New Roman"/>
        </w:rPr>
        <w:t xml:space="preserve">, </w:t>
      </w:r>
      <w:r w:rsidR="009A68A0" w:rsidRPr="002318C9">
        <w:rPr>
          <w:rFonts w:ascii="Times New Roman" w:hAnsi="Times New Roman" w:cs="Times New Roman"/>
          <w:i/>
          <w:iCs/>
        </w:rPr>
        <w:t>American Ulysses</w:t>
      </w:r>
    </w:p>
  </w:footnote>
  <w:footnote w:id="372">
    <w:p w14:paraId="4C9225EC" w14:textId="1042A3AC" w:rsidR="006A6DED" w:rsidRPr="00D0552C"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0552C">
        <w:rPr>
          <w:rFonts w:ascii="Times New Roman" w:hAnsi="Times New Roman" w:cs="Times New Roman"/>
        </w:rPr>
        <w:t xml:space="preserve">Douglas Southall Freeman, </w:t>
      </w:r>
      <w:r w:rsidR="00D0552C">
        <w:rPr>
          <w:rFonts w:ascii="Times New Roman" w:hAnsi="Times New Roman" w:cs="Times New Roman"/>
          <w:i/>
          <w:iCs/>
        </w:rPr>
        <w:t>Robert E. Lee: A Biography</w:t>
      </w:r>
      <w:r w:rsidR="00D0552C">
        <w:rPr>
          <w:rFonts w:ascii="Times New Roman" w:hAnsi="Times New Roman" w:cs="Times New Roman"/>
        </w:rPr>
        <w:t>. Vol IV New York: Charles Scribner’s Sons, 1934. 395-419.</w:t>
      </w:r>
    </w:p>
  </w:footnote>
  <w:footnote w:id="373">
    <w:p w14:paraId="1DC5A056" w14:textId="7864CE18" w:rsidR="006A6DED" w:rsidRPr="001A3696"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0552C">
        <w:rPr>
          <w:rFonts w:ascii="Times New Roman" w:hAnsi="Times New Roman" w:cs="Times New Roman"/>
          <w:i/>
          <w:iCs/>
        </w:rPr>
        <w:t>Whiskey Frauds Testimony</w:t>
      </w:r>
      <w:r w:rsidR="00D0552C">
        <w:rPr>
          <w:rFonts w:ascii="Times New Roman" w:hAnsi="Times New Roman" w:cs="Times New Roman"/>
        </w:rPr>
        <w:t>;</w:t>
      </w:r>
      <w:r w:rsidR="001A3696">
        <w:rPr>
          <w:rFonts w:ascii="Times New Roman" w:hAnsi="Times New Roman" w:cs="Times New Roman"/>
        </w:rPr>
        <w:t xml:space="preserve"> </w:t>
      </w:r>
      <w:r w:rsidR="001A3696">
        <w:rPr>
          <w:rFonts w:ascii="Times New Roman" w:hAnsi="Times New Roman" w:cs="Times New Roman"/>
          <w:i/>
          <w:iCs/>
        </w:rPr>
        <w:t>United States v. Babcock</w:t>
      </w:r>
      <w:r w:rsidR="001A3696">
        <w:rPr>
          <w:rFonts w:ascii="Times New Roman" w:hAnsi="Times New Roman" w:cs="Times New Roman"/>
        </w:rPr>
        <w:t>, Circuit Court, E.D. Missouri, September 1876.</w:t>
      </w:r>
    </w:p>
  </w:footnote>
  <w:footnote w:id="374">
    <w:p w14:paraId="41A4BAC4" w14:textId="66BFD233"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76402">
        <w:rPr>
          <w:rFonts w:ascii="Times New Roman" w:hAnsi="Times New Roman" w:cs="Times New Roman"/>
        </w:rPr>
        <w:t>Ibid;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p>
  </w:footnote>
  <w:footnote w:id="375">
    <w:p w14:paraId="679DBB88" w14:textId="59CDCEA1" w:rsidR="006A6DED" w:rsidRPr="00A6205F" w:rsidRDefault="006A6DED" w:rsidP="006A6DE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A04C2">
        <w:rPr>
          <w:rFonts w:ascii="Times New Roman" w:hAnsi="Times New Roman" w:cs="Times New Roman"/>
        </w:rPr>
        <w:t>Mantell</w:t>
      </w:r>
      <w:r w:rsidR="00A6205F">
        <w:rPr>
          <w:rFonts w:ascii="Times New Roman" w:hAnsi="Times New Roman" w:cs="Times New Roman"/>
        </w:rPr>
        <w:t xml:space="preserve">, </w:t>
      </w:r>
      <w:r w:rsidR="00A6205F">
        <w:rPr>
          <w:rFonts w:ascii="Times New Roman" w:hAnsi="Times New Roman" w:cs="Times New Roman"/>
          <w:i/>
          <w:iCs/>
        </w:rPr>
        <w:t>Johnson, Grant, and the Politics of Reconstruction</w:t>
      </w:r>
    </w:p>
  </w:footnote>
  <w:footnote w:id="376">
    <w:p w14:paraId="29303171" w14:textId="42CF7FE5" w:rsidR="006A6DED" w:rsidRPr="004A04C2" w:rsidRDefault="006A6DED" w:rsidP="006A6DE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A04C2">
        <w:rPr>
          <w:rFonts w:ascii="Times New Roman" w:hAnsi="Times New Roman" w:cs="Times New Roman"/>
        </w:rPr>
        <w:t>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4A04C2">
        <w:rPr>
          <w:rFonts w:ascii="Times New Roman" w:hAnsi="Times New Roman" w:cs="Times New Roman"/>
        </w:rPr>
        <w:t>; 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4A04C2">
        <w:rPr>
          <w:rFonts w:ascii="Times New Roman" w:hAnsi="Times New Roman" w:cs="Times New Roman"/>
        </w:rPr>
        <w:t xml:space="preserve">; </w:t>
      </w:r>
      <w:r w:rsidR="00A6205F">
        <w:rPr>
          <w:rFonts w:ascii="Times New Roman" w:hAnsi="Times New Roman" w:cs="Times New Roman"/>
        </w:rPr>
        <w:t>H</w:t>
      </w:r>
      <w:r w:rsidR="004A04C2">
        <w:rPr>
          <w:rFonts w:ascii="Times New Roman" w:hAnsi="Times New Roman" w:cs="Times New Roman"/>
        </w:rPr>
        <w:t xml:space="preserve">oogenboom, </w:t>
      </w:r>
      <w:r w:rsidR="004A04C2">
        <w:rPr>
          <w:rFonts w:ascii="Times New Roman" w:hAnsi="Times New Roman" w:cs="Times New Roman"/>
          <w:i/>
          <w:iCs/>
        </w:rPr>
        <w:t>Outlawing the Spoils</w:t>
      </w:r>
    </w:p>
  </w:footnote>
  <w:footnote w:id="377">
    <w:p w14:paraId="38E57825" w14:textId="477CD7D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Eicher</w:t>
      </w:r>
      <w:r w:rsidR="004A04C2">
        <w:rPr>
          <w:rFonts w:ascii="Times New Roman" w:hAnsi="Times New Roman" w:cs="Times New Roman"/>
        </w:rPr>
        <w:t xml:space="preserve">, </w:t>
      </w:r>
      <w:r w:rsidR="004A04C2">
        <w:rPr>
          <w:rFonts w:ascii="Times New Roman" w:hAnsi="Times New Roman" w:cs="Times New Roman"/>
          <w:i/>
          <w:iCs/>
        </w:rPr>
        <w:t>Longest Night</w:t>
      </w:r>
      <w:r w:rsidR="00A6205F">
        <w:rPr>
          <w:rFonts w:ascii="Times New Roman" w:hAnsi="Times New Roman" w:cs="Times New Roman"/>
          <w:i/>
          <w:iCs/>
        </w:rPr>
        <w:t>,</w:t>
      </w:r>
      <w:r w:rsidRPr="002318C9">
        <w:rPr>
          <w:rFonts w:ascii="Times New Roman" w:hAnsi="Times New Roman" w:cs="Times New Roman"/>
        </w:rPr>
        <w:t xml:space="preserve"> 435-6</w:t>
      </w:r>
    </w:p>
  </w:footnote>
  <w:footnote w:id="378">
    <w:p w14:paraId="563EF0D7"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79">
    <w:p w14:paraId="47AA5A4C"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80">
    <w:p w14:paraId="225D6761" w14:textId="6AC9A56B"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E560E">
        <w:rPr>
          <w:rFonts w:ascii="Times New Roman" w:hAnsi="Times New Roman" w:cs="Times New Roman"/>
          <w:i/>
          <w:iCs/>
        </w:rPr>
        <w:t xml:space="preserve">Gen. Horace Porter, U.S.A. </w:t>
      </w:r>
      <w:r w:rsidR="008E560E">
        <w:rPr>
          <w:rFonts w:ascii="Times New Roman" w:hAnsi="Times New Roman" w:cs="Times New Roman"/>
        </w:rPr>
        <w:t>[Between 1860 and 1875]. C</w:t>
      </w:r>
      <w:r w:rsidRPr="002318C9">
        <w:rPr>
          <w:rFonts w:ascii="Times New Roman" w:hAnsi="Times New Roman" w:cs="Times New Roman"/>
        </w:rPr>
        <w:t>ourtesy of the Library of Congress</w:t>
      </w:r>
      <w:r w:rsidR="008E560E">
        <w:rPr>
          <w:rFonts w:ascii="Times New Roman" w:hAnsi="Times New Roman" w:cs="Times New Roman"/>
        </w:rPr>
        <w:t>.</w:t>
      </w:r>
    </w:p>
  </w:footnote>
  <w:footnote w:id="381">
    <w:p w14:paraId="3F950102" w14:textId="77777777" w:rsidR="00A61739" w:rsidRPr="002318C9" w:rsidRDefault="00A61739" w:rsidP="00A61739">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82">
    <w:p w14:paraId="52548583" w14:textId="77777777" w:rsidR="00A61739" w:rsidRPr="00CB39F2" w:rsidRDefault="00A61739" w:rsidP="00A61739">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CB39F2">
        <w:rPr>
          <w:rFonts w:ascii="Times New Roman" w:hAnsi="Times New Roman" w:cs="Times New Roman"/>
        </w:rPr>
        <w:t xml:space="preserve">Porter, Gen. Horace with Wayne C. Temple, ed. </w:t>
      </w:r>
      <w:r w:rsidRPr="00CB39F2">
        <w:rPr>
          <w:rFonts w:ascii="Times New Roman" w:hAnsi="Times New Roman" w:cs="Times New Roman"/>
          <w:i/>
          <w:iCs/>
        </w:rPr>
        <w:t>Campaigning with Grant</w:t>
      </w:r>
      <w:r w:rsidRPr="00CB39F2">
        <w:rPr>
          <w:rFonts w:ascii="Times New Roman" w:hAnsi="Times New Roman" w:cs="Times New Roman"/>
        </w:rPr>
        <w:t xml:space="preserve">. New York: Bonanza Books, 1897; </w:t>
      </w:r>
      <w:r>
        <w:rPr>
          <w:rFonts w:ascii="Times New Roman" w:hAnsi="Times New Roman" w:cs="Times New Roman"/>
        </w:rPr>
        <w:t xml:space="preserve">“Horace Porter.” </w:t>
      </w:r>
      <w:r>
        <w:rPr>
          <w:rFonts w:ascii="Times New Roman" w:hAnsi="Times New Roman" w:cs="Times New Roman"/>
          <w:i/>
          <w:iCs/>
        </w:rPr>
        <w:t>New York Times</w:t>
      </w:r>
      <w:r>
        <w:rPr>
          <w:rFonts w:ascii="Times New Roman" w:hAnsi="Times New Roman" w:cs="Times New Roman"/>
        </w:rPr>
        <w:t xml:space="preserve">, May 30, 1921. </w:t>
      </w:r>
    </w:p>
  </w:footnote>
  <w:footnote w:id="383">
    <w:p w14:paraId="7453ADEE" w14:textId="418F896E" w:rsidR="006A6DED" w:rsidRPr="00CB39F2" w:rsidRDefault="006A6DED" w:rsidP="00CB39F2">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CB39F2">
        <w:rPr>
          <w:rFonts w:ascii="Times New Roman" w:hAnsi="Times New Roman" w:cs="Times New Roman"/>
        </w:rPr>
        <w:t xml:space="preserve"> Gen. Horace</w:t>
      </w:r>
      <w:r w:rsidR="00CB39F2">
        <w:rPr>
          <w:rFonts w:ascii="Times New Roman" w:hAnsi="Times New Roman" w:cs="Times New Roman"/>
        </w:rPr>
        <w:t xml:space="preserve"> Porter,</w:t>
      </w:r>
      <w:r w:rsidR="00CB39F2" w:rsidRPr="00CB39F2">
        <w:rPr>
          <w:rFonts w:ascii="Times New Roman" w:hAnsi="Times New Roman" w:cs="Times New Roman"/>
        </w:rPr>
        <w:t xml:space="preserve"> “Personal Traits of General Grant.” </w:t>
      </w:r>
      <w:r w:rsidR="00CB39F2" w:rsidRPr="00CB39F2">
        <w:rPr>
          <w:rFonts w:ascii="Times New Roman" w:hAnsi="Times New Roman" w:cs="Times New Roman"/>
          <w:i/>
          <w:iCs/>
        </w:rPr>
        <w:t>McClure’s Magazine</w:t>
      </w:r>
      <w:r w:rsidR="00CB39F2" w:rsidRPr="00CB39F2">
        <w:rPr>
          <w:rFonts w:ascii="Times New Roman" w:hAnsi="Times New Roman" w:cs="Times New Roman"/>
        </w:rPr>
        <w:t xml:space="preserve"> vol. II, no. 6 (May 1894).</w:t>
      </w:r>
    </w:p>
  </w:footnote>
  <w:footnote w:id="384">
    <w:p w14:paraId="49447E6B" w14:textId="12165253"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Pr="002318C9">
        <w:rPr>
          <w:rFonts w:ascii="Times New Roman" w:hAnsi="Times New Roman" w:cs="Times New Roman"/>
        </w:rPr>
        <w:t xml:space="preserve"> 507</w:t>
      </w:r>
    </w:p>
  </w:footnote>
  <w:footnote w:id="385">
    <w:p w14:paraId="63B2AB8E" w14:textId="7D60F27F"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Pr="002318C9">
        <w:rPr>
          <w:rFonts w:ascii="Times New Roman" w:hAnsi="Times New Roman" w:cs="Times New Roman"/>
        </w:rPr>
        <w:t xml:space="preserve"> 514</w:t>
      </w:r>
    </w:p>
  </w:footnote>
  <w:footnote w:id="386">
    <w:p w14:paraId="586C5AE0" w14:textId="0B43E2C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507</w:t>
      </w:r>
    </w:p>
  </w:footnote>
  <w:footnote w:id="387">
    <w:p w14:paraId="4FE7199E"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88">
    <w:p w14:paraId="6FCE9EDB"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89">
    <w:p w14:paraId="64B13D4E" w14:textId="465EE04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Pr="002318C9">
        <w:rPr>
          <w:rFonts w:ascii="Times New Roman" w:hAnsi="Times New Roman" w:cs="Times New Roman"/>
        </w:rPr>
        <w:t xml:space="preserve"> 507-8</w:t>
      </w:r>
    </w:p>
  </w:footnote>
  <w:footnote w:id="390">
    <w:p w14:paraId="7E89BC03" w14:textId="40CDE4C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508</w:t>
      </w:r>
    </w:p>
  </w:footnote>
  <w:footnote w:id="391">
    <w:p w14:paraId="04FEC7C3"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92">
    <w:p w14:paraId="3D42434E" w14:textId="2479DE3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Pr>
          <w:rFonts w:ascii="Times New Roman" w:hAnsi="Times New Roman" w:cs="Times New Roman"/>
        </w:rPr>
        <w:t>Ibid</w:t>
      </w:r>
    </w:p>
  </w:footnote>
  <w:footnote w:id="393">
    <w:p w14:paraId="321CDB68"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94">
    <w:p w14:paraId="1819F6FB"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95">
    <w:p w14:paraId="3724B8A0"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96">
    <w:p w14:paraId="16CBA9DE" w14:textId="35CF2F04"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510</w:t>
      </w:r>
    </w:p>
  </w:footnote>
  <w:footnote w:id="397">
    <w:p w14:paraId="1E407807"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398">
    <w:p w14:paraId="2A4957DF" w14:textId="2092E3F0" w:rsidR="006A6DED" w:rsidRPr="00CB39F2"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for more on this election, conside</w:t>
      </w:r>
      <w:r w:rsidR="00CB39F2">
        <w:rPr>
          <w:rFonts w:ascii="Times New Roman" w:hAnsi="Times New Roman" w:cs="Times New Roman"/>
        </w:rPr>
        <w:t xml:space="preserve">r: Dana Bush with David Fisher, </w:t>
      </w:r>
      <w:r w:rsidR="00CB39F2">
        <w:rPr>
          <w:rFonts w:ascii="Times New Roman" w:hAnsi="Times New Roman" w:cs="Times New Roman"/>
          <w:i/>
          <w:iCs/>
        </w:rPr>
        <w:t>America’s Deadliest Election: The Cautionary Tale of the Most Violent Election in American History</w:t>
      </w:r>
      <w:r w:rsidR="00CB39F2">
        <w:rPr>
          <w:rFonts w:ascii="Times New Roman" w:hAnsi="Times New Roman" w:cs="Times New Roman"/>
        </w:rPr>
        <w:t>. New York: Hanover Square Press, 2024.</w:t>
      </w:r>
    </w:p>
  </w:footnote>
  <w:footnote w:id="399">
    <w:p w14:paraId="5ABCC9BF" w14:textId="684B7C2D"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510-11</w:t>
      </w:r>
    </w:p>
  </w:footnote>
  <w:footnote w:id="400">
    <w:p w14:paraId="17948605" w14:textId="32E7AE6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511</w:t>
      </w:r>
    </w:p>
  </w:footnote>
  <w:footnote w:id="401">
    <w:p w14:paraId="37E63B4B" w14:textId="7D198585"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508</w:t>
      </w:r>
    </w:p>
  </w:footnote>
  <w:footnote w:id="402">
    <w:p w14:paraId="167D7F0B" w14:textId="572427B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511</w:t>
      </w:r>
    </w:p>
  </w:footnote>
  <w:footnote w:id="403">
    <w:p w14:paraId="677F97D2"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04">
    <w:p w14:paraId="24F0306D"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05">
    <w:p w14:paraId="2D7E96F9"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06">
    <w:p w14:paraId="6C728BF9" w14:textId="21138C3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511</w:t>
      </w:r>
    </w:p>
  </w:footnote>
  <w:footnote w:id="407">
    <w:p w14:paraId="0170AE2C" w14:textId="3A581D7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Pr>
          <w:rFonts w:ascii="Times New Roman" w:hAnsi="Times New Roman" w:cs="Times New Roman"/>
        </w:rPr>
        <w:t>Ibid</w:t>
      </w:r>
    </w:p>
  </w:footnote>
  <w:footnote w:id="408">
    <w:p w14:paraId="5AD671E0"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09">
    <w:p w14:paraId="6FDB7870" w14:textId="05F5F3F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512</w:t>
      </w:r>
    </w:p>
  </w:footnote>
  <w:footnote w:id="410">
    <w:p w14:paraId="51A852BA" w14:textId="479C2A9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512-3</w:t>
      </w:r>
    </w:p>
  </w:footnote>
  <w:footnote w:id="411">
    <w:p w14:paraId="417A9518" w14:textId="4D1B7624"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513</w:t>
      </w:r>
    </w:p>
  </w:footnote>
  <w:footnote w:id="412">
    <w:p w14:paraId="16B6864C" w14:textId="31902A4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513-4</w:t>
      </w:r>
    </w:p>
  </w:footnote>
  <w:footnote w:id="413">
    <w:p w14:paraId="734ADD82" w14:textId="02B1DE0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514</w:t>
      </w:r>
    </w:p>
  </w:footnote>
  <w:footnote w:id="414">
    <w:p w14:paraId="1A20C482" w14:textId="7C9F60EC"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B39F2" w:rsidRPr="002318C9">
        <w:rPr>
          <w:rFonts w:ascii="Times New Roman" w:hAnsi="Times New Roman" w:cs="Times New Roman"/>
        </w:rPr>
        <w:t>Porter</w:t>
      </w:r>
      <w:r w:rsidR="00CB39F2">
        <w:rPr>
          <w:rFonts w:ascii="Times New Roman" w:hAnsi="Times New Roman" w:cs="Times New Roman"/>
        </w:rPr>
        <w:t xml:space="preserve"> “Personal Traits</w:t>
      </w:r>
      <w:r w:rsidR="003C44AE">
        <w:rPr>
          <w:rFonts w:ascii="Times New Roman" w:hAnsi="Times New Roman" w:cs="Times New Roman"/>
        </w:rPr>
        <w:t>,</w:t>
      </w:r>
      <w:r w:rsidR="00CB39F2">
        <w:rPr>
          <w:rFonts w:ascii="Times New Roman" w:hAnsi="Times New Roman" w:cs="Times New Roman"/>
        </w:rPr>
        <w:t>”</w:t>
      </w:r>
      <w:r w:rsidR="00CB39F2" w:rsidRPr="002318C9">
        <w:rPr>
          <w:rFonts w:ascii="Times New Roman" w:hAnsi="Times New Roman" w:cs="Times New Roman"/>
        </w:rPr>
        <w:t xml:space="preserve"> </w:t>
      </w:r>
      <w:r w:rsidRPr="002318C9">
        <w:rPr>
          <w:rFonts w:ascii="Times New Roman" w:hAnsi="Times New Roman" w:cs="Times New Roman"/>
        </w:rPr>
        <w:t>514</w:t>
      </w:r>
    </w:p>
  </w:footnote>
  <w:footnote w:id="415">
    <w:p w14:paraId="761F6180" w14:textId="77777777"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16">
    <w:p w14:paraId="2CEC6722" w14:textId="1611FD84"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43703">
        <w:rPr>
          <w:rFonts w:ascii="Times New Roman" w:hAnsi="Times New Roman" w:cs="Times New Roman"/>
        </w:rPr>
        <w:t xml:space="preserve">Robert B. </w:t>
      </w:r>
      <w:r w:rsidR="00443703" w:rsidRPr="00C9366B">
        <w:rPr>
          <w:rFonts w:ascii="Times New Roman" w:hAnsi="Times New Roman" w:cs="Times New Roman"/>
        </w:rPr>
        <w:t xml:space="preserve">Mitchell, </w:t>
      </w:r>
      <w:r w:rsidR="00443703" w:rsidRPr="00C9366B">
        <w:rPr>
          <w:rFonts w:ascii="Times New Roman" w:hAnsi="Times New Roman" w:cs="Times New Roman"/>
          <w:i/>
          <w:iCs/>
        </w:rPr>
        <w:t>Congress and the King of Frauds: Corruption and the Credit Mobilier Scandal</w:t>
      </w:r>
      <w:r w:rsidR="00443703">
        <w:rPr>
          <w:rFonts w:ascii="Times New Roman" w:hAnsi="Times New Roman" w:cs="Times New Roman"/>
          <w:i/>
          <w:iCs/>
        </w:rPr>
        <w:t>.</w:t>
      </w:r>
      <w:r w:rsidR="00443703" w:rsidRPr="00C9366B">
        <w:rPr>
          <w:rFonts w:ascii="Times New Roman" w:hAnsi="Times New Roman" w:cs="Times New Roman"/>
        </w:rPr>
        <w:t xml:space="preserve"> </w:t>
      </w:r>
      <w:r w:rsidR="00443703">
        <w:rPr>
          <w:rFonts w:ascii="Times New Roman" w:hAnsi="Times New Roman" w:cs="Times New Roman"/>
        </w:rPr>
        <w:t xml:space="preserve">Roseville, MN: </w:t>
      </w:r>
      <w:r w:rsidR="00443703" w:rsidRPr="00C9366B">
        <w:rPr>
          <w:rFonts w:ascii="Times New Roman" w:hAnsi="Times New Roman" w:cs="Times New Roman"/>
        </w:rPr>
        <w:t>Edinborough Press, 2018</w:t>
      </w:r>
    </w:p>
  </w:footnote>
  <w:footnote w:id="417">
    <w:p w14:paraId="043D521B" w14:textId="638223B5"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43703" w:rsidRPr="00334415">
        <w:rPr>
          <w:rFonts w:ascii="Times New Roman" w:hAnsi="Times New Roman" w:cs="Times New Roman"/>
        </w:rPr>
        <w:t>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006A31D4">
        <w:rPr>
          <w:rFonts w:ascii="Times New Roman" w:hAnsi="Times New Roman" w:cs="Times New Roman"/>
        </w:rPr>
        <w:t xml:space="preserve"> </w:t>
      </w:r>
      <w:r w:rsidR="00443703" w:rsidRPr="00334415">
        <w:rPr>
          <w:rFonts w:ascii="Times New Roman" w:hAnsi="Times New Roman" w:cs="Times New Roman"/>
        </w:rPr>
        <w:t>782</w:t>
      </w:r>
      <w:r w:rsidR="00443703">
        <w:rPr>
          <w:rFonts w:ascii="Times New Roman" w:hAnsi="Times New Roman" w:cs="Times New Roman"/>
        </w:rPr>
        <w:t>; McFeely</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00443703">
        <w:rPr>
          <w:rFonts w:ascii="Times New Roman" w:hAnsi="Times New Roman" w:cs="Times New Roman"/>
        </w:rPr>
        <w:t xml:space="preserve"> 129-147, 432; Jean Edward Smith</w:t>
      </w:r>
      <w:r w:rsidR="00552BFB">
        <w:rPr>
          <w:rFonts w:ascii="Times New Roman" w:hAnsi="Times New Roman" w:cs="Times New Roman"/>
        </w:rPr>
        <w:t xml:space="preserve">, </w:t>
      </w:r>
      <w:r w:rsidR="00552BFB">
        <w:rPr>
          <w:rFonts w:ascii="Times New Roman" w:hAnsi="Times New Roman" w:cs="Times New Roman"/>
          <w:i/>
          <w:iCs/>
        </w:rPr>
        <w:t>Grant</w:t>
      </w:r>
      <w:r w:rsidR="006A31D4">
        <w:rPr>
          <w:rFonts w:ascii="Times New Roman" w:hAnsi="Times New Roman" w:cs="Times New Roman"/>
        </w:rPr>
        <w:t>,</w:t>
      </w:r>
      <w:r w:rsidR="00443703">
        <w:rPr>
          <w:rFonts w:ascii="Times New Roman" w:hAnsi="Times New Roman" w:cs="Times New Roman"/>
        </w:rPr>
        <w:t xml:space="preserve"> </w:t>
      </w:r>
      <w:r w:rsidR="00443703" w:rsidRPr="00C9366B">
        <w:rPr>
          <w:rFonts w:ascii="Times New Roman" w:hAnsi="Times New Roman" w:cs="Times New Roman"/>
        </w:rPr>
        <w:t>578; Leonard Alexander</w:t>
      </w:r>
      <w:r w:rsidR="00443703">
        <w:rPr>
          <w:rFonts w:ascii="Times New Roman" w:hAnsi="Times New Roman" w:cs="Times New Roman"/>
        </w:rPr>
        <w:t xml:space="preserve"> Swann,</w:t>
      </w:r>
      <w:r w:rsidR="00443703" w:rsidRPr="00C9366B">
        <w:rPr>
          <w:rFonts w:ascii="Times New Roman" w:hAnsi="Times New Roman" w:cs="Times New Roman"/>
        </w:rPr>
        <w:t xml:space="preserve"> </w:t>
      </w:r>
      <w:r w:rsidR="00443703" w:rsidRPr="004E2F88">
        <w:rPr>
          <w:rFonts w:ascii="Times New Roman" w:hAnsi="Times New Roman" w:cs="Times New Roman"/>
          <w:i/>
          <w:iCs/>
        </w:rPr>
        <w:t>John Roach, Maritime Entrepreneur: The Years as Naval Contractor, 1862-1886</w:t>
      </w:r>
      <w:r w:rsidR="00443703" w:rsidRPr="00C9366B">
        <w:rPr>
          <w:rFonts w:ascii="Times New Roman" w:hAnsi="Times New Roman" w:cs="Times New Roman"/>
        </w:rPr>
        <w:t>. A</w:t>
      </w:r>
      <w:r w:rsidR="00443703">
        <w:rPr>
          <w:rFonts w:ascii="Times New Roman" w:hAnsi="Times New Roman" w:cs="Times New Roman"/>
        </w:rPr>
        <w:t>nnapolis, MD: United States Naval Institute, 1965.</w:t>
      </w:r>
      <w:r w:rsidR="00443703" w:rsidRPr="00C9366B">
        <w:rPr>
          <w:rFonts w:ascii="Times New Roman" w:hAnsi="Times New Roman" w:cs="Times New Roman"/>
        </w:rPr>
        <w:t xml:space="preserve"> 125-135</w:t>
      </w:r>
      <w:r w:rsidR="008912E6">
        <w:rPr>
          <w:rFonts w:ascii="Times New Roman" w:hAnsi="Times New Roman" w:cs="Times New Roman"/>
        </w:rPr>
        <w:t>.</w:t>
      </w:r>
    </w:p>
  </w:footnote>
  <w:footnote w:id="418">
    <w:p w14:paraId="3F83859D" w14:textId="50A1EC31"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McFeely</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Pr="002318C9">
        <w:rPr>
          <w:rFonts w:ascii="Times New Roman" w:hAnsi="Times New Roman" w:cs="Times New Roman"/>
        </w:rPr>
        <w:t xml:space="preserve"> 391; J</w:t>
      </w:r>
      <w:r w:rsidR="008912E6">
        <w:rPr>
          <w:rFonts w:ascii="Times New Roman" w:hAnsi="Times New Roman" w:cs="Times New Roman"/>
        </w:rPr>
        <w:t xml:space="preserve">ean </w:t>
      </w:r>
      <w:r w:rsidRPr="002318C9">
        <w:rPr>
          <w:rFonts w:ascii="Times New Roman" w:hAnsi="Times New Roman" w:cs="Times New Roman"/>
        </w:rPr>
        <w:t>E</w:t>
      </w:r>
      <w:r w:rsidR="008912E6">
        <w:rPr>
          <w:rFonts w:ascii="Times New Roman" w:hAnsi="Times New Roman" w:cs="Times New Roman"/>
        </w:rPr>
        <w:t>dward</w:t>
      </w:r>
      <w:r w:rsidRPr="002318C9">
        <w:rPr>
          <w:rFonts w:ascii="Times New Roman" w:hAnsi="Times New Roman" w:cs="Times New Roman"/>
        </w:rPr>
        <w:t xml:space="preserve"> Smith</w:t>
      </w:r>
      <w:r w:rsidR="00552BFB">
        <w:rPr>
          <w:rFonts w:ascii="Times New Roman" w:hAnsi="Times New Roman" w:cs="Times New Roman"/>
        </w:rPr>
        <w:t xml:space="preserve">, </w:t>
      </w:r>
      <w:r w:rsidR="00552BFB">
        <w:rPr>
          <w:rFonts w:ascii="Times New Roman" w:hAnsi="Times New Roman" w:cs="Times New Roman"/>
          <w:i/>
          <w:iCs/>
        </w:rPr>
        <w:t>Grant,</w:t>
      </w:r>
      <w:r w:rsidRPr="002318C9">
        <w:rPr>
          <w:rFonts w:ascii="Times New Roman" w:hAnsi="Times New Roman" w:cs="Times New Roman"/>
        </w:rPr>
        <w:t xml:space="preserve"> 584</w:t>
      </w:r>
    </w:p>
  </w:footnote>
  <w:footnote w:id="419">
    <w:p w14:paraId="33A9AD88" w14:textId="6D112867" w:rsidR="006A6DED" w:rsidRPr="003D14D4" w:rsidRDefault="006A6DED" w:rsidP="003D14D4">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D14D4">
        <w:rPr>
          <w:rFonts w:ascii="Times New Roman" w:hAnsi="Times New Roman" w:cs="Times New Roman"/>
        </w:rPr>
        <w:t xml:space="preserve">Shawn Francis </w:t>
      </w:r>
      <w:r w:rsidR="003D14D4" w:rsidRPr="003D14D4">
        <w:rPr>
          <w:rFonts w:ascii="Times New Roman" w:hAnsi="Times New Roman" w:cs="Times New Roman"/>
        </w:rPr>
        <w:t xml:space="preserve">Peters, </w:t>
      </w:r>
      <w:r w:rsidR="003D14D4" w:rsidRPr="003D14D4">
        <w:rPr>
          <w:rFonts w:ascii="Times New Roman" w:hAnsi="Times New Roman" w:cs="Times New Roman"/>
          <w:i/>
          <w:iCs/>
        </w:rPr>
        <w:t>When Bad Men Combine: The Star Route Scandal and the Twilight of Gilded Age Politics</w:t>
      </w:r>
      <w:r w:rsidR="003D14D4" w:rsidRPr="003D14D4">
        <w:rPr>
          <w:rFonts w:ascii="Times New Roman" w:hAnsi="Times New Roman" w:cs="Times New Roman"/>
        </w:rPr>
        <w:t>. Baton Rouge: Louisiana State University Press, 2023.</w:t>
      </w:r>
    </w:p>
  </w:footnote>
  <w:footnote w:id="420">
    <w:p w14:paraId="0F72F78D" w14:textId="14676D72" w:rsidR="006A6DED" w:rsidRPr="003F6AC0"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4153">
        <w:rPr>
          <w:rFonts w:ascii="Times New Roman" w:hAnsi="Times New Roman" w:cs="Times New Roman"/>
        </w:rPr>
        <w:t>Ronald White</w:t>
      </w:r>
      <w:r w:rsidR="009A68A0">
        <w:rPr>
          <w:rFonts w:ascii="Times New Roman" w:hAnsi="Times New Roman" w:cs="Times New Roman"/>
        </w:rPr>
        <w:t xml:space="preserve">, </w:t>
      </w:r>
      <w:r w:rsidR="009A68A0" w:rsidRPr="002318C9">
        <w:rPr>
          <w:rFonts w:ascii="Times New Roman" w:hAnsi="Times New Roman" w:cs="Times New Roman"/>
          <w:i/>
          <w:iCs/>
        </w:rPr>
        <w:t>American Ulysses</w:t>
      </w:r>
      <w:r w:rsidR="009A68A0">
        <w:rPr>
          <w:rFonts w:ascii="Times New Roman" w:hAnsi="Times New Roman" w:cs="Times New Roman"/>
          <w:i/>
          <w:iCs/>
        </w:rPr>
        <w:t>,</w:t>
      </w:r>
      <w:r w:rsidR="00524153">
        <w:rPr>
          <w:rFonts w:ascii="Times New Roman" w:hAnsi="Times New Roman" w:cs="Times New Roman"/>
        </w:rPr>
        <w:t xml:space="preserve"> 627-629; McFeely</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00524153">
        <w:rPr>
          <w:rFonts w:ascii="Times New Roman" w:hAnsi="Times New Roman" w:cs="Times New Roman"/>
        </w:rPr>
        <w:t xml:space="preserve"> 486-611; </w:t>
      </w:r>
      <w:r w:rsidR="003F6AC0">
        <w:rPr>
          <w:rFonts w:ascii="Times New Roman" w:hAnsi="Times New Roman" w:cs="Times New Roman"/>
        </w:rPr>
        <w:t xml:space="preserve">Geoffrey Ward, </w:t>
      </w:r>
      <w:r w:rsidR="003F6AC0">
        <w:rPr>
          <w:rFonts w:ascii="Times New Roman" w:hAnsi="Times New Roman" w:cs="Times New Roman"/>
          <w:i/>
          <w:iCs/>
        </w:rPr>
        <w:t>A Disposition to Be Rich: How a Small-Town Pastor’s Son Ruined an American President, Brought on a Wall Street Crash, and Made Himself the Best-Hated Man in the United States</w:t>
      </w:r>
      <w:r w:rsidR="003F6AC0">
        <w:rPr>
          <w:rFonts w:ascii="Times New Roman" w:hAnsi="Times New Roman" w:cs="Times New Roman"/>
        </w:rPr>
        <w:t>. New York: Knopf, 2012.</w:t>
      </w:r>
    </w:p>
  </w:footnote>
  <w:footnote w:id="421">
    <w:p w14:paraId="488F9817" w14:textId="75E21D9A" w:rsidR="006A6DED" w:rsidRPr="0016022E"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6022E">
        <w:rPr>
          <w:rFonts w:ascii="Times New Roman" w:hAnsi="Times New Roman" w:cs="Times New Roman"/>
        </w:rPr>
        <w:t xml:space="preserve">Lloyd Lewis, </w:t>
      </w:r>
      <w:r w:rsidR="0016022E">
        <w:rPr>
          <w:rFonts w:ascii="Times New Roman" w:hAnsi="Times New Roman" w:cs="Times New Roman"/>
          <w:i/>
          <w:iCs/>
        </w:rPr>
        <w:t>Sherman: Fighting Prophet</w:t>
      </w:r>
      <w:r w:rsidR="0016022E">
        <w:rPr>
          <w:rFonts w:ascii="Times New Roman" w:hAnsi="Times New Roman" w:cs="Times New Roman"/>
        </w:rPr>
        <w:t xml:space="preserve">. Lincoln: University of Nebraska Press, 1993 (originally 1932); John F. Marszalek, </w:t>
      </w:r>
      <w:r w:rsidR="0016022E">
        <w:rPr>
          <w:rFonts w:ascii="Times New Roman" w:hAnsi="Times New Roman" w:cs="Times New Roman"/>
          <w:i/>
          <w:iCs/>
        </w:rPr>
        <w:t>Sherman: A Soldier’s Passion for Order</w:t>
      </w:r>
      <w:r w:rsidR="0016022E">
        <w:rPr>
          <w:rFonts w:ascii="Times New Roman" w:hAnsi="Times New Roman" w:cs="Times New Roman"/>
        </w:rPr>
        <w:t>. Carbondale: Southern Illinois University Press, 2007 (originally 1992)</w:t>
      </w:r>
    </w:p>
  </w:footnote>
  <w:footnote w:id="422">
    <w:p w14:paraId="47CA8937" w14:textId="6F22A3D4"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6022E">
        <w:rPr>
          <w:rFonts w:ascii="Times New Roman" w:hAnsi="Times New Roman" w:cs="Times New Roman"/>
        </w:rPr>
        <w:t>Hill;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16022E">
        <w:rPr>
          <w:rFonts w:ascii="Times New Roman" w:hAnsi="Times New Roman" w:cs="Times New Roman"/>
        </w:rPr>
        <w:t>;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p>
  </w:footnote>
  <w:footnote w:id="423">
    <w:p w14:paraId="3FFEDB2C" w14:textId="0956284A" w:rsidR="006A6DED" w:rsidRPr="0016022E" w:rsidRDefault="006A6DED" w:rsidP="0016022E">
      <w:pPr>
        <w:pStyle w:val="FootnoteText"/>
        <w:rPr>
          <w:rFonts w:ascii="Times New Roman" w:hAnsi="Times New Roman" w:cs="Times New Roman"/>
        </w:rPr>
      </w:pPr>
      <w:r w:rsidRPr="002318C9">
        <w:rPr>
          <w:rStyle w:val="FootnoteReference"/>
          <w:rFonts w:ascii="Times New Roman" w:hAnsi="Times New Roman" w:cs="Times New Roman"/>
        </w:rPr>
        <w:footnoteRef/>
      </w:r>
      <w:r w:rsidR="0016022E">
        <w:rPr>
          <w:rFonts w:ascii="Times New Roman" w:hAnsi="Times New Roman" w:cs="Times New Roman"/>
        </w:rPr>
        <w:t xml:space="preserve"> </w:t>
      </w:r>
      <w:r w:rsidR="00C605BB">
        <w:rPr>
          <w:rFonts w:ascii="Times New Roman" w:hAnsi="Times New Roman" w:cs="Times New Roman"/>
        </w:rPr>
        <w:t xml:space="preserve">Allan </w:t>
      </w:r>
      <w:r w:rsidR="0016022E" w:rsidRPr="0016022E">
        <w:rPr>
          <w:rFonts w:ascii="Times New Roman" w:hAnsi="Times New Roman" w:cs="Times New Roman"/>
        </w:rPr>
        <w:t xml:space="preserve">Nevins, </w:t>
      </w:r>
      <w:r w:rsidR="0016022E" w:rsidRPr="0016022E">
        <w:rPr>
          <w:rFonts w:ascii="Times New Roman" w:hAnsi="Times New Roman" w:cs="Times New Roman"/>
          <w:i/>
          <w:iCs/>
        </w:rPr>
        <w:t>Hamilton Fish: The Inner History of the Grant Administration</w:t>
      </w:r>
      <w:r w:rsidR="0016022E" w:rsidRPr="0016022E">
        <w:rPr>
          <w:rFonts w:ascii="Times New Roman" w:hAnsi="Times New Roman" w:cs="Times New Roman"/>
        </w:rPr>
        <w:t>. 2 vols. New York, NY: Dodd, Mead, 1935;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Pr="0016022E">
        <w:rPr>
          <w:rFonts w:ascii="Times New Roman" w:hAnsi="Times New Roman" w:cs="Times New Roman"/>
        </w:rPr>
        <w:t xml:space="preserve">; </w:t>
      </w:r>
      <w:r w:rsidR="0016022E">
        <w:rPr>
          <w:rFonts w:ascii="Times New Roman" w:hAnsi="Times New Roman" w:cs="Times New Roman"/>
        </w:rPr>
        <w:t>“The Ten Best Secretaries of State…”</w:t>
      </w:r>
      <w:r w:rsidRPr="0016022E">
        <w:rPr>
          <w:rFonts w:ascii="Times New Roman" w:hAnsi="Times New Roman" w:cs="Times New Roman"/>
          <w:i/>
          <w:iCs/>
        </w:rPr>
        <w:t xml:space="preserve"> American Heritage.</w:t>
      </w:r>
      <w:r w:rsidRPr="003C44AE">
        <w:rPr>
          <w:rFonts w:ascii="Times New Roman" w:hAnsi="Times New Roman" w:cs="Times New Roman"/>
          <w:i/>
          <w:iCs/>
        </w:rPr>
        <w:t xml:space="preserve"> </w:t>
      </w:r>
      <w:r w:rsidRPr="003C44AE">
        <w:rPr>
          <w:rFonts w:ascii="Times New Roman" w:hAnsi="Times New Roman" w:cs="Times New Roman"/>
        </w:rPr>
        <w:t>33</w:t>
      </w:r>
      <w:r w:rsidRPr="0016022E">
        <w:rPr>
          <w:rFonts w:ascii="Times New Roman" w:hAnsi="Times New Roman" w:cs="Times New Roman"/>
        </w:rPr>
        <w:t xml:space="preserve">(1). December 1981. </w:t>
      </w:r>
    </w:p>
  </w:footnote>
  <w:footnote w:id="424">
    <w:p w14:paraId="2F2AF8CF" w14:textId="740A716D" w:rsidR="006A6DED" w:rsidRPr="00552BFB" w:rsidRDefault="006A6DED" w:rsidP="006A6DE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605BB">
        <w:rPr>
          <w:rFonts w:ascii="Times New Roman" w:hAnsi="Times New Roman" w:cs="Times New Roman"/>
        </w:rPr>
        <w:t>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C605BB">
        <w:rPr>
          <w:rFonts w:ascii="Times New Roman" w:hAnsi="Times New Roman" w:cs="Times New Roman"/>
        </w:rPr>
        <w:t>; Van Riper</w:t>
      </w:r>
      <w:r w:rsidR="0031523D">
        <w:rPr>
          <w:rFonts w:ascii="Times New Roman" w:hAnsi="Times New Roman" w:cs="Times New Roman"/>
        </w:rPr>
        <w:t xml:space="preserve">, </w:t>
      </w:r>
      <w:r w:rsidR="0031523D" w:rsidRPr="0031523D">
        <w:rPr>
          <w:rFonts w:ascii="Times New Roman" w:hAnsi="Times New Roman" w:cs="Times New Roman"/>
          <w:i/>
          <w:iCs/>
        </w:rPr>
        <w:t>History of the United States Civil Service</w:t>
      </w:r>
      <w:r w:rsidR="00C605BB">
        <w:rPr>
          <w:rFonts w:ascii="Times New Roman" w:hAnsi="Times New Roman" w:cs="Times New Roman"/>
        </w:rPr>
        <w:t>; USCSC</w:t>
      </w:r>
      <w:r w:rsidR="007E1190">
        <w:rPr>
          <w:rFonts w:ascii="Times New Roman" w:hAnsi="Times New Roman" w:cs="Times New Roman"/>
        </w:rPr>
        <w:t xml:space="preserve">, </w:t>
      </w:r>
      <w:r w:rsidR="007E1190" w:rsidRPr="00680EF0">
        <w:rPr>
          <w:rFonts w:ascii="Times New Roman" w:hAnsi="Times New Roman" w:cs="Times New Roman"/>
          <w:i/>
          <w:iCs/>
        </w:rPr>
        <w:t>History of the Federal Civil Service</w:t>
      </w:r>
      <w:r w:rsidR="00C605BB">
        <w:rPr>
          <w:rFonts w:ascii="Times New Roman" w:hAnsi="Times New Roman" w:cs="Times New Roman"/>
        </w:rPr>
        <w:t>;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C605BB">
        <w:rPr>
          <w:rFonts w:ascii="Times New Roman" w:hAnsi="Times New Roman" w:cs="Times New Roman"/>
        </w:rPr>
        <w:t>; Jean Edward Smith</w:t>
      </w:r>
      <w:r w:rsidR="00552BFB">
        <w:rPr>
          <w:rFonts w:ascii="Times New Roman" w:hAnsi="Times New Roman" w:cs="Times New Roman"/>
        </w:rPr>
        <w:t xml:space="preserve">, </w:t>
      </w:r>
      <w:r w:rsidR="00552BFB">
        <w:rPr>
          <w:rFonts w:ascii="Times New Roman" w:hAnsi="Times New Roman" w:cs="Times New Roman"/>
          <w:i/>
          <w:iCs/>
        </w:rPr>
        <w:t>Grant</w:t>
      </w:r>
    </w:p>
  </w:footnote>
  <w:footnote w:id="425">
    <w:p w14:paraId="1E97DE2A" w14:textId="37506381" w:rsidR="006A6DED" w:rsidRPr="00C605BB" w:rsidRDefault="006A6DED" w:rsidP="00C605B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605BB">
        <w:rPr>
          <w:rFonts w:ascii="Times New Roman" w:hAnsi="Times New Roman" w:cs="Times New Roman"/>
        </w:rPr>
        <w:t xml:space="preserve">Mark </w:t>
      </w:r>
      <w:r w:rsidR="00C605BB" w:rsidRPr="00C605BB">
        <w:rPr>
          <w:rFonts w:ascii="Times New Roman" w:hAnsi="Times New Roman" w:cs="Times New Roman"/>
        </w:rPr>
        <w:t xml:space="preserve">Perry, </w:t>
      </w:r>
      <w:r w:rsidR="00C605BB" w:rsidRPr="00C605BB">
        <w:rPr>
          <w:rFonts w:ascii="Times New Roman" w:hAnsi="Times New Roman" w:cs="Times New Roman"/>
          <w:i/>
          <w:iCs/>
        </w:rPr>
        <w:t>Grant and Twain: The Story of an American Friendship</w:t>
      </w:r>
      <w:r w:rsidR="00C605BB" w:rsidRPr="00C605BB">
        <w:rPr>
          <w:rFonts w:ascii="Times New Roman" w:hAnsi="Times New Roman" w:cs="Times New Roman"/>
        </w:rPr>
        <w:t>. New York; Random House, 2005</w:t>
      </w:r>
      <w:r w:rsidR="00C605BB">
        <w:rPr>
          <w:rFonts w:ascii="Times New Roman" w:hAnsi="Times New Roman" w:cs="Times New Roman"/>
        </w:rPr>
        <w:t>.</w:t>
      </w:r>
    </w:p>
  </w:footnote>
  <w:footnote w:id="426">
    <w:p w14:paraId="4332B73E" w14:textId="0FB5FD3D" w:rsidR="006A6DED" w:rsidRPr="000163FC" w:rsidRDefault="006A6DED" w:rsidP="000163FC">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163FC" w:rsidRPr="000163FC">
        <w:rPr>
          <w:rFonts w:ascii="Times New Roman" w:hAnsi="Times New Roman" w:cs="Times New Roman"/>
        </w:rPr>
        <w:t xml:space="preserve">Grant, Ulysses S. and John F. Marszalek, ed. with David S. Nolan and Louie P. Gallo. </w:t>
      </w:r>
      <w:r w:rsidR="000163FC" w:rsidRPr="000163FC">
        <w:rPr>
          <w:rFonts w:ascii="Times New Roman" w:hAnsi="Times New Roman" w:cs="Times New Roman"/>
          <w:i/>
          <w:iCs/>
        </w:rPr>
        <w:t>The Personal Memoirs of Ulysses S. Grant</w:t>
      </w:r>
      <w:r w:rsidR="000163FC" w:rsidRPr="000163FC">
        <w:rPr>
          <w:rFonts w:ascii="Times New Roman" w:hAnsi="Times New Roman" w:cs="Times New Roman"/>
        </w:rPr>
        <w:t>. The Complete Annotated Edition. Cambridge, MA: Belknap Press, 2017</w:t>
      </w:r>
      <w:r w:rsidR="000163FC">
        <w:rPr>
          <w:rFonts w:ascii="Times New Roman" w:hAnsi="Times New Roman" w:cs="Times New Roman"/>
        </w:rPr>
        <w:t xml:space="preserve">. </w:t>
      </w:r>
      <w:r w:rsidRPr="000163FC">
        <w:rPr>
          <w:rFonts w:ascii="Times New Roman" w:hAnsi="Times New Roman" w:cs="Times New Roman"/>
        </w:rPr>
        <w:t>167-8</w:t>
      </w:r>
      <w:r w:rsidR="000163FC">
        <w:rPr>
          <w:rFonts w:ascii="Times New Roman" w:hAnsi="Times New Roman" w:cs="Times New Roman"/>
        </w:rPr>
        <w:t>.</w:t>
      </w:r>
    </w:p>
  </w:footnote>
  <w:footnote w:id="427">
    <w:p w14:paraId="0BAC9207" w14:textId="2C5DCA82"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A4BEA">
        <w:rPr>
          <w:rFonts w:ascii="Times New Roman" w:hAnsi="Times New Roman" w:cs="Times New Roman"/>
        </w:rPr>
        <w:t xml:space="preserve">Simon, </w:t>
      </w:r>
      <w:r w:rsidR="008A4BEA">
        <w:rPr>
          <w:rFonts w:ascii="Times New Roman" w:hAnsi="Times New Roman" w:cs="Times New Roman"/>
          <w:i/>
          <w:iCs/>
        </w:rPr>
        <w:t>Papers of Ulysses S. Grant,</w:t>
      </w:r>
      <w:r w:rsidR="008A4BEA">
        <w:rPr>
          <w:rFonts w:ascii="Times New Roman" w:hAnsi="Times New Roman" w:cs="Times New Roman"/>
        </w:rPr>
        <w:t xml:space="preserve"> 146.</w:t>
      </w:r>
    </w:p>
  </w:footnote>
  <w:footnote w:id="428">
    <w:p w14:paraId="766ADB79" w14:textId="0BFE5FA6" w:rsidR="006A6DED" w:rsidRPr="002318C9" w:rsidRDefault="006A6DED" w:rsidP="006A6DE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83262">
        <w:rPr>
          <w:rFonts w:ascii="Times New Roman" w:hAnsi="Times New Roman" w:cs="Times New Roman"/>
        </w:rPr>
        <w:t xml:space="preserve">For examples of these claims of corruption, consider: </w:t>
      </w:r>
      <w:r w:rsidR="00183262" w:rsidRPr="002318C9">
        <w:rPr>
          <w:rFonts w:ascii="Times New Roman" w:hAnsi="Times New Roman" w:cs="Times New Roman"/>
        </w:rPr>
        <w:t xml:space="preserve">William Archibald Dunning. </w:t>
      </w:r>
      <w:r w:rsidR="00183262" w:rsidRPr="002318C9">
        <w:rPr>
          <w:rFonts w:ascii="Times New Roman" w:hAnsi="Times New Roman" w:cs="Times New Roman"/>
          <w:i/>
          <w:iCs/>
        </w:rPr>
        <w:t xml:space="preserve">Reconstruction: Political &amp; Economic, 1865–1877. </w:t>
      </w:r>
      <w:r w:rsidR="00183262" w:rsidRPr="002318C9">
        <w:rPr>
          <w:rFonts w:ascii="Times New Roman" w:hAnsi="Times New Roman" w:cs="Times New Roman"/>
        </w:rPr>
        <w:t xml:space="preserve">New York: Harper and Brothers, 1907.Claude G. Bowers. </w:t>
      </w:r>
      <w:r w:rsidR="00183262" w:rsidRPr="002318C9">
        <w:rPr>
          <w:rFonts w:ascii="Times New Roman" w:hAnsi="Times New Roman" w:cs="Times New Roman"/>
          <w:i/>
          <w:iCs/>
        </w:rPr>
        <w:t>The Tragic Era: The Revolution after Lincoln</w:t>
      </w:r>
      <w:r w:rsidR="00183262" w:rsidRPr="002318C9">
        <w:rPr>
          <w:rFonts w:ascii="Times New Roman" w:hAnsi="Times New Roman" w:cs="Times New Roman"/>
        </w:rPr>
        <w:t xml:space="preserve">. Cambridge, MA: Riverside Press, 1929; C. Mildred Thompson. </w:t>
      </w:r>
      <w:r w:rsidR="00183262" w:rsidRPr="002318C9">
        <w:rPr>
          <w:rFonts w:ascii="Times New Roman" w:hAnsi="Times New Roman" w:cs="Times New Roman"/>
          <w:i/>
          <w:iCs/>
        </w:rPr>
        <w:t>Reconstruction in Georgia, Economic, Social, Political, 1865-1872</w:t>
      </w:r>
      <w:r w:rsidR="00183262" w:rsidRPr="002318C9">
        <w:rPr>
          <w:rFonts w:ascii="Times New Roman" w:hAnsi="Times New Roman" w:cs="Times New Roman"/>
        </w:rPr>
        <w:t>. New York: Longmans, Green, and Company, 1915.</w:t>
      </w:r>
    </w:p>
  </w:footnote>
  <w:footnote w:id="429">
    <w:p w14:paraId="6993EF3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This was a personal sense of indebtedness, not a real or societal pressure upon Grant to offer anything to Washburne. Further, Washburne became a friend and confidante to Grant as he embarked on his political career, so this “reward” fell squarely within the existing parameters of the era’s patronage appointments. </w:t>
      </w:r>
    </w:p>
  </w:footnote>
  <w:footnote w:id="430">
    <w:p w14:paraId="6B4D342C" w14:textId="015C0334"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47CC">
        <w:rPr>
          <w:rFonts w:ascii="Times New Roman" w:hAnsi="Times New Roman" w:cs="Times New Roman"/>
        </w:rPr>
        <w:t xml:space="preserve">Jean Edward </w:t>
      </w:r>
      <w:r w:rsidRPr="002318C9">
        <w:rPr>
          <w:rFonts w:ascii="Times New Roman" w:hAnsi="Times New Roman" w:cs="Times New Roman"/>
        </w:rPr>
        <w:t xml:space="preserve">Smith, </w:t>
      </w:r>
      <w:r w:rsidRPr="002318C9">
        <w:rPr>
          <w:rFonts w:ascii="Times New Roman" w:hAnsi="Times New Roman" w:cs="Times New Roman"/>
          <w:i/>
          <w:iCs/>
        </w:rPr>
        <w:t>Grant</w:t>
      </w:r>
      <w:r w:rsidRPr="002318C9">
        <w:rPr>
          <w:rFonts w:ascii="Times New Roman" w:hAnsi="Times New Roman" w:cs="Times New Roman"/>
        </w:rPr>
        <w:t xml:space="preserve">. New York, NY: Simon &amp; Schuster, 2001; </w:t>
      </w:r>
      <w:r w:rsidR="00FF47CC">
        <w:rPr>
          <w:rFonts w:ascii="Times New Roman" w:hAnsi="Times New Roman" w:cs="Times New Roman"/>
        </w:rPr>
        <w:t xml:space="preserve">Ronald C. </w:t>
      </w:r>
      <w:r w:rsidRPr="002318C9">
        <w:rPr>
          <w:rFonts w:ascii="Times New Roman" w:hAnsi="Times New Roman" w:cs="Times New Roman"/>
        </w:rPr>
        <w:t xml:space="preserve">White, </w:t>
      </w:r>
      <w:r w:rsidRPr="002318C9">
        <w:rPr>
          <w:rFonts w:ascii="Times New Roman" w:hAnsi="Times New Roman" w:cs="Times New Roman"/>
          <w:i/>
          <w:iCs/>
        </w:rPr>
        <w:t>American Ulysses: A Life of Ulysses S. Grant</w:t>
      </w:r>
      <w:r w:rsidRPr="002318C9">
        <w:rPr>
          <w:rFonts w:ascii="Times New Roman" w:hAnsi="Times New Roman" w:cs="Times New Roman"/>
        </w:rPr>
        <w:t>. New York, NY: Random House, 2016.</w:t>
      </w:r>
    </w:p>
  </w:footnote>
  <w:footnote w:id="431">
    <w:p w14:paraId="0BD76D5B" w14:textId="42292520"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47CC">
        <w:rPr>
          <w:rFonts w:ascii="Times New Roman" w:hAnsi="Times New Roman" w:cs="Times New Roman"/>
        </w:rPr>
        <w:t xml:space="preserve">John H. </w:t>
      </w:r>
      <w:r w:rsidRPr="002318C9">
        <w:rPr>
          <w:rFonts w:ascii="Times New Roman" w:hAnsi="Times New Roman" w:cs="Times New Roman"/>
        </w:rPr>
        <w:t xml:space="preserve">Eicher, and David Eicher. </w:t>
      </w:r>
      <w:r w:rsidRPr="002318C9">
        <w:rPr>
          <w:rFonts w:ascii="Times New Roman" w:hAnsi="Times New Roman" w:cs="Times New Roman"/>
          <w:i/>
          <w:iCs/>
        </w:rPr>
        <w:t>Civil War High Commands</w:t>
      </w:r>
      <w:r w:rsidRPr="002318C9">
        <w:rPr>
          <w:rFonts w:ascii="Times New Roman" w:hAnsi="Times New Roman" w:cs="Times New Roman"/>
        </w:rPr>
        <w:t xml:space="preserve">. Stanford: Stanford University Press, 2001; </w:t>
      </w:r>
      <w:r w:rsidR="00FF47CC">
        <w:rPr>
          <w:rFonts w:ascii="Times New Roman" w:hAnsi="Times New Roman" w:cs="Times New Roman"/>
        </w:rPr>
        <w:t xml:space="preserve">John Russell </w:t>
      </w:r>
      <w:r w:rsidRPr="002318C9">
        <w:rPr>
          <w:rFonts w:ascii="Times New Roman" w:hAnsi="Times New Roman" w:cs="Times New Roman"/>
        </w:rPr>
        <w:t xml:space="preserve">Young, </w:t>
      </w:r>
      <w:r w:rsidRPr="002318C9">
        <w:rPr>
          <w:rFonts w:ascii="Times New Roman" w:hAnsi="Times New Roman" w:cs="Times New Roman"/>
          <w:i/>
          <w:iCs/>
        </w:rPr>
        <w:t>Around the World with General Grant</w:t>
      </w:r>
      <w:r w:rsidRPr="002318C9">
        <w:rPr>
          <w:rFonts w:ascii="Times New Roman" w:hAnsi="Times New Roman" w:cs="Times New Roman"/>
        </w:rPr>
        <w:t>. Baltimore: Johns Hopkins University Press, 1879.</w:t>
      </w:r>
    </w:p>
  </w:footnote>
  <w:footnote w:id="432">
    <w:p w14:paraId="628AE8CA" w14:textId="7581BC1A"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F47CC">
        <w:rPr>
          <w:rFonts w:ascii="Times New Roman" w:hAnsi="Times New Roman" w:cs="Times New Roman"/>
        </w:rPr>
        <w:t xml:space="preserve">William Tecumseh </w:t>
      </w:r>
      <w:r w:rsidRPr="002318C9">
        <w:rPr>
          <w:rFonts w:ascii="Times New Roman" w:hAnsi="Times New Roman" w:cs="Times New Roman"/>
        </w:rPr>
        <w:t xml:space="preserve">Sherman, </w:t>
      </w:r>
      <w:r w:rsidRPr="002318C9">
        <w:rPr>
          <w:rFonts w:ascii="Times New Roman" w:hAnsi="Times New Roman" w:cs="Times New Roman"/>
          <w:i/>
          <w:iCs/>
        </w:rPr>
        <w:t>Memoirs of General William T. Sherman</w:t>
      </w:r>
      <w:r w:rsidRPr="002318C9">
        <w:rPr>
          <w:rFonts w:ascii="Times New Roman" w:hAnsi="Times New Roman" w:cs="Times New Roman"/>
        </w:rPr>
        <w:t>. Second Ed. New York: D. Appleton &amp; Co., 1889. Chapter I.</w:t>
      </w:r>
    </w:p>
  </w:footnote>
  <w:footnote w:id="433">
    <w:p w14:paraId="06117816" w14:textId="24532753"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19" w:name="_Hlk187052064"/>
      <w:r w:rsidR="00FF47CC">
        <w:rPr>
          <w:rFonts w:ascii="Times New Roman" w:hAnsi="Times New Roman" w:cs="Times New Roman"/>
        </w:rPr>
        <w:t xml:space="preserve">Linus Pierpont </w:t>
      </w:r>
      <w:r w:rsidRPr="002318C9">
        <w:rPr>
          <w:rFonts w:ascii="Times New Roman" w:hAnsi="Times New Roman" w:cs="Times New Roman"/>
        </w:rPr>
        <w:t xml:space="preserve">Brocket, </w:t>
      </w:r>
      <w:r w:rsidRPr="002318C9">
        <w:rPr>
          <w:rFonts w:ascii="Times New Roman" w:hAnsi="Times New Roman" w:cs="Times New Roman"/>
          <w:i/>
          <w:iCs/>
        </w:rPr>
        <w:t xml:space="preserve">Our Great Captains: Grant, Sherman, Thomas, Sheridan, and Farragut. </w:t>
      </w:r>
      <w:r w:rsidRPr="002318C9">
        <w:rPr>
          <w:rFonts w:ascii="Times New Roman" w:hAnsi="Times New Roman" w:cs="Times New Roman"/>
        </w:rPr>
        <w:t xml:space="preserve">Bedford, MA: Applewood Books, 1865. </w:t>
      </w:r>
      <w:bookmarkEnd w:id="19"/>
      <w:r w:rsidRPr="002318C9">
        <w:rPr>
          <w:rFonts w:ascii="Times New Roman" w:hAnsi="Times New Roman" w:cs="Times New Roman"/>
        </w:rPr>
        <w:t>162.</w:t>
      </w:r>
    </w:p>
  </w:footnote>
  <w:footnote w:id="434">
    <w:p w14:paraId="67388A4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Sherman also served temporarily as Acting Secretary of War in Autumn 1869. </w:t>
      </w:r>
    </w:p>
  </w:footnote>
  <w:footnote w:id="435">
    <w:p w14:paraId="7F1DBF0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This role will be discussed in further detail in Chapter Three.</w:t>
      </w:r>
    </w:p>
  </w:footnote>
  <w:footnote w:id="436">
    <w:p w14:paraId="7F2F7B81" w14:textId="77777777" w:rsidR="006D6453" w:rsidRPr="00BD59A4" w:rsidRDefault="006D6453" w:rsidP="006D6453">
      <w:pPr>
        <w:pStyle w:val="FootnoteText"/>
        <w:rPr>
          <w:rFonts w:ascii="Times New Roman" w:hAnsi="Times New Roman" w:cs="Times New Roman"/>
        </w:rPr>
      </w:pPr>
      <w:r w:rsidRPr="00BD59A4">
        <w:rPr>
          <w:rStyle w:val="FootnoteReference"/>
          <w:rFonts w:ascii="Times New Roman" w:hAnsi="Times New Roman" w:cs="Times New Roman"/>
        </w:rPr>
        <w:footnoteRef/>
      </w:r>
      <w:r w:rsidRPr="00BD59A4">
        <w:rPr>
          <w:rFonts w:ascii="Times New Roman" w:hAnsi="Times New Roman" w:cs="Times New Roman"/>
        </w:rPr>
        <w:t xml:space="preserve"> </w:t>
      </w:r>
      <w:r>
        <w:rPr>
          <w:rFonts w:ascii="Times New Roman" w:hAnsi="Times New Roman" w:cs="Times New Roman"/>
        </w:rPr>
        <w:t xml:space="preserve">James E. Taylor </w:t>
      </w:r>
      <w:r w:rsidRPr="00E35D12">
        <w:rPr>
          <w:rFonts w:ascii="Times New Roman" w:hAnsi="Times New Roman" w:cs="Times New Roman"/>
        </w:rPr>
        <w:t>“</w:t>
      </w:r>
      <w:r>
        <w:rPr>
          <w:rFonts w:ascii="Times New Roman" w:hAnsi="Times New Roman" w:cs="Times New Roman"/>
        </w:rPr>
        <w:t xml:space="preserve">Dominican Republic: </w:t>
      </w:r>
      <w:r w:rsidRPr="00E35D12">
        <w:rPr>
          <w:rFonts w:ascii="Times New Roman" w:hAnsi="Times New Roman" w:cs="Times New Roman"/>
        </w:rPr>
        <w:t xml:space="preserve">The </w:t>
      </w:r>
      <w:r>
        <w:rPr>
          <w:rFonts w:ascii="Times New Roman" w:hAnsi="Times New Roman" w:cs="Times New Roman"/>
        </w:rPr>
        <w:t>e</w:t>
      </w:r>
      <w:r w:rsidRPr="00E35D12">
        <w:rPr>
          <w:rFonts w:ascii="Times New Roman" w:hAnsi="Times New Roman" w:cs="Times New Roman"/>
        </w:rPr>
        <w:t xml:space="preserve">mbarkadero, or </w:t>
      </w:r>
      <w:r>
        <w:rPr>
          <w:rFonts w:ascii="Times New Roman" w:hAnsi="Times New Roman" w:cs="Times New Roman"/>
        </w:rPr>
        <w:t>w</w:t>
      </w:r>
      <w:r w:rsidRPr="00E35D12">
        <w:rPr>
          <w:rFonts w:ascii="Times New Roman" w:hAnsi="Times New Roman" w:cs="Times New Roman"/>
        </w:rPr>
        <w:t xml:space="preserve">harf, of Santo Domingo, showing the Columbus Tree in the background,” </w:t>
      </w:r>
      <w:r>
        <w:rPr>
          <w:rFonts w:ascii="Times New Roman" w:hAnsi="Times New Roman" w:cs="Times New Roman"/>
        </w:rPr>
        <w:t>c</w:t>
      </w:r>
      <w:r w:rsidRPr="00E35D12">
        <w:rPr>
          <w:rFonts w:ascii="Times New Roman" w:hAnsi="Times New Roman" w:cs="Times New Roman"/>
        </w:rPr>
        <w:t>a</w:t>
      </w:r>
      <w:r>
        <w:rPr>
          <w:rFonts w:ascii="Times New Roman" w:hAnsi="Times New Roman" w:cs="Times New Roman"/>
        </w:rPr>
        <w:t>. 1871. Photograph of original w</w:t>
      </w:r>
      <w:r w:rsidRPr="00E35D12">
        <w:rPr>
          <w:rFonts w:ascii="Times New Roman" w:hAnsi="Times New Roman" w:cs="Times New Roman"/>
        </w:rPr>
        <w:t>atercolor painting</w:t>
      </w:r>
      <w:r>
        <w:rPr>
          <w:rFonts w:ascii="Times New Roman" w:hAnsi="Times New Roman" w:cs="Times New Roman"/>
        </w:rPr>
        <w:t>.</w:t>
      </w:r>
      <w:r w:rsidRPr="00BD59A4">
        <w:rPr>
          <w:rFonts w:ascii="Times New Roman" w:hAnsi="Times New Roman" w:cs="Times New Roman"/>
        </w:rPr>
        <w:t xml:space="preserve"> Courtesy of the Library of Congress</w:t>
      </w:r>
      <w:r>
        <w:rPr>
          <w:rFonts w:ascii="Times New Roman" w:hAnsi="Times New Roman" w:cs="Times New Roman"/>
        </w:rPr>
        <w:t>.</w:t>
      </w:r>
    </w:p>
  </w:footnote>
  <w:footnote w:id="437">
    <w:p w14:paraId="33364556" w14:textId="3020CFF9"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This dissertation covers some of these important chapters in additional detail, but this is not meant to be a synthetic coverage of the Grant Administration. For more on the domestic affairs of the Grant Administration, consider: </w:t>
      </w:r>
      <w:r w:rsidR="005740FB">
        <w:rPr>
          <w:rFonts w:ascii="Times New Roman" w:hAnsi="Times New Roman" w:cs="Times New Roman"/>
        </w:rPr>
        <w:t xml:space="preserve">Henry W. </w:t>
      </w:r>
      <w:r w:rsidRPr="002318C9">
        <w:rPr>
          <w:rFonts w:ascii="Times New Roman" w:hAnsi="Times New Roman" w:cs="Times New Roman"/>
        </w:rPr>
        <w:t xml:space="preserve">Brands, </w:t>
      </w:r>
      <w:r w:rsidRPr="002318C9">
        <w:rPr>
          <w:rFonts w:ascii="Times New Roman" w:hAnsi="Times New Roman" w:cs="Times New Roman"/>
          <w:i/>
          <w:iCs/>
        </w:rPr>
        <w:t>The Man Who Saved the Union: Ulysses Grant in War and Peace</w:t>
      </w:r>
      <w:r w:rsidRPr="002318C9">
        <w:rPr>
          <w:rFonts w:ascii="Times New Roman" w:hAnsi="Times New Roman" w:cs="Times New Roman"/>
        </w:rPr>
        <w:t xml:space="preserve">. New York, NY: Random House, 2012; </w:t>
      </w:r>
      <w:r w:rsidR="005740FB">
        <w:rPr>
          <w:rFonts w:ascii="Times New Roman" w:hAnsi="Times New Roman" w:cs="Times New Roman"/>
        </w:rPr>
        <w:t xml:space="preserve">Josiah </w:t>
      </w:r>
      <w:r w:rsidRPr="002318C9">
        <w:rPr>
          <w:rFonts w:ascii="Times New Roman" w:hAnsi="Times New Roman" w:cs="Times New Roman"/>
        </w:rPr>
        <w:t>Bunting III</w:t>
      </w:r>
      <w:r w:rsidR="005740FB">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Ulysses S. Grant: The American Presidents Series</w:t>
      </w:r>
      <w:r w:rsidRPr="002318C9">
        <w:rPr>
          <w:rFonts w:ascii="Times New Roman" w:hAnsi="Times New Roman" w:cs="Times New Roman"/>
        </w:rPr>
        <w:t xml:space="preserve">. New York, NY: Times Books, 2004; </w:t>
      </w:r>
      <w:r w:rsidR="005740FB">
        <w:rPr>
          <w:rFonts w:ascii="Times New Roman" w:hAnsi="Times New Roman" w:cs="Times New Roman"/>
        </w:rPr>
        <w:t xml:space="preserve">Charles W. </w:t>
      </w:r>
      <w:r w:rsidRPr="002318C9">
        <w:rPr>
          <w:rFonts w:ascii="Times New Roman" w:hAnsi="Times New Roman" w:cs="Times New Roman"/>
        </w:rPr>
        <w:t xml:space="preserve">Calhoun, </w:t>
      </w:r>
      <w:r w:rsidRPr="002318C9">
        <w:rPr>
          <w:rFonts w:ascii="Times New Roman" w:hAnsi="Times New Roman" w:cs="Times New Roman"/>
          <w:i/>
          <w:iCs/>
        </w:rPr>
        <w:t>The Presidency of Ulysses S. Grant</w:t>
      </w:r>
      <w:r w:rsidRPr="002318C9">
        <w:rPr>
          <w:rFonts w:ascii="Times New Roman" w:hAnsi="Times New Roman" w:cs="Times New Roman"/>
        </w:rPr>
        <w:t xml:space="preserve">. Lawrence, KS: University Press of Kansas, 2017; </w:t>
      </w:r>
      <w:r w:rsidR="005740FB">
        <w:rPr>
          <w:rFonts w:ascii="Times New Roman" w:hAnsi="Times New Roman" w:cs="Times New Roman"/>
        </w:rPr>
        <w:t xml:space="preserve">Ron </w:t>
      </w:r>
      <w:r w:rsidRPr="002318C9">
        <w:rPr>
          <w:rFonts w:ascii="Times New Roman" w:hAnsi="Times New Roman" w:cs="Times New Roman"/>
        </w:rPr>
        <w:t xml:space="preserve">Chernow, </w:t>
      </w:r>
      <w:r w:rsidRPr="002318C9">
        <w:rPr>
          <w:rFonts w:ascii="Times New Roman" w:hAnsi="Times New Roman" w:cs="Times New Roman"/>
          <w:i/>
          <w:iCs/>
        </w:rPr>
        <w:t>Grant</w:t>
      </w:r>
      <w:r w:rsidRPr="002318C9">
        <w:rPr>
          <w:rFonts w:ascii="Times New Roman" w:hAnsi="Times New Roman" w:cs="Times New Roman"/>
        </w:rPr>
        <w:t xml:space="preserve">. Waterville, ME: Thorndike Press, a Part of Gale, a Cengage Company, 2018; and </w:t>
      </w:r>
      <w:r w:rsidR="005740FB">
        <w:rPr>
          <w:rFonts w:ascii="Times New Roman" w:hAnsi="Times New Roman" w:cs="Times New Roman"/>
        </w:rPr>
        <w:t xml:space="preserve">Eric </w:t>
      </w:r>
      <w:r w:rsidRPr="002318C9">
        <w:rPr>
          <w:rFonts w:ascii="Times New Roman" w:hAnsi="Times New Roman" w:cs="Times New Roman"/>
        </w:rPr>
        <w:t xml:space="preserve">Foner, </w:t>
      </w:r>
      <w:r w:rsidRPr="002318C9">
        <w:rPr>
          <w:rFonts w:ascii="Times New Roman" w:hAnsi="Times New Roman" w:cs="Times New Roman"/>
          <w:i/>
          <w:iCs/>
        </w:rPr>
        <w:t>Reconstruction: Americas Unfinished Revolution, 1863-1877</w:t>
      </w:r>
      <w:r w:rsidRPr="002318C9">
        <w:rPr>
          <w:rFonts w:ascii="Times New Roman" w:hAnsi="Times New Roman" w:cs="Times New Roman"/>
        </w:rPr>
        <w:t>. Updated Edition. New York, NY: Harper Perennial, 2014. (originally 1988) (this is by no means an extensive list to consult).</w:t>
      </w:r>
    </w:p>
  </w:footnote>
  <w:footnote w:id="438">
    <w:p w14:paraId="440ECD55" w14:textId="18FFC512"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740FB">
        <w:rPr>
          <w:rFonts w:ascii="Times New Roman" w:hAnsi="Times New Roman" w:cs="Times New Roman"/>
        </w:rPr>
        <w:t xml:space="preserve">Ulysses S. </w:t>
      </w:r>
      <w:r w:rsidRPr="002318C9">
        <w:rPr>
          <w:rFonts w:ascii="Times New Roman" w:hAnsi="Times New Roman" w:cs="Times New Roman"/>
        </w:rPr>
        <w:t xml:space="preserve">Grant, </w:t>
      </w:r>
      <w:r w:rsidR="00655704">
        <w:rPr>
          <w:rFonts w:ascii="Times New Roman" w:hAnsi="Times New Roman" w:cs="Times New Roman"/>
        </w:rPr>
        <w:t>“</w:t>
      </w:r>
      <w:r w:rsidRPr="00655704">
        <w:rPr>
          <w:rFonts w:ascii="Times New Roman" w:hAnsi="Times New Roman" w:cs="Times New Roman"/>
        </w:rPr>
        <w:t>First Inaugural Address</w:t>
      </w:r>
      <w:r w:rsidRPr="002318C9">
        <w:rPr>
          <w:rFonts w:ascii="Times New Roman" w:hAnsi="Times New Roman" w:cs="Times New Roman"/>
        </w:rPr>
        <w:t>,</w:t>
      </w:r>
      <w:r w:rsidR="00655704">
        <w:rPr>
          <w:rFonts w:ascii="Times New Roman" w:hAnsi="Times New Roman" w:cs="Times New Roman"/>
        </w:rPr>
        <w:t>”</w:t>
      </w:r>
      <w:r w:rsidRPr="002318C9">
        <w:rPr>
          <w:rFonts w:ascii="Times New Roman" w:hAnsi="Times New Roman" w:cs="Times New Roman"/>
        </w:rPr>
        <w:t xml:space="preserve"> March 4, 1869.</w:t>
      </w:r>
    </w:p>
  </w:footnote>
  <w:footnote w:id="439">
    <w:p w14:paraId="06E80E99" w14:textId="6356F31C"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more complete coverage concerning the Grant Administration’s foreign policy and foreign affairs, consider: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Pr="002318C9">
        <w:rPr>
          <w:rFonts w:ascii="Times New Roman" w:hAnsi="Times New Roman" w:cs="Times New Roman"/>
        </w:rPr>
        <w:t xml:space="preserve">; </w:t>
      </w:r>
      <w:r w:rsidR="005740FB">
        <w:rPr>
          <w:rFonts w:ascii="Times New Roman" w:hAnsi="Times New Roman" w:cs="Times New Roman"/>
        </w:rPr>
        <w:t xml:space="preserve">Ryan </w:t>
      </w:r>
      <w:r w:rsidRPr="002318C9">
        <w:rPr>
          <w:rFonts w:ascii="Times New Roman" w:hAnsi="Times New Roman" w:cs="Times New Roman"/>
        </w:rPr>
        <w:t xml:space="preserve">Semmes, </w:t>
      </w:r>
      <w:r w:rsidRPr="002318C9">
        <w:rPr>
          <w:rFonts w:ascii="Times New Roman" w:hAnsi="Times New Roman" w:cs="Times New Roman"/>
          <w:i/>
          <w:iCs/>
        </w:rPr>
        <w:t>Exporting Reconstruction: Ulysses S. Grant and a New Empire of Liberty</w:t>
      </w:r>
      <w:r w:rsidRPr="002318C9">
        <w:rPr>
          <w:rFonts w:ascii="Times New Roman" w:hAnsi="Times New Roman" w:cs="Times New Roman"/>
        </w:rPr>
        <w:t>. Columbia, SC: University of South Carolina Press, 2024;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Pr="002318C9">
        <w:rPr>
          <w:rFonts w:ascii="Times New Roman" w:hAnsi="Times New Roman" w:cs="Times New Roman"/>
        </w:rPr>
        <w:t xml:space="preserve">; and </w:t>
      </w:r>
      <w:r w:rsidR="005740FB">
        <w:rPr>
          <w:rFonts w:ascii="Times New Roman" w:hAnsi="Times New Roman" w:cs="Times New Roman"/>
        </w:rPr>
        <w:t xml:space="preserve">Richard </w:t>
      </w:r>
      <w:r w:rsidRPr="002318C9">
        <w:rPr>
          <w:rFonts w:ascii="Times New Roman" w:hAnsi="Times New Roman" w:cs="Times New Roman"/>
        </w:rPr>
        <w:t xml:space="preserve">White, </w:t>
      </w:r>
      <w:r w:rsidRPr="002318C9">
        <w:rPr>
          <w:rFonts w:ascii="Times New Roman" w:hAnsi="Times New Roman" w:cs="Times New Roman"/>
          <w:i/>
          <w:iCs/>
        </w:rPr>
        <w:t>The Republic for Which It Stands: The United States during Reconstruction and the Gilded Age, 1865-1896</w:t>
      </w:r>
      <w:r w:rsidRPr="002318C9">
        <w:rPr>
          <w:rFonts w:ascii="Times New Roman" w:hAnsi="Times New Roman" w:cs="Times New Roman"/>
        </w:rPr>
        <w:t>. New York, NY: Oxford University Press, 2017.</w:t>
      </w:r>
    </w:p>
  </w:footnote>
  <w:footnote w:id="440">
    <w:p w14:paraId="0F84B975" w14:textId="59774BF5"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151-178</w:t>
      </w:r>
    </w:p>
  </w:footnote>
  <w:footnote w:id="441">
    <w:p w14:paraId="71CB87FB" w14:textId="5EDBA06A"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179-198</w:t>
      </w:r>
    </w:p>
  </w:footnote>
  <w:footnote w:id="442">
    <w:p w14:paraId="282C972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43">
    <w:p w14:paraId="51AF8D75"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M.M. Gautier, memorandum, March 9, 1869, in Joseph Fabens to Hamilton Fish, April 1, 1869, Notes from the Legation of the Dominican Republic, Records of the Department of State, Record Group 59; DeB. Randolph Keim, </w:t>
      </w:r>
      <w:r w:rsidRPr="002318C9">
        <w:rPr>
          <w:rFonts w:ascii="Times New Roman" w:hAnsi="Times New Roman" w:cs="Times New Roman"/>
          <w:i/>
          <w:iCs/>
        </w:rPr>
        <w:t>San Domingo</w:t>
      </w:r>
      <w:r w:rsidRPr="002318C9">
        <w:rPr>
          <w:rFonts w:ascii="Times New Roman" w:hAnsi="Times New Roman" w:cs="Times New Roman"/>
        </w:rPr>
        <w:t>. Philadelphia: Claxton, Remsen, and Haffelfinger, 1870.</w:t>
      </w:r>
    </w:p>
  </w:footnote>
  <w:footnote w:id="444">
    <w:p w14:paraId="56D2969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45">
    <w:p w14:paraId="67E938C9" w14:textId="5BE2887D"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55704">
        <w:rPr>
          <w:rFonts w:ascii="Times New Roman" w:hAnsi="Times New Roman" w:cs="Times New Roman"/>
        </w:rPr>
        <w:t xml:space="preserve">Howard J. </w:t>
      </w:r>
      <w:r w:rsidRPr="002318C9">
        <w:rPr>
          <w:rFonts w:ascii="Times New Roman" w:hAnsi="Times New Roman" w:cs="Times New Roman"/>
        </w:rPr>
        <w:t xml:space="preserve">Wiarda, </w:t>
      </w:r>
      <w:r w:rsidRPr="002318C9">
        <w:rPr>
          <w:rFonts w:ascii="Times New Roman" w:hAnsi="Times New Roman" w:cs="Times New Roman"/>
          <w:i/>
          <w:iCs/>
        </w:rPr>
        <w:t>The Dominican Republic: Nation in Transition</w:t>
      </w:r>
      <w:r w:rsidRPr="002318C9">
        <w:rPr>
          <w:rFonts w:ascii="Times New Roman" w:hAnsi="Times New Roman" w:cs="Times New Roman"/>
        </w:rPr>
        <w:t xml:space="preserve">. New York, NY: Praeger, 1969; </w:t>
      </w:r>
      <w:r w:rsidR="00655704">
        <w:rPr>
          <w:rFonts w:ascii="Times New Roman" w:hAnsi="Times New Roman" w:cs="Times New Roman"/>
        </w:rPr>
        <w:t xml:space="preserve">Howard J. </w:t>
      </w:r>
      <w:r w:rsidRPr="002318C9">
        <w:rPr>
          <w:rFonts w:ascii="Times New Roman" w:hAnsi="Times New Roman" w:cs="Times New Roman"/>
        </w:rPr>
        <w:t xml:space="preserve">Wiarda and Michael J. Kryzanek. </w:t>
      </w:r>
      <w:r w:rsidRPr="002318C9">
        <w:rPr>
          <w:rFonts w:ascii="Times New Roman" w:hAnsi="Times New Roman" w:cs="Times New Roman"/>
          <w:i/>
          <w:iCs/>
        </w:rPr>
        <w:t>The Dominican Republic: A Caribbean Crucible</w:t>
      </w:r>
      <w:r w:rsidRPr="002318C9">
        <w:rPr>
          <w:rFonts w:ascii="Times New Roman" w:hAnsi="Times New Roman" w:cs="Times New Roman"/>
        </w:rPr>
        <w:t xml:space="preserve">. Second Edition. Boulder, CO: Westview Press, 1992; </w:t>
      </w:r>
      <w:r w:rsidR="00655704">
        <w:rPr>
          <w:rFonts w:ascii="Times New Roman" w:hAnsi="Times New Roman" w:cs="Times New Roman"/>
        </w:rPr>
        <w:t xml:space="preserve">Otto </w:t>
      </w:r>
      <w:r w:rsidRPr="002318C9">
        <w:rPr>
          <w:rFonts w:ascii="Times New Roman" w:hAnsi="Times New Roman" w:cs="Times New Roman"/>
        </w:rPr>
        <w:t xml:space="preserve">Schoenrich, </w:t>
      </w:r>
      <w:r w:rsidRPr="002318C9">
        <w:rPr>
          <w:rFonts w:ascii="Times New Roman" w:hAnsi="Times New Roman" w:cs="Times New Roman"/>
          <w:i/>
          <w:iCs/>
        </w:rPr>
        <w:t>Santo Domingo: A Country with a Future</w:t>
      </w:r>
      <w:r w:rsidRPr="002318C9">
        <w:rPr>
          <w:rFonts w:ascii="Times New Roman" w:hAnsi="Times New Roman" w:cs="Times New Roman"/>
        </w:rPr>
        <w:t xml:space="preserve">. New York, NY: The Macmillan Company, 1918; </w:t>
      </w:r>
      <w:r w:rsidR="00655704">
        <w:rPr>
          <w:rFonts w:ascii="Times New Roman" w:hAnsi="Times New Roman" w:cs="Times New Roman"/>
        </w:rPr>
        <w:t xml:space="preserve">Frank </w:t>
      </w:r>
      <w:r w:rsidRPr="002318C9">
        <w:rPr>
          <w:rFonts w:ascii="Times New Roman" w:hAnsi="Times New Roman" w:cs="Times New Roman"/>
        </w:rPr>
        <w:t xml:space="preserve">Moya Pons, </w:t>
      </w:r>
      <w:r w:rsidRPr="002318C9">
        <w:rPr>
          <w:rFonts w:ascii="Times New Roman" w:hAnsi="Times New Roman" w:cs="Times New Roman"/>
          <w:i/>
          <w:iCs/>
        </w:rPr>
        <w:t>The Dominican Republic: A National History</w:t>
      </w:r>
      <w:r w:rsidRPr="002318C9">
        <w:rPr>
          <w:rFonts w:ascii="Times New Roman" w:hAnsi="Times New Roman" w:cs="Times New Roman"/>
        </w:rPr>
        <w:t xml:space="preserve">. Princeton, NJ: Markus Wiener Publishers, 1998; </w:t>
      </w:r>
      <w:r w:rsidR="00655704">
        <w:rPr>
          <w:rFonts w:ascii="Times New Roman" w:hAnsi="Times New Roman" w:cs="Times New Roman"/>
        </w:rPr>
        <w:t xml:space="preserve">William Javier </w:t>
      </w:r>
      <w:r w:rsidRPr="002318C9">
        <w:rPr>
          <w:rFonts w:ascii="Times New Roman" w:hAnsi="Times New Roman" w:cs="Times New Roman"/>
        </w:rPr>
        <w:t xml:space="preserve">Nelson, </w:t>
      </w:r>
      <w:r w:rsidRPr="002318C9">
        <w:rPr>
          <w:rFonts w:ascii="Times New Roman" w:hAnsi="Times New Roman" w:cs="Times New Roman"/>
          <w:i/>
          <w:iCs/>
        </w:rPr>
        <w:t>Almost a Territory: America’s Attempt to Annex the Dominican Republic.</w:t>
      </w:r>
      <w:r w:rsidRPr="002318C9">
        <w:rPr>
          <w:rFonts w:ascii="Times New Roman" w:hAnsi="Times New Roman" w:cs="Times New Roman"/>
        </w:rPr>
        <w:t xml:space="preserve"> Newark: University of Delaware Press, 1990.</w:t>
      </w:r>
    </w:p>
  </w:footnote>
  <w:footnote w:id="446">
    <w:p w14:paraId="79346DD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47">
    <w:p w14:paraId="6B67478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48">
    <w:p w14:paraId="7430895E"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49">
    <w:p w14:paraId="0512CE5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50">
    <w:p w14:paraId="3D81B3F2" w14:textId="025270F0"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200; </w:t>
      </w:r>
      <w:bookmarkStart w:id="21" w:name="_Hlk187059428"/>
      <w:r w:rsidRPr="002318C9">
        <w:rPr>
          <w:rFonts w:ascii="Times New Roman" w:hAnsi="Times New Roman" w:cs="Times New Roman"/>
        </w:rPr>
        <w:t>Senate Executive Document No. 17,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w:t>
      </w:r>
      <w:bookmarkEnd w:id="21"/>
    </w:p>
  </w:footnote>
  <w:footnote w:id="451">
    <w:p w14:paraId="33E11F6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52">
    <w:p w14:paraId="5E7FBAF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53">
    <w:p w14:paraId="6534872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54">
    <w:p w14:paraId="2B327CFA" w14:textId="77777777" w:rsidR="00BD6E3A" w:rsidRPr="002318C9" w:rsidRDefault="00BD6E3A" w:rsidP="00BD6E3A">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Ulysses S. Grant, “Reasons Why San Domingo Should Be Annexed to the United States,” 1869. </w:t>
      </w:r>
    </w:p>
  </w:footnote>
  <w:footnote w:id="455">
    <w:p w14:paraId="4AF13C11" w14:textId="553AAC26"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57609">
        <w:rPr>
          <w:rFonts w:ascii="Times New Roman" w:hAnsi="Times New Roman" w:cs="Times New Roman"/>
        </w:rPr>
        <w:t xml:space="preserve">M.M. </w:t>
      </w:r>
      <w:r w:rsidRPr="002318C9">
        <w:rPr>
          <w:rFonts w:ascii="Times New Roman" w:hAnsi="Times New Roman" w:cs="Times New Roman"/>
        </w:rPr>
        <w:t xml:space="preserve">McAllen, </w:t>
      </w:r>
      <w:r w:rsidRPr="002318C9">
        <w:rPr>
          <w:rFonts w:ascii="Times New Roman" w:hAnsi="Times New Roman" w:cs="Times New Roman"/>
          <w:i/>
          <w:iCs/>
        </w:rPr>
        <w:t>Maximilian and Carlota: Europe’s Last Empire in Mexico</w:t>
      </w:r>
      <w:r w:rsidRPr="002318C9">
        <w:rPr>
          <w:rFonts w:ascii="Times New Roman" w:hAnsi="Times New Roman" w:cs="Times New Roman"/>
        </w:rPr>
        <w:t xml:space="preserve">. San Antonio, TX: Trinity University Press, 2014; </w:t>
      </w:r>
      <w:r w:rsidR="00B57609">
        <w:rPr>
          <w:rFonts w:ascii="Times New Roman" w:hAnsi="Times New Roman" w:cs="Times New Roman"/>
        </w:rPr>
        <w:t xml:space="preserve">Kevin </w:t>
      </w:r>
      <w:r w:rsidRPr="002318C9">
        <w:rPr>
          <w:rFonts w:ascii="Times New Roman" w:hAnsi="Times New Roman" w:cs="Times New Roman"/>
        </w:rPr>
        <w:t xml:space="preserve">Peraino, </w:t>
      </w:r>
      <w:r w:rsidRPr="002318C9">
        <w:rPr>
          <w:rFonts w:ascii="Times New Roman" w:hAnsi="Times New Roman" w:cs="Times New Roman"/>
          <w:i/>
          <w:iCs/>
        </w:rPr>
        <w:t>Lincoln in the World: The Making of a Statesman and the Dawn of American Power</w:t>
      </w:r>
      <w:r w:rsidRPr="002318C9">
        <w:rPr>
          <w:rFonts w:ascii="Times New Roman" w:hAnsi="Times New Roman" w:cs="Times New Roman"/>
        </w:rPr>
        <w:t>. New York: Crown Publishers, 2013.</w:t>
      </w:r>
    </w:p>
  </w:footnote>
  <w:footnote w:id="456">
    <w:p w14:paraId="239A2953" w14:textId="6B8C4D2E"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22" w:name="_Hlk187067464"/>
      <w:r w:rsidRPr="002318C9">
        <w:rPr>
          <w:rFonts w:ascii="Times New Roman" w:hAnsi="Times New Roman" w:cs="Times New Roman"/>
        </w:rPr>
        <w:t>Charles Callan</w:t>
      </w:r>
      <w:r w:rsidR="00B57609">
        <w:rPr>
          <w:rFonts w:ascii="Times New Roman" w:hAnsi="Times New Roman" w:cs="Times New Roman"/>
        </w:rPr>
        <w:t xml:space="preserve"> Tansill,</w:t>
      </w:r>
      <w:r w:rsidRPr="002318C9">
        <w:rPr>
          <w:rFonts w:ascii="Times New Roman" w:hAnsi="Times New Roman" w:cs="Times New Roman"/>
        </w:rPr>
        <w:t xml:space="preserve"> </w:t>
      </w:r>
      <w:r w:rsidRPr="002318C9">
        <w:rPr>
          <w:rFonts w:ascii="Times New Roman" w:hAnsi="Times New Roman" w:cs="Times New Roman"/>
          <w:i/>
          <w:iCs/>
        </w:rPr>
        <w:t>The Purchase of the Danish West Indies</w:t>
      </w:r>
      <w:r w:rsidRPr="002318C9">
        <w:rPr>
          <w:rFonts w:ascii="Times New Roman" w:hAnsi="Times New Roman" w:cs="Times New Roman"/>
        </w:rPr>
        <w:t>. Baltimore: Johns Hopkins Press, 1932.</w:t>
      </w:r>
      <w:bookmarkEnd w:id="22"/>
    </w:p>
  </w:footnote>
  <w:footnote w:id="457">
    <w:p w14:paraId="6C30242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58">
    <w:p w14:paraId="0DE6CAB3"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Senate Executive Document No. 17,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w:t>
      </w:r>
    </w:p>
  </w:footnote>
  <w:footnote w:id="459">
    <w:p w14:paraId="69FAFE3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Grant, “Reasons Why San Domingo Should Be Annexed to the United States”</w:t>
      </w:r>
    </w:p>
  </w:footnote>
  <w:footnote w:id="460">
    <w:p w14:paraId="206A3AE0" w14:textId="7E6E0DC2" w:rsidR="001B07EE" w:rsidRDefault="001B07EE">
      <w:pPr>
        <w:pStyle w:val="FootnoteText"/>
      </w:pPr>
      <w:r>
        <w:rPr>
          <w:rStyle w:val="FootnoteReference"/>
        </w:rPr>
        <w:footnoteRef/>
      </w:r>
      <w:r>
        <w:t xml:space="preserve"> </w:t>
      </w:r>
      <w:r w:rsidRPr="00E05991">
        <w:rPr>
          <w:rFonts w:ascii="Times New Roman" w:hAnsi="Times New Roman" w:cs="Times New Roman"/>
        </w:rPr>
        <w:t>Semmes</w:t>
      </w:r>
      <w:r w:rsidR="00E05991" w:rsidRPr="00E05991">
        <w:rPr>
          <w:rFonts w:ascii="Times New Roman" w:hAnsi="Times New Roman" w:cs="Times New Roman"/>
        </w:rPr>
        <w:t xml:space="preserve">, </w:t>
      </w:r>
      <w:r w:rsidR="00E05991" w:rsidRPr="00E05991">
        <w:rPr>
          <w:rFonts w:ascii="Times New Roman" w:hAnsi="Times New Roman" w:cs="Times New Roman"/>
          <w:i/>
          <w:iCs/>
        </w:rPr>
        <w:t>Exporting Reconstruction</w:t>
      </w:r>
      <w:r w:rsidR="00E05991">
        <w:rPr>
          <w:rFonts w:ascii="Times New Roman" w:hAnsi="Times New Roman" w:cs="Times New Roman"/>
          <w:i/>
          <w:iCs/>
        </w:rPr>
        <w:t>,</w:t>
      </w:r>
      <w:r w:rsidRPr="00E05991">
        <w:rPr>
          <w:rFonts w:ascii="Times New Roman" w:hAnsi="Times New Roman" w:cs="Times New Roman"/>
        </w:rPr>
        <w:t xml:space="preserve"> 15-16</w:t>
      </w:r>
    </w:p>
  </w:footnote>
  <w:footnote w:id="461">
    <w:p w14:paraId="5CF80907" w14:textId="5AFEB54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12812" w:rsidRPr="002318C9">
        <w:rPr>
          <w:rFonts w:ascii="Times New Roman" w:hAnsi="Times New Roman" w:cs="Times New Roman"/>
        </w:rPr>
        <w:t>Grant, “Reasons Why San Domingo Should Be Annexed to the United States”</w:t>
      </w:r>
      <w:bookmarkStart w:id="23" w:name="_Hlk187068039"/>
      <w:r w:rsidR="00612812">
        <w:rPr>
          <w:rFonts w:ascii="Times New Roman" w:hAnsi="Times New Roman" w:cs="Times New Roman"/>
        </w:rPr>
        <w:t xml:space="preserve">; </w:t>
      </w:r>
      <w:r w:rsidR="00B57609">
        <w:rPr>
          <w:rFonts w:ascii="Times New Roman" w:hAnsi="Times New Roman" w:cs="Times New Roman"/>
        </w:rPr>
        <w:t xml:space="preserve">Rebecca </w:t>
      </w:r>
      <w:r w:rsidRPr="002318C9">
        <w:rPr>
          <w:rFonts w:ascii="Times New Roman" w:hAnsi="Times New Roman" w:cs="Times New Roman"/>
        </w:rPr>
        <w:t xml:space="preserve">Scott, </w:t>
      </w:r>
      <w:r w:rsidRPr="002318C9">
        <w:rPr>
          <w:rFonts w:ascii="Times New Roman" w:hAnsi="Times New Roman" w:cs="Times New Roman"/>
          <w:i/>
          <w:iCs/>
        </w:rPr>
        <w:t>Degrees of Freedom: Louisiana and Cuba after Slavery</w:t>
      </w:r>
      <w:r w:rsidRPr="002318C9">
        <w:rPr>
          <w:rFonts w:ascii="Times New Roman" w:hAnsi="Times New Roman" w:cs="Times New Roman"/>
        </w:rPr>
        <w:t xml:space="preserve">. Cambridge, MA: Belknap Press, 2008; </w:t>
      </w:r>
      <w:r w:rsidR="00B57609">
        <w:rPr>
          <w:rFonts w:ascii="Times New Roman" w:hAnsi="Times New Roman" w:cs="Times New Roman"/>
        </w:rPr>
        <w:t xml:space="preserve">Leonardo </w:t>
      </w:r>
      <w:r w:rsidRPr="002318C9">
        <w:rPr>
          <w:rFonts w:ascii="Times New Roman" w:hAnsi="Times New Roman" w:cs="Times New Roman"/>
        </w:rPr>
        <w:t xml:space="preserve">Marques, </w:t>
      </w:r>
      <w:r w:rsidRPr="002318C9">
        <w:rPr>
          <w:rFonts w:ascii="Times New Roman" w:hAnsi="Times New Roman" w:cs="Times New Roman"/>
          <w:i/>
          <w:iCs/>
        </w:rPr>
        <w:t>The United States and the Transatlantic Slave Trade to the Americas, 1776-1867</w:t>
      </w:r>
      <w:r w:rsidRPr="002318C9">
        <w:rPr>
          <w:rFonts w:ascii="Times New Roman" w:hAnsi="Times New Roman" w:cs="Times New Roman"/>
        </w:rPr>
        <w:t>. New Haven, CT: Yale University Press, 2016.</w:t>
      </w:r>
      <w:bookmarkEnd w:id="23"/>
      <w:r w:rsidRPr="002318C9">
        <w:rPr>
          <w:rFonts w:ascii="Times New Roman" w:hAnsi="Times New Roman" w:cs="Times New Roman"/>
        </w:rPr>
        <w:t xml:space="preserve"> For more on the considerations of race in the Santo Domingo affair, see: </w:t>
      </w:r>
      <w:bookmarkStart w:id="24" w:name="_Hlk187242315"/>
      <w:r w:rsidRPr="002318C9">
        <w:rPr>
          <w:rFonts w:ascii="Times New Roman" w:hAnsi="Times New Roman" w:cs="Times New Roman"/>
        </w:rPr>
        <w:t xml:space="preserve">Nicholas Guyatt, “America’s Conservatory: Race, Reconstruction, and the Santo Domingo Debate,” </w:t>
      </w:r>
      <w:r w:rsidRPr="002318C9">
        <w:rPr>
          <w:rFonts w:ascii="Times New Roman" w:hAnsi="Times New Roman" w:cs="Times New Roman"/>
          <w:i/>
          <w:iCs/>
        </w:rPr>
        <w:t>Journal of American History</w:t>
      </w:r>
      <w:r w:rsidRPr="002318C9">
        <w:rPr>
          <w:rFonts w:ascii="Times New Roman" w:hAnsi="Times New Roman" w:cs="Times New Roman"/>
        </w:rPr>
        <w:t xml:space="preserve">, vol 97, March 2011; and Eric T. Love, </w:t>
      </w:r>
      <w:r w:rsidRPr="002318C9">
        <w:rPr>
          <w:rFonts w:ascii="Times New Roman" w:hAnsi="Times New Roman" w:cs="Times New Roman"/>
          <w:i/>
          <w:iCs/>
        </w:rPr>
        <w:t>Race over Empire: Racism and U.S. Imperialism, 1865-1900</w:t>
      </w:r>
      <w:r w:rsidRPr="002318C9">
        <w:rPr>
          <w:rFonts w:ascii="Times New Roman" w:hAnsi="Times New Roman" w:cs="Times New Roman"/>
        </w:rPr>
        <w:t>. Chapel Hill: University of North Carolina Press, 2004.</w:t>
      </w:r>
      <w:bookmarkEnd w:id="24"/>
    </w:p>
  </w:footnote>
  <w:footnote w:id="462">
    <w:p w14:paraId="327F4B74"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Grant, “Reasons Why San Domingo Should Be Annexed to the United States”</w:t>
      </w:r>
    </w:p>
  </w:footnote>
  <w:footnote w:id="463">
    <w:p w14:paraId="587E68E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64">
    <w:p w14:paraId="048C0007" w14:textId="093B21FF"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57609">
        <w:rPr>
          <w:rFonts w:ascii="Times New Roman" w:hAnsi="Times New Roman" w:cs="Times New Roman"/>
        </w:rPr>
        <w:t>I</w:t>
      </w:r>
      <w:r w:rsidRPr="002318C9">
        <w:rPr>
          <w:rFonts w:ascii="Times New Roman" w:hAnsi="Times New Roman" w:cs="Times New Roman"/>
        </w:rPr>
        <w:t>bid</w:t>
      </w:r>
    </w:p>
  </w:footnote>
  <w:footnote w:id="465">
    <w:p w14:paraId="09E9BB4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66">
    <w:p w14:paraId="66C339A2" w14:textId="635DD64E"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200-201; </w:t>
      </w:r>
      <w:bookmarkStart w:id="25" w:name="_Hlk187068276"/>
      <w:r w:rsidRPr="002318C9">
        <w:rPr>
          <w:rFonts w:ascii="Times New Roman" w:hAnsi="Times New Roman" w:cs="Times New Roman"/>
        </w:rPr>
        <w:t>Senate Executive Document No. 9, 42</w:t>
      </w:r>
      <w:r w:rsidRPr="002318C9">
        <w:rPr>
          <w:rFonts w:ascii="Times New Roman" w:hAnsi="Times New Roman" w:cs="Times New Roman"/>
          <w:vertAlign w:val="superscript"/>
        </w:rPr>
        <w:t>nd</w:t>
      </w:r>
      <w:r w:rsidRPr="002318C9">
        <w:rPr>
          <w:rFonts w:ascii="Times New Roman" w:hAnsi="Times New Roman" w:cs="Times New Roman"/>
        </w:rPr>
        <w:t xml:space="preserve"> Congress, 1</w:t>
      </w:r>
      <w:r w:rsidRPr="002318C9">
        <w:rPr>
          <w:rFonts w:ascii="Times New Roman" w:hAnsi="Times New Roman" w:cs="Times New Roman"/>
          <w:vertAlign w:val="superscript"/>
        </w:rPr>
        <w:t>st</w:t>
      </w:r>
      <w:r w:rsidRPr="002318C9">
        <w:rPr>
          <w:rFonts w:ascii="Times New Roman" w:hAnsi="Times New Roman" w:cs="Times New Roman"/>
        </w:rPr>
        <w:t xml:space="preserve"> Session</w:t>
      </w:r>
      <w:bookmarkEnd w:id="25"/>
      <w:r w:rsidRPr="002318C9">
        <w:rPr>
          <w:rFonts w:ascii="Times New Roman" w:hAnsi="Times New Roman" w:cs="Times New Roman"/>
        </w:rPr>
        <w:t>; Charles Callan</w:t>
      </w:r>
      <w:r w:rsidR="00512D0D">
        <w:rPr>
          <w:rFonts w:ascii="Times New Roman" w:hAnsi="Times New Roman" w:cs="Times New Roman"/>
        </w:rPr>
        <w:t xml:space="preserve"> Tansill,</w:t>
      </w:r>
      <w:r w:rsidRPr="002318C9">
        <w:rPr>
          <w:rFonts w:ascii="Times New Roman" w:hAnsi="Times New Roman" w:cs="Times New Roman"/>
        </w:rPr>
        <w:t xml:space="preserve"> </w:t>
      </w:r>
      <w:r w:rsidRPr="002318C9">
        <w:rPr>
          <w:rFonts w:ascii="Times New Roman" w:hAnsi="Times New Roman" w:cs="Times New Roman"/>
          <w:i/>
          <w:iCs/>
        </w:rPr>
        <w:t>The United States and Santo Domingo, 1798-1873: A Chapter in Caribbean Diplomacy</w:t>
      </w:r>
      <w:r w:rsidRPr="002318C9">
        <w:rPr>
          <w:rFonts w:ascii="Times New Roman" w:hAnsi="Times New Roman" w:cs="Times New Roman"/>
        </w:rPr>
        <w:t>. Baltimore: Johns Hopkins Press, 1938.</w:t>
      </w:r>
    </w:p>
  </w:footnote>
  <w:footnote w:id="467">
    <w:p w14:paraId="6D7C86AD" w14:textId="3E73DC99" w:rsidR="0048227E" w:rsidRPr="001A3385" w:rsidRDefault="0048227E">
      <w:pPr>
        <w:pStyle w:val="FootnoteText"/>
        <w:rPr>
          <w:rFonts w:ascii="Times New Roman" w:hAnsi="Times New Roman" w:cs="Times New Roman"/>
        </w:rPr>
      </w:pPr>
      <w:r w:rsidRPr="001A3385">
        <w:rPr>
          <w:rStyle w:val="FootnoteReference"/>
          <w:rFonts w:ascii="Times New Roman" w:hAnsi="Times New Roman" w:cs="Times New Roman"/>
        </w:rPr>
        <w:footnoteRef/>
      </w:r>
      <w:r w:rsidRPr="001A3385">
        <w:rPr>
          <w:rFonts w:ascii="Times New Roman" w:hAnsi="Times New Roman" w:cs="Times New Roman"/>
        </w:rPr>
        <w:t xml:space="preserve"> Semmes</w:t>
      </w:r>
      <w:r w:rsidR="00874A31">
        <w:rPr>
          <w:rFonts w:ascii="Times New Roman" w:hAnsi="Times New Roman" w:cs="Times New Roman"/>
        </w:rPr>
        <w:t xml:space="preserve">, </w:t>
      </w:r>
      <w:r w:rsidR="00874A31" w:rsidRPr="009F07DA">
        <w:rPr>
          <w:rFonts w:ascii="Times New Roman" w:hAnsi="Times New Roman" w:cs="Times New Roman"/>
          <w:i/>
          <w:iCs/>
        </w:rPr>
        <w:t>Exporting Reconstruction</w:t>
      </w:r>
      <w:r w:rsidR="00874A31">
        <w:rPr>
          <w:rFonts w:ascii="Times New Roman" w:hAnsi="Times New Roman" w:cs="Times New Roman"/>
          <w:i/>
          <w:iCs/>
        </w:rPr>
        <w:t>,</w:t>
      </w:r>
      <w:r w:rsidRPr="001A3385">
        <w:rPr>
          <w:rFonts w:ascii="Times New Roman" w:hAnsi="Times New Roman" w:cs="Times New Roman"/>
        </w:rPr>
        <w:t xml:space="preserve"> 25-26</w:t>
      </w:r>
    </w:p>
  </w:footnote>
  <w:footnote w:id="468">
    <w:p w14:paraId="6A86F2B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69">
    <w:p w14:paraId="561926E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Senate Report No. 234,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also referred to as the Hatch Report;</w:t>
      </w:r>
      <w:bookmarkStart w:id="26" w:name="_Hlk187068740"/>
      <w:r w:rsidRPr="002318C9">
        <w:rPr>
          <w:rFonts w:ascii="Times New Roman" w:hAnsi="Times New Roman" w:cs="Times New Roman"/>
        </w:rPr>
        <w:t xml:space="preserve"> J. Somers Smith to William Seward, January 9, 18, March 19, 1869 and Smith to Hamilton Fish, April 9, 1869, Dispatches from US Consuls in Santo Domingo, Records of the Department of State, RG 59</w:t>
      </w:r>
      <w:bookmarkEnd w:id="26"/>
    </w:p>
  </w:footnote>
  <w:footnote w:id="470">
    <w:p w14:paraId="1DF7158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71">
    <w:p w14:paraId="2B01EE8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72">
    <w:p w14:paraId="04288F0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73">
    <w:p w14:paraId="2302EAAA" w14:textId="14A1424D"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Tansill, </w:t>
      </w:r>
      <w:r w:rsidRPr="002318C9">
        <w:rPr>
          <w:rFonts w:ascii="Times New Roman" w:hAnsi="Times New Roman" w:cs="Times New Roman"/>
          <w:i/>
          <w:iCs/>
        </w:rPr>
        <w:t>United States and Santo Domingo</w:t>
      </w:r>
      <w:r w:rsidRPr="002318C9">
        <w:rPr>
          <w:rFonts w:ascii="Times New Roman" w:hAnsi="Times New Roman" w:cs="Times New Roman"/>
        </w:rPr>
        <w:t xml:space="preserve">; </w:t>
      </w:r>
      <w:bookmarkStart w:id="27" w:name="_Hlk187069363"/>
      <w:r w:rsidR="00512D0D">
        <w:rPr>
          <w:rFonts w:ascii="Times New Roman" w:hAnsi="Times New Roman" w:cs="Times New Roman"/>
        </w:rPr>
        <w:t xml:space="preserve">Allan </w:t>
      </w:r>
      <w:r w:rsidRPr="002318C9">
        <w:rPr>
          <w:rFonts w:ascii="Times New Roman" w:hAnsi="Times New Roman" w:cs="Times New Roman"/>
        </w:rPr>
        <w:t xml:space="preserve">Nevins, </w:t>
      </w:r>
      <w:r w:rsidRPr="002318C9">
        <w:rPr>
          <w:rFonts w:ascii="Times New Roman" w:hAnsi="Times New Roman" w:cs="Times New Roman"/>
          <w:i/>
          <w:iCs/>
        </w:rPr>
        <w:t>Hamilton Fish: The Inner History of the Grant Administration</w:t>
      </w:r>
      <w:r w:rsidRPr="002318C9">
        <w:rPr>
          <w:rFonts w:ascii="Times New Roman" w:hAnsi="Times New Roman" w:cs="Times New Roman"/>
        </w:rPr>
        <w:t>. 2 vols. New York: Dodd, Mead, 1935. 255-262; Nathaniel P. Banks to Joseph Fabens, February 17</w:t>
      </w:r>
      <w:r w:rsidRPr="002318C9">
        <w:rPr>
          <w:rFonts w:ascii="Times New Roman" w:hAnsi="Times New Roman" w:cs="Times New Roman"/>
          <w:vertAlign w:val="superscript"/>
        </w:rPr>
        <w:t>th</w:t>
      </w:r>
      <w:r w:rsidRPr="002318C9">
        <w:rPr>
          <w:rFonts w:ascii="Times New Roman" w:hAnsi="Times New Roman" w:cs="Times New Roman"/>
        </w:rPr>
        <w:t>, 1869, Joseph W. Fabens Papers and Fabens Family Papers, Peabody Essex Museum.</w:t>
      </w:r>
    </w:p>
    <w:bookmarkEnd w:id="27"/>
  </w:footnote>
  <w:footnote w:id="474">
    <w:p w14:paraId="41F1324E"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Tansill, </w:t>
      </w:r>
      <w:r w:rsidRPr="002318C9">
        <w:rPr>
          <w:rFonts w:ascii="Times New Roman" w:hAnsi="Times New Roman" w:cs="Times New Roman"/>
          <w:i/>
          <w:iCs/>
        </w:rPr>
        <w:t>United States and Santo Domingo</w:t>
      </w:r>
      <w:r w:rsidRPr="002318C9">
        <w:rPr>
          <w:rFonts w:ascii="Times New Roman" w:hAnsi="Times New Roman" w:cs="Times New Roman"/>
        </w:rPr>
        <w:t xml:space="preserve">, 260-277; </w:t>
      </w:r>
      <w:bookmarkStart w:id="28" w:name="_Hlk187069630"/>
      <w:r w:rsidRPr="002318C9">
        <w:rPr>
          <w:rFonts w:ascii="Times New Roman" w:hAnsi="Times New Roman" w:cs="Times New Roman"/>
          <w:i/>
          <w:iCs/>
        </w:rPr>
        <w:t>Congressional Globe</w:t>
      </w:r>
      <w:r w:rsidRPr="002318C9">
        <w:rPr>
          <w:rFonts w:ascii="Times New Roman" w:hAnsi="Times New Roman" w:cs="Times New Roman"/>
        </w:rPr>
        <w:t>, 40</w:t>
      </w:r>
      <w:r w:rsidRPr="002318C9">
        <w:rPr>
          <w:rFonts w:ascii="Times New Roman" w:hAnsi="Times New Roman" w:cs="Times New Roman"/>
          <w:vertAlign w:val="superscript"/>
        </w:rPr>
        <w:t>th</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w:t>
      </w:r>
      <w:bookmarkEnd w:id="28"/>
      <w:r w:rsidRPr="002318C9">
        <w:rPr>
          <w:rFonts w:ascii="Times New Roman" w:hAnsi="Times New Roman" w:cs="Times New Roman"/>
        </w:rPr>
        <w:t>, 317-340.</w:t>
      </w:r>
    </w:p>
  </w:footnote>
  <w:footnote w:id="475">
    <w:p w14:paraId="5D23BD2A" w14:textId="6C6156B8" w:rsidR="00BD6E3A" w:rsidRPr="00240B11" w:rsidRDefault="00BD6E3A" w:rsidP="00BD6E3A">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Nevins</w:t>
      </w:r>
      <w:r w:rsidR="00240B11">
        <w:rPr>
          <w:rFonts w:ascii="Times New Roman" w:hAnsi="Times New Roman" w:cs="Times New Roman"/>
        </w:rPr>
        <w:t xml:space="preserve">, </w:t>
      </w:r>
      <w:r w:rsidR="00240B11">
        <w:rPr>
          <w:rFonts w:ascii="Times New Roman" w:hAnsi="Times New Roman" w:cs="Times New Roman"/>
          <w:i/>
          <w:iCs/>
        </w:rPr>
        <w:t>Hamilton Fish</w:t>
      </w:r>
    </w:p>
  </w:footnote>
  <w:footnote w:id="476">
    <w:p w14:paraId="3F1CE48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77">
    <w:p w14:paraId="5276E01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Tansill, </w:t>
      </w:r>
      <w:r w:rsidRPr="002318C9">
        <w:rPr>
          <w:rFonts w:ascii="Times New Roman" w:hAnsi="Times New Roman" w:cs="Times New Roman"/>
          <w:i/>
          <w:iCs/>
        </w:rPr>
        <w:t>United States and Santo Domingo</w:t>
      </w:r>
      <w:r w:rsidRPr="002318C9">
        <w:rPr>
          <w:rFonts w:ascii="Times New Roman" w:hAnsi="Times New Roman" w:cs="Times New Roman"/>
        </w:rPr>
        <w:t xml:space="preserve">, 267-280; </w:t>
      </w:r>
      <w:bookmarkStart w:id="29" w:name="_Hlk187070278"/>
      <w:r w:rsidRPr="002318C9">
        <w:rPr>
          <w:rFonts w:ascii="Times New Roman" w:hAnsi="Times New Roman" w:cs="Times New Roman"/>
          <w:i/>
          <w:iCs/>
        </w:rPr>
        <w:t>New York Times,</w:t>
      </w:r>
      <w:r w:rsidRPr="002318C9">
        <w:rPr>
          <w:rFonts w:ascii="Times New Roman" w:hAnsi="Times New Roman" w:cs="Times New Roman"/>
        </w:rPr>
        <w:t xml:space="preserve"> February 2, 1869; Joseph Fabens to Nathaniel Banks, January 18, 1869, Nathaniel P. Banks Papers, Library of Congress.</w:t>
      </w:r>
      <w:bookmarkEnd w:id="29"/>
    </w:p>
  </w:footnote>
  <w:footnote w:id="478">
    <w:p w14:paraId="357F80D0" w14:textId="6C7FC6D9"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r w:rsidRPr="002318C9">
        <w:rPr>
          <w:rFonts w:ascii="Times New Roman" w:hAnsi="Times New Roman" w:cs="Times New Roman"/>
          <w:i/>
          <w:iCs/>
        </w:rPr>
        <w:t>Congressional Globe</w:t>
      </w:r>
      <w:r w:rsidRPr="002318C9">
        <w:rPr>
          <w:rFonts w:ascii="Times New Roman" w:hAnsi="Times New Roman" w:cs="Times New Roman"/>
        </w:rPr>
        <w:t>, 40</w:t>
      </w:r>
      <w:r w:rsidRPr="002318C9">
        <w:rPr>
          <w:rFonts w:ascii="Times New Roman" w:hAnsi="Times New Roman" w:cs="Times New Roman"/>
          <w:vertAlign w:val="superscript"/>
        </w:rPr>
        <w:t>th</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769</w:t>
      </w:r>
      <w:r w:rsidR="00F24051">
        <w:rPr>
          <w:rFonts w:ascii="Times New Roman" w:hAnsi="Times New Roman" w:cs="Times New Roman"/>
        </w:rPr>
        <w:t>; Semmes</w:t>
      </w:r>
      <w:r w:rsidR="00874A31">
        <w:rPr>
          <w:rFonts w:ascii="Times New Roman" w:hAnsi="Times New Roman" w:cs="Times New Roman"/>
        </w:rPr>
        <w:t xml:space="preserve">, </w:t>
      </w:r>
      <w:r w:rsidR="00874A31" w:rsidRPr="009F07DA">
        <w:rPr>
          <w:rFonts w:ascii="Times New Roman" w:hAnsi="Times New Roman" w:cs="Times New Roman"/>
          <w:i/>
          <w:iCs/>
        </w:rPr>
        <w:t>Exporting Reconstruction</w:t>
      </w:r>
      <w:r w:rsidR="00874A31">
        <w:rPr>
          <w:rFonts w:ascii="Times New Roman" w:hAnsi="Times New Roman" w:cs="Times New Roman"/>
          <w:i/>
          <w:iCs/>
        </w:rPr>
        <w:t>,</w:t>
      </w:r>
      <w:r w:rsidR="00F24051">
        <w:rPr>
          <w:rFonts w:ascii="Times New Roman" w:hAnsi="Times New Roman" w:cs="Times New Roman"/>
        </w:rPr>
        <w:t xml:space="preserve"> 27-31</w:t>
      </w:r>
    </w:p>
  </w:footnote>
  <w:footnote w:id="479">
    <w:p w14:paraId="777D76B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80">
    <w:p w14:paraId="23402B71" w14:textId="77777777" w:rsidR="00BD6E3A" w:rsidRPr="002318C9" w:rsidRDefault="00BD6E3A" w:rsidP="00BD6E3A">
      <w:pPr>
        <w:pStyle w:val="FootnoteText"/>
        <w:jc w:val="both"/>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30" w:name="_Hlk187070613"/>
      <w:r w:rsidRPr="002318C9">
        <w:rPr>
          <w:rFonts w:ascii="Times New Roman" w:hAnsi="Times New Roman" w:cs="Times New Roman"/>
        </w:rPr>
        <w:t>Joseph Fabens to Nathaniel Banks, February 18, March 24 (telegram), 1869, Nathaniel P. Banks Papers, Library of Congress</w:t>
      </w:r>
      <w:bookmarkEnd w:id="30"/>
      <w:r w:rsidRPr="002318C9">
        <w:rPr>
          <w:rFonts w:ascii="Times New Roman" w:hAnsi="Times New Roman" w:cs="Times New Roman"/>
        </w:rPr>
        <w:t>; William H. Seward to J. Somers Smith, February 15, 1869, Diplomatic Instructions, Special Missions, American Hemisphere, Records of the Department of State, RG 59</w:t>
      </w:r>
    </w:p>
  </w:footnote>
  <w:footnote w:id="481">
    <w:p w14:paraId="6FCF4352" w14:textId="7594D0CD"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Nevins</w:t>
      </w:r>
      <w:r w:rsidR="00240B11">
        <w:rPr>
          <w:rFonts w:ascii="Times New Roman" w:hAnsi="Times New Roman" w:cs="Times New Roman"/>
        </w:rPr>
        <w:t xml:space="preserve">, </w:t>
      </w:r>
      <w:r w:rsidR="00240B11">
        <w:rPr>
          <w:rFonts w:ascii="Times New Roman" w:hAnsi="Times New Roman" w:cs="Times New Roman"/>
          <w:i/>
          <w:iCs/>
        </w:rPr>
        <w:t>Hamilton Fish,</w:t>
      </w:r>
      <w:r w:rsidRPr="002318C9">
        <w:rPr>
          <w:rFonts w:ascii="Times New Roman" w:hAnsi="Times New Roman" w:cs="Times New Roman"/>
        </w:rPr>
        <w:t xml:space="preserve"> 1-65</w:t>
      </w:r>
    </w:p>
  </w:footnote>
  <w:footnote w:id="482">
    <w:p w14:paraId="509DA486" w14:textId="6F831BD6" w:rsidR="009D47E3" w:rsidRPr="009D47E3" w:rsidRDefault="009D47E3">
      <w:pPr>
        <w:pStyle w:val="FootnoteText"/>
        <w:rPr>
          <w:rFonts w:ascii="Times New Roman" w:hAnsi="Times New Roman" w:cs="Times New Roman"/>
        </w:rPr>
      </w:pPr>
      <w:r>
        <w:rPr>
          <w:rStyle w:val="FootnoteReference"/>
        </w:rPr>
        <w:footnoteRef/>
      </w:r>
      <w:r w:rsidR="006438EB">
        <w:t xml:space="preserve"> </w:t>
      </w:r>
      <w:r w:rsidR="006438EB">
        <w:rPr>
          <w:rFonts w:ascii="Times New Roman" w:hAnsi="Times New Roman" w:cs="Times New Roman"/>
          <w:i/>
          <w:iCs/>
        </w:rPr>
        <w:t>Hamilton Fish.</w:t>
      </w:r>
      <w:r w:rsidR="006438EB">
        <w:rPr>
          <w:rFonts w:ascii="Times New Roman" w:hAnsi="Times New Roman" w:cs="Times New Roman"/>
        </w:rPr>
        <w:t xml:space="preserve"> [No Date Recorded on Caption Card]. Photograph. </w:t>
      </w:r>
      <w:r>
        <w:rPr>
          <w:rFonts w:ascii="Times New Roman" w:hAnsi="Times New Roman" w:cs="Times New Roman"/>
        </w:rPr>
        <w:t>Courtesy of Library Congress</w:t>
      </w:r>
    </w:p>
  </w:footnote>
  <w:footnote w:id="483">
    <w:p w14:paraId="480B3231" w14:textId="77777777" w:rsidR="00D4420D" w:rsidRPr="002318C9" w:rsidRDefault="00D4420D" w:rsidP="00D4420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Nevins</w:t>
      </w:r>
      <w:r>
        <w:rPr>
          <w:rFonts w:ascii="Times New Roman" w:hAnsi="Times New Roman" w:cs="Times New Roman"/>
        </w:rPr>
        <w:t xml:space="preserve">, </w:t>
      </w:r>
      <w:r>
        <w:rPr>
          <w:rFonts w:ascii="Times New Roman" w:hAnsi="Times New Roman" w:cs="Times New Roman"/>
          <w:i/>
          <w:iCs/>
        </w:rPr>
        <w:t>Hamilton Fish,</w:t>
      </w:r>
      <w:r w:rsidRPr="002318C9">
        <w:rPr>
          <w:rFonts w:ascii="Times New Roman" w:hAnsi="Times New Roman" w:cs="Times New Roman"/>
        </w:rPr>
        <w:t xml:space="preserve"> 66-88</w:t>
      </w:r>
    </w:p>
  </w:footnote>
  <w:footnote w:id="484">
    <w:p w14:paraId="70916621" w14:textId="77777777" w:rsidR="00D4420D" w:rsidRPr="002318C9" w:rsidRDefault="00D4420D" w:rsidP="00D4420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Nevins</w:t>
      </w:r>
      <w:r>
        <w:rPr>
          <w:rFonts w:ascii="Times New Roman" w:hAnsi="Times New Roman" w:cs="Times New Roman"/>
        </w:rPr>
        <w:t xml:space="preserve">, </w:t>
      </w:r>
      <w:r>
        <w:rPr>
          <w:rFonts w:ascii="Times New Roman" w:hAnsi="Times New Roman" w:cs="Times New Roman"/>
          <w:i/>
          <w:iCs/>
        </w:rPr>
        <w:t>Hamilton Fish,</w:t>
      </w:r>
      <w:r w:rsidRPr="002318C9">
        <w:rPr>
          <w:rFonts w:ascii="Times New Roman" w:hAnsi="Times New Roman" w:cs="Times New Roman"/>
        </w:rPr>
        <w:t xml:space="preserve"> 89-104</w:t>
      </w:r>
    </w:p>
  </w:footnote>
  <w:footnote w:id="485">
    <w:p w14:paraId="1507E226" w14:textId="77777777" w:rsidR="00D4420D" w:rsidRPr="002318C9" w:rsidRDefault="00D4420D" w:rsidP="00D4420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 xml:space="preserve">A. Elwood </w:t>
      </w:r>
      <w:r w:rsidRPr="002318C9">
        <w:rPr>
          <w:rFonts w:ascii="Times New Roman" w:hAnsi="Times New Roman" w:cs="Times New Roman"/>
        </w:rPr>
        <w:t xml:space="preserve">Corning, </w:t>
      </w:r>
      <w:r w:rsidRPr="002318C9">
        <w:rPr>
          <w:rFonts w:ascii="Times New Roman" w:hAnsi="Times New Roman" w:cs="Times New Roman"/>
          <w:i/>
          <w:iCs/>
        </w:rPr>
        <w:t>Hamilton Fish</w:t>
      </w:r>
      <w:r w:rsidRPr="002318C9">
        <w:rPr>
          <w:rFonts w:ascii="Times New Roman" w:hAnsi="Times New Roman" w:cs="Times New Roman"/>
        </w:rPr>
        <w:t xml:space="preserve">. New York: The Lanmere Publishing Company, 1918; “The Ten Best Secretaries of State…” American Heritage, 33v1. December 1981. </w:t>
      </w:r>
    </w:p>
  </w:footnote>
  <w:footnote w:id="486">
    <w:p w14:paraId="6A7B7D7B" w14:textId="77777777" w:rsidR="00D4420D" w:rsidRPr="002318C9" w:rsidRDefault="00D4420D" w:rsidP="00D4420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Pr>
          <w:rFonts w:ascii="Times New Roman" w:hAnsi="Times New Roman" w:cs="Times New Roman"/>
        </w:rPr>
        <w:t xml:space="preserve">, </w:t>
      </w:r>
      <w:r w:rsidRPr="002318C9">
        <w:rPr>
          <w:rFonts w:ascii="Times New Roman" w:hAnsi="Times New Roman" w:cs="Times New Roman"/>
          <w:i/>
          <w:iCs/>
        </w:rPr>
        <w:t>The Presidency of Ulysses S. Grant</w:t>
      </w:r>
      <w:r>
        <w:rPr>
          <w:rFonts w:ascii="Times New Roman" w:hAnsi="Times New Roman" w:cs="Times New Roman"/>
          <w:i/>
          <w:iCs/>
        </w:rPr>
        <w:t>,</w:t>
      </w:r>
      <w:r w:rsidRPr="002318C9">
        <w:rPr>
          <w:rFonts w:ascii="Times New Roman" w:hAnsi="Times New Roman" w:cs="Times New Roman"/>
        </w:rPr>
        <w:t xml:space="preserve"> 199-261; Nevins 309-371</w:t>
      </w:r>
    </w:p>
  </w:footnote>
  <w:footnote w:id="487">
    <w:p w14:paraId="23922168" w14:textId="79AEFE76"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B535E">
        <w:rPr>
          <w:rFonts w:ascii="Times New Roman" w:hAnsi="Times New Roman" w:cs="Times New Roman"/>
        </w:rPr>
        <w:t xml:space="preserve">Stephen </w:t>
      </w:r>
      <w:r w:rsidRPr="002318C9">
        <w:rPr>
          <w:rFonts w:ascii="Times New Roman" w:hAnsi="Times New Roman" w:cs="Times New Roman"/>
        </w:rPr>
        <w:t xml:space="preserve">Puleo, </w:t>
      </w:r>
      <w:r w:rsidRPr="002318C9">
        <w:rPr>
          <w:rFonts w:ascii="Times New Roman" w:hAnsi="Times New Roman" w:cs="Times New Roman"/>
          <w:i/>
          <w:iCs/>
        </w:rPr>
        <w:t>The Great Abolitionist: Charles Sumner and the Fight for a More Perfect Union</w:t>
      </w:r>
      <w:r w:rsidRPr="002318C9">
        <w:rPr>
          <w:rFonts w:ascii="Times New Roman" w:hAnsi="Times New Roman" w:cs="Times New Roman"/>
        </w:rPr>
        <w:t>. New York: St. Martin’s Press, 2024.</w:t>
      </w:r>
    </w:p>
  </w:footnote>
  <w:footnote w:id="488">
    <w:p w14:paraId="3818504C" w14:textId="63B942FD"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Puleo</w:t>
      </w:r>
      <w:r w:rsidR="00D65753">
        <w:rPr>
          <w:rFonts w:ascii="Times New Roman" w:hAnsi="Times New Roman" w:cs="Times New Roman"/>
        </w:rPr>
        <w:t xml:space="preserve">, </w:t>
      </w:r>
      <w:r w:rsidR="00D65753">
        <w:rPr>
          <w:rFonts w:ascii="Times New Roman" w:hAnsi="Times New Roman" w:cs="Times New Roman"/>
          <w:i/>
          <w:iCs/>
        </w:rPr>
        <w:t>The Great Abolitionist</w:t>
      </w:r>
      <w:r w:rsidRPr="002318C9">
        <w:rPr>
          <w:rFonts w:ascii="Times New Roman" w:hAnsi="Times New Roman" w:cs="Times New Roman"/>
        </w:rPr>
        <w:t xml:space="preserve">; </w:t>
      </w:r>
      <w:r w:rsidR="004B535E">
        <w:rPr>
          <w:rFonts w:ascii="Times New Roman" w:hAnsi="Times New Roman" w:cs="Times New Roman"/>
        </w:rPr>
        <w:t xml:space="preserve">George H. </w:t>
      </w:r>
      <w:r w:rsidRPr="002318C9">
        <w:rPr>
          <w:rFonts w:ascii="Times New Roman" w:hAnsi="Times New Roman" w:cs="Times New Roman"/>
        </w:rPr>
        <w:t>Haynes,</w:t>
      </w:r>
      <w:r w:rsidR="004B535E">
        <w:rPr>
          <w:rFonts w:ascii="Times New Roman" w:hAnsi="Times New Roman" w:cs="Times New Roman"/>
        </w:rPr>
        <w:t xml:space="preserve"> </w:t>
      </w:r>
      <w:r w:rsidRPr="002318C9">
        <w:rPr>
          <w:rFonts w:ascii="Times New Roman" w:hAnsi="Times New Roman" w:cs="Times New Roman"/>
          <w:i/>
          <w:iCs/>
        </w:rPr>
        <w:t>Charles Sumner: American Crisis Biographies.</w:t>
      </w:r>
      <w:r w:rsidRPr="002318C9">
        <w:rPr>
          <w:rFonts w:ascii="Times New Roman" w:hAnsi="Times New Roman" w:cs="Times New Roman"/>
        </w:rPr>
        <w:t xml:space="preserve"> Philadelphia, PA: George W. Jacobs &amp; Company, 1909.</w:t>
      </w:r>
    </w:p>
  </w:footnote>
  <w:footnote w:id="489">
    <w:p w14:paraId="17CD525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90">
    <w:p w14:paraId="3ADBDE0B" w14:textId="49ED89B8"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Puleo</w:t>
      </w:r>
      <w:r w:rsidR="00D65753">
        <w:rPr>
          <w:rFonts w:ascii="Times New Roman" w:hAnsi="Times New Roman" w:cs="Times New Roman"/>
        </w:rPr>
        <w:t xml:space="preserve">, </w:t>
      </w:r>
      <w:r w:rsidR="00D65753">
        <w:rPr>
          <w:rFonts w:ascii="Times New Roman" w:hAnsi="Times New Roman" w:cs="Times New Roman"/>
          <w:i/>
          <w:iCs/>
        </w:rPr>
        <w:t>The Great Abolitionist</w:t>
      </w:r>
      <w:r w:rsidRPr="002318C9">
        <w:rPr>
          <w:rFonts w:ascii="Times New Roman" w:hAnsi="Times New Roman" w:cs="Times New Roman"/>
        </w:rPr>
        <w:t xml:space="preserve">; </w:t>
      </w:r>
      <w:r w:rsidR="004B535E">
        <w:rPr>
          <w:rFonts w:ascii="Times New Roman" w:hAnsi="Times New Roman" w:cs="Times New Roman"/>
        </w:rPr>
        <w:t>Haynes</w:t>
      </w:r>
      <w:r w:rsidR="00D65753">
        <w:rPr>
          <w:rFonts w:ascii="Times New Roman" w:hAnsi="Times New Roman" w:cs="Times New Roman"/>
        </w:rPr>
        <w:t xml:space="preserve">, </w:t>
      </w:r>
      <w:r w:rsidR="00D65753">
        <w:rPr>
          <w:rFonts w:ascii="Times New Roman" w:hAnsi="Times New Roman" w:cs="Times New Roman"/>
          <w:i/>
          <w:iCs/>
        </w:rPr>
        <w:t>Charles Sumner</w:t>
      </w:r>
      <w:r w:rsidRPr="002318C9">
        <w:rPr>
          <w:rFonts w:ascii="Times New Roman" w:hAnsi="Times New Roman" w:cs="Times New Roman"/>
        </w:rPr>
        <w:t xml:space="preserve">; </w:t>
      </w:r>
      <w:r w:rsidR="004B535E">
        <w:rPr>
          <w:rFonts w:ascii="Times New Roman" w:hAnsi="Times New Roman" w:cs="Times New Roman"/>
        </w:rPr>
        <w:t xml:space="preserve">David </w:t>
      </w:r>
      <w:r w:rsidRPr="002318C9">
        <w:rPr>
          <w:rFonts w:ascii="Times New Roman" w:hAnsi="Times New Roman" w:cs="Times New Roman"/>
        </w:rPr>
        <w:t xml:space="preserve">Donald, </w:t>
      </w:r>
      <w:r w:rsidRPr="002318C9">
        <w:rPr>
          <w:rFonts w:ascii="Times New Roman" w:hAnsi="Times New Roman" w:cs="Times New Roman"/>
          <w:i/>
          <w:iCs/>
        </w:rPr>
        <w:t>Charles Sumner and the Rights of Man</w:t>
      </w:r>
      <w:r w:rsidRPr="002318C9">
        <w:rPr>
          <w:rFonts w:ascii="Times New Roman" w:hAnsi="Times New Roman" w:cs="Times New Roman"/>
        </w:rPr>
        <w:t>. New York, NY: Alfred A. Knopf, 1970.</w:t>
      </w:r>
    </w:p>
  </w:footnote>
  <w:footnote w:id="491">
    <w:p w14:paraId="1FE22610" w14:textId="2AE70FCC"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Charles Sumner to S.G. Howe, March 28, April 25, 1869, Charles Sumner Papers</w:t>
      </w:r>
      <w:r w:rsidR="004B535E">
        <w:rPr>
          <w:rFonts w:ascii="Times New Roman" w:hAnsi="Times New Roman" w:cs="Times New Roman"/>
        </w:rPr>
        <w:t>, Princeton University Library</w:t>
      </w:r>
    </w:p>
  </w:footnote>
  <w:footnote w:id="492">
    <w:p w14:paraId="41DAF40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Hamilton Fish to Charles Sumner, March 13, 1869, Charles Sumner Papers</w:t>
      </w:r>
    </w:p>
  </w:footnote>
  <w:footnote w:id="493">
    <w:p w14:paraId="07D07D93"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94">
    <w:p w14:paraId="646E1963" w14:textId="6B7C656C"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151-178</w:t>
      </w:r>
    </w:p>
  </w:footnote>
  <w:footnote w:id="495">
    <w:p w14:paraId="6ED0D283"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496">
    <w:p w14:paraId="5C28ECD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r w:rsidRPr="002318C9">
        <w:rPr>
          <w:rFonts w:ascii="Times New Roman" w:hAnsi="Times New Roman" w:cs="Times New Roman"/>
          <w:i/>
          <w:iCs/>
        </w:rPr>
        <w:t>New York Herald</w:t>
      </w:r>
      <w:r w:rsidRPr="002318C9">
        <w:rPr>
          <w:rFonts w:ascii="Times New Roman" w:hAnsi="Times New Roman" w:cs="Times New Roman"/>
        </w:rPr>
        <w:t>, June 3, 1869</w:t>
      </w:r>
    </w:p>
  </w:footnote>
  <w:footnote w:id="497">
    <w:p w14:paraId="2912DAAF" w14:textId="676B2D2D"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158-178</w:t>
      </w:r>
    </w:p>
  </w:footnote>
  <w:footnote w:id="498">
    <w:p w14:paraId="535C389A" w14:textId="0A897008"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201AE1">
        <w:rPr>
          <w:rFonts w:ascii="Times New Roman" w:hAnsi="Times New Roman" w:cs="Times New Roman"/>
        </w:rPr>
        <w:t xml:space="preserve">, </w:t>
      </w:r>
      <w:r w:rsidR="00201AE1" w:rsidRPr="002318C9">
        <w:rPr>
          <w:rFonts w:ascii="Times New Roman" w:hAnsi="Times New Roman" w:cs="Times New Roman"/>
          <w:i/>
          <w:iCs/>
        </w:rPr>
        <w:t>The Presidency of Ulysses S. Grant</w:t>
      </w:r>
      <w:r w:rsidR="00201AE1">
        <w:rPr>
          <w:rFonts w:ascii="Times New Roman" w:hAnsi="Times New Roman" w:cs="Times New Roman"/>
          <w:i/>
          <w:iCs/>
        </w:rPr>
        <w:t>,</w:t>
      </w:r>
      <w:r w:rsidRPr="002318C9">
        <w:rPr>
          <w:rFonts w:ascii="Times New Roman" w:hAnsi="Times New Roman" w:cs="Times New Roman"/>
        </w:rPr>
        <w:t xml:space="preserve"> 179-198</w:t>
      </w:r>
    </w:p>
  </w:footnote>
  <w:footnote w:id="499">
    <w:p w14:paraId="13F43B4C" w14:textId="36FE5FA6"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Joseph Fabens to Hamilton Fish, March 27, April 1, 1869, Notes from the Legation of the Dominican Republic, RG 59; Hamilton Fish diary, April 5-6, 1869</w:t>
      </w:r>
      <w:r w:rsidR="00423663">
        <w:rPr>
          <w:rFonts w:ascii="Times New Roman" w:hAnsi="Times New Roman" w:cs="Times New Roman"/>
        </w:rPr>
        <w:t>, Hamilton Fish Papers, Library of Congress</w:t>
      </w:r>
    </w:p>
  </w:footnote>
  <w:footnote w:id="500">
    <w:p w14:paraId="1B9393CD" w14:textId="38C929D1"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31" w:name="_Hlk187149506"/>
      <w:r w:rsidRPr="002318C9">
        <w:rPr>
          <w:rFonts w:ascii="Times New Roman" w:hAnsi="Times New Roman" w:cs="Times New Roman"/>
        </w:rPr>
        <w:t xml:space="preserve">Joseph Fabens to Nathaniel P. Banks, telegram, March 24, 1869, Nathaniel P. Banks Papers; Joseph Fabens to [?], April 7, [1869], Joseph Fabens Papers </w:t>
      </w:r>
      <w:bookmarkEnd w:id="31"/>
      <w:r w:rsidRPr="002318C9">
        <w:rPr>
          <w:rFonts w:ascii="Times New Roman" w:hAnsi="Times New Roman" w:cs="Times New Roman"/>
        </w:rPr>
        <w:t>(it is unclear who the exact recipient of this letter was, but based on the evidence within the letter, it is safe to assume that its intended recipient was Mrs. Fabens</w:t>
      </w:r>
      <w:r w:rsidR="00D65753">
        <w:rPr>
          <w:rFonts w:ascii="Times New Roman" w:hAnsi="Times New Roman" w:cs="Times New Roman"/>
        </w:rPr>
        <w:t>)</w:t>
      </w:r>
      <w:r w:rsidRPr="002318C9">
        <w:rPr>
          <w:rFonts w:ascii="Times New Roman" w:hAnsi="Times New Roman" w:cs="Times New Roman"/>
        </w:rPr>
        <w:t>.</w:t>
      </w:r>
    </w:p>
  </w:footnote>
  <w:footnote w:id="501">
    <w:p w14:paraId="0799D40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April 5-6, 1869</w:t>
      </w:r>
    </w:p>
  </w:footnote>
  <w:footnote w:id="502">
    <w:p w14:paraId="3366C424"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Tansill, </w:t>
      </w:r>
      <w:r w:rsidRPr="002318C9">
        <w:rPr>
          <w:rFonts w:ascii="Times New Roman" w:hAnsi="Times New Roman" w:cs="Times New Roman"/>
          <w:i/>
          <w:iCs/>
        </w:rPr>
        <w:t>United States and Santo Domingo</w:t>
      </w:r>
      <w:r w:rsidRPr="002318C9">
        <w:rPr>
          <w:rFonts w:ascii="Times New Roman" w:hAnsi="Times New Roman" w:cs="Times New Roman"/>
        </w:rPr>
        <w:t>, 350-354</w:t>
      </w:r>
    </w:p>
  </w:footnote>
  <w:footnote w:id="503">
    <w:p w14:paraId="087F5F24"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Edward Thornton to the Earl of Clarendon, May 17, 1869, Public Record Office Microfilm Records, Library of Congress</w:t>
      </w:r>
    </w:p>
  </w:footnote>
  <w:footnote w:id="504">
    <w:p w14:paraId="19719530" w14:textId="08B9D81A" w:rsidR="00BD6E3A" w:rsidRPr="00D65753" w:rsidRDefault="00BD6E3A" w:rsidP="00BD6E3A">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Many scholars have devoted their entire careers to considering the dynamics of race and race relations in Reconstruction-Era America, and still more considerations are emerging from new scholars.  For readers interested in more detail on considerations of race during Reconstruction, consult the following: Foner</w:t>
      </w:r>
      <w:r w:rsidR="00207DDD">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Reconstruction</w:t>
      </w:r>
      <w:r w:rsidRPr="002318C9">
        <w:rPr>
          <w:rFonts w:ascii="Times New Roman" w:hAnsi="Times New Roman" w:cs="Times New Roman"/>
        </w:rPr>
        <w:t xml:space="preserve">; </w:t>
      </w:r>
      <w:r w:rsidR="00F004E5">
        <w:rPr>
          <w:rFonts w:ascii="Times New Roman" w:hAnsi="Times New Roman" w:cs="Times New Roman"/>
        </w:rPr>
        <w:t xml:space="preserve">Elizabeth </w:t>
      </w:r>
      <w:r w:rsidRPr="002318C9">
        <w:rPr>
          <w:rFonts w:ascii="Times New Roman" w:hAnsi="Times New Roman" w:cs="Times New Roman"/>
        </w:rPr>
        <w:t xml:space="preserve">Clark-Lewis, </w:t>
      </w:r>
      <w:r w:rsidRPr="002318C9">
        <w:rPr>
          <w:rFonts w:ascii="Times New Roman" w:hAnsi="Times New Roman" w:cs="Times New Roman"/>
          <w:i/>
          <w:iCs/>
        </w:rPr>
        <w:t>First Freed: Washington, D.C. in the Emancipation Era</w:t>
      </w:r>
      <w:r w:rsidRPr="002318C9">
        <w:rPr>
          <w:rFonts w:ascii="Times New Roman" w:hAnsi="Times New Roman" w:cs="Times New Roman"/>
        </w:rPr>
        <w:t xml:space="preserve">. Washington: Howard University Press, 2002; </w:t>
      </w:r>
      <w:r w:rsidR="00F004E5">
        <w:rPr>
          <w:rFonts w:ascii="Times New Roman" w:hAnsi="Times New Roman" w:cs="Times New Roman"/>
        </w:rPr>
        <w:t xml:space="preserve">John Hope </w:t>
      </w:r>
      <w:r w:rsidRPr="002318C9">
        <w:rPr>
          <w:rFonts w:ascii="Times New Roman" w:hAnsi="Times New Roman" w:cs="Times New Roman"/>
        </w:rPr>
        <w:t xml:space="preserve">Franklin, </w:t>
      </w:r>
      <w:r w:rsidRPr="002318C9">
        <w:rPr>
          <w:rFonts w:ascii="Times New Roman" w:hAnsi="Times New Roman" w:cs="Times New Roman"/>
          <w:i/>
          <w:iCs/>
        </w:rPr>
        <w:t>Reconstruction: After the Civil War</w:t>
      </w:r>
      <w:r w:rsidRPr="002318C9">
        <w:rPr>
          <w:rFonts w:ascii="Times New Roman" w:hAnsi="Times New Roman" w:cs="Times New Roman"/>
        </w:rPr>
        <w:t xml:space="preserve">. Chicago, IL: University of Chicago Press, 1961; </w:t>
      </w:r>
      <w:r w:rsidR="00F004E5">
        <w:rPr>
          <w:rFonts w:ascii="Times New Roman" w:hAnsi="Times New Roman" w:cs="Times New Roman"/>
        </w:rPr>
        <w:t xml:space="preserve">Robert </w:t>
      </w:r>
      <w:r w:rsidRPr="002318C9">
        <w:rPr>
          <w:rFonts w:ascii="Times New Roman" w:hAnsi="Times New Roman" w:cs="Times New Roman"/>
        </w:rPr>
        <w:t>Harrison</w:t>
      </w:r>
      <w:r w:rsidR="001E1393">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Washington during Civil War and Reconstruction: Race and Radicalism</w:t>
      </w:r>
      <w:r w:rsidRPr="002318C9">
        <w:rPr>
          <w:rFonts w:ascii="Times New Roman" w:hAnsi="Times New Roman" w:cs="Times New Roman"/>
        </w:rPr>
        <w:t xml:space="preserve">. New York: Cambridge University Press, 2011; </w:t>
      </w:r>
      <w:r w:rsidR="00F004E5">
        <w:rPr>
          <w:rFonts w:ascii="Times New Roman" w:hAnsi="Times New Roman" w:cs="Times New Roman"/>
        </w:rPr>
        <w:t xml:space="preserve">Charles </w:t>
      </w:r>
      <w:r w:rsidRPr="002318C9">
        <w:rPr>
          <w:rFonts w:ascii="Times New Roman" w:hAnsi="Times New Roman" w:cs="Times New Roman"/>
        </w:rPr>
        <w:t xml:space="preserve">Lane, </w:t>
      </w:r>
      <w:r w:rsidRPr="002318C9">
        <w:rPr>
          <w:rFonts w:ascii="Times New Roman" w:hAnsi="Times New Roman" w:cs="Times New Roman"/>
          <w:i/>
          <w:iCs/>
        </w:rPr>
        <w:t>Freedom's Detective: The Secret Service, the Ku Klux Klan and the Man Who Masterminded America's First War on Terror.</w:t>
      </w:r>
      <w:r w:rsidRPr="002318C9">
        <w:rPr>
          <w:rFonts w:ascii="Times New Roman" w:hAnsi="Times New Roman" w:cs="Times New Roman"/>
        </w:rPr>
        <w:t xml:space="preserve"> New York: Hanover Square Press, 2019; and Richard White</w:t>
      </w:r>
      <w:r w:rsidR="00D65753">
        <w:rPr>
          <w:rFonts w:ascii="Times New Roman" w:hAnsi="Times New Roman" w:cs="Times New Roman"/>
        </w:rPr>
        <w:t xml:space="preserve">, </w:t>
      </w:r>
      <w:r w:rsidR="00D65753">
        <w:rPr>
          <w:rFonts w:ascii="Times New Roman" w:hAnsi="Times New Roman" w:cs="Times New Roman"/>
          <w:i/>
          <w:iCs/>
        </w:rPr>
        <w:t>Republic for Which It Stands</w:t>
      </w:r>
    </w:p>
  </w:footnote>
  <w:footnote w:id="505">
    <w:p w14:paraId="35751340" w14:textId="75D2B409"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1E1393">
        <w:rPr>
          <w:rFonts w:ascii="Times New Roman" w:hAnsi="Times New Roman" w:cs="Times New Roman"/>
        </w:rPr>
        <w:t xml:space="preserve">, </w:t>
      </w:r>
      <w:r w:rsidR="001E1393" w:rsidRPr="002318C9">
        <w:rPr>
          <w:rFonts w:ascii="Times New Roman" w:hAnsi="Times New Roman" w:cs="Times New Roman"/>
          <w:i/>
          <w:iCs/>
        </w:rPr>
        <w:t>The Presidency of Ulysses S. Grant</w:t>
      </w:r>
      <w:r w:rsidR="001E1393">
        <w:rPr>
          <w:rFonts w:ascii="Times New Roman" w:hAnsi="Times New Roman" w:cs="Times New Roman"/>
          <w:i/>
          <w:iCs/>
        </w:rPr>
        <w:t>,</w:t>
      </w:r>
      <w:r w:rsidRPr="002318C9">
        <w:rPr>
          <w:rFonts w:ascii="Times New Roman" w:hAnsi="Times New Roman" w:cs="Times New Roman"/>
        </w:rPr>
        <w:t xml:space="preserve"> 206; Senate Executive Document No. 34,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w:t>
      </w:r>
    </w:p>
  </w:footnote>
  <w:footnote w:id="506">
    <w:p w14:paraId="67705CA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07">
    <w:p w14:paraId="5C9F9423"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08">
    <w:p w14:paraId="7102ED43"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09">
    <w:p w14:paraId="1855086C" w14:textId="5CFF937F"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Joseph Fabens to J.C. Bancroft Davis, May 27, 1869, J.C. Bancroft Davis Papers</w:t>
      </w:r>
      <w:r w:rsidR="00F004E5">
        <w:rPr>
          <w:rFonts w:ascii="Times New Roman" w:hAnsi="Times New Roman" w:cs="Times New Roman"/>
        </w:rPr>
        <w:t>, Library of Congress</w:t>
      </w:r>
    </w:p>
  </w:footnote>
  <w:footnote w:id="510">
    <w:p w14:paraId="1130CC10" w14:textId="1AB75B9A"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Senate Executive Document No. 17,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w:t>
      </w:r>
      <w:bookmarkStart w:id="32" w:name="_Hlk187153527"/>
    </w:p>
    <w:bookmarkEnd w:id="32"/>
  </w:footnote>
  <w:footnote w:id="511">
    <w:p w14:paraId="1811377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Senate Executive Document No. 17,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Hamilton Fish to Benjamin P. Hunt, June 2, 1869 [misfiled], Diplomatic Instructions, Special Missions, RG 59; </w:t>
      </w:r>
    </w:p>
  </w:footnote>
  <w:footnote w:id="512">
    <w:p w14:paraId="678985CD" w14:textId="20AAEC86"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Spofford, Tilleston to Hamilton Fish, June 8, 1869, Hamilton Fish Papers;</w:t>
      </w:r>
      <w:r w:rsidRPr="002318C9">
        <w:rPr>
          <w:rFonts w:ascii="Times New Roman" w:hAnsi="Times New Roman" w:cs="Times New Roman"/>
          <w:i/>
          <w:iCs/>
        </w:rPr>
        <w:t xml:space="preserve"> </w:t>
      </w:r>
      <w:r w:rsidR="00F004E5">
        <w:rPr>
          <w:rFonts w:ascii="Times New Roman" w:hAnsi="Times New Roman" w:cs="Times New Roman"/>
        </w:rPr>
        <w:t xml:space="preserve">John Simon, ed., </w:t>
      </w:r>
      <w:r w:rsidR="00F004E5">
        <w:rPr>
          <w:rFonts w:ascii="Times New Roman" w:hAnsi="Times New Roman" w:cs="Times New Roman"/>
          <w:i/>
          <w:iCs/>
        </w:rPr>
        <w:t>The Papers of Ulysses S. Grant, 21</w:t>
      </w:r>
      <w:r w:rsidR="00F004E5">
        <w:rPr>
          <w:rFonts w:ascii="Times New Roman" w:hAnsi="Times New Roman" w:cs="Times New Roman"/>
        </w:rPr>
        <w:t>. Carbondale: Southern Illinois University Press, 199</w:t>
      </w:r>
      <w:r w:rsidR="002771A3">
        <w:rPr>
          <w:rFonts w:ascii="Times New Roman" w:hAnsi="Times New Roman" w:cs="Times New Roman"/>
        </w:rPr>
        <w:t>8</w:t>
      </w:r>
      <w:r w:rsidR="00F004E5">
        <w:rPr>
          <w:rFonts w:ascii="Times New Roman" w:hAnsi="Times New Roman" w:cs="Times New Roman"/>
        </w:rPr>
        <w:t xml:space="preserve">. </w:t>
      </w:r>
      <w:r w:rsidRPr="002318C9">
        <w:rPr>
          <w:rFonts w:ascii="Times New Roman" w:hAnsi="Times New Roman" w:cs="Times New Roman"/>
        </w:rPr>
        <w:t>290</w:t>
      </w:r>
    </w:p>
  </w:footnote>
  <w:footnote w:id="513">
    <w:p w14:paraId="21DF04C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Joseph Fabens to Hamilton Fish, July 1, 9, Notes from the Legation of the Dominican Republic, RG 59</w:t>
      </w:r>
    </w:p>
  </w:footnote>
  <w:footnote w:id="514">
    <w:p w14:paraId="03C82BEE"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Orville Babcock diary, August 9, 1869, Orville Babcock Papers, Ulysses S. Grant Presidential Library</w:t>
      </w:r>
    </w:p>
  </w:footnote>
  <w:footnote w:id="515">
    <w:p w14:paraId="3149FBD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p>
  </w:footnote>
  <w:footnote w:id="516">
    <w:p w14:paraId="7E4E36C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17">
    <w:p w14:paraId="199920F4"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18">
    <w:p w14:paraId="2291F96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p>
  </w:footnote>
  <w:footnote w:id="519">
    <w:p w14:paraId="55197FD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Hamilton Fish to Orville Babcock, July 13, 1869, Notes from the Legation of the Dominican Republic, RG 59; Senate Executive Document No. 17,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w:t>
      </w:r>
    </w:p>
  </w:footnote>
  <w:footnote w:id="520">
    <w:p w14:paraId="4E4A476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21">
    <w:p w14:paraId="12A119C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22">
    <w:p w14:paraId="496689FC" w14:textId="0D6A648B"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w:t>
      </w:r>
      <w:r w:rsidR="002771A3">
        <w:rPr>
          <w:rFonts w:ascii="Times New Roman" w:hAnsi="Times New Roman" w:cs="Times New Roman"/>
        </w:rPr>
        <w:t xml:space="preserve">Simon, </w:t>
      </w:r>
      <w:r w:rsidRPr="002318C9">
        <w:rPr>
          <w:rFonts w:ascii="Times New Roman" w:hAnsi="Times New Roman" w:cs="Times New Roman"/>
          <w:i/>
          <w:iCs/>
        </w:rPr>
        <w:t>Papers of Ulysses S. Grant</w:t>
      </w:r>
      <w:r w:rsidRPr="002318C9">
        <w:rPr>
          <w:rFonts w:ascii="Times New Roman" w:hAnsi="Times New Roman" w:cs="Times New Roman"/>
        </w:rPr>
        <w:t xml:space="preserve"> 20:179; Orville Babcock Diary, August 13, 1869, Orville Babcock Papers</w:t>
      </w:r>
      <w:r w:rsidR="002771A3">
        <w:rPr>
          <w:rFonts w:ascii="Times New Roman" w:hAnsi="Times New Roman" w:cs="Times New Roman"/>
        </w:rPr>
        <w:t>, Ulysses S. Grant Presidential Library</w:t>
      </w:r>
    </w:p>
  </w:footnote>
  <w:footnote w:id="523">
    <w:p w14:paraId="7DC86634" w14:textId="337AEBB1"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Orville Babcock Diary, July 17-August 25, 1869, Orville Babcock Papers</w:t>
      </w:r>
      <w:r w:rsidR="002771A3">
        <w:rPr>
          <w:rFonts w:ascii="Times New Roman" w:hAnsi="Times New Roman" w:cs="Times New Roman"/>
        </w:rPr>
        <w:t>, USGPL</w:t>
      </w:r>
    </w:p>
  </w:footnote>
  <w:footnote w:id="524">
    <w:p w14:paraId="0C05DB0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25">
    <w:p w14:paraId="57B0FC1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26">
    <w:p w14:paraId="3BC459B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27">
    <w:p w14:paraId="76B3C83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Orville Babcock to Annie Campbell Babcock, July 31, 1869, Orville Babcock Papers, Newberry Library </w:t>
      </w:r>
    </w:p>
  </w:footnote>
  <w:footnote w:id="528">
    <w:p w14:paraId="6A15631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29">
    <w:p w14:paraId="5187334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30">
    <w:p w14:paraId="4AC8424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31">
    <w:p w14:paraId="7FA2884F" w14:textId="0741E603"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“Tuesday, July 26</w:t>
      </w:r>
      <w:r w:rsidR="00D65753">
        <w:rPr>
          <w:rFonts w:ascii="Times New Roman" w:hAnsi="Times New Roman" w:cs="Times New Roman"/>
        </w:rPr>
        <w:t xml:space="preserve"> </w:t>
      </w:r>
      <w:r w:rsidRPr="002318C9">
        <w:rPr>
          <w:rFonts w:ascii="Times New Roman" w:hAnsi="Times New Roman" w:cs="Times New Roman"/>
        </w:rPr>
        <w:t>[27],” 1869, Orville Babcock Papers</w:t>
      </w:r>
      <w:r w:rsidR="002771A3">
        <w:rPr>
          <w:rFonts w:ascii="Times New Roman" w:hAnsi="Times New Roman" w:cs="Times New Roman"/>
        </w:rPr>
        <w:t>, USGPL</w:t>
      </w:r>
      <w:r w:rsidRPr="002318C9">
        <w:rPr>
          <w:rFonts w:ascii="Times New Roman" w:hAnsi="Times New Roman" w:cs="Times New Roman"/>
        </w:rPr>
        <w:t>; Babcock marked that this landing took place on Tuesday July 26</w:t>
      </w:r>
      <w:r w:rsidRPr="002318C9">
        <w:rPr>
          <w:rFonts w:ascii="Times New Roman" w:hAnsi="Times New Roman" w:cs="Times New Roman"/>
          <w:vertAlign w:val="superscript"/>
        </w:rPr>
        <w:t>th</w:t>
      </w:r>
      <w:r w:rsidRPr="002318C9">
        <w:rPr>
          <w:rFonts w:ascii="Times New Roman" w:hAnsi="Times New Roman" w:cs="Times New Roman"/>
        </w:rPr>
        <w:t>, but for the year and month in question, that Tuesday was July 27</w:t>
      </w:r>
      <w:r w:rsidRPr="002318C9">
        <w:rPr>
          <w:rFonts w:ascii="Times New Roman" w:hAnsi="Times New Roman" w:cs="Times New Roman"/>
          <w:vertAlign w:val="superscript"/>
        </w:rPr>
        <w:t>th</w:t>
      </w:r>
      <w:r w:rsidRPr="002318C9">
        <w:rPr>
          <w:rFonts w:ascii="Times New Roman" w:hAnsi="Times New Roman" w:cs="Times New Roman"/>
        </w:rPr>
        <w:t>. The evidence within this diary entry indicate that this was the correct date for Babcock’s party’s landing in Santo Domingo.</w:t>
      </w:r>
    </w:p>
  </w:footnote>
  <w:footnote w:id="532">
    <w:p w14:paraId="1954309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33">
    <w:p w14:paraId="4DD8EE4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Robert E. May, “Lobbyists for Commercial Empire: Jane Cazneau, William Cazneau, and U.S. Caribbean Policy, 1846-1878.” </w:t>
      </w:r>
      <w:r w:rsidRPr="002318C9">
        <w:rPr>
          <w:rFonts w:ascii="Times New Roman" w:hAnsi="Times New Roman" w:cs="Times New Roman"/>
          <w:i/>
          <w:iCs/>
        </w:rPr>
        <w:t xml:space="preserve">Pacific Historical Review </w:t>
      </w:r>
      <w:r w:rsidRPr="002318C9">
        <w:rPr>
          <w:rFonts w:ascii="Times New Roman" w:hAnsi="Times New Roman" w:cs="Times New Roman"/>
        </w:rPr>
        <w:t>48 (1979): 383-412.</w:t>
      </w:r>
    </w:p>
  </w:footnote>
  <w:footnote w:id="534">
    <w:p w14:paraId="163A7A2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35">
    <w:p w14:paraId="5C6C176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36">
    <w:p w14:paraId="39C9EACF" w14:textId="1E6B46CF"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July 28-August 3, 1869, Orville Babcock Papers</w:t>
      </w:r>
      <w:r w:rsidR="002771A3">
        <w:rPr>
          <w:rFonts w:ascii="Times New Roman" w:hAnsi="Times New Roman" w:cs="Times New Roman"/>
        </w:rPr>
        <w:t>, USGPL</w:t>
      </w:r>
      <w:r w:rsidRPr="002318C9">
        <w:rPr>
          <w:rFonts w:ascii="Times New Roman" w:hAnsi="Times New Roman" w:cs="Times New Roman"/>
        </w:rPr>
        <w:t>; Orville Babcock to “Mr. Ringwood,” July 26, 1869, Orville Babcock Papers</w:t>
      </w:r>
      <w:r w:rsidR="002771A3">
        <w:rPr>
          <w:rFonts w:ascii="Times New Roman" w:hAnsi="Times New Roman" w:cs="Times New Roman"/>
        </w:rPr>
        <w:t>, USGPL</w:t>
      </w:r>
    </w:p>
  </w:footnote>
  <w:footnote w:id="537">
    <w:p w14:paraId="1241E9B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38">
    <w:p w14:paraId="05B07F4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39">
    <w:p w14:paraId="5F109B0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40">
    <w:p w14:paraId="1B18C85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41">
    <w:p w14:paraId="20C9A4A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42">
    <w:p w14:paraId="72BEF46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43">
    <w:p w14:paraId="22B33424" w14:textId="441B1153" w:rsidR="00BD6E3A" w:rsidRPr="00D65753"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August 7-22, 1869, Orville Babcock Papers</w:t>
      </w:r>
      <w:r w:rsidR="002771A3">
        <w:rPr>
          <w:rFonts w:ascii="Times New Roman" w:hAnsi="Times New Roman" w:cs="Times New Roman"/>
        </w:rPr>
        <w:t>, USGPL</w:t>
      </w:r>
      <w:r w:rsidRPr="002318C9">
        <w:rPr>
          <w:rFonts w:ascii="Times New Roman" w:hAnsi="Times New Roman" w:cs="Times New Roman"/>
        </w:rPr>
        <w:t xml:space="preserve">; Tansill, </w:t>
      </w:r>
      <w:r w:rsidRPr="002318C9">
        <w:rPr>
          <w:rFonts w:ascii="Times New Roman" w:hAnsi="Times New Roman" w:cs="Times New Roman"/>
          <w:i/>
          <w:iCs/>
        </w:rPr>
        <w:t>United States and Santo Domingo</w:t>
      </w:r>
      <w:r w:rsidRPr="002318C9">
        <w:rPr>
          <w:rFonts w:ascii="Times New Roman" w:hAnsi="Times New Roman" w:cs="Times New Roman"/>
        </w:rPr>
        <w:t>, 345-350; Nelson</w:t>
      </w:r>
      <w:r w:rsidR="00D65753">
        <w:rPr>
          <w:rFonts w:ascii="Times New Roman" w:hAnsi="Times New Roman" w:cs="Times New Roman"/>
        </w:rPr>
        <w:t xml:space="preserve">, </w:t>
      </w:r>
      <w:r w:rsidR="00D65753">
        <w:rPr>
          <w:rFonts w:ascii="Times New Roman" w:hAnsi="Times New Roman" w:cs="Times New Roman"/>
          <w:i/>
          <w:iCs/>
        </w:rPr>
        <w:t>Almost a Territory</w:t>
      </w:r>
    </w:p>
  </w:footnote>
  <w:footnote w:id="544">
    <w:p w14:paraId="4FE4146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45">
    <w:p w14:paraId="7BEEBC2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The Hartmont firm expected a repayment of £50,000 on the payment of £37,000</w:t>
      </w:r>
    </w:p>
  </w:footnote>
  <w:footnote w:id="546">
    <w:p w14:paraId="10B4379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47">
    <w:p w14:paraId="6CC5BAE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48">
    <w:p w14:paraId="78A107D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49">
    <w:p w14:paraId="54B692C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50">
    <w:p w14:paraId="7B28D33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51">
    <w:p w14:paraId="683D0F9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52">
    <w:p w14:paraId="098D2AC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53">
    <w:p w14:paraId="07AF740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54">
    <w:p w14:paraId="710318E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55">
    <w:p w14:paraId="1EDFCA3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56">
    <w:p w14:paraId="0A5C4C9D" w14:textId="64761E03"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1869, Orville Babcock Papers</w:t>
      </w:r>
      <w:r w:rsidR="002771A3">
        <w:rPr>
          <w:rFonts w:ascii="Times New Roman" w:hAnsi="Times New Roman" w:cs="Times New Roman"/>
        </w:rPr>
        <w:t>, USGPL</w:t>
      </w:r>
    </w:p>
  </w:footnote>
  <w:footnote w:id="557">
    <w:p w14:paraId="11F3C6DB" w14:textId="619089D9"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August 16-18, 1869, Orville Babcock Papers</w:t>
      </w:r>
      <w:r w:rsidR="002771A3">
        <w:rPr>
          <w:rFonts w:ascii="Times New Roman" w:hAnsi="Times New Roman" w:cs="Times New Roman"/>
        </w:rPr>
        <w:t>, USGPL</w:t>
      </w:r>
    </w:p>
  </w:footnote>
  <w:footnote w:id="558">
    <w:p w14:paraId="50206C4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59">
    <w:p w14:paraId="06E73D96" w14:textId="02FC12CB"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August-</w:t>
      </w:r>
      <w:r w:rsidR="002771A3" w:rsidRPr="002318C9">
        <w:rPr>
          <w:rFonts w:ascii="Times New Roman" w:hAnsi="Times New Roman" w:cs="Times New Roman"/>
        </w:rPr>
        <w:t>November</w:t>
      </w:r>
      <w:r w:rsidRPr="002318C9">
        <w:rPr>
          <w:rFonts w:ascii="Times New Roman" w:hAnsi="Times New Roman" w:cs="Times New Roman"/>
        </w:rPr>
        <w:t xml:space="preserve"> 1869, Orville Babcock Papers</w:t>
      </w:r>
      <w:r w:rsidR="002771A3">
        <w:rPr>
          <w:rFonts w:ascii="Times New Roman" w:hAnsi="Times New Roman" w:cs="Times New Roman"/>
        </w:rPr>
        <w:t xml:space="preserve"> USGPL</w:t>
      </w:r>
      <w:r w:rsidRPr="002318C9">
        <w:rPr>
          <w:rFonts w:ascii="Times New Roman" w:hAnsi="Times New Roman" w:cs="Times New Roman"/>
        </w:rPr>
        <w:t xml:space="preserve">; Hatch Report; Joseph Fabens to Orville Babcock, September 12, 1869, quoted in Nevins, </w:t>
      </w:r>
      <w:r w:rsidRPr="002318C9">
        <w:rPr>
          <w:rFonts w:ascii="Times New Roman" w:hAnsi="Times New Roman" w:cs="Times New Roman"/>
          <w:i/>
          <w:iCs/>
        </w:rPr>
        <w:t>Hamilton Fish</w:t>
      </w:r>
      <w:r w:rsidR="008F6098">
        <w:rPr>
          <w:rFonts w:ascii="Times New Roman" w:hAnsi="Times New Roman" w:cs="Times New Roman"/>
          <w:i/>
          <w:iCs/>
        </w:rPr>
        <w:t>,</w:t>
      </w:r>
      <w:r w:rsidRPr="002318C9">
        <w:rPr>
          <w:rFonts w:ascii="Times New Roman" w:hAnsi="Times New Roman" w:cs="Times New Roman"/>
        </w:rPr>
        <w:t xml:space="preserve"> 276</w:t>
      </w:r>
    </w:p>
  </w:footnote>
  <w:footnote w:id="560">
    <w:p w14:paraId="703249C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61">
    <w:p w14:paraId="5445508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62">
    <w:p w14:paraId="022F20FD" w14:textId="130EE0A5"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August 22-23, 1869, Orville Babcock Papers</w:t>
      </w:r>
      <w:r w:rsidR="002771A3">
        <w:rPr>
          <w:rFonts w:ascii="Times New Roman" w:hAnsi="Times New Roman" w:cs="Times New Roman"/>
        </w:rPr>
        <w:t>, USGPL</w:t>
      </w:r>
    </w:p>
  </w:footnote>
  <w:footnote w:id="563">
    <w:p w14:paraId="65114A7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w:t>
      </w:r>
    </w:p>
  </w:footnote>
  <w:footnote w:id="564">
    <w:p w14:paraId="6363DA01" w14:textId="4F4F356A"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August 22-23, 1869, Orville Babcock Papers</w:t>
      </w:r>
      <w:r w:rsidR="002771A3">
        <w:rPr>
          <w:rFonts w:ascii="Times New Roman" w:hAnsi="Times New Roman" w:cs="Times New Roman"/>
        </w:rPr>
        <w:t>, USGPL</w:t>
      </w:r>
    </w:p>
  </w:footnote>
  <w:footnote w:id="565">
    <w:p w14:paraId="08AF507A" w14:textId="1D49B266"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August 26-28, 1869, Orville Babcock Papers</w:t>
      </w:r>
      <w:r w:rsidR="002771A3">
        <w:rPr>
          <w:rFonts w:ascii="Times New Roman" w:hAnsi="Times New Roman" w:cs="Times New Roman"/>
        </w:rPr>
        <w:t>, USGPL</w:t>
      </w:r>
    </w:p>
  </w:footnote>
  <w:footnote w:id="566">
    <w:p w14:paraId="48AF1251" w14:textId="648A4290"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August 24-28, 1869, Orville Babcock Papers</w:t>
      </w:r>
      <w:r w:rsidR="002771A3">
        <w:rPr>
          <w:rFonts w:ascii="Times New Roman" w:hAnsi="Times New Roman" w:cs="Times New Roman"/>
        </w:rPr>
        <w:t>, USGPL</w:t>
      </w:r>
    </w:p>
  </w:footnote>
  <w:footnote w:id="567">
    <w:p w14:paraId="7F5E7787" w14:textId="19442BBA"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August 24-28, 1869, Orville Babcock Papers</w:t>
      </w:r>
      <w:r w:rsidR="002771A3">
        <w:rPr>
          <w:rFonts w:ascii="Times New Roman" w:hAnsi="Times New Roman" w:cs="Times New Roman"/>
        </w:rPr>
        <w:t>, USGPL</w:t>
      </w:r>
    </w:p>
  </w:footnote>
  <w:footnote w:id="568">
    <w:p w14:paraId="661C6888" w14:textId="246C1610"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August 24-31, 1869, Orville Babcock Papers</w:t>
      </w:r>
      <w:r w:rsidR="006D6C79">
        <w:rPr>
          <w:rFonts w:ascii="Times New Roman" w:hAnsi="Times New Roman" w:cs="Times New Roman"/>
        </w:rPr>
        <w:t>, USGPL</w:t>
      </w:r>
    </w:p>
  </w:footnote>
  <w:footnote w:id="569">
    <w:p w14:paraId="6AE31839" w14:textId="2BFFD73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September 1, 1869, Orville Babcock Papers</w:t>
      </w:r>
      <w:r w:rsidR="006D6C79">
        <w:rPr>
          <w:rFonts w:ascii="Times New Roman" w:hAnsi="Times New Roman" w:cs="Times New Roman"/>
        </w:rPr>
        <w:t>, USGPL</w:t>
      </w:r>
    </w:p>
  </w:footnote>
  <w:footnote w:id="570">
    <w:p w14:paraId="25253559" w14:textId="70101CDF"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September 2, 1869, Orville Babcock Papers</w:t>
      </w:r>
      <w:r w:rsidR="006D6C79">
        <w:rPr>
          <w:rFonts w:ascii="Times New Roman" w:hAnsi="Times New Roman" w:cs="Times New Roman"/>
        </w:rPr>
        <w:t>, USGPL</w:t>
      </w:r>
      <w:r w:rsidRPr="002318C9">
        <w:rPr>
          <w:rFonts w:ascii="Times New Roman" w:hAnsi="Times New Roman" w:cs="Times New Roman"/>
        </w:rPr>
        <w:t>; J. Somers Smith to Hamilton Fish, September 2, 1869, Dispatches from US Consuls in Santo Domingo, RG 59</w:t>
      </w:r>
    </w:p>
  </w:footnote>
  <w:footnote w:id="571">
    <w:p w14:paraId="1F7C6DE0" w14:textId="030544C0"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September 2-14, 1869, Orville Babcock Papers</w:t>
      </w:r>
      <w:r w:rsidR="006D6C79">
        <w:rPr>
          <w:rFonts w:ascii="Times New Roman" w:hAnsi="Times New Roman" w:cs="Times New Roman"/>
        </w:rPr>
        <w:t>, USGPL</w:t>
      </w:r>
    </w:p>
  </w:footnote>
  <w:footnote w:id="572">
    <w:p w14:paraId="038FFC5A" w14:textId="52E3902E" w:rsidR="00BD6E3A" w:rsidRPr="002318C9" w:rsidRDefault="00BD6E3A" w:rsidP="00BD6E3A">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Nevins</w:t>
      </w:r>
      <w:r w:rsidR="008F6098">
        <w:rPr>
          <w:rFonts w:ascii="Times New Roman" w:hAnsi="Times New Roman" w:cs="Times New Roman"/>
        </w:rPr>
        <w:t xml:space="preserve">, </w:t>
      </w:r>
      <w:r w:rsidR="008F6098">
        <w:rPr>
          <w:rFonts w:ascii="Times New Roman" w:hAnsi="Times New Roman" w:cs="Times New Roman"/>
          <w:i/>
          <w:iCs/>
        </w:rPr>
        <w:t>Hamilton Fish,</w:t>
      </w:r>
      <w:r w:rsidRPr="002318C9">
        <w:rPr>
          <w:rFonts w:ascii="Times New Roman" w:hAnsi="Times New Roman" w:cs="Times New Roman"/>
        </w:rPr>
        <w:t xml:space="preserve"> 268;</w:t>
      </w:r>
      <w:r w:rsidR="00684BFC">
        <w:rPr>
          <w:rFonts w:ascii="Times New Roman" w:hAnsi="Times New Roman" w:cs="Times New Roman"/>
        </w:rPr>
        <w:t xml:space="preserve"> Semmes</w:t>
      </w:r>
      <w:r w:rsidR="00874A31">
        <w:rPr>
          <w:rFonts w:ascii="Times New Roman" w:hAnsi="Times New Roman" w:cs="Times New Roman"/>
        </w:rPr>
        <w:t xml:space="preserve">, </w:t>
      </w:r>
      <w:r w:rsidR="00874A31" w:rsidRPr="009F07DA">
        <w:rPr>
          <w:rFonts w:ascii="Times New Roman" w:hAnsi="Times New Roman" w:cs="Times New Roman"/>
          <w:i/>
          <w:iCs/>
        </w:rPr>
        <w:t>Exporting Reconstruction</w:t>
      </w:r>
      <w:r w:rsidR="00874A31">
        <w:rPr>
          <w:rFonts w:ascii="Times New Roman" w:hAnsi="Times New Roman" w:cs="Times New Roman"/>
          <w:i/>
          <w:iCs/>
        </w:rPr>
        <w:t>,</w:t>
      </w:r>
      <w:r w:rsidR="00684BFC">
        <w:rPr>
          <w:rFonts w:ascii="Times New Roman" w:hAnsi="Times New Roman" w:cs="Times New Roman"/>
        </w:rPr>
        <w:t xml:space="preserve"> 47-49;</w:t>
      </w:r>
      <w:r w:rsidRPr="002318C9">
        <w:rPr>
          <w:rFonts w:ascii="Times New Roman" w:hAnsi="Times New Roman" w:cs="Times New Roman"/>
        </w:rPr>
        <w:t xml:space="preserve"> Hamilton Fish to Ulysses S. Grant, September 17, 1869, Hamilton Fish Papers</w:t>
      </w:r>
      <w:r w:rsidR="006D6C79">
        <w:rPr>
          <w:rFonts w:ascii="Times New Roman" w:hAnsi="Times New Roman" w:cs="Times New Roman"/>
        </w:rPr>
        <w:t>, Library of Congress</w:t>
      </w:r>
    </w:p>
  </w:footnote>
  <w:footnote w:id="573">
    <w:p w14:paraId="45D0B13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74">
    <w:p w14:paraId="722C088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Hamilton Fish to John Lothrop Motley, September 20, 1869, Hamilton Fish Papers</w:t>
      </w:r>
    </w:p>
  </w:footnote>
  <w:footnote w:id="575">
    <w:p w14:paraId="1E506363"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Memorandum for a letter to the Secretary of State of San Domingo, September 22, 1869, Dispatches of Special Agents of the Department of State, Records of the Department of State, RG 59</w:t>
      </w:r>
    </w:p>
  </w:footnote>
  <w:footnote w:id="576">
    <w:p w14:paraId="0D018AE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This event is covered further in Chapter 3 in an attempt to maintain the continuity of the Santo Domingo story at present.</w:t>
      </w:r>
    </w:p>
  </w:footnote>
  <w:footnote w:id="577">
    <w:p w14:paraId="0F3BAE9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Memorandum for a letter to the Secretary of State of San Domingo, September 22, 1869, Dispatches of Special Agents of the Department of State, Records of the Department of State, RG 59; Orville Babcock to William Cazneau, September, 1869, Orville Babcock Papers, Newberry Library</w:t>
      </w:r>
    </w:p>
  </w:footnote>
  <w:footnote w:id="578">
    <w:p w14:paraId="7FA6BB49" w14:textId="3D91158A"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Pr="002318C9">
        <w:rPr>
          <w:rFonts w:ascii="Times New Roman" w:hAnsi="Times New Roman" w:cs="Times New Roman"/>
        </w:rPr>
        <w:t xml:space="preserve"> 218-222; Hatch Report; “Memorandum Accompanying Proposition for Annexation,” September 2, 1869, in </w:t>
      </w:r>
      <w:r w:rsidRPr="002318C9">
        <w:rPr>
          <w:rFonts w:ascii="Times New Roman" w:hAnsi="Times New Roman" w:cs="Times New Roman"/>
          <w:i/>
          <w:iCs/>
        </w:rPr>
        <w:t>New York Times</w:t>
      </w:r>
      <w:r w:rsidRPr="002318C9">
        <w:rPr>
          <w:rFonts w:ascii="Times New Roman" w:hAnsi="Times New Roman" w:cs="Times New Roman"/>
        </w:rPr>
        <w:t>, April 30, 1870</w:t>
      </w:r>
    </w:p>
  </w:footnote>
  <w:footnote w:id="579">
    <w:p w14:paraId="3A6BE23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John Lothrop Motley to Hamilton Fish, October 6, November 11, 20, 1869 (each typescript), Hamilton Fish Papers; Orville Babcock to Hamilton Fish, October 20, 1869, Ulysses S. Grant Papers, Library of Congress; Hamilton Fish Diary, December 21, 1869</w:t>
      </w:r>
    </w:p>
  </w:footnote>
  <w:footnote w:id="580">
    <w:p w14:paraId="57D1699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Raymond H.J. Perry to Ulysses S. Grant, October 20, 1869, Raymond H.J. Perry Papers, University of Rhode Island; Hamilton Fish Diary, October 19, 1869</w:t>
      </w:r>
    </w:p>
  </w:footnote>
  <w:footnote w:id="581">
    <w:p w14:paraId="17CD708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Raymond H. J. Perry to Fannie Perry, November 14, 1869, Raymond H.J. Perry Papers</w:t>
      </w:r>
    </w:p>
  </w:footnote>
  <w:footnote w:id="582">
    <w:p w14:paraId="3F6278E8" w14:textId="2524C15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Pr="002318C9">
        <w:rPr>
          <w:rFonts w:ascii="Times New Roman" w:hAnsi="Times New Roman" w:cs="Times New Roman"/>
        </w:rPr>
        <w:t xml:space="preserve"> 220-222</w:t>
      </w:r>
    </w:p>
  </w:footnote>
  <w:footnote w:id="583">
    <w:p w14:paraId="3FC526E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Orville Babcock to Hamilton Fish, October 20, 1869, Ulysses S. Grant Papers, Library of Congress; Hatch Report; Raymond H.J. Perry to “the Select Committee of the United States Senate in the case of the Hatch imprisonment,” June 22, 1870, Raymond H.J. Perry Papers, University of Rhode Island</w:t>
      </w:r>
    </w:p>
  </w:footnote>
  <w:footnote w:id="584">
    <w:p w14:paraId="09728F3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85">
    <w:p w14:paraId="0AEBF66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86">
    <w:p w14:paraId="1958E90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Copy of Perry to Grant, 1869, Raymond H.J. Perry Papers, University of Rhode Island. This document has “Dec” written upon it, but this dating seems to be added after the fact, and perhaps mistaken, as Perry was in Santo Domingo in December 1869. He was in Washington that October, so it seems likeliest that this is when this memo was written.</w:t>
      </w:r>
    </w:p>
  </w:footnote>
  <w:footnote w:id="587">
    <w:p w14:paraId="02F12F1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33" w:name="_Hlk187230717"/>
      <w:r w:rsidRPr="002318C9">
        <w:rPr>
          <w:rFonts w:ascii="Times New Roman" w:hAnsi="Times New Roman" w:cs="Times New Roman"/>
        </w:rPr>
        <w:t>Raymond H.J. Perry to Hamilton Fish, October 24, 1869, Hamilton Fish Papers</w:t>
      </w:r>
    </w:p>
    <w:bookmarkEnd w:id="33"/>
  </w:footnote>
  <w:footnote w:id="588">
    <w:p w14:paraId="79A8C5B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Raymond H. J. Perry to Fannie Perry, November 14, 1869, Raymond H.J. Perry Papers</w:t>
      </w:r>
    </w:p>
  </w:footnote>
  <w:footnote w:id="589">
    <w:p w14:paraId="5AB521E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Raymond H.J. Perry to Hamilton Fish, October 24, 1869, Hamilton Fish Papers; Raymond H.J. Perry to Hamilton Fish, June 7, 1870, Dispatches from US Consuls in Santo Domingo, RG 59</w:t>
      </w:r>
    </w:p>
  </w:footnote>
  <w:footnote w:id="590">
    <w:p w14:paraId="71E326A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October 16-25, 1869, Hamilton Fish Papers</w:t>
      </w:r>
    </w:p>
  </w:footnote>
  <w:footnote w:id="591">
    <w:p w14:paraId="324E152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Senate Executive Document No. 17,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81-90</w:t>
      </w:r>
    </w:p>
  </w:footnote>
  <w:footnote w:id="592">
    <w:p w14:paraId="788D6BA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93">
    <w:p w14:paraId="6466D4C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94">
    <w:p w14:paraId="57FCE53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595">
    <w:p w14:paraId="1BF2B83E"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October 16-25, 1869, Hamilton Fish Papers</w:t>
      </w:r>
    </w:p>
  </w:footnote>
  <w:footnote w:id="596">
    <w:p w14:paraId="4992D1A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34" w:name="_Hlk187234078"/>
      <w:r w:rsidRPr="002318C9">
        <w:rPr>
          <w:rFonts w:ascii="Times New Roman" w:hAnsi="Times New Roman" w:cs="Times New Roman"/>
        </w:rPr>
        <w:t>Raymond H.J. Perry to Orville Babcock, November 16, 1869 (typescript), Raymond H.J. Perry Papers; Raymond H.J. Perry to Hamilton Fish, November 16, 1869 (typescript), Raymond H.J. Perry Papers</w:t>
      </w:r>
      <w:bookmarkEnd w:id="34"/>
    </w:p>
  </w:footnote>
  <w:footnote w:id="597">
    <w:p w14:paraId="2081D72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Senate Executive Document No. 17,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80-95</w:t>
      </w:r>
    </w:p>
  </w:footnote>
  <w:footnote w:id="598">
    <w:p w14:paraId="3028953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p>
  </w:footnote>
  <w:footnote w:id="599">
    <w:p w14:paraId="1FF13DD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November 8-10, 1869, Orville Babcock Papers; Hatch Report</w:t>
      </w:r>
    </w:p>
  </w:footnote>
  <w:footnote w:id="600">
    <w:p w14:paraId="04DE394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November 18, 1869; Hatch Report</w:t>
      </w:r>
    </w:p>
  </w:footnote>
  <w:footnote w:id="601">
    <w:p w14:paraId="5C48EA6E"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Diary, November 19-28, 1869, Orville Babcock Papers; Hatch Report; Senate Executive Document No. 17,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Buenaventura Báez to Orville Babcock, December 3, 1860, Notes from the Legation of the Dominican Republic, RG 59</w:t>
      </w:r>
    </w:p>
  </w:footnote>
  <w:footnote w:id="602">
    <w:p w14:paraId="7456654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03">
    <w:p w14:paraId="31788DDE"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Orville Babcock Diary, August 20, November 29, 1869, Orville Babcock Papers</w:t>
      </w:r>
    </w:p>
  </w:footnote>
  <w:footnote w:id="604">
    <w:p w14:paraId="78E74A4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05">
    <w:p w14:paraId="5C1A3ED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06">
    <w:p w14:paraId="75E9BA6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Orville Babcock Diary, November 29- December 2, 1869, Orville Babcock Papers; Joseph Fabens to Hamilton Fish, December 30, 1869, Notes from the Legation of the Dominican Republic, RG 59; Buenaventura Báez to Orville Babcock, December 3, 1869, Notes from the Legation of the Dominican Republic, RG 59; Raymond H.J. Perry to Hamilton Fish, December 10, 28, 1869, Dispatches from US Consuls in Santo Domingo, RG 59</w:t>
      </w:r>
    </w:p>
  </w:footnote>
  <w:footnote w:id="607">
    <w:p w14:paraId="22A1351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08">
    <w:p w14:paraId="1D7EC9B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09">
    <w:p w14:paraId="240E205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35" w:name="_Hlk187236442"/>
      <w:r w:rsidRPr="002318C9">
        <w:rPr>
          <w:rFonts w:ascii="Times New Roman" w:hAnsi="Times New Roman" w:cs="Times New Roman"/>
        </w:rPr>
        <w:t>Hamilton Fish to Elihu Washburne, December 24, 1869, Elihu Washburne Papers, Library of Congress; Hamilton Fish to John Lothrop Motley, December 24, 1869, Hamilton Fish Papers</w:t>
      </w:r>
      <w:bookmarkEnd w:id="35"/>
    </w:p>
  </w:footnote>
  <w:footnote w:id="610">
    <w:p w14:paraId="4CFB8AC9" w14:textId="550CC4EB"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Grant, “Reasons Why San Domingo Should Be Annexed to the United States”</w:t>
      </w:r>
      <w:r w:rsidR="00684BFC">
        <w:rPr>
          <w:rFonts w:ascii="Times New Roman" w:hAnsi="Times New Roman" w:cs="Times New Roman"/>
        </w:rPr>
        <w:t>; Semmes</w:t>
      </w:r>
      <w:r w:rsidR="00874A31">
        <w:rPr>
          <w:rFonts w:ascii="Times New Roman" w:hAnsi="Times New Roman" w:cs="Times New Roman"/>
        </w:rPr>
        <w:t xml:space="preserve">, </w:t>
      </w:r>
      <w:r w:rsidR="00874A31" w:rsidRPr="009F07DA">
        <w:rPr>
          <w:rFonts w:ascii="Times New Roman" w:hAnsi="Times New Roman" w:cs="Times New Roman"/>
          <w:i/>
          <w:iCs/>
        </w:rPr>
        <w:t>Exporting Reconstruction</w:t>
      </w:r>
      <w:r w:rsidR="00874A31">
        <w:rPr>
          <w:rFonts w:ascii="Times New Roman" w:hAnsi="Times New Roman" w:cs="Times New Roman"/>
          <w:i/>
          <w:iCs/>
        </w:rPr>
        <w:t>,</w:t>
      </w:r>
      <w:r w:rsidR="00684BFC">
        <w:rPr>
          <w:rFonts w:ascii="Times New Roman" w:hAnsi="Times New Roman" w:cs="Times New Roman"/>
        </w:rPr>
        <w:t xml:space="preserve"> 49-59</w:t>
      </w:r>
    </w:p>
  </w:footnote>
  <w:footnote w:id="611">
    <w:p w14:paraId="6908316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12">
    <w:p w14:paraId="7A5C74A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 xml:space="preserve">New York Herald, </w:t>
      </w:r>
      <w:r w:rsidRPr="002318C9">
        <w:rPr>
          <w:rFonts w:ascii="Times New Roman" w:hAnsi="Times New Roman" w:cs="Times New Roman"/>
        </w:rPr>
        <w:t>December 23, 1869</w:t>
      </w:r>
    </w:p>
  </w:footnote>
  <w:footnote w:id="613">
    <w:p w14:paraId="47F490B3"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New York Herald</w:t>
      </w:r>
      <w:r w:rsidRPr="002318C9">
        <w:rPr>
          <w:rFonts w:ascii="Times New Roman" w:hAnsi="Times New Roman" w:cs="Times New Roman"/>
        </w:rPr>
        <w:t>, December 29, 1869</w:t>
      </w:r>
    </w:p>
  </w:footnote>
  <w:footnote w:id="614">
    <w:p w14:paraId="0C5FEF15" w14:textId="7C1118AC"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Pr="002318C9">
        <w:rPr>
          <w:rFonts w:ascii="Times New Roman" w:hAnsi="Times New Roman" w:cs="Times New Roman"/>
        </w:rPr>
        <w:t xml:space="preserve"> 179-198</w:t>
      </w:r>
    </w:p>
  </w:footnote>
  <w:footnote w:id="615">
    <w:p w14:paraId="5763BA1D" w14:textId="2B3D224D"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D7768">
        <w:rPr>
          <w:rFonts w:ascii="Times New Roman" w:hAnsi="Times New Roman" w:cs="Times New Roman"/>
        </w:rPr>
        <w:t xml:space="preserve">Simon, </w:t>
      </w:r>
      <w:r w:rsidRPr="002318C9">
        <w:rPr>
          <w:rFonts w:ascii="Times New Roman" w:hAnsi="Times New Roman" w:cs="Times New Roman"/>
          <w:i/>
          <w:iCs/>
        </w:rPr>
        <w:t>Papers of Ulysses S. Grant</w:t>
      </w:r>
      <w:r w:rsidR="00DD7768">
        <w:rPr>
          <w:rFonts w:ascii="Times New Roman" w:hAnsi="Times New Roman" w:cs="Times New Roman"/>
          <w:i/>
          <w:iCs/>
        </w:rPr>
        <w:t xml:space="preserve"> 28,</w:t>
      </w:r>
      <w:r w:rsidRPr="002318C9">
        <w:rPr>
          <w:rFonts w:ascii="Times New Roman" w:hAnsi="Times New Roman" w:cs="Times New Roman"/>
        </w:rPr>
        <w:t xml:space="preserve"> 320-321</w:t>
      </w:r>
    </w:p>
  </w:footnote>
  <w:footnote w:id="616">
    <w:p w14:paraId="27E7E14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December 31, 1869; Hamilton Fish to George Boutwell, November 22, December 1, 1877, Hamilton Fish Papers; Ulysses S. Grant to Hamilton Fish, November 14, 1877, Hamilton Fish Papers</w:t>
      </w:r>
    </w:p>
  </w:footnote>
  <w:footnote w:id="617">
    <w:p w14:paraId="05BAF6A2" w14:textId="12C7C27D"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r w:rsidR="00684BFC">
        <w:rPr>
          <w:rFonts w:ascii="Times New Roman" w:hAnsi="Times New Roman" w:cs="Times New Roman"/>
        </w:rPr>
        <w:t>; Semmes</w:t>
      </w:r>
      <w:r w:rsidR="00874A31">
        <w:rPr>
          <w:rFonts w:ascii="Times New Roman" w:hAnsi="Times New Roman" w:cs="Times New Roman"/>
        </w:rPr>
        <w:t xml:space="preserve">, </w:t>
      </w:r>
      <w:r w:rsidR="00874A31" w:rsidRPr="009F07DA">
        <w:rPr>
          <w:rFonts w:ascii="Times New Roman" w:hAnsi="Times New Roman" w:cs="Times New Roman"/>
          <w:i/>
          <w:iCs/>
        </w:rPr>
        <w:t>Exporting Reconstruction</w:t>
      </w:r>
      <w:r w:rsidR="00874A31">
        <w:rPr>
          <w:rFonts w:ascii="Times New Roman" w:hAnsi="Times New Roman" w:cs="Times New Roman"/>
          <w:i/>
          <w:iCs/>
        </w:rPr>
        <w:t>,</w:t>
      </w:r>
      <w:r w:rsidR="00684BFC">
        <w:rPr>
          <w:rFonts w:ascii="Times New Roman" w:hAnsi="Times New Roman" w:cs="Times New Roman"/>
        </w:rPr>
        <w:t xml:space="preserve"> 59-60</w:t>
      </w:r>
    </w:p>
  </w:footnote>
  <w:footnote w:id="618">
    <w:p w14:paraId="7094460B" w14:textId="4C4B0126"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December 21, 1869 and December 23, 1870, Hamilton Fish Papers; </w:t>
      </w:r>
      <w:r w:rsidRPr="002318C9">
        <w:rPr>
          <w:rFonts w:ascii="Times New Roman" w:hAnsi="Times New Roman" w:cs="Times New Roman"/>
          <w:i/>
          <w:iCs/>
        </w:rPr>
        <w:t>Congressional Globe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242-245; </w:t>
      </w:r>
      <w:r w:rsidRPr="002318C9">
        <w:rPr>
          <w:rFonts w:ascii="Times New Roman" w:hAnsi="Times New Roman" w:cs="Times New Roman"/>
          <w:i/>
          <w:iCs/>
        </w:rPr>
        <w:t>New York Herald</w:t>
      </w:r>
      <w:r w:rsidR="008F6098">
        <w:rPr>
          <w:rFonts w:ascii="Times New Roman" w:hAnsi="Times New Roman" w:cs="Times New Roman"/>
          <w:i/>
          <w:iCs/>
        </w:rPr>
        <w:t>,</w:t>
      </w:r>
      <w:r w:rsidRPr="002318C9">
        <w:rPr>
          <w:rFonts w:ascii="Times New Roman" w:hAnsi="Times New Roman" w:cs="Times New Roman"/>
        </w:rPr>
        <w:t xml:space="preserve"> December 22-23, 1869; Ulysses S. Grant, interview in the </w:t>
      </w:r>
      <w:r w:rsidRPr="002318C9">
        <w:rPr>
          <w:rFonts w:ascii="Times New Roman" w:hAnsi="Times New Roman" w:cs="Times New Roman"/>
          <w:i/>
          <w:iCs/>
        </w:rPr>
        <w:t>New York Herald</w:t>
      </w:r>
      <w:r w:rsidRPr="002318C9">
        <w:rPr>
          <w:rFonts w:ascii="Times New Roman" w:hAnsi="Times New Roman" w:cs="Times New Roman"/>
        </w:rPr>
        <w:t xml:space="preserve">, February 22, July 24, 1878; </w:t>
      </w:r>
      <w:bookmarkStart w:id="36" w:name="_Hlk187239255"/>
      <w:r w:rsidR="00262E56">
        <w:rPr>
          <w:rFonts w:ascii="Times New Roman" w:hAnsi="Times New Roman" w:cs="Times New Roman"/>
        </w:rPr>
        <w:t xml:space="preserve">Charles Sumner and </w:t>
      </w:r>
      <w:r w:rsidRPr="002318C9">
        <w:rPr>
          <w:rFonts w:ascii="Times New Roman" w:hAnsi="Times New Roman" w:cs="Times New Roman"/>
        </w:rPr>
        <w:t>Edward L. Pierce</w:t>
      </w:r>
      <w:r w:rsidR="00262E56">
        <w:rPr>
          <w:rFonts w:ascii="Times New Roman" w:hAnsi="Times New Roman" w:cs="Times New Roman"/>
        </w:rPr>
        <w:t>, ed.</w:t>
      </w:r>
      <w:r w:rsidRPr="002318C9">
        <w:rPr>
          <w:rFonts w:ascii="Times New Roman" w:hAnsi="Times New Roman" w:cs="Times New Roman"/>
        </w:rPr>
        <w:t xml:space="preserve">, </w:t>
      </w:r>
      <w:r w:rsidRPr="002318C9">
        <w:rPr>
          <w:rFonts w:ascii="Times New Roman" w:hAnsi="Times New Roman" w:cs="Times New Roman"/>
          <w:i/>
          <w:iCs/>
        </w:rPr>
        <w:t>Memoir and Letters of Charles Sumner</w:t>
      </w:r>
      <w:r w:rsidRPr="002318C9">
        <w:rPr>
          <w:rFonts w:ascii="Times New Roman" w:hAnsi="Times New Roman" w:cs="Times New Roman"/>
        </w:rPr>
        <w:t xml:space="preserve">. Boston: Roberts Brothers, 1894. </w:t>
      </w:r>
      <w:bookmarkEnd w:id="36"/>
      <w:r w:rsidR="00262E56">
        <w:rPr>
          <w:rFonts w:ascii="Times New Roman" w:hAnsi="Times New Roman" w:cs="Times New Roman"/>
        </w:rPr>
        <w:t xml:space="preserve">Vol </w:t>
      </w:r>
      <w:r w:rsidRPr="002318C9">
        <w:rPr>
          <w:rFonts w:ascii="Times New Roman" w:hAnsi="Times New Roman" w:cs="Times New Roman"/>
        </w:rPr>
        <w:t>4</w:t>
      </w:r>
      <w:r w:rsidR="00262E56">
        <w:rPr>
          <w:rFonts w:ascii="Times New Roman" w:hAnsi="Times New Roman" w:cs="Times New Roman"/>
        </w:rPr>
        <w:t xml:space="preserve">. </w:t>
      </w:r>
      <w:r w:rsidRPr="002318C9">
        <w:rPr>
          <w:rFonts w:ascii="Times New Roman" w:hAnsi="Times New Roman" w:cs="Times New Roman"/>
        </w:rPr>
        <w:t>433</w:t>
      </w:r>
    </w:p>
  </w:footnote>
  <w:footnote w:id="619">
    <w:p w14:paraId="034FFFB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p>
  </w:footnote>
  <w:footnote w:id="620">
    <w:p w14:paraId="2F12FDA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21">
    <w:p w14:paraId="423BD249" w14:textId="3E1C2BDE" w:rsidR="0043071A" w:rsidRPr="0043071A" w:rsidRDefault="0043071A">
      <w:pPr>
        <w:pStyle w:val="FootnoteText"/>
        <w:rPr>
          <w:rFonts w:ascii="Times New Roman" w:hAnsi="Times New Roman" w:cs="Times New Roman"/>
        </w:rPr>
      </w:pPr>
      <w:r w:rsidRPr="0043071A">
        <w:rPr>
          <w:rStyle w:val="FootnoteReference"/>
          <w:rFonts w:ascii="Times New Roman" w:hAnsi="Times New Roman" w:cs="Times New Roman"/>
        </w:rPr>
        <w:footnoteRef/>
      </w:r>
      <w:r w:rsidRPr="0043071A">
        <w:rPr>
          <w:rFonts w:ascii="Times New Roman" w:hAnsi="Times New Roman" w:cs="Times New Roman"/>
        </w:rPr>
        <w:t xml:space="preserve"> </w:t>
      </w:r>
      <w:r w:rsidR="008F6098">
        <w:rPr>
          <w:rFonts w:ascii="Times New Roman" w:hAnsi="Times New Roman" w:cs="Times New Roman"/>
        </w:rPr>
        <w:t xml:space="preserve">Henry Schile, </w:t>
      </w:r>
      <w:r w:rsidR="008F6098">
        <w:rPr>
          <w:rFonts w:ascii="Times New Roman" w:hAnsi="Times New Roman" w:cs="Times New Roman"/>
          <w:i/>
          <w:iCs/>
        </w:rPr>
        <w:t>Charles Sumner</w:t>
      </w:r>
      <w:r w:rsidR="008F6098">
        <w:rPr>
          <w:rFonts w:ascii="Times New Roman" w:hAnsi="Times New Roman" w:cs="Times New Roman"/>
        </w:rPr>
        <w:t xml:space="preserve">. ca. 1874. New York: Published by H. Schile, 36 Division St. </w:t>
      </w:r>
      <w:r>
        <w:rPr>
          <w:rFonts w:ascii="Times New Roman" w:hAnsi="Times New Roman" w:cs="Times New Roman"/>
        </w:rPr>
        <w:t>Photo</w:t>
      </w:r>
      <w:r w:rsidR="008F6098">
        <w:rPr>
          <w:rFonts w:ascii="Times New Roman" w:hAnsi="Times New Roman" w:cs="Times New Roman"/>
        </w:rPr>
        <w:t xml:space="preserve"> of original lithograph.</w:t>
      </w:r>
      <w:r>
        <w:rPr>
          <w:rFonts w:ascii="Times New Roman" w:hAnsi="Times New Roman" w:cs="Times New Roman"/>
        </w:rPr>
        <w:t xml:space="preserve"> Courtesy of the Library of Congress</w:t>
      </w:r>
    </w:p>
  </w:footnote>
  <w:footnote w:id="622">
    <w:p w14:paraId="6230EE0B" w14:textId="77777777" w:rsidR="00930CC2" w:rsidRPr="002318C9" w:rsidRDefault="00930CC2" w:rsidP="00930CC2">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r>
        <w:rPr>
          <w:rFonts w:ascii="Times New Roman" w:hAnsi="Times New Roman" w:cs="Times New Roman"/>
        </w:rPr>
        <w:t xml:space="preserve">Simon, </w:t>
      </w:r>
      <w:r w:rsidRPr="002318C9">
        <w:rPr>
          <w:rFonts w:ascii="Times New Roman" w:hAnsi="Times New Roman" w:cs="Times New Roman"/>
          <w:i/>
          <w:iCs/>
        </w:rPr>
        <w:t>Papers of Ulysses S. Grant</w:t>
      </w:r>
      <w:r>
        <w:rPr>
          <w:rFonts w:ascii="Times New Roman" w:hAnsi="Times New Roman" w:cs="Times New Roman"/>
          <w:i/>
          <w:iCs/>
        </w:rPr>
        <w:t xml:space="preserve"> 28,</w:t>
      </w:r>
      <w:r w:rsidRPr="002318C9">
        <w:rPr>
          <w:rFonts w:ascii="Times New Roman" w:hAnsi="Times New Roman" w:cs="Times New Roman"/>
        </w:rPr>
        <w:t xml:space="preserve"> 321; </w:t>
      </w:r>
      <w:r w:rsidRPr="002318C9">
        <w:rPr>
          <w:rFonts w:ascii="Times New Roman" w:hAnsi="Times New Roman" w:cs="Times New Roman"/>
          <w:i/>
          <w:iCs/>
        </w:rPr>
        <w:t xml:space="preserve">Journal of the Executive Proceedings of the Senate of the United States, </w:t>
      </w:r>
      <w:r w:rsidRPr="002318C9">
        <w:rPr>
          <w:rFonts w:ascii="Times New Roman" w:hAnsi="Times New Roman" w:cs="Times New Roman"/>
        </w:rPr>
        <w:t>41</w:t>
      </w:r>
      <w:r w:rsidRPr="002318C9">
        <w:rPr>
          <w:rFonts w:ascii="Times New Roman" w:hAnsi="Times New Roman" w:cs="Times New Roman"/>
          <w:vertAlign w:val="superscript"/>
        </w:rPr>
        <w:t>st</w:t>
      </w:r>
      <w:r w:rsidRPr="002318C9">
        <w:rPr>
          <w:rFonts w:ascii="Times New Roman" w:hAnsi="Times New Roman" w:cs="Times New Roman"/>
        </w:rPr>
        <w:t xml:space="preserve"> Congress, 1</w:t>
      </w:r>
      <w:r w:rsidRPr="002318C9">
        <w:rPr>
          <w:rFonts w:ascii="Times New Roman" w:hAnsi="Times New Roman" w:cs="Times New Roman"/>
          <w:vertAlign w:val="superscript"/>
        </w:rPr>
        <w:t>st</w:t>
      </w:r>
      <w:r w:rsidRPr="002318C9">
        <w:rPr>
          <w:rFonts w:ascii="Times New Roman" w:hAnsi="Times New Roman" w:cs="Times New Roman"/>
        </w:rPr>
        <w:t xml:space="preserve"> Session, 114-122</w:t>
      </w:r>
    </w:p>
  </w:footnote>
  <w:footnote w:id="623">
    <w:p w14:paraId="0A290353" w14:textId="77777777" w:rsidR="00930CC2" w:rsidRPr="002318C9" w:rsidRDefault="00930CC2" w:rsidP="00930CC2">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May 3, 1870; Ulysses S. Grant to Hamilton Fish, November 14, 1877, Hamilton Fish Papers; George Boutwell, “Memorandum,” November 12, 1877 (typescript), Hamilton Fish Papers; George Boutwell to Hamilton Fish, November 28, 1877, Hamilton Fish Papers</w:t>
      </w:r>
    </w:p>
  </w:footnote>
  <w:footnote w:id="624">
    <w:p w14:paraId="6D3ABE4C" w14:textId="07F729C5"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 xml:space="preserve">Congressional Globe, </w:t>
      </w:r>
      <w:r w:rsidRPr="002318C9">
        <w:rPr>
          <w:rFonts w:ascii="Times New Roman" w:hAnsi="Times New Roman" w:cs="Times New Roman"/>
        </w:rPr>
        <w:t>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242-253</w:t>
      </w:r>
      <w:r w:rsidR="00684BFC">
        <w:rPr>
          <w:rFonts w:ascii="Times New Roman" w:hAnsi="Times New Roman" w:cs="Times New Roman"/>
        </w:rPr>
        <w:t>; Semmes</w:t>
      </w:r>
      <w:r w:rsidR="00874A31">
        <w:rPr>
          <w:rFonts w:ascii="Times New Roman" w:hAnsi="Times New Roman" w:cs="Times New Roman"/>
        </w:rPr>
        <w:t xml:space="preserve">, </w:t>
      </w:r>
      <w:r w:rsidR="00874A31" w:rsidRPr="009F07DA">
        <w:rPr>
          <w:rFonts w:ascii="Times New Roman" w:hAnsi="Times New Roman" w:cs="Times New Roman"/>
          <w:i/>
          <w:iCs/>
        </w:rPr>
        <w:t>Exporting Reconstruction</w:t>
      </w:r>
      <w:r w:rsidR="00874A31">
        <w:rPr>
          <w:rFonts w:ascii="Times New Roman" w:hAnsi="Times New Roman" w:cs="Times New Roman"/>
          <w:i/>
          <w:iCs/>
        </w:rPr>
        <w:t>,</w:t>
      </w:r>
      <w:r w:rsidR="00684BFC">
        <w:rPr>
          <w:rFonts w:ascii="Times New Roman" w:hAnsi="Times New Roman" w:cs="Times New Roman"/>
        </w:rPr>
        <w:t xml:space="preserve"> 77- 79</w:t>
      </w:r>
    </w:p>
  </w:footnote>
  <w:footnote w:id="625">
    <w:p w14:paraId="01A36DF0" w14:textId="4849470E"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Bangor Whig &amp; Courier</w:t>
      </w:r>
      <w:r w:rsidR="00262E56">
        <w:rPr>
          <w:rFonts w:ascii="Times New Roman" w:hAnsi="Times New Roman" w:cs="Times New Roman"/>
          <w:i/>
          <w:iCs/>
        </w:rPr>
        <w:t xml:space="preserve"> (ME)</w:t>
      </w:r>
      <w:r w:rsidRPr="002318C9">
        <w:rPr>
          <w:rFonts w:ascii="Times New Roman" w:hAnsi="Times New Roman" w:cs="Times New Roman"/>
        </w:rPr>
        <w:t>, October 29, 1877; Hamilton Fish Diary, December 23, 1870</w:t>
      </w:r>
    </w:p>
  </w:footnote>
  <w:footnote w:id="626">
    <w:p w14:paraId="75BD3B45"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27">
    <w:p w14:paraId="7797B0E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28">
    <w:p w14:paraId="116AE723"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January 29, February 5, 1870, Hamilton Fish Papers; Senate Executive Document No. 34,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10-25</w:t>
      </w:r>
    </w:p>
  </w:footnote>
  <w:footnote w:id="629">
    <w:p w14:paraId="4D31F35E"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Charles Sumner to Orville Babcock, March 10, 1870, Orville Babcock Papers, Newberry Library; </w:t>
      </w:r>
      <w:r w:rsidRPr="002318C9">
        <w:rPr>
          <w:rFonts w:ascii="Times New Roman" w:hAnsi="Times New Roman" w:cs="Times New Roman"/>
          <w:i/>
          <w:iCs/>
        </w:rPr>
        <w:t xml:space="preserve">Congressional Globe, </w:t>
      </w:r>
      <w:r w:rsidRPr="002318C9">
        <w:rPr>
          <w:rFonts w:ascii="Times New Roman" w:hAnsi="Times New Roman" w:cs="Times New Roman"/>
        </w:rPr>
        <w:t>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252-266; </w:t>
      </w:r>
      <w:r w:rsidRPr="002318C9">
        <w:rPr>
          <w:rFonts w:ascii="Times New Roman" w:hAnsi="Times New Roman" w:cs="Times New Roman"/>
          <w:i/>
          <w:iCs/>
        </w:rPr>
        <w:t xml:space="preserve">New York Herald </w:t>
      </w:r>
      <w:r w:rsidRPr="002318C9">
        <w:rPr>
          <w:rFonts w:ascii="Times New Roman" w:hAnsi="Times New Roman" w:cs="Times New Roman"/>
        </w:rPr>
        <w:t xml:space="preserve">March 2, 12, 16, 1870; Hamilton Fish Diary, March 15, 1870, Hamilton Fish Papers; </w:t>
      </w:r>
      <w:r w:rsidRPr="002318C9">
        <w:rPr>
          <w:rFonts w:ascii="Times New Roman" w:hAnsi="Times New Roman" w:cs="Times New Roman"/>
          <w:i/>
          <w:iCs/>
        </w:rPr>
        <w:t>Journal of the Executive Proceedings of the Senate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392-406</w:t>
      </w:r>
    </w:p>
  </w:footnote>
  <w:footnote w:id="630">
    <w:p w14:paraId="10524C3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31">
    <w:p w14:paraId="4041D4F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32">
    <w:p w14:paraId="38949194"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33">
    <w:p w14:paraId="36A19FE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New York Times</w:t>
      </w:r>
      <w:r w:rsidRPr="002318C9">
        <w:rPr>
          <w:rFonts w:ascii="Times New Roman" w:hAnsi="Times New Roman" w:cs="Times New Roman"/>
        </w:rPr>
        <w:t xml:space="preserve">, March 18, 22, 1870; </w:t>
      </w:r>
      <w:r w:rsidRPr="002318C9">
        <w:rPr>
          <w:rFonts w:ascii="Times New Roman" w:hAnsi="Times New Roman" w:cs="Times New Roman"/>
          <w:i/>
          <w:iCs/>
        </w:rPr>
        <w:t>New York Herald</w:t>
      </w:r>
      <w:r w:rsidRPr="002318C9">
        <w:rPr>
          <w:rFonts w:ascii="Times New Roman" w:hAnsi="Times New Roman" w:cs="Times New Roman"/>
        </w:rPr>
        <w:t xml:space="preserve">, March 18, 1870; </w:t>
      </w:r>
      <w:r w:rsidRPr="002318C9">
        <w:rPr>
          <w:rFonts w:ascii="Times New Roman" w:hAnsi="Times New Roman" w:cs="Times New Roman"/>
          <w:i/>
          <w:iCs/>
        </w:rPr>
        <w:t>Boston Daily Advertiser</w:t>
      </w:r>
      <w:r w:rsidRPr="002318C9">
        <w:rPr>
          <w:rFonts w:ascii="Times New Roman" w:hAnsi="Times New Roman" w:cs="Times New Roman"/>
        </w:rPr>
        <w:t xml:space="preserve">, April 4, 1870; Orville Babcock to Hamilton Fish, March 16, 1870, Ulysses S. Grant Papers, Library of Congress; </w:t>
      </w:r>
      <w:bookmarkStart w:id="37" w:name="_Hlk187242630"/>
      <w:r w:rsidRPr="002318C9">
        <w:rPr>
          <w:rFonts w:ascii="Times New Roman" w:hAnsi="Times New Roman" w:cs="Times New Roman"/>
        </w:rPr>
        <w:t xml:space="preserve">Beverly Wilson Palmer, ed. </w:t>
      </w:r>
      <w:r w:rsidRPr="002318C9">
        <w:rPr>
          <w:rFonts w:ascii="Times New Roman" w:hAnsi="Times New Roman" w:cs="Times New Roman"/>
          <w:i/>
          <w:iCs/>
        </w:rPr>
        <w:t>The Selected Letters of Charles Sumner</w:t>
      </w:r>
      <w:r w:rsidRPr="002318C9">
        <w:rPr>
          <w:rFonts w:ascii="Times New Roman" w:hAnsi="Times New Roman" w:cs="Times New Roman"/>
        </w:rPr>
        <w:t>. Boston: Northeastern University Press, 1990. 2:502</w:t>
      </w:r>
    </w:p>
    <w:bookmarkEnd w:id="37"/>
  </w:footnote>
  <w:footnote w:id="634">
    <w:p w14:paraId="718113A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The Senate was in an executive session, meaning there is no written record of these events. The contents of this speech were leaked to the press shortly after, which is where we can take the majority of this material.  </w:t>
      </w:r>
      <w:r w:rsidRPr="002318C9">
        <w:rPr>
          <w:rFonts w:ascii="Times New Roman" w:hAnsi="Times New Roman" w:cs="Times New Roman"/>
          <w:i/>
          <w:iCs/>
        </w:rPr>
        <w:t>New York Herald</w:t>
      </w:r>
      <w:r w:rsidRPr="002318C9">
        <w:rPr>
          <w:rFonts w:ascii="Times New Roman" w:hAnsi="Times New Roman" w:cs="Times New Roman"/>
        </w:rPr>
        <w:t xml:space="preserve">, March 25, 26, 1870; </w:t>
      </w:r>
      <w:r w:rsidRPr="002318C9">
        <w:rPr>
          <w:rFonts w:ascii="Times New Roman" w:hAnsi="Times New Roman" w:cs="Times New Roman"/>
          <w:i/>
          <w:iCs/>
        </w:rPr>
        <w:t xml:space="preserve">New York Tribune, </w:t>
      </w:r>
      <w:r w:rsidRPr="002318C9">
        <w:rPr>
          <w:rFonts w:ascii="Times New Roman" w:hAnsi="Times New Roman" w:cs="Times New Roman"/>
        </w:rPr>
        <w:t xml:space="preserve">March 25, 1870; </w:t>
      </w:r>
      <w:r w:rsidRPr="002318C9">
        <w:rPr>
          <w:rFonts w:ascii="Times New Roman" w:hAnsi="Times New Roman" w:cs="Times New Roman"/>
          <w:i/>
          <w:iCs/>
        </w:rPr>
        <w:t>Journal of the Executive Proceedings of Senate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400-408.</w:t>
      </w:r>
    </w:p>
  </w:footnote>
  <w:footnote w:id="635">
    <w:p w14:paraId="7FDC9FBF" w14:textId="0EAE9EDB"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Hiram Revels to Charles Sumner, March 30, 1870, Charles Sumner Papers (microfilm)</w:t>
      </w:r>
    </w:p>
  </w:footnote>
  <w:footnote w:id="636">
    <w:p w14:paraId="4DE962B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James D. Richardson, ed. </w:t>
      </w:r>
      <w:r w:rsidRPr="002318C9">
        <w:rPr>
          <w:rFonts w:ascii="Times New Roman" w:hAnsi="Times New Roman" w:cs="Times New Roman"/>
          <w:i/>
          <w:iCs/>
        </w:rPr>
        <w:t>Compilation of the Messages and Papers of the Presidents</w:t>
      </w:r>
      <w:r w:rsidRPr="002318C9">
        <w:rPr>
          <w:rFonts w:ascii="Times New Roman" w:hAnsi="Times New Roman" w:cs="Times New Roman"/>
        </w:rPr>
        <w:t xml:space="preserve">. Washington: Bureau of National Literature and Arts, 1903. 7:57; Lester H. Brune, </w:t>
      </w:r>
      <w:r w:rsidRPr="002318C9">
        <w:rPr>
          <w:rFonts w:ascii="Times New Roman" w:hAnsi="Times New Roman" w:cs="Times New Roman"/>
          <w:i/>
          <w:iCs/>
        </w:rPr>
        <w:t>Chronological History of United States Foreign Relations: 1776 to January 20, 1981</w:t>
      </w:r>
      <w:r w:rsidRPr="002318C9">
        <w:rPr>
          <w:rFonts w:ascii="Times New Roman" w:hAnsi="Times New Roman" w:cs="Times New Roman"/>
        </w:rPr>
        <w:t>. New York: Garland, 1985. 1:321</w:t>
      </w:r>
    </w:p>
  </w:footnote>
  <w:footnote w:id="637">
    <w:p w14:paraId="0D7DCC5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March 18, 1870, Hamilton Fish Papers; Raymond H.J. Perry to Hamilton Fish, December 10, 28, 1869, February 8, 20, 1870, Dispatches from US Consuls in Santo Domingo, RG 59</w:t>
      </w:r>
    </w:p>
  </w:footnote>
  <w:footnote w:id="638">
    <w:p w14:paraId="2E15241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39">
    <w:p w14:paraId="7C162AD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40">
    <w:p w14:paraId="79768BE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41">
    <w:p w14:paraId="53E27C2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42">
    <w:p w14:paraId="32C0DC0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Raymond H.J. Perry to Orville Babcock, January 20, February 8, 20, 1870 (typescript), Raymond H.J. Perry Papers</w:t>
      </w:r>
    </w:p>
  </w:footnote>
  <w:footnote w:id="643">
    <w:p w14:paraId="2BC5AA7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Orville Babcock to Raymond H.J. Perry, March 30, 1870 (typescript), Raymond H.J. Perry Papers</w:t>
      </w:r>
    </w:p>
  </w:footnote>
  <w:footnote w:id="644">
    <w:p w14:paraId="5928B034"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45">
    <w:p w14:paraId="08FC9E1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Raymond H.J. Perry to Ulysses S. Grant, March 17, 1870, Raymond H.J. Perry Papers; Raymond H.J. Perry to Orville Babcock, April 15, 1870 (typescript), Raymond H.J. Perry Papers</w:t>
      </w:r>
    </w:p>
  </w:footnote>
  <w:footnote w:id="646">
    <w:p w14:paraId="5E49EB7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w:t>
      </w:r>
    </w:p>
  </w:footnote>
  <w:footnote w:id="647">
    <w:p w14:paraId="54DA170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bookmarkStart w:id="38" w:name="_Hlk187488799"/>
      <w:r w:rsidRPr="002318C9">
        <w:rPr>
          <w:rFonts w:ascii="Times New Roman" w:hAnsi="Times New Roman" w:cs="Times New Roman"/>
        </w:rPr>
        <w:t>Senate Executive Document No. 54,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w:t>
      </w:r>
      <w:bookmarkEnd w:id="38"/>
    </w:p>
  </w:footnote>
  <w:footnote w:id="648">
    <w:p w14:paraId="4DB2649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New York World</w:t>
      </w:r>
      <w:r w:rsidRPr="002318C9">
        <w:rPr>
          <w:rFonts w:ascii="Times New Roman" w:hAnsi="Times New Roman" w:cs="Times New Roman"/>
        </w:rPr>
        <w:t xml:space="preserve">, March 26, 1870, quoted in Hatch Report; </w:t>
      </w:r>
      <w:r w:rsidRPr="002318C9">
        <w:rPr>
          <w:rFonts w:ascii="Times New Roman" w:hAnsi="Times New Roman" w:cs="Times New Roman"/>
          <w:i/>
          <w:iCs/>
        </w:rPr>
        <w:t xml:space="preserve">Congressional </w:t>
      </w:r>
      <w:r w:rsidRPr="002318C9">
        <w:rPr>
          <w:rFonts w:ascii="Times New Roman" w:hAnsi="Times New Roman" w:cs="Times New Roman"/>
        </w:rPr>
        <w:t>Globe,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1444, 1774-1775.</w:t>
      </w:r>
    </w:p>
  </w:footnote>
  <w:footnote w:id="649">
    <w:p w14:paraId="4FCA217D" w14:textId="17B3F2F9"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Nevins</w:t>
      </w:r>
      <w:r w:rsidR="00401862">
        <w:rPr>
          <w:rFonts w:ascii="Times New Roman" w:hAnsi="Times New Roman" w:cs="Times New Roman"/>
        </w:rPr>
        <w:t xml:space="preserve">, </w:t>
      </w:r>
      <w:r w:rsidR="00401862">
        <w:rPr>
          <w:rFonts w:ascii="Times New Roman" w:hAnsi="Times New Roman" w:cs="Times New Roman"/>
          <w:i/>
          <w:iCs/>
        </w:rPr>
        <w:t>Hamilton Fish,</w:t>
      </w:r>
      <w:r w:rsidRPr="002318C9">
        <w:rPr>
          <w:rFonts w:ascii="Times New Roman" w:hAnsi="Times New Roman" w:cs="Times New Roman"/>
        </w:rPr>
        <w:t xml:space="preserve"> 325; Hamilton Fish Diary, April 29, May 3, 14, 1870, Hamilton Fish Papers; </w:t>
      </w:r>
      <w:r w:rsidRPr="002318C9">
        <w:rPr>
          <w:rFonts w:ascii="Times New Roman" w:hAnsi="Times New Roman" w:cs="Times New Roman"/>
          <w:i/>
          <w:iCs/>
        </w:rPr>
        <w:t>Congressional Globe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2442-4442 (particularly pages 2495, 2547, 2602, 2660, 2861, 2286, &amp; 3977)</w:t>
      </w:r>
    </w:p>
  </w:footnote>
  <w:footnote w:id="650">
    <w:p w14:paraId="1873A56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51">
    <w:p w14:paraId="279E51D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52">
    <w:p w14:paraId="7FB5852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bookmarkStart w:id="39" w:name="_Hlk187492334"/>
      <w:r w:rsidRPr="002318C9">
        <w:rPr>
          <w:rFonts w:ascii="Times New Roman" w:hAnsi="Times New Roman" w:cs="Times New Roman"/>
        </w:rPr>
        <w:t>Joseph Fabens to [Hamilton Fish], undated (believed to be early June 1870), letterpress, Joseph Fabens Papers</w:t>
      </w:r>
      <w:bookmarkEnd w:id="39"/>
    </w:p>
  </w:footnote>
  <w:footnote w:id="653">
    <w:p w14:paraId="71C14AC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Journal of the Executive Proceedings of the Senate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500-503; Hamilton Fish Diary, May 3, 6, 1870, Hamilton Fish Papers; JC Bancroft Davis to Raymond H.J. Perry, May 3, 1870, Raymond H.J. Perry Papers</w:t>
      </w:r>
    </w:p>
  </w:footnote>
  <w:footnote w:id="654">
    <w:p w14:paraId="1F5DD36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55">
    <w:p w14:paraId="6D84426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New York Times</w:t>
      </w:r>
      <w:r w:rsidRPr="002318C9">
        <w:rPr>
          <w:rFonts w:ascii="Times New Roman" w:hAnsi="Times New Roman" w:cs="Times New Roman"/>
        </w:rPr>
        <w:t>, April 30, 1870</w:t>
      </w:r>
    </w:p>
  </w:footnote>
  <w:footnote w:id="656">
    <w:p w14:paraId="05F357E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to James A. Hamilton, March 13, 1870, Hamilton Fish Papers</w:t>
      </w:r>
    </w:p>
  </w:footnote>
  <w:footnote w:id="657">
    <w:p w14:paraId="6380430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Orville Babcock to F.J. Fithian, May 19, 1870, Orville Babcock Papers, Newberry Library</w:t>
      </w:r>
    </w:p>
  </w:footnote>
  <w:footnote w:id="658">
    <w:p w14:paraId="4A979ADD" w14:textId="09E73F1E"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01862">
        <w:rPr>
          <w:rFonts w:ascii="Times New Roman" w:hAnsi="Times New Roman" w:cs="Times New Roman"/>
        </w:rPr>
        <w:t xml:space="preserve">Richardson, </w:t>
      </w:r>
      <w:r w:rsidRPr="002318C9">
        <w:rPr>
          <w:rFonts w:ascii="Times New Roman" w:hAnsi="Times New Roman" w:cs="Times New Roman"/>
          <w:i/>
          <w:iCs/>
        </w:rPr>
        <w:t>Compilation of the Messages and Papers of the Presidents</w:t>
      </w:r>
      <w:r w:rsidRPr="002318C9">
        <w:rPr>
          <w:rFonts w:ascii="Times New Roman" w:hAnsi="Times New Roman" w:cs="Times New Roman"/>
        </w:rPr>
        <w:t>, 7:61-63</w:t>
      </w:r>
    </w:p>
  </w:footnote>
  <w:footnote w:id="659">
    <w:p w14:paraId="351CE2C8" w14:textId="77777777" w:rsidR="00BD6E3A" w:rsidRPr="002318C9" w:rsidRDefault="00BD6E3A" w:rsidP="00BD6E3A">
      <w:pPr>
        <w:spacing w:after="0"/>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401862">
        <w:rPr>
          <w:rFonts w:ascii="Times New Roman" w:hAnsi="Times New Roman" w:cs="Times New Roman"/>
          <w:i/>
          <w:iCs/>
          <w:sz w:val="20"/>
          <w:szCs w:val="20"/>
        </w:rPr>
        <w:t>New York Times</w:t>
      </w:r>
      <w:r w:rsidRPr="00401862">
        <w:rPr>
          <w:rFonts w:ascii="Times New Roman" w:hAnsi="Times New Roman" w:cs="Times New Roman"/>
          <w:sz w:val="20"/>
          <w:szCs w:val="20"/>
        </w:rPr>
        <w:t xml:space="preserve">, May 14, 1870; </w:t>
      </w:r>
      <w:r w:rsidRPr="00401862">
        <w:rPr>
          <w:rFonts w:ascii="Times New Roman" w:hAnsi="Times New Roman" w:cs="Times New Roman"/>
          <w:i/>
          <w:iCs/>
          <w:sz w:val="20"/>
          <w:szCs w:val="20"/>
        </w:rPr>
        <w:t>New York Herald</w:t>
      </w:r>
      <w:r w:rsidRPr="00401862">
        <w:rPr>
          <w:rFonts w:ascii="Times New Roman" w:hAnsi="Times New Roman" w:cs="Times New Roman"/>
          <w:sz w:val="20"/>
          <w:szCs w:val="20"/>
        </w:rPr>
        <w:t>, May 14, 1870</w:t>
      </w:r>
    </w:p>
  </w:footnote>
  <w:footnote w:id="660">
    <w:p w14:paraId="3034EBF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61">
    <w:p w14:paraId="794D76B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Journal of the Executive Proceedings of the Senate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390-479</w:t>
      </w:r>
    </w:p>
  </w:footnote>
  <w:footnote w:id="662">
    <w:p w14:paraId="2BD01A5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63">
    <w:p w14:paraId="698FE0C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Raymond H.J. Perry, to Hamilton Fish, May 14, 1870, Dispatches from US Consuls in Santo Domingo, RG 59</w:t>
      </w:r>
    </w:p>
  </w:footnote>
  <w:footnote w:id="664">
    <w:p w14:paraId="4FB0578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M.M. Gautier to Hamilton Fish, May 16, 1870, Notes from the Legation of the Dominican Republic, RG 59; Hatch Report</w:t>
      </w:r>
    </w:p>
  </w:footnote>
  <w:footnote w:id="665">
    <w:p w14:paraId="3B1B2A04"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William L. Cazneau to Hamilton Fish, May 17, 1870, Notes from the Legation of the Dominican Republic, RG 59</w:t>
      </w:r>
    </w:p>
  </w:footnote>
  <w:footnote w:id="666">
    <w:p w14:paraId="1C27AFF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May 28, June 1,, 3, 4, 1870, Hamilton Fish Papers; Hatch Report; </w:t>
      </w:r>
      <w:r w:rsidRPr="002318C9">
        <w:rPr>
          <w:rFonts w:ascii="Times New Roman" w:hAnsi="Times New Roman" w:cs="Times New Roman"/>
          <w:i/>
          <w:iCs/>
        </w:rPr>
        <w:t>New York Herald</w:t>
      </w:r>
      <w:r w:rsidRPr="002318C9">
        <w:rPr>
          <w:rFonts w:ascii="Times New Roman" w:hAnsi="Times New Roman" w:cs="Times New Roman"/>
        </w:rPr>
        <w:t>, June 2, 1870</w:t>
      </w:r>
    </w:p>
  </w:footnote>
  <w:footnote w:id="667">
    <w:p w14:paraId="3996B91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68">
    <w:p w14:paraId="6647E585"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69">
    <w:p w14:paraId="6F3D1FA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New York Herald</w:t>
      </w:r>
      <w:r w:rsidRPr="002318C9">
        <w:rPr>
          <w:rFonts w:ascii="Times New Roman" w:hAnsi="Times New Roman" w:cs="Times New Roman"/>
        </w:rPr>
        <w:t>, June 3, 4, 1870</w:t>
      </w:r>
    </w:p>
  </w:footnote>
  <w:footnote w:id="670">
    <w:p w14:paraId="16F4C2B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71">
    <w:p w14:paraId="46DF5115"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New York Herald</w:t>
      </w:r>
      <w:r w:rsidRPr="002318C9">
        <w:rPr>
          <w:rFonts w:ascii="Times New Roman" w:hAnsi="Times New Roman" w:cs="Times New Roman"/>
        </w:rPr>
        <w:t>, June 7, 1870; Joseph Fabens to Orville Babcock, June 6, 1870, Orville Babcock Papers, Newberry Library; Joseph Fabens to [Hamilton Fish], undated (believed to be early June 1870), letterpress, Joseph Fabens Papers</w:t>
      </w:r>
    </w:p>
  </w:footnote>
  <w:footnote w:id="672">
    <w:p w14:paraId="0036619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Raymond HJ Perry “to Prevaricator,” June 7, 1870, Raymond HJ Perry Papers</w:t>
      </w:r>
    </w:p>
  </w:footnote>
  <w:footnote w:id="673">
    <w:p w14:paraId="414B3C05"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74">
    <w:p w14:paraId="7E4A54F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w:t>
      </w:r>
      <w:r w:rsidRPr="002318C9">
        <w:rPr>
          <w:rFonts w:ascii="Times New Roman" w:hAnsi="Times New Roman" w:cs="Times New Roman"/>
          <w:i/>
          <w:iCs/>
        </w:rPr>
        <w:t>Congressional Globe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4190-4203</w:t>
      </w:r>
    </w:p>
  </w:footnote>
  <w:footnote w:id="675">
    <w:p w14:paraId="04A9BAE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76">
    <w:p w14:paraId="7E750F67"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77">
    <w:p w14:paraId="6BDCE58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78">
    <w:p w14:paraId="145EDA8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w:t>
      </w:r>
      <w:r w:rsidRPr="002318C9">
        <w:rPr>
          <w:rFonts w:ascii="Times New Roman" w:hAnsi="Times New Roman" w:cs="Times New Roman"/>
          <w:i/>
          <w:iCs/>
        </w:rPr>
        <w:t>New York Herald</w:t>
      </w:r>
      <w:r w:rsidRPr="002318C9">
        <w:rPr>
          <w:rFonts w:ascii="Times New Roman" w:hAnsi="Times New Roman" w:cs="Times New Roman"/>
        </w:rPr>
        <w:t>, June 14, 1870</w:t>
      </w:r>
    </w:p>
  </w:footnote>
  <w:footnote w:id="679">
    <w:p w14:paraId="15F2C045"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80">
    <w:p w14:paraId="1CC6CC45"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Orville Babcock to James W. Nye, undated [June 1870], Orville Babcock Papers, Newberry Library</w:t>
      </w:r>
    </w:p>
  </w:footnote>
  <w:footnote w:id="681">
    <w:p w14:paraId="1197253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82">
    <w:p w14:paraId="6E7AB67E"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83">
    <w:p w14:paraId="74B7FCF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84">
    <w:p w14:paraId="5170F0B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w:t>
      </w:r>
    </w:p>
  </w:footnote>
  <w:footnote w:id="685">
    <w:p w14:paraId="74D06E7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86">
    <w:p w14:paraId="7B2B4D2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87">
    <w:p w14:paraId="473AF34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88">
    <w:p w14:paraId="3B93FA95"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89">
    <w:p w14:paraId="3700EF69" w14:textId="79947DD5"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Orville Babcock Diary, September 1, 1869, Orville Babcock Papers</w:t>
      </w:r>
      <w:r w:rsidR="00262E56">
        <w:rPr>
          <w:rFonts w:ascii="Times New Roman" w:hAnsi="Times New Roman" w:cs="Times New Roman"/>
        </w:rPr>
        <w:t>, USGPL</w:t>
      </w:r>
    </w:p>
  </w:footnote>
  <w:footnote w:id="690">
    <w:p w14:paraId="39ED5B5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91">
    <w:p w14:paraId="61D634C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92">
    <w:p w14:paraId="71B2BEA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93">
    <w:p w14:paraId="7148239E"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94">
    <w:p w14:paraId="778B4B6C" w14:textId="15FFE0ED"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Orville Babcock Diary, August 20, 1869, Orville Babcock Papers</w:t>
      </w:r>
      <w:r w:rsidR="00262E56">
        <w:rPr>
          <w:rFonts w:ascii="Times New Roman" w:hAnsi="Times New Roman" w:cs="Times New Roman"/>
        </w:rPr>
        <w:t>, USGPL</w:t>
      </w:r>
    </w:p>
  </w:footnote>
  <w:footnote w:id="695">
    <w:p w14:paraId="35D9652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96">
    <w:p w14:paraId="700A2078"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97">
    <w:p w14:paraId="4F8C883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98">
    <w:p w14:paraId="5D5374A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699">
    <w:p w14:paraId="65B04652"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Hamilton Fish Diary, June 14, 1870, Hamilton Fish Papers</w:t>
      </w:r>
    </w:p>
  </w:footnote>
  <w:footnote w:id="700">
    <w:p w14:paraId="3686B572" w14:textId="3449B91D"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62E56">
        <w:rPr>
          <w:rFonts w:ascii="Times New Roman" w:hAnsi="Times New Roman" w:cs="Times New Roman"/>
        </w:rPr>
        <w:t xml:space="preserve">Simon, </w:t>
      </w:r>
      <w:r w:rsidRPr="002318C9">
        <w:rPr>
          <w:rFonts w:ascii="Times New Roman" w:hAnsi="Times New Roman" w:cs="Times New Roman"/>
          <w:i/>
          <w:iCs/>
        </w:rPr>
        <w:t>Papers of Ulysses S. Grant</w:t>
      </w:r>
      <w:r w:rsidR="00262E56">
        <w:rPr>
          <w:rFonts w:ascii="Times New Roman" w:hAnsi="Times New Roman" w:cs="Times New Roman"/>
          <w:i/>
          <w:iCs/>
        </w:rPr>
        <w:t>, 20</w:t>
      </w:r>
      <w:r w:rsidR="00262E56">
        <w:rPr>
          <w:rFonts w:ascii="Times New Roman" w:hAnsi="Times New Roman" w:cs="Times New Roman"/>
        </w:rPr>
        <w:t>,</w:t>
      </w:r>
      <w:r w:rsidRPr="002318C9">
        <w:rPr>
          <w:rFonts w:ascii="Times New Roman" w:hAnsi="Times New Roman" w:cs="Times New Roman"/>
        </w:rPr>
        <w:t xml:space="preserve"> </w:t>
      </w:r>
      <w:r w:rsidR="00262E56">
        <w:rPr>
          <w:rFonts w:ascii="Times New Roman" w:hAnsi="Times New Roman" w:cs="Times New Roman"/>
        </w:rPr>
        <w:t>1</w:t>
      </w:r>
      <w:r w:rsidRPr="002318C9">
        <w:rPr>
          <w:rFonts w:ascii="Times New Roman" w:hAnsi="Times New Roman" w:cs="Times New Roman"/>
        </w:rPr>
        <w:t>63</w:t>
      </w:r>
    </w:p>
  </w:footnote>
  <w:footnote w:id="701">
    <w:p w14:paraId="68EBA157" w14:textId="1495789C"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Orville Babcock Diary, August 20, 1869, Orville Babcock Papers</w:t>
      </w:r>
      <w:r w:rsidR="00262E56">
        <w:rPr>
          <w:rFonts w:ascii="Times New Roman" w:hAnsi="Times New Roman" w:cs="Times New Roman"/>
        </w:rPr>
        <w:t>, USGPL</w:t>
      </w:r>
    </w:p>
  </w:footnote>
  <w:footnote w:id="702">
    <w:p w14:paraId="3299790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03">
    <w:p w14:paraId="44C49CA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w:t>
      </w:r>
    </w:p>
  </w:footnote>
  <w:footnote w:id="704">
    <w:p w14:paraId="45BB1C85"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05">
    <w:p w14:paraId="3641F056" w14:textId="06B3A425"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62E56">
        <w:rPr>
          <w:rFonts w:ascii="Times New Roman" w:hAnsi="Times New Roman" w:cs="Times New Roman"/>
        </w:rPr>
        <w:t xml:space="preserve">Simon, </w:t>
      </w:r>
      <w:r w:rsidRPr="002318C9">
        <w:rPr>
          <w:rFonts w:ascii="Times New Roman" w:hAnsi="Times New Roman" w:cs="Times New Roman"/>
          <w:i/>
          <w:iCs/>
        </w:rPr>
        <w:t>Papers of Ulysses S. Grant</w:t>
      </w:r>
      <w:r w:rsidR="00262E56">
        <w:rPr>
          <w:rFonts w:ascii="Times New Roman" w:hAnsi="Times New Roman" w:cs="Times New Roman"/>
          <w:i/>
          <w:iCs/>
        </w:rPr>
        <w:t xml:space="preserve"> 20, </w:t>
      </w:r>
      <w:r w:rsidRPr="002318C9">
        <w:rPr>
          <w:rFonts w:ascii="Times New Roman" w:hAnsi="Times New Roman" w:cs="Times New Roman"/>
        </w:rPr>
        <w:t>164</w:t>
      </w:r>
    </w:p>
  </w:footnote>
  <w:footnote w:id="706">
    <w:p w14:paraId="1AADDAC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p>
  </w:footnote>
  <w:footnote w:id="707">
    <w:p w14:paraId="1AAFAFD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08">
    <w:p w14:paraId="60FA460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June 13-17, 1870, Hamilton Fish Papers; </w:t>
      </w:r>
      <w:bookmarkStart w:id="40" w:name="_Hlk187494392"/>
      <w:r w:rsidRPr="002318C9">
        <w:rPr>
          <w:rFonts w:ascii="Times New Roman" w:hAnsi="Times New Roman" w:cs="Times New Roman"/>
        </w:rPr>
        <w:t xml:space="preserve">Jacob Cox, “How Ebenezer Hoar Ceased to Be Attorney General,” </w:t>
      </w:r>
      <w:r w:rsidRPr="002318C9">
        <w:rPr>
          <w:rFonts w:ascii="Times New Roman" w:hAnsi="Times New Roman" w:cs="Times New Roman"/>
          <w:i/>
          <w:iCs/>
        </w:rPr>
        <w:t>Atlantic Monthly</w:t>
      </w:r>
      <w:r w:rsidRPr="002318C9">
        <w:rPr>
          <w:rFonts w:ascii="Times New Roman" w:hAnsi="Times New Roman" w:cs="Times New Roman"/>
        </w:rPr>
        <w:t xml:space="preserve"> 76, August 1895</w:t>
      </w:r>
      <w:bookmarkEnd w:id="40"/>
    </w:p>
  </w:footnote>
  <w:footnote w:id="709">
    <w:p w14:paraId="7C5DD388" w14:textId="6819EC8A"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Cox; </w:t>
      </w:r>
      <w:r w:rsidR="00262E56">
        <w:rPr>
          <w:rFonts w:ascii="Times New Roman" w:hAnsi="Times New Roman" w:cs="Times New Roman"/>
        </w:rPr>
        <w:t xml:space="preserve">Simon, </w:t>
      </w:r>
      <w:r w:rsidRPr="002318C9">
        <w:rPr>
          <w:rFonts w:ascii="Times New Roman" w:hAnsi="Times New Roman" w:cs="Times New Roman"/>
          <w:i/>
          <w:iCs/>
        </w:rPr>
        <w:t>Papers of Ulysses S. Grant</w:t>
      </w:r>
      <w:r w:rsidR="00262E56">
        <w:rPr>
          <w:rFonts w:ascii="Times New Roman" w:hAnsi="Times New Roman" w:cs="Times New Roman"/>
          <w:i/>
          <w:iCs/>
        </w:rPr>
        <w:t xml:space="preserve">, 20, </w:t>
      </w:r>
      <w:r w:rsidRPr="002318C9">
        <w:rPr>
          <w:rFonts w:ascii="Times New Roman" w:hAnsi="Times New Roman" w:cs="Times New Roman"/>
        </w:rPr>
        <w:t>170</w:t>
      </w:r>
    </w:p>
  </w:footnote>
  <w:footnote w:id="710">
    <w:p w14:paraId="368909CF"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11">
    <w:p w14:paraId="424A185A" w14:textId="416DE1E3"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Orville Babcock Diary, September 4, 1869, Orville Babcock Papers</w:t>
      </w:r>
      <w:r w:rsidR="00262E56">
        <w:rPr>
          <w:rFonts w:ascii="Times New Roman" w:hAnsi="Times New Roman" w:cs="Times New Roman"/>
        </w:rPr>
        <w:t>, USGPL</w:t>
      </w:r>
      <w:r w:rsidRPr="002318C9">
        <w:rPr>
          <w:rFonts w:ascii="Times New Roman" w:hAnsi="Times New Roman" w:cs="Times New Roman"/>
        </w:rPr>
        <w:t xml:space="preserve">; </w:t>
      </w:r>
      <w:r w:rsidR="00262E56">
        <w:rPr>
          <w:rFonts w:ascii="Times New Roman" w:hAnsi="Times New Roman" w:cs="Times New Roman"/>
        </w:rPr>
        <w:t xml:space="preserve">Simon, </w:t>
      </w:r>
      <w:r w:rsidRPr="002318C9">
        <w:rPr>
          <w:rFonts w:ascii="Times New Roman" w:hAnsi="Times New Roman" w:cs="Times New Roman"/>
          <w:i/>
          <w:iCs/>
        </w:rPr>
        <w:t>Papers of Ulysses S. Grant</w:t>
      </w:r>
      <w:r w:rsidR="00262E56">
        <w:rPr>
          <w:rFonts w:ascii="Times New Roman" w:hAnsi="Times New Roman" w:cs="Times New Roman"/>
          <w:i/>
          <w:iCs/>
        </w:rPr>
        <w:t>, 20</w:t>
      </w:r>
      <w:r w:rsidRPr="002318C9">
        <w:rPr>
          <w:rFonts w:ascii="Times New Roman" w:hAnsi="Times New Roman" w:cs="Times New Roman"/>
          <w:i/>
          <w:iCs/>
        </w:rPr>
        <w:t xml:space="preserve"> </w:t>
      </w:r>
      <w:r w:rsidRPr="002318C9">
        <w:rPr>
          <w:rFonts w:ascii="Times New Roman" w:hAnsi="Times New Roman" w:cs="Times New Roman"/>
        </w:rPr>
        <w:t>179</w:t>
      </w:r>
    </w:p>
  </w:footnote>
  <w:footnote w:id="712">
    <w:p w14:paraId="2F94F97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13">
    <w:p w14:paraId="0133B3C9"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14">
    <w:p w14:paraId="3784E02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Rutherford B. Hayes Diary, July 1, 1870 (dated as such, though the meeting in question took place June 27</w:t>
      </w:r>
      <w:r w:rsidRPr="002318C9">
        <w:rPr>
          <w:rFonts w:ascii="Times New Roman" w:hAnsi="Times New Roman" w:cs="Times New Roman"/>
          <w:vertAlign w:val="superscript"/>
        </w:rPr>
        <w:t>th</w:t>
      </w:r>
      <w:r w:rsidRPr="002318C9">
        <w:rPr>
          <w:rFonts w:ascii="Times New Roman" w:hAnsi="Times New Roman" w:cs="Times New Roman"/>
        </w:rPr>
        <w:t xml:space="preserve">, according to his notes), in </w:t>
      </w:r>
      <w:r w:rsidRPr="002318C9">
        <w:rPr>
          <w:rFonts w:ascii="Times New Roman" w:hAnsi="Times New Roman" w:cs="Times New Roman"/>
          <w:i/>
          <w:iCs/>
        </w:rPr>
        <w:t>Diary and Letters of Rutherford Birchard Hayes</w:t>
      </w:r>
      <w:r w:rsidRPr="002318C9">
        <w:rPr>
          <w:rFonts w:ascii="Times New Roman" w:hAnsi="Times New Roman" w:cs="Times New Roman"/>
        </w:rPr>
        <w:t>, ed. Charles Richard Williams. Columbus: Ohio State Archaeological and Historical Society, 1924. 3:111-112</w:t>
      </w:r>
    </w:p>
  </w:footnote>
  <w:footnote w:id="715">
    <w:p w14:paraId="7F98834C" w14:textId="42823C19"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Hatch Report; </w:t>
      </w:r>
      <w:r w:rsidR="00262E56">
        <w:rPr>
          <w:rFonts w:ascii="Times New Roman" w:hAnsi="Times New Roman" w:cs="Times New Roman"/>
        </w:rPr>
        <w:t xml:space="preserve">Simon, </w:t>
      </w:r>
      <w:r w:rsidRPr="002318C9">
        <w:rPr>
          <w:rFonts w:ascii="Times New Roman" w:hAnsi="Times New Roman" w:cs="Times New Roman"/>
          <w:i/>
          <w:iCs/>
        </w:rPr>
        <w:t>Papers of Ulysses S. Grant</w:t>
      </w:r>
      <w:r w:rsidR="00262E56">
        <w:rPr>
          <w:rFonts w:ascii="Times New Roman" w:hAnsi="Times New Roman" w:cs="Times New Roman"/>
          <w:i/>
          <w:iCs/>
        </w:rPr>
        <w:t>, 20</w:t>
      </w:r>
      <w:r w:rsidRPr="002318C9">
        <w:rPr>
          <w:rFonts w:ascii="Times New Roman" w:hAnsi="Times New Roman" w:cs="Times New Roman"/>
        </w:rPr>
        <w:t xml:space="preserve"> </w:t>
      </w:r>
      <w:r w:rsidR="00262E56">
        <w:rPr>
          <w:rFonts w:ascii="Times New Roman" w:hAnsi="Times New Roman" w:cs="Times New Roman"/>
        </w:rPr>
        <w:t>1</w:t>
      </w:r>
      <w:r w:rsidRPr="002318C9">
        <w:rPr>
          <w:rFonts w:ascii="Times New Roman" w:hAnsi="Times New Roman" w:cs="Times New Roman"/>
        </w:rPr>
        <w:t>79</w:t>
      </w:r>
    </w:p>
  </w:footnote>
  <w:footnote w:id="716">
    <w:p w14:paraId="18F1F053"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17">
    <w:p w14:paraId="149D616B" w14:textId="434CF15E"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Donald</w:t>
      </w:r>
      <w:r w:rsidR="00B26255">
        <w:rPr>
          <w:rFonts w:ascii="Times New Roman" w:hAnsi="Times New Roman" w:cs="Times New Roman"/>
        </w:rPr>
        <w:t xml:space="preserve">, </w:t>
      </w:r>
      <w:r w:rsidR="00B26255">
        <w:rPr>
          <w:rFonts w:ascii="Times New Roman" w:hAnsi="Times New Roman" w:cs="Times New Roman"/>
          <w:i/>
          <w:iCs/>
        </w:rPr>
        <w:t>Charles Sumner</w:t>
      </w:r>
      <w:r w:rsidR="00B26255">
        <w:rPr>
          <w:rFonts w:ascii="Times New Roman" w:hAnsi="Times New Roman" w:cs="Times New Roman"/>
        </w:rPr>
        <w:t>,</w:t>
      </w:r>
      <w:r w:rsidRPr="002318C9">
        <w:rPr>
          <w:rFonts w:ascii="Times New Roman" w:hAnsi="Times New Roman" w:cs="Times New Roman"/>
        </w:rPr>
        <w:t xml:space="preserve"> 279</w:t>
      </w:r>
    </w:p>
  </w:footnote>
  <w:footnote w:id="718">
    <w:p w14:paraId="74AF015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New York Times</w:t>
      </w:r>
      <w:r w:rsidRPr="002318C9">
        <w:rPr>
          <w:rFonts w:ascii="Times New Roman" w:hAnsi="Times New Roman" w:cs="Times New Roman"/>
        </w:rPr>
        <w:t xml:space="preserve">, October 20, 1877; </w:t>
      </w:r>
      <w:bookmarkStart w:id="41" w:name="_Hlk187495673"/>
      <w:r w:rsidRPr="002318C9">
        <w:rPr>
          <w:rFonts w:ascii="Times New Roman" w:hAnsi="Times New Roman" w:cs="Times New Roman"/>
          <w:i/>
          <w:iCs/>
        </w:rPr>
        <w:t>The Selected Letters of Charles Sumner</w:t>
      </w:r>
      <w:r w:rsidRPr="002318C9">
        <w:rPr>
          <w:rFonts w:ascii="Times New Roman" w:hAnsi="Times New Roman" w:cs="Times New Roman"/>
        </w:rPr>
        <w:t>, ed. Beverly Wilson Palmer. Boston: Northeastern University Press, 1990</w:t>
      </w:r>
      <w:bookmarkEnd w:id="41"/>
      <w:r w:rsidRPr="002318C9">
        <w:rPr>
          <w:rFonts w:ascii="Times New Roman" w:hAnsi="Times New Roman" w:cs="Times New Roman"/>
        </w:rPr>
        <w:t>. 2:561-562</w:t>
      </w:r>
    </w:p>
  </w:footnote>
  <w:footnote w:id="719">
    <w:p w14:paraId="78D42F2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20">
    <w:p w14:paraId="7F224B2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Hamilton Fish Diary, June 27, 1870, Hamilton Fish Papers</w:t>
      </w:r>
    </w:p>
  </w:footnote>
  <w:footnote w:id="721">
    <w:p w14:paraId="61A907FA"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Hamilton Fish Diary, June 28-30, 1870, Hamilton Fish Papers</w:t>
      </w:r>
    </w:p>
  </w:footnote>
  <w:footnote w:id="722">
    <w:p w14:paraId="2CA3FDAE" w14:textId="79D48C32"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New York Herald</w:t>
      </w:r>
      <w:r w:rsidR="00B26255">
        <w:rPr>
          <w:rFonts w:ascii="Times New Roman" w:hAnsi="Times New Roman" w:cs="Times New Roman"/>
          <w:i/>
          <w:iCs/>
        </w:rPr>
        <w:t>,</w:t>
      </w:r>
      <w:r w:rsidRPr="002318C9">
        <w:rPr>
          <w:rFonts w:ascii="Times New Roman" w:hAnsi="Times New Roman" w:cs="Times New Roman"/>
        </w:rPr>
        <w:t xml:space="preserve"> June 30, 1870; </w:t>
      </w:r>
      <w:r w:rsidRPr="002318C9">
        <w:rPr>
          <w:rFonts w:ascii="Times New Roman" w:hAnsi="Times New Roman" w:cs="Times New Roman"/>
          <w:i/>
          <w:iCs/>
        </w:rPr>
        <w:t>Journal of the Executive Proceedings of the Senate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500-504</w:t>
      </w:r>
    </w:p>
  </w:footnote>
  <w:footnote w:id="723">
    <w:p w14:paraId="2A47B95B"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24">
    <w:p w14:paraId="1C9E93EE"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25">
    <w:p w14:paraId="0A9DC9F6"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July 1-7, 1870, Hamilton Fish Papers; Senate Executive Document No. 11,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w:t>
      </w:r>
    </w:p>
  </w:footnote>
  <w:footnote w:id="726">
    <w:p w14:paraId="62599431"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27">
    <w:p w14:paraId="219713FD"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Ulysses S. Grant, interview, </w:t>
      </w:r>
      <w:r w:rsidRPr="002318C9">
        <w:rPr>
          <w:rFonts w:ascii="Times New Roman" w:hAnsi="Times New Roman" w:cs="Times New Roman"/>
          <w:i/>
          <w:iCs/>
        </w:rPr>
        <w:t>New York Herald</w:t>
      </w:r>
      <w:r w:rsidRPr="002318C9">
        <w:rPr>
          <w:rFonts w:ascii="Times New Roman" w:hAnsi="Times New Roman" w:cs="Times New Roman"/>
        </w:rPr>
        <w:t>, September 25, 1877.</w:t>
      </w:r>
    </w:p>
  </w:footnote>
  <w:footnote w:id="728">
    <w:p w14:paraId="3BE691E0"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Journal of the Executive Proceedings of the Senate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542-547; </w:t>
      </w:r>
      <w:r w:rsidRPr="002318C9">
        <w:rPr>
          <w:rFonts w:ascii="Times New Roman" w:hAnsi="Times New Roman" w:cs="Times New Roman"/>
          <w:i/>
          <w:iCs/>
        </w:rPr>
        <w:t>Boston Daily Advertiser</w:t>
      </w:r>
      <w:r w:rsidRPr="002318C9">
        <w:rPr>
          <w:rFonts w:ascii="Times New Roman" w:hAnsi="Times New Roman" w:cs="Times New Roman"/>
        </w:rPr>
        <w:t xml:space="preserve">, July 16, 1870; </w:t>
      </w:r>
      <w:r w:rsidRPr="002318C9">
        <w:rPr>
          <w:rFonts w:ascii="Times New Roman" w:hAnsi="Times New Roman" w:cs="Times New Roman"/>
          <w:i/>
          <w:iCs/>
        </w:rPr>
        <w:t>New York Herald</w:t>
      </w:r>
      <w:r w:rsidRPr="002318C9">
        <w:rPr>
          <w:rFonts w:ascii="Times New Roman" w:hAnsi="Times New Roman" w:cs="Times New Roman"/>
        </w:rPr>
        <w:t>, July 16, 1870</w:t>
      </w:r>
    </w:p>
  </w:footnote>
  <w:footnote w:id="729">
    <w:p w14:paraId="1777045C" w14:textId="17EE75C4"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Hamilton Fish Diary, April 20-July 10, 1870, Hamilton Fish Papers; Hamilton Fish to Ulysses S. Grant, July 7, 1870 (typescript), Hamilton Fish Papers</w:t>
      </w:r>
    </w:p>
  </w:footnote>
  <w:footnote w:id="730">
    <w:p w14:paraId="4BEF09EC" w14:textId="77777777" w:rsidR="00BD6E3A" w:rsidRPr="002318C9" w:rsidRDefault="00BD6E3A" w:rsidP="00BD6E3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731">
    <w:p w14:paraId="6A39AA0B" w14:textId="77777777" w:rsidR="0074413B" w:rsidRPr="002318C9" w:rsidRDefault="0074413B" w:rsidP="0074413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 Vann Woodward. “The Lowest Ebb.” American Heritage vol 8, issue 3 (April 1957)</w:t>
      </w:r>
      <w:r>
        <w:rPr>
          <w:rFonts w:ascii="Times New Roman" w:hAnsi="Times New Roman" w:cs="Times New Roman"/>
        </w:rPr>
        <w:t xml:space="preserve">; </w:t>
      </w:r>
      <w:r w:rsidRPr="002318C9">
        <w:rPr>
          <w:rFonts w:ascii="Times New Roman" w:hAnsi="Times New Roman" w:cs="Times New Roman"/>
        </w:rPr>
        <w:t>Photo Courtesy of J</w:t>
      </w:r>
      <w:r>
        <w:rPr>
          <w:rFonts w:ascii="Times New Roman" w:hAnsi="Times New Roman" w:cs="Times New Roman"/>
        </w:rPr>
        <w:t>ames A.</w:t>
      </w:r>
      <w:r w:rsidRPr="002318C9">
        <w:rPr>
          <w:rFonts w:ascii="Times New Roman" w:hAnsi="Times New Roman" w:cs="Times New Roman"/>
        </w:rPr>
        <w:t xml:space="preserve"> Bultema</w:t>
      </w:r>
      <w:r>
        <w:rPr>
          <w:rFonts w:ascii="Times New Roman" w:hAnsi="Times New Roman" w:cs="Times New Roman"/>
        </w:rPr>
        <w:t>, President of the Ulysses S. Grant Association</w:t>
      </w:r>
    </w:p>
  </w:footnote>
  <w:footnote w:id="732">
    <w:p w14:paraId="74D49E58"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Kathryn Allamong Jacob, </w:t>
      </w:r>
      <w:r w:rsidRPr="002318C9">
        <w:rPr>
          <w:rFonts w:ascii="Times New Roman" w:hAnsi="Times New Roman" w:cs="Times New Roman"/>
          <w:i/>
          <w:iCs/>
        </w:rPr>
        <w:t xml:space="preserve">Capital Elites: High Society in Washington, D.C. after the Civil War. </w:t>
      </w:r>
      <w:r w:rsidRPr="002318C9">
        <w:rPr>
          <w:rFonts w:ascii="Times New Roman" w:hAnsi="Times New Roman" w:cs="Times New Roman"/>
        </w:rPr>
        <w:t>Washington: Smithsonian Institution Press, 1995.</w:t>
      </w:r>
    </w:p>
  </w:footnote>
  <w:footnote w:id="733">
    <w:p w14:paraId="1BCB92CD" w14:textId="76743AF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Most instances of this resulted in Babcock’s endorsement on an envelope that was sent between departments. Examples include WM Dunn to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Re: Paul Beckworth, July 2, 1875, Ulysses S. Grant Unpublished Correspondence, Ulysses S. Grant Presidential Library; U</w:t>
      </w:r>
      <w:r w:rsidR="00300944">
        <w:rPr>
          <w:rFonts w:ascii="Times New Roman" w:hAnsi="Times New Roman" w:cs="Times New Roman"/>
        </w:rPr>
        <w:t xml:space="preserve">lysses </w:t>
      </w:r>
      <w:r w:rsidRPr="002318C9">
        <w:rPr>
          <w:rFonts w:ascii="Times New Roman" w:hAnsi="Times New Roman" w:cs="Times New Roman"/>
        </w:rPr>
        <w:t>S</w:t>
      </w:r>
      <w:r w:rsidR="00300944">
        <w:rPr>
          <w:rFonts w:ascii="Times New Roman" w:hAnsi="Times New Roman" w:cs="Times New Roman"/>
        </w:rPr>
        <w:t xml:space="preserve">. </w:t>
      </w:r>
      <w:r w:rsidRPr="002318C9">
        <w:rPr>
          <w:rFonts w:ascii="Times New Roman" w:hAnsi="Times New Roman" w:cs="Times New Roman"/>
        </w:rPr>
        <w:t>G</w:t>
      </w:r>
      <w:r w:rsidR="00300944">
        <w:rPr>
          <w:rFonts w:ascii="Times New Roman" w:hAnsi="Times New Roman" w:cs="Times New Roman"/>
        </w:rPr>
        <w:t>rant</w:t>
      </w:r>
      <w:r w:rsidRPr="002318C9">
        <w:rPr>
          <w:rFonts w:ascii="Times New Roman" w:hAnsi="Times New Roman" w:cs="Times New Roman"/>
        </w:rPr>
        <w:t xml:space="preserve"> to O</w:t>
      </w:r>
      <w:r w:rsidR="00300944">
        <w:rPr>
          <w:rFonts w:ascii="Times New Roman" w:hAnsi="Times New Roman" w:cs="Times New Roman"/>
        </w:rPr>
        <w:t>rville Babcock</w:t>
      </w:r>
      <w:r w:rsidRPr="002318C9">
        <w:rPr>
          <w:rFonts w:ascii="Times New Roman" w:hAnsi="Times New Roman" w:cs="Times New Roman"/>
        </w:rPr>
        <w:t>, March 14, 1874,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re: Charles Lentz, October 3, 1873,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endorsement, December 16, 1873,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for U</w:t>
      </w:r>
      <w:r w:rsidR="00300944">
        <w:rPr>
          <w:rFonts w:ascii="Times New Roman" w:hAnsi="Times New Roman" w:cs="Times New Roman"/>
        </w:rPr>
        <w:t xml:space="preserve">lysses </w:t>
      </w:r>
      <w:r w:rsidRPr="002318C9">
        <w:rPr>
          <w:rFonts w:ascii="Times New Roman" w:hAnsi="Times New Roman" w:cs="Times New Roman"/>
        </w:rPr>
        <w:t>S</w:t>
      </w:r>
      <w:r w:rsidR="00300944">
        <w:rPr>
          <w:rFonts w:ascii="Times New Roman" w:hAnsi="Times New Roman" w:cs="Times New Roman"/>
        </w:rPr>
        <w:t xml:space="preserve">. </w:t>
      </w:r>
      <w:r w:rsidRPr="002318C9">
        <w:rPr>
          <w:rFonts w:ascii="Times New Roman" w:hAnsi="Times New Roman" w:cs="Times New Roman"/>
        </w:rPr>
        <w:t>G</w:t>
      </w:r>
      <w:r w:rsidR="00300944">
        <w:rPr>
          <w:rFonts w:ascii="Times New Roman" w:hAnsi="Times New Roman" w:cs="Times New Roman"/>
        </w:rPr>
        <w:t>rant</w:t>
      </w:r>
      <w:r w:rsidRPr="002318C9">
        <w:rPr>
          <w:rFonts w:ascii="Times New Roman" w:hAnsi="Times New Roman" w:cs="Times New Roman"/>
        </w:rPr>
        <w:t xml:space="preserve"> to W</w:t>
      </w:r>
      <w:r w:rsidR="00300944">
        <w:rPr>
          <w:rFonts w:ascii="Times New Roman" w:hAnsi="Times New Roman" w:cs="Times New Roman"/>
        </w:rPr>
        <w:t xml:space="preserve">illiam </w:t>
      </w:r>
      <w:r w:rsidRPr="002318C9">
        <w:rPr>
          <w:rFonts w:ascii="Times New Roman" w:hAnsi="Times New Roman" w:cs="Times New Roman"/>
        </w:rPr>
        <w:t>B</w:t>
      </w:r>
      <w:r w:rsidR="00300944">
        <w:rPr>
          <w:rFonts w:ascii="Times New Roman" w:hAnsi="Times New Roman" w:cs="Times New Roman"/>
        </w:rPr>
        <w:t>elknap</w:t>
      </w:r>
      <w:r w:rsidRPr="002318C9">
        <w:rPr>
          <w:rFonts w:ascii="Times New Roman" w:hAnsi="Times New Roman" w:cs="Times New Roman"/>
        </w:rPr>
        <w:t>, June 3, 1873,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C</w:t>
      </w:r>
      <w:r w:rsidR="00300944">
        <w:rPr>
          <w:rFonts w:ascii="Times New Roman" w:hAnsi="Times New Roman" w:cs="Times New Roman"/>
        </w:rPr>
        <w:t>olumbus</w:t>
      </w:r>
      <w:r w:rsidRPr="002318C9">
        <w:rPr>
          <w:rFonts w:ascii="Times New Roman" w:hAnsi="Times New Roman" w:cs="Times New Roman"/>
        </w:rPr>
        <w:t xml:space="preserve"> Delano, February 7, 1873,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George S Boutwell, March 10, 1873,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W</w:t>
      </w:r>
      <w:r w:rsidR="00300944">
        <w:rPr>
          <w:rFonts w:ascii="Times New Roman" w:hAnsi="Times New Roman" w:cs="Times New Roman"/>
        </w:rPr>
        <w:t xml:space="preserve">illiam </w:t>
      </w:r>
      <w:r w:rsidRPr="002318C9">
        <w:rPr>
          <w:rFonts w:ascii="Times New Roman" w:hAnsi="Times New Roman" w:cs="Times New Roman"/>
        </w:rPr>
        <w:t>B</w:t>
      </w:r>
      <w:r w:rsidR="00300944">
        <w:rPr>
          <w:rFonts w:ascii="Times New Roman" w:hAnsi="Times New Roman" w:cs="Times New Roman"/>
        </w:rPr>
        <w:t>elknap</w:t>
      </w:r>
      <w:r w:rsidRPr="002318C9">
        <w:rPr>
          <w:rFonts w:ascii="Times New Roman" w:hAnsi="Times New Roman" w:cs="Times New Roman"/>
        </w:rPr>
        <w:t>, June 8, 1872,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L</w:t>
      </w:r>
      <w:r w:rsidR="00300944">
        <w:rPr>
          <w:rFonts w:ascii="Times New Roman" w:hAnsi="Times New Roman" w:cs="Times New Roman"/>
        </w:rPr>
        <w:t xml:space="preserve">evi </w:t>
      </w:r>
      <w:r w:rsidRPr="002318C9">
        <w:rPr>
          <w:rFonts w:ascii="Times New Roman" w:hAnsi="Times New Roman" w:cs="Times New Roman"/>
        </w:rPr>
        <w:t>L</w:t>
      </w:r>
      <w:r w:rsidR="00300944">
        <w:rPr>
          <w:rFonts w:ascii="Times New Roman" w:hAnsi="Times New Roman" w:cs="Times New Roman"/>
        </w:rPr>
        <w:t>uckey</w:t>
      </w:r>
      <w:r w:rsidRPr="002318C9">
        <w:rPr>
          <w:rFonts w:ascii="Times New Roman" w:hAnsi="Times New Roman" w:cs="Times New Roman"/>
        </w:rPr>
        <w:t>, August 25, 1875,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B</w:t>
      </w:r>
      <w:r w:rsidR="00300944">
        <w:rPr>
          <w:rFonts w:ascii="Times New Roman" w:hAnsi="Times New Roman" w:cs="Times New Roman"/>
        </w:rPr>
        <w:t>enjamin</w:t>
      </w:r>
      <w:r w:rsidRPr="002318C9">
        <w:rPr>
          <w:rFonts w:ascii="Times New Roman" w:hAnsi="Times New Roman" w:cs="Times New Roman"/>
        </w:rPr>
        <w:t xml:space="preserve"> Bristow, November 13, 1875, Ulysses S. Grant Unpublished Correspondence, Ulysses S. Grant Presidential Library</w:t>
      </w:r>
    </w:p>
  </w:footnote>
  <w:footnote w:id="734">
    <w:p w14:paraId="6BCB8DA0" w14:textId="6B82C9C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Again, these were mainly endorsements with a “thoughts?” note written on the envelope or document itself. Examples include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John A Joyce, January 3, 1871,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H</w:t>
      </w:r>
      <w:r w:rsidR="00300944">
        <w:rPr>
          <w:rFonts w:ascii="Times New Roman" w:hAnsi="Times New Roman" w:cs="Times New Roman"/>
        </w:rPr>
        <w:t xml:space="preserve">amilton </w:t>
      </w:r>
      <w:r w:rsidRPr="002318C9">
        <w:rPr>
          <w:rFonts w:ascii="Times New Roman" w:hAnsi="Times New Roman" w:cs="Times New Roman"/>
        </w:rPr>
        <w:t>F</w:t>
      </w:r>
      <w:r w:rsidR="00300944">
        <w:rPr>
          <w:rFonts w:ascii="Times New Roman" w:hAnsi="Times New Roman" w:cs="Times New Roman"/>
        </w:rPr>
        <w:t>ish</w:t>
      </w:r>
      <w:r w:rsidRPr="002318C9">
        <w:rPr>
          <w:rFonts w:ascii="Times New Roman" w:hAnsi="Times New Roman" w:cs="Times New Roman"/>
        </w:rPr>
        <w:t>, October 15, 1870,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G</w:t>
      </w:r>
      <w:r w:rsidR="00300944">
        <w:rPr>
          <w:rFonts w:ascii="Times New Roman" w:hAnsi="Times New Roman" w:cs="Times New Roman"/>
        </w:rPr>
        <w:t xml:space="preserve">eorge </w:t>
      </w:r>
      <w:r w:rsidRPr="002318C9">
        <w:rPr>
          <w:rFonts w:ascii="Times New Roman" w:hAnsi="Times New Roman" w:cs="Times New Roman"/>
        </w:rPr>
        <w:t>Robeson, May 10, 1871,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J Delano, April 19, 1872,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Chas Hale, September 13, 1872,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Geo</w:t>
      </w:r>
      <w:r w:rsidR="00300944">
        <w:rPr>
          <w:rFonts w:ascii="Times New Roman" w:hAnsi="Times New Roman" w:cs="Times New Roman"/>
        </w:rPr>
        <w:t>rge</w:t>
      </w:r>
      <w:r w:rsidRPr="002318C9">
        <w:rPr>
          <w:rFonts w:ascii="Times New Roman" w:hAnsi="Times New Roman" w:cs="Times New Roman"/>
        </w:rPr>
        <w:t xml:space="preserve"> M Robeson, December 28, 1872,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G</w:t>
      </w:r>
      <w:r w:rsidR="00300944">
        <w:rPr>
          <w:rFonts w:ascii="Times New Roman" w:hAnsi="Times New Roman" w:cs="Times New Roman"/>
        </w:rPr>
        <w:t>eorge</w:t>
      </w:r>
      <w:r w:rsidRPr="002318C9">
        <w:rPr>
          <w:rFonts w:ascii="Times New Roman" w:hAnsi="Times New Roman" w:cs="Times New Roman"/>
        </w:rPr>
        <w:t xml:space="preserve"> Robeson, January 7, 1873,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George H Williams, January 28, 1873, Ulysses S. Grant Unpublished Correspondence, Ulysses S. Grant Presidential Library; O</w:t>
      </w:r>
      <w:r w:rsidR="00300944">
        <w:rPr>
          <w:rFonts w:ascii="Times New Roman" w:hAnsi="Times New Roman" w:cs="Times New Roman"/>
        </w:rPr>
        <w:t xml:space="preserve">rville </w:t>
      </w:r>
      <w:r w:rsidRPr="002318C9">
        <w:rPr>
          <w:rFonts w:ascii="Times New Roman" w:hAnsi="Times New Roman" w:cs="Times New Roman"/>
        </w:rPr>
        <w:t>B</w:t>
      </w:r>
      <w:r w:rsidR="00300944">
        <w:rPr>
          <w:rFonts w:ascii="Times New Roman" w:hAnsi="Times New Roman" w:cs="Times New Roman"/>
        </w:rPr>
        <w:t>abcock</w:t>
      </w:r>
      <w:r w:rsidRPr="002318C9">
        <w:rPr>
          <w:rFonts w:ascii="Times New Roman" w:hAnsi="Times New Roman" w:cs="Times New Roman"/>
        </w:rPr>
        <w:t xml:space="preserve"> to HE Offley, February 19, 1873, Ulysses S. Grant Unpublished Correspondence, Ulysses S. Grant Presidential Library</w:t>
      </w:r>
      <w:r w:rsidR="00952AEA">
        <w:rPr>
          <w:rFonts w:ascii="Times New Roman" w:hAnsi="Times New Roman" w:cs="Times New Roman"/>
        </w:rPr>
        <w:t>.</w:t>
      </w:r>
    </w:p>
  </w:footnote>
  <w:footnote w:id="735">
    <w:p w14:paraId="7B051414" w14:textId="18611A46"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Here we see endorsements again from Babcock to various cabinet officials. Examples include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A</w:t>
      </w:r>
      <w:r w:rsidR="00E831CE">
        <w:rPr>
          <w:rFonts w:ascii="Times New Roman" w:hAnsi="Times New Roman" w:cs="Times New Roman"/>
        </w:rPr>
        <w:t>mos</w:t>
      </w:r>
      <w:r w:rsidRPr="002318C9">
        <w:rPr>
          <w:rFonts w:ascii="Times New Roman" w:hAnsi="Times New Roman" w:cs="Times New Roman"/>
        </w:rPr>
        <w:t xml:space="preserve"> Akerman, February 2, 1871,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G</w:t>
      </w:r>
      <w:r w:rsidR="00E831CE">
        <w:rPr>
          <w:rFonts w:ascii="Times New Roman" w:hAnsi="Times New Roman" w:cs="Times New Roman"/>
        </w:rPr>
        <w:t xml:space="preserve">eorge </w:t>
      </w:r>
      <w:r w:rsidRPr="002318C9">
        <w:rPr>
          <w:rFonts w:ascii="Times New Roman" w:hAnsi="Times New Roman" w:cs="Times New Roman"/>
        </w:rPr>
        <w:t>Boutwell, February 9, 1871,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W</w:t>
      </w:r>
      <w:r w:rsidR="00E831CE">
        <w:rPr>
          <w:rFonts w:ascii="Times New Roman" w:hAnsi="Times New Roman" w:cs="Times New Roman"/>
        </w:rPr>
        <w:t xml:space="preserve">illiam </w:t>
      </w:r>
      <w:r w:rsidRPr="002318C9">
        <w:rPr>
          <w:rFonts w:ascii="Times New Roman" w:hAnsi="Times New Roman" w:cs="Times New Roman"/>
        </w:rPr>
        <w:t>B</w:t>
      </w:r>
      <w:r w:rsidR="00E831CE">
        <w:rPr>
          <w:rFonts w:ascii="Times New Roman" w:hAnsi="Times New Roman" w:cs="Times New Roman"/>
        </w:rPr>
        <w:t>elknap</w:t>
      </w:r>
      <w:r w:rsidRPr="002318C9">
        <w:rPr>
          <w:rFonts w:ascii="Times New Roman" w:hAnsi="Times New Roman" w:cs="Times New Roman"/>
        </w:rPr>
        <w:t>, March 4, 1872,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C</w:t>
      </w:r>
      <w:r w:rsidR="00E831CE">
        <w:rPr>
          <w:rFonts w:ascii="Times New Roman" w:hAnsi="Times New Roman" w:cs="Times New Roman"/>
        </w:rPr>
        <w:t>olumbus</w:t>
      </w:r>
      <w:r w:rsidRPr="002318C9">
        <w:rPr>
          <w:rFonts w:ascii="Times New Roman" w:hAnsi="Times New Roman" w:cs="Times New Roman"/>
        </w:rPr>
        <w:t xml:space="preserve"> Delano, March 12, 1872,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Geo</w:t>
      </w:r>
      <w:r w:rsidR="00E831CE">
        <w:rPr>
          <w:rFonts w:ascii="Times New Roman" w:hAnsi="Times New Roman" w:cs="Times New Roman"/>
        </w:rPr>
        <w:t>rge</w:t>
      </w:r>
      <w:r w:rsidRPr="002318C9">
        <w:rPr>
          <w:rFonts w:ascii="Times New Roman" w:hAnsi="Times New Roman" w:cs="Times New Roman"/>
        </w:rPr>
        <w:t xml:space="preserve"> Williams, May 21, 1872,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C</w:t>
      </w:r>
      <w:r w:rsidR="00E831CE">
        <w:rPr>
          <w:rFonts w:ascii="Times New Roman" w:hAnsi="Times New Roman" w:cs="Times New Roman"/>
        </w:rPr>
        <w:t>olumbus</w:t>
      </w:r>
      <w:r w:rsidRPr="002318C9">
        <w:rPr>
          <w:rFonts w:ascii="Times New Roman" w:hAnsi="Times New Roman" w:cs="Times New Roman"/>
        </w:rPr>
        <w:t xml:space="preserve"> Delano, May 21, 1872,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Columbus Delano, March 2, 1874,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W</w:t>
      </w:r>
      <w:r w:rsidR="00E831CE">
        <w:rPr>
          <w:rFonts w:ascii="Times New Roman" w:hAnsi="Times New Roman" w:cs="Times New Roman"/>
        </w:rPr>
        <w:t>illia</w:t>
      </w:r>
      <w:r w:rsidRPr="002318C9">
        <w:rPr>
          <w:rFonts w:ascii="Times New Roman" w:hAnsi="Times New Roman" w:cs="Times New Roman"/>
        </w:rPr>
        <w:t>m A Richardson, March 4, 1874,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Geo</w:t>
      </w:r>
      <w:r w:rsidR="00E831CE">
        <w:rPr>
          <w:rFonts w:ascii="Times New Roman" w:hAnsi="Times New Roman" w:cs="Times New Roman"/>
        </w:rPr>
        <w:t>rge</w:t>
      </w:r>
      <w:r w:rsidRPr="002318C9">
        <w:rPr>
          <w:rFonts w:ascii="Times New Roman" w:hAnsi="Times New Roman" w:cs="Times New Roman"/>
        </w:rPr>
        <w:t xml:space="preserve"> M Robeson, January 27, 1875,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Benj</w:t>
      </w:r>
      <w:r w:rsidR="00E831CE">
        <w:rPr>
          <w:rFonts w:ascii="Times New Roman" w:hAnsi="Times New Roman" w:cs="Times New Roman"/>
        </w:rPr>
        <w:t>amin</w:t>
      </w:r>
      <w:r w:rsidRPr="002318C9">
        <w:rPr>
          <w:rFonts w:ascii="Times New Roman" w:hAnsi="Times New Roman" w:cs="Times New Roman"/>
        </w:rPr>
        <w:t xml:space="preserve"> H Bristow, February 18, 1875, Ulysses S. Grant Unpublished Correspondence, Ulysses S. Grant Presidential Library</w:t>
      </w:r>
    </w:p>
  </w:footnote>
  <w:footnote w:id="736">
    <w:p w14:paraId="0CE04545" w14:textId="1FC5D11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w:t>
      </w:r>
      <w:r w:rsidR="00E831CE">
        <w:rPr>
          <w:rFonts w:ascii="Times New Roman" w:hAnsi="Times New Roman" w:cs="Times New Roman"/>
        </w:rPr>
        <w:t>arshall</w:t>
      </w:r>
      <w:r w:rsidRPr="002318C9">
        <w:rPr>
          <w:rFonts w:ascii="Times New Roman" w:hAnsi="Times New Roman" w:cs="Times New Roman"/>
        </w:rPr>
        <w:t xml:space="preserve"> Jewell to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November 27, 1875,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Marshall Jewell, November 27, 1875,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Cabinet Members, December 9, 1872,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Cabinet Members, May 16, 1870, Ulysses S. Grant Unpublished Correspondence, Ulysses S. Grant Presidential Library</w:t>
      </w:r>
    </w:p>
  </w:footnote>
  <w:footnote w:id="737">
    <w:p w14:paraId="12CE213D" w14:textId="0E6179B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52AEA">
        <w:rPr>
          <w:rFonts w:ascii="Times New Roman" w:hAnsi="Times New Roman" w:cs="Times New Roman"/>
        </w:rPr>
        <w:t xml:space="preserve">Hamilton </w:t>
      </w:r>
      <w:r w:rsidRPr="002318C9">
        <w:rPr>
          <w:rFonts w:ascii="Times New Roman" w:hAnsi="Times New Roman" w:cs="Times New Roman"/>
        </w:rPr>
        <w:t xml:space="preserve">Fish, </w:t>
      </w:r>
      <w:r w:rsidRPr="002318C9">
        <w:rPr>
          <w:rFonts w:ascii="Times New Roman" w:hAnsi="Times New Roman" w:cs="Times New Roman"/>
          <w:i/>
          <w:iCs/>
        </w:rPr>
        <w:t>Diary Entry of Hamilton Fish, October 25</w:t>
      </w:r>
      <w:r w:rsidRPr="002318C9">
        <w:rPr>
          <w:rFonts w:ascii="Times New Roman" w:hAnsi="Times New Roman" w:cs="Times New Roman"/>
        </w:rPr>
        <w:t xml:space="preserve">. October 25, 1869. Manuscript/Mixed Material. </w:t>
      </w:r>
      <w:r w:rsidR="00952AEA">
        <w:rPr>
          <w:rFonts w:ascii="Times New Roman" w:hAnsi="Times New Roman" w:cs="Times New Roman"/>
        </w:rPr>
        <w:t xml:space="preserve">Hamilton Fish Papers, </w:t>
      </w:r>
      <w:r w:rsidRPr="002318C9">
        <w:rPr>
          <w:rFonts w:ascii="Times New Roman" w:hAnsi="Times New Roman" w:cs="Times New Roman"/>
        </w:rPr>
        <w:t>Library of Congress</w:t>
      </w:r>
    </w:p>
  </w:footnote>
  <w:footnote w:id="738">
    <w:p w14:paraId="08DDEB58" w14:textId="703CC2D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52AEA">
        <w:rPr>
          <w:rFonts w:ascii="Times New Roman" w:hAnsi="Times New Roman" w:cs="Times New Roman"/>
        </w:rPr>
        <w:t xml:space="preserve">Hamilton Fish, </w:t>
      </w:r>
      <w:r w:rsidRPr="002318C9">
        <w:rPr>
          <w:rFonts w:ascii="Times New Roman" w:hAnsi="Times New Roman" w:cs="Times New Roman"/>
          <w:i/>
          <w:iCs/>
        </w:rPr>
        <w:t>Hamilton Fish Diaries</w:t>
      </w:r>
      <w:r w:rsidRPr="002318C9">
        <w:rPr>
          <w:rFonts w:ascii="Times New Roman" w:hAnsi="Times New Roman" w:cs="Times New Roman"/>
        </w:rPr>
        <w:t>. Manuscript/Mixed Material. Library of Congress.</w:t>
      </w:r>
    </w:p>
  </w:footnote>
  <w:footnote w:id="739">
    <w:p w14:paraId="449A3BB3" w14:textId="0EEECDD5" w:rsidR="002D394D" w:rsidRPr="00842C9A" w:rsidRDefault="002D394D" w:rsidP="00842C9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Patronage was a common manner of obtaining jobs in the American government, particularly in civil service, before the Pendleton Act in 1883. For more on the impact of patronage during this time and earlier, consider: Richard White, </w:t>
      </w:r>
      <w:r w:rsidRPr="002318C9">
        <w:rPr>
          <w:rFonts w:ascii="Times New Roman" w:hAnsi="Times New Roman" w:cs="Times New Roman"/>
          <w:i/>
          <w:iCs/>
        </w:rPr>
        <w:t>The Republic for Which It Stands: The United States During Reconstruction and the Gilded Age.</w:t>
      </w:r>
      <w:r w:rsidRPr="002318C9">
        <w:rPr>
          <w:rFonts w:ascii="Times New Roman" w:hAnsi="Times New Roman" w:cs="Times New Roman"/>
        </w:rPr>
        <w:t xml:space="preserve"> New York: Oxford University Press, 2017; Max Matherne, ""The Jacksonian Reformation: Political Patronage and Republican Identity". " PhD diss., University of Tennessee, 2019.; Culver H. Smith, </w:t>
      </w:r>
      <w:r w:rsidRPr="002318C9">
        <w:rPr>
          <w:rFonts w:ascii="Times New Roman" w:hAnsi="Times New Roman" w:cs="Times New Roman"/>
          <w:i/>
          <w:iCs/>
        </w:rPr>
        <w:t xml:space="preserve">The Press, Politics, and Patronage: The American Government’s Use of Newspapers, 1789-1875. </w:t>
      </w:r>
      <w:r w:rsidRPr="002318C9">
        <w:rPr>
          <w:rFonts w:ascii="Times New Roman" w:hAnsi="Times New Roman" w:cs="Times New Roman"/>
        </w:rPr>
        <w:t>Athens, GA: University of Georgia Press, 1977;</w:t>
      </w:r>
      <w:r w:rsidR="002B35F2">
        <w:rPr>
          <w:rFonts w:ascii="Times New Roman" w:hAnsi="Times New Roman" w:cs="Times New Roman"/>
        </w:rPr>
        <w:t xml:space="preserve"> </w:t>
      </w:r>
      <w:r w:rsidR="00842C9A">
        <w:rPr>
          <w:rFonts w:ascii="Times New Roman" w:hAnsi="Times New Roman" w:cs="Times New Roman"/>
        </w:rPr>
        <w:t xml:space="preserve">Ari </w:t>
      </w:r>
      <w:r w:rsidR="00842C9A" w:rsidRPr="00842C9A">
        <w:rPr>
          <w:rFonts w:ascii="Times New Roman" w:hAnsi="Times New Roman" w:cs="Times New Roman"/>
        </w:rPr>
        <w:t xml:space="preserve">Hoogenboom, </w:t>
      </w:r>
      <w:r w:rsidR="00842C9A" w:rsidRPr="00842C9A">
        <w:rPr>
          <w:rFonts w:ascii="Times New Roman" w:hAnsi="Times New Roman" w:cs="Times New Roman"/>
          <w:i/>
          <w:iCs/>
        </w:rPr>
        <w:t>Outlawing the Spoils: A History of the Civil Service Reform Movement, 1865-1883</w:t>
      </w:r>
      <w:r w:rsidR="00842C9A" w:rsidRPr="00842C9A">
        <w:rPr>
          <w:rFonts w:ascii="Times New Roman" w:hAnsi="Times New Roman" w:cs="Times New Roman"/>
        </w:rPr>
        <w:t>. Champaign, IL: University of Illinois Press, 1961</w:t>
      </w:r>
      <w:r w:rsidR="002B35F2" w:rsidRPr="00842C9A">
        <w:rPr>
          <w:rFonts w:ascii="Times New Roman" w:hAnsi="Times New Roman" w:cs="Times New Roman"/>
        </w:rPr>
        <w:t xml:space="preserve">; </w:t>
      </w:r>
      <w:r w:rsidR="00842C9A" w:rsidRPr="00842C9A">
        <w:rPr>
          <w:rFonts w:ascii="Times New Roman" w:hAnsi="Times New Roman" w:cs="Times New Roman"/>
        </w:rPr>
        <w:t xml:space="preserve">Paul Van Riper, </w:t>
      </w:r>
      <w:r w:rsidR="00842C9A" w:rsidRPr="00842C9A">
        <w:rPr>
          <w:rFonts w:ascii="Times New Roman" w:hAnsi="Times New Roman" w:cs="Times New Roman"/>
          <w:i/>
          <w:iCs/>
        </w:rPr>
        <w:t>History of the United States Civil Service</w:t>
      </w:r>
      <w:r w:rsidR="00842C9A" w:rsidRPr="00842C9A">
        <w:rPr>
          <w:rFonts w:ascii="Times New Roman" w:hAnsi="Times New Roman" w:cs="Times New Roman"/>
        </w:rPr>
        <w:t>. Westport, CT: Greenwood Press, 1958</w:t>
      </w:r>
      <w:r w:rsidR="002B35F2" w:rsidRPr="00842C9A">
        <w:rPr>
          <w:rFonts w:ascii="Times New Roman" w:hAnsi="Times New Roman" w:cs="Times New Roman"/>
        </w:rPr>
        <w:t xml:space="preserve">; </w:t>
      </w:r>
      <w:r w:rsidR="00842C9A" w:rsidRPr="00842C9A">
        <w:rPr>
          <w:rFonts w:ascii="Times New Roman" w:hAnsi="Times New Roman" w:cs="Times New Roman"/>
        </w:rPr>
        <w:t xml:space="preserve">United States Civil Service Commission. </w:t>
      </w:r>
      <w:r w:rsidR="00842C9A" w:rsidRPr="00842C9A">
        <w:rPr>
          <w:rFonts w:ascii="Times New Roman" w:hAnsi="Times New Roman" w:cs="Times New Roman"/>
          <w:i/>
          <w:iCs/>
        </w:rPr>
        <w:t>History of the Federal Civil Service, 1789 to the Present</w:t>
      </w:r>
      <w:r w:rsidR="00842C9A" w:rsidRPr="00842C9A">
        <w:rPr>
          <w:rFonts w:ascii="Times New Roman" w:hAnsi="Times New Roman" w:cs="Times New Roman"/>
        </w:rPr>
        <w:t>. Washington, DC: United States Government Printing Office, 1941</w:t>
      </w:r>
      <w:r w:rsidR="002B35F2" w:rsidRPr="00842C9A">
        <w:rPr>
          <w:rFonts w:ascii="Times New Roman" w:hAnsi="Times New Roman" w:cs="Times New Roman"/>
        </w:rPr>
        <w:t>;</w:t>
      </w:r>
      <w:r w:rsidR="00842C9A">
        <w:rPr>
          <w:rFonts w:ascii="Times New Roman" w:hAnsi="Times New Roman" w:cs="Times New Roman"/>
        </w:rPr>
        <w:t xml:space="preserve"> </w:t>
      </w:r>
      <w:r w:rsidRPr="00842C9A">
        <w:rPr>
          <w:rFonts w:ascii="Times New Roman" w:hAnsi="Times New Roman" w:cs="Times New Roman"/>
        </w:rPr>
        <w:t xml:space="preserve">Carl Russell Fish, “Lincoln and the Patronage.” </w:t>
      </w:r>
      <w:r w:rsidRPr="00842C9A">
        <w:rPr>
          <w:rFonts w:ascii="Times New Roman" w:hAnsi="Times New Roman" w:cs="Times New Roman"/>
          <w:i/>
          <w:iCs/>
        </w:rPr>
        <w:t>The American Historical Review</w:t>
      </w:r>
      <w:r w:rsidRPr="00842C9A">
        <w:rPr>
          <w:rFonts w:ascii="Times New Roman" w:hAnsi="Times New Roman" w:cs="Times New Roman"/>
        </w:rPr>
        <w:t xml:space="preserve"> 8, no. 1 (1902): 53–69.</w:t>
      </w:r>
    </w:p>
  </w:footnote>
  <w:footnote w:id="740">
    <w:p w14:paraId="6BF12CB9" w14:textId="5F9A1DD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Examples of this type of document include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W</w:t>
      </w:r>
      <w:r w:rsidR="00E831CE">
        <w:rPr>
          <w:rFonts w:ascii="Times New Roman" w:hAnsi="Times New Roman" w:cs="Times New Roman"/>
        </w:rPr>
        <w:t xml:space="preserve">illiam </w:t>
      </w:r>
      <w:r w:rsidRPr="002318C9">
        <w:rPr>
          <w:rFonts w:ascii="Times New Roman" w:hAnsi="Times New Roman" w:cs="Times New Roman"/>
        </w:rPr>
        <w:t>B</w:t>
      </w:r>
      <w:r w:rsidR="00E831CE">
        <w:rPr>
          <w:rFonts w:ascii="Times New Roman" w:hAnsi="Times New Roman" w:cs="Times New Roman"/>
        </w:rPr>
        <w:t>elknap</w:t>
      </w:r>
      <w:r w:rsidRPr="002318C9">
        <w:rPr>
          <w:rFonts w:ascii="Times New Roman" w:hAnsi="Times New Roman" w:cs="Times New Roman"/>
        </w:rPr>
        <w:t xml:space="preserve"> Re: Leni H Platt, January 29, 1875, Ulysses S. Grant Unpublished Correspondence, Ulysses S. Grant Presidential Library; HP Duclos to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February 10, 1875, Ulysses S. Grant Unpublished Correspondence, Ulysses S. Grant Presidential Library; CD Macdougal to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December 8, 1874, Ulysses S. Grant Unpublished Correspondence, Ulysses S. Grant Presidential Library; RB Ayres to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re Charles G Ayres, April 5, 1873, Ulysses S. Grant Unpublished Correspondence, Ulysses S. Grant Presidential Library; Oliver O Howard to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April 11, 1873, Ulysses S. Grant Unpublished Correspondence, Ulysses S. Grant Presidential Library</w:t>
      </w:r>
    </w:p>
  </w:footnote>
  <w:footnote w:id="741">
    <w:p w14:paraId="1E4DA839" w14:textId="06E1C5D0"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Some examples include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Mrs. KG Van Auken, December 6, 1872,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LS Felt, February 26, 1872,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Felt, February 20, 1872,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BP Poore, May 20, 1873,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JC Welling and JA Boles, May 20, 1873,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LC Dodge, May 31, 1873,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CJ Foulkner, September 2, 1874, Ulysses S. Grant Unpublished Correspondence, Ulysses S. Grant Presidential Library</w:t>
      </w:r>
    </w:p>
  </w:footnote>
  <w:footnote w:id="742">
    <w:p w14:paraId="243B65A8" w14:textId="209FAE9E"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Some such examples include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J</w:t>
      </w:r>
      <w:r w:rsidR="00E831CE">
        <w:rPr>
          <w:rFonts w:ascii="Times New Roman" w:hAnsi="Times New Roman" w:cs="Times New Roman"/>
        </w:rPr>
        <w:t xml:space="preserve">acob </w:t>
      </w:r>
      <w:r w:rsidRPr="002318C9">
        <w:rPr>
          <w:rFonts w:ascii="Times New Roman" w:hAnsi="Times New Roman" w:cs="Times New Roman"/>
        </w:rPr>
        <w:t>Cox, April 27, 1870,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R</w:t>
      </w:r>
      <w:r w:rsidR="00E831CE">
        <w:rPr>
          <w:rFonts w:ascii="Times New Roman" w:hAnsi="Times New Roman" w:cs="Times New Roman"/>
        </w:rPr>
        <w:t>ufus</w:t>
      </w:r>
      <w:r w:rsidRPr="002318C9">
        <w:rPr>
          <w:rFonts w:ascii="Times New Roman" w:hAnsi="Times New Roman" w:cs="Times New Roman"/>
        </w:rPr>
        <w:t xml:space="preserve"> Ingalls, November 11, 1870, Ulysses S. Grant Unpublished Correspondence, Ulysses S. Grant Presidential Library; O</w:t>
      </w:r>
      <w:r w:rsidR="00E831CE">
        <w:rPr>
          <w:rFonts w:ascii="Times New Roman" w:hAnsi="Times New Roman" w:cs="Times New Roman"/>
        </w:rPr>
        <w:t xml:space="preserve">rville </w:t>
      </w:r>
      <w:r w:rsidRPr="002318C9">
        <w:rPr>
          <w:rFonts w:ascii="Times New Roman" w:hAnsi="Times New Roman" w:cs="Times New Roman"/>
        </w:rPr>
        <w:t>B</w:t>
      </w:r>
      <w:r w:rsidR="00E831CE">
        <w:rPr>
          <w:rFonts w:ascii="Times New Roman" w:hAnsi="Times New Roman" w:cs="Times New Roman"/>
        </w:rPr>
        <w:t>abcock</w:t>
      </w:r>
      <w:r w:rsidRPr="002318C9">
        <w:rPr>
          <w:rFonts w:ascii="Times New Roman" w:hAnsi="Times New Roman" w:cs="Times New Roman"/>
        </w:rPr>
        <w:t xml:space="preserve"> to B</w:t>
      </w:r>
      <w:r w:rsidR="00322413">
        <w:rPr>
          <w:rFonts w:ascii="Times New Roman" w:hAnsi="Times New Roman" w:cs="Times New Roman"/>
        </w:rPr>
        <w:t xml:space="preserve">enjamin </w:t>
      </w:r>
      <w:r w:rsidRPr="002318C9">
        <w:rPr>
          <w:rFonts w:ascii="Times New Roman" w:hAnsi="Times New Roman" w:cs="Times New Roman"/>
        </w:rPr>
        <w:t>B</w:t>
      </w:r>
      <w:r w:rsidR="00322413">
        <w:rPr>
          <w:rFonts w:ascii="Times New Roman" w:hAnsi="Times New Roman" w:cs="Times New Roman"/>
        </w:rPr>
        <w:t>utler</w:t>
      </w:r>
      <w:r w:rsidRPr="002318C9">
        <w:rPr>
          <w:rFonts w:ascii="Times New Roman" w:hAnsi="Times New Roman" w:cs="Times New Roman"/>
        </w:rPr>
        <w:t>, November 21, 1870,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W</w:t>
      </w:r>
      <w:r w:rsidR="00322413">
        <w:rPr>
          <w:rFonts w:ascii="Times New Roman" w:hAnsi="Times New Roman" w:cs="Times New Roman"/>
        </w:rPr>
        <w:t>illiam</w:t>
      </w:r>
      <w:r w:rsidRPr="002318C9">
        <w:rPr>
          <w:rFonts w:ascii="Times New Roman" w:hAnsi="Times New Roman" w:cs="Times New Roman"/>
        </w:rPr>
        <w:t xml:space="preserve"> Belknap, January 23, 1871,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Geo</w:t>
      </w:r>
      <w:r w:rsidR="00322413">
        <w:rPr>
          <w:rFonts w:ascii="Times New Roman" w:hAnsi="Times New Roman" w:cs="Times New Roman"/>
        </w:rPr>
        <w:t>rge</w:t>
      </w:r>
      <w:r w:rsidRPr="002318C9">
        <w:rPr>
          <w:rFonts w:ascii="Times New Roman" w:hAnsi="Times New Roman" w:cs="Times New Roman"/>
        </w:rPr>
        <w:t xml:space="preserve"> S. Boutwell, January 23, 1871,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HB Anthony, April 10, 1874; RMB Young to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May 20, 1874, Ulysses S. Grant Unpublished Correspondence, Ulysses S. Grant Presidential Library; C</w:t>
      </w:r>
      <w:r w:rsidR="00322413">
        <w:rPr>
          <w:rFonts w:ascii="Times New Roman" w:hAnsi="Times New Roman" w:cs="Times New Roman"/>
        </w:rPr>
        <w:t>olumbus</w:t>
      </w:r>
      <w:r w:rsidRPr="002318C9">
        <w:rPr>
          <w:rFonts w:ascii="Times New Roman" w:hAnsi="Times New Roman" w:cs="Times New Roman"/>
        </w:rPr>
        <w:t xml:space="preserve"> Delano to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April 26, 1875,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C</w:t>
      </w:r>
      <w:r w:rsidR="00322413">
        <w:rPr>
          <w:rFonts w:ascii="Times New Roman" w:hAnsi="Times New Roman" w:cs="Times New Roman"/>
        </w:rPr>
        <w:t>olumbus</w:t>
      </w:r>
      <w:r w:rsidRPr="002318C9">
        <w:rPr>
          <w:rFonts w:ascii="Times New Roman" w:hAnsi="Times New Roman" w:cs="Times New Roman"/>
        </w:rPr>
        <w:t xml:space="preserve"> Delano, April 26, 1875, Ulysses S. Grant Unpublished Correspondence, Ulysses S. Grant Presidential Library</w:t>
      </w:r>
    </w:p>
  </w:footnote>
  <w:footnote w:id="743">
    <w:p w14:paraId="15B7946F"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This is not to say that women did not hold political agency or maintain a semblance of political power in their own right. During the mid-nineteenth century, women were as involved in the political realms in several ways, be it through benevolence work and campaigns, activism for specific causes, and through discussions behind closed doors and at parties where they worked to convince those who held legalized political power to work on their behalf. For more on the political role of women in the Reconstruction Era and the mid-nineteenth century, consider the following: </w:t>
      </w:r>
      <w:r w:rsidRPr="002318C9">
        <w:rPr>
          <w:rFonts w:ascii="Times New Roman" w:hAnsi="Times New Roman" w:cs="Times New Roman"/>
          <w:bCs/>
        </w:rPr>
        <w:t xml:space="preserve">Catherine Allgor, </w:t>
      </w:r>
      <w:r w:rsidRPr="002318C9">
        <w:rPr>
          <w:rFonts w:ascii="Times New Roman" w:hAnsi="Times New Roman" w:cs="Times New Roman"/>
          <w:bCs/>
          <w:i/>
          <w:iCs/>
        </w:rPr>
        <w:t>Parlor Politics: In Which the Ladies of Washington Help Build a City and Government</w:t>
      </w:r>
      <w:r w:rsidRPr="002318C9">
        <w:rPr>
          <w:rFonts w:ascii="Times New Roman" w:hAnsi="Times New Roman" w:cs="Times New Roman"/>
        </w:rPr>
        <w:t xml:space="preserve">. Charlottesville: UVA Press, 2000; Ellen Carol DuBois, </w:t>
      </w:r>
      <w:r w:rsidRPr="002318C9">
        <w:rPr>
          <w:rFonts w:ascii="Times New Roman" w:hAnsi="Times New Roman" w:cs="Times New Roman"/>
          <w:i/>
          <w:iCs/>
        </w:rPr>
        <w:t xml:space="preserve">Feminism and Suffrage: The Emergence of an Independent Women’s Movement in America, 1848–1869. </w:t>
      </w:r>
      <w:r w:rsidRPr="002318C9">
        <w:rPr>
          <w:rFonts w:ascii="Times New Roman" w:hAnsi="Times New Roman" w:cs="Times New Roman"/>
        </w:rPr>
        <w:t xml:space="preserve">Ithaca: Cornell University Press, 1978; Lori D. Ginzberg, </w:t>
      </w:r>
      <w:r w:rsidRPr="002318C9">
        <w:rPr>
          <w:rFonts w:ascii="Times New Roman" w:hAnsi="Times New Roman" w:cs="Times New Roman"/>
          <w:i/>
          <w:iCs/>
        </w:rPr>
        <w:t>Women and the Work of Benevolence: Morality, Politics, and Class in Nineteenth-Century New York</w:t>
      </w:r>
      <w:r w:rsidRPr="002318C9">
        <w:rPr>
          <w:rFonts w:ascii="Times New Roman" w:hAnsi="Times New Roman" w:cs="Times New Roman"/>
        </w:rPr>
        <w:t xml:space="preserve">. New Haven: Yale University Press, 1990; Stephanie McCurry, </w:t>
      </w:r>
      <w:r w:rsidRPr="002318C9">
        <w:rPr>
          <w:rFonts w:ascii="Times New Roman" w:hAnsi="Times New Roman" w:cs="Times New Roman"/>
          <w:i/>
          <w:iCs/>
        </w:rPr>
        <w:t>Confederate Reckoning: Power and Politics in the Civil War South</w:t>
      </w:r>
      <w:r w:rsidRPr="002318C9">
        <w:rPr>
          <w:rFonts w:ascii="Times New Roman" w:hAnsi="Times New Roman" w:cs="Times New Roman"/>
        </w:rPr>
        <w:t xml:space="preserve">. Cambridge: Harvard University Press, 2010; and Thavolia Glymph, “‘I’m a Radical Black Girl’: Black Women Unionists and the Politics of Civil War History,” </w:t>
      </w:r>
      <w:r w:rsidRPr="002318C9">
        <w:rPr>
          <w:rFonts w:ascii="Times New Roman" w:hAnsi="Times New Roman" w:cs="Times New Roman"/>
          <w:i/>
          <w:iCs/>
        </w:rPr>
        <w:t>Journal of the Civil War Era</w:t>
      </w:r>
      <w:r w:rsidRPr="002318C9">
        <w:rPr>
          <w:rFonts w:ascii="Times New Roman" w:hAnsi="Times New Roman" w:cs="Times New Roman"/>
        </w:rPr>
        <w:t xml:space="preserve">, vol. 8, no. 3 (September 2018): 359-387. </w:t>
      </w:r>
    </w:p>
  </w:footnote>
  <w:footnote w:id="744">
    <w:p w14:paraId="3EC614DB" w14:textId="3A070434" w:rsidR="002D394D" w:rsidRPr="002318C9" w:rsidRDefault="002D394D" w:rsidP="002D394D">
      <w:pPr>
        <w:pStyle w:val="FootnoteText"/>
        <w:rPr>
          <w:rFonts w:ascii="Times New Roman" w:hAnsi="Times New Roman" w:cs="Times New Roman"/>
          <w:b/>
          <w:b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Such instances include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Missouri and Pacific Mills, November 10, 1870,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Kittie Felt, December 22, 1870, Ulysses S. Grant Unpublished Correspondence, Ulysses S. Grant Presidential Library; F.G. Smith and Co. to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September 30, 1871,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Mrs. T. Pierce, December 6, 1872, Ulysses S. Grant Unpublished Correspondence, Ulysses S. Grant Presidential Library; Tiffany and Co. to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September 17, 1873, Ulysses S. Grant Unpublished Correspondence, Ulysses S. Grant Presidential Library; CC Sniffen to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May 3, 1876, Ulysses S. Grant Unpublished Correspondence, Ulysses S. Grant Presidential Library</w:t>
      </w:r>
    </w:p>
  </w:footnote>
  <w:footnote w:id="745">
    <w:p w14:paraId="501AE7AE" w14:textId="4CBD672C"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W</w:t>
      </w:r>
      <w:r w:rsidR="00322413">
        <w:rPr>
          <w:rFonts w:ascii="Times New Roman" w:hAnsi="Times New Roman" w:cs="Times New Roman"/>
        </w:rPr>
        <w:t>illia</w:t>
      </w:r>
      <w:r w:rsidRPr="002318C9">
        <w:rPr>
          <w:rFonts w:ascii="Times New Roman" w:hAnsi="Times New Roman" w:cs="Times New Roman"/>
        </w:rPr>
        <w:t>m T. Richardson, November 11, 1872,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James A. Garfield, February 21, 1871,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L. Jones, May 24, 1873,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Mrs. R. Wallace, December 13, 1873,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Mr. French, March 3, 1875,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N. Ertinge, December 30, 1875, Ulysses S. Grant Unpublished Correspondence, Ulysses S. Grant Presidential Library; JDG to Mrs.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December 31, 1875, Ulysses S. Grant Unpublished Correspondence, Ulysses S. Grant Presidential Library</w:t>
      </w:r>
    </w:p>
  </w:footnote>
  <w:footnote w:id="746">
    <w:p w14:paraId="3336DB0C" w14:textId="4648DCF5" w:rsidR="002D394D" w:rsidRPr="00842C9A" w:rsidRDefault="002D394D" w:rsidP="00842C9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842C9A">
        <w:rPr>
          <w:rFonts w:ascii="Times New Roman" w:hAnsi="Times New Roman" w:cs="Times New Roman"/>
        </w:rPr>
        <w:t xml:space="preserve">harles </w:t>
      </w:r>
      <w:r w:rsidR="00842C9A" w:rsidRPr="00842C9A">
        <w:rPr>
          <w:rFonts w:ascii="Times New Roman" w:hAnsi="Times New Roman" w:cs="Times New Roman"/>
        </w:rPr>
        <w:t>Calhoun,</w:t>
      </w:r>
      <w:r w:rsidR="00842C9A">
        <w:rPr>
          <w:rFonts w:ascii="Times New Roman" w:hAnsi="Times New Roman" w:cs="Times New Roman"/>
        </w:rPr>
        <w:t xml:space="preserve"> </w:t>
      </w:r>
      <w:r w:rsidR="00842C9A" w:rsidRPr="00842C9A">
        <w:rPr>
          <w:rFonts w:ascii="Times New Roman" w:hAnsi="Times New Roman" w:cs="Times New Roman"/>
          <w:i/>
          <w:iCs/>
        </w:rPr>
        <w:t>The Presidency of Ulysses S. Grant</w:t>
      </w:r>
      <w:r w:rsidR="00842C9A" w:rsidRPr="00842C9A">
        <w:rPr>
          <w:rFonts w:ascii="Times New Roman" w:hAnsi="Times New Roman" w:cs="Times New Roman"/>
        </w:rPr>
        <w:t>. Lawrence, KS: University Press of Kansas, 2017.</w:t>
      </w:r>
    </w:p>
  </w:footnote>
  <w:footnote w:id="747">
    <w:p w14:paraId="5A7E3738" w14:textId="5604074E"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w:t>
      </w:r>
      <w:r w:rsidR="00322413">
        <w:rPr>
          <w:rFonts w:ascii="Times New Roman" w:hAnsi="Times New Roman" w:cs="Times New Roman"/>
        </w:rPr>
        <w:t xml:space="preserve">orace </w:t>
      </w:r>
      <w:r w:rsidRPr="002318C9">
        <w:rPr>
          <w:rFonts w:ascii="Times New Roman" w:hAnsi="Times New Roman" w:cs="Times New Roman"/>
        </w:rPr>
        <w:t>P</w:t>
      </w:r>
      <w:r w:rsidR="00322413">
        <w:rPr>
          <w:rFonts w:ascii="Times New Roman" w:hAnsi="Times New Roman" w:cs="Times New Roman"/>
        </w:rPr>
        <w:t>orter</w:t>
      </w:r>
      <w:r w:rsidRPr="002318C9">
        <w:rPr>
          <w:rFonts w:ascii="Times New Roman" w:hAnsi="Times New Roman" w:cs="Times New Roman"/>
        </w:rPr>
        <w:t xml:space="preserve"> to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June 24, 1869, Ulysses S. Grant Unpublished Correspondence, Ulysses S. Grant Presidential Library;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xml:space="preserve"> to H</w:t>
      </w:r>
      <w:r w:rsidR="00322413">
        <w:rPr>
          <w:rFonts w:ascii="Times New Roman" w:hAnsi="Times New Roman" w:cs="Times New Roman"/>
        </w:rPr>
        <w:t xml:space="preserve">orace </w:t>
      </w:r>
      <w:r w:rsidRPr="002318C9">
        <w:rPr>
          <w:rFonts w:ascii="Times New Roman" w:hAnsi="Times New Roman" w:cs="Times New Roman"/>
        </w:rPr>
        <w:t>P</w:t>
      </w:r>
      <w:r w:rsidR="00322413">
        <w:rPr>
          <w:rFonts w:ascii="Times New Roman" w:hAnsi="Times New Roman" w:cs="Times New Roman"/>
        </w:rPr>
        <w:t>orter</w:t>
      </w:r>
      <w:r w:rsidRPr="002318C9">
        <w:rPr>
          <w:rFonts w:ascii="Times New Roman" w:hAnsi="Times New Roman" w:cs="Times New Roman"/>
        </w:rPr>
        <w:t>, October 2, 1872, Ulysses S. Grant Unpublished Correspondence, Ulysses S. Grant Presidential Library; Levi P. Luckey to O</w:t>
      </w:r>
      <w:r w:rsidR="00322413">
        <w:rPr>
          <w:rFonts w:ascii="Times New Roman" w:hAnsi="Times New Roman" w:cs="Times New Roman"/>
        </w:rPr>
        <w:t>rville</w:t>
      </w:r>
      <w:r w:rsidRPr="002318C9">
        <w:rPr>
          <w:rFonts w:ascii="Times New Roman" w:hAnsi="Times New Roman" w:cs="Times New Roman"/>
        </w:rPr>
        <w:t xml:space="preserve"> Babcock, October 27, 1873, Ulysses S. Grant Unpublished Correspondence, Ulysses S. Grant Presidential Library; W</w:t>
      </w:r>
      <w:r w:rsidR="00322413">
        <w:rPr>
          <w:rFonts w:ascii="Times New Roman" w:hAnsi="Times New Roman" w:cs="Times New Roman"/>
        </w:rPr>
        <w:t xml:space="preserve">illiam </w:t>
      </w:r>
      <w:r w:rsidRPr="002318C9">
        <w:rPr>
          <w:rFonts w:ascii="Times New Roman" w:hAnsi="Times New Roman" w:cs="Times New Roman"/>
        </w:rPr>
        <w:t>B</w:t>
      </w:r>
      <w:r w:rsidR="00322413">
        <w:rPr>
          <w:rFonts w:ascii="Times New Roman" w:hAnsi="Times New Roman" w:cs="Times New Roman"/>
        </w:rPr>
        <w:t>elknap</w:t>
      </w:r>
      <w:r w:rsidRPr="002318C9">
        <w:rPr>
          <w:rFonts w:ascii="Times New Roman" w:hAnsi="Times New Roman" w:cs="Times New Roman"/>
        </w:rPr>
        <w:t xml:space="preserve"> to O</w:t>
      </w:r>
      <w:r w:rsidR="00322413">
        <w:rPr>
          <w:rFonts w:ascii="Times New Roman" w:hAnsi="Times New Roman" w:cs="Times New Roman"/>
        </w:rPr>
        <w:t xml:space="preserve">rville </w:t>
      </w:r>
      <w:r w:rsidRPr="002318C9">
        <w:rPr>
          <w:rFonts w:ascii="Times New Roman" w:hAnsi="Times New Roman" w:cs="Times New Roman"/>
        </w:rPr>
        <w:t>B</w:t>
      </w:r>
      <w:r w:rsidR="00322413">
        <w:rPr>
          <w:rFonts w:ascii="Times New Roman" w:hAnsi="Times New Roman" w:cs="Times New Roman"/>
        </w:rPr>
        <w:t>abcock</w:t>
      </w:r>
      <w:r w:rsidRPr="002318C9">
        <w:rPr>
          <w:rFonts w:ascii="Times New Roman" w:hAnsi="Times New Roman" w:cs="Times New Roman"/>
        </w:rPr>
        <w:t>, May 7, 1874, Ulysses S. Grant Unpublished Correspondence, Ulysses S. Grant Presidential Library</w:t>
      </w:r>
    </w:p>
  </w:footnote>
  <w:footnote w:id="748">
    <w:p w14:paraId="371953B5" w14:textId="600B2C07" w:rsidR="002D394D" w:rsidRPr="002318C9" w:rsidRDefault="002D394D" w:rsidP="002D394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Gen. John McDonald, </w:t>
      </w:r>
      <w:r w:rsidRPr="002318C9">
        <w:rPr>
          <w:rFonts w:ascii="Times New Roman" w:hAnsi="Times New Roman" w:cs="Times New Roman"/>
          <w:i/>
          <w:iCs/>
        </w:rPr>
        <w:t>Secrets of the Great Whiskey Ring: And Eighteen Months in the Penitentiary. Containing a Complete Exposure of the Illicit Whiskey Frauds Culminating in 1875, with Documentary Proofs. to which is Added the Author's Remarkable Experiences while a Convict in the Missouri Penitentiary, at Jefferson City</w:t>
      </w:r>
      <w:r w:rsidRPr="002318C9">
        <w:rPr>
          <w:rFonts w:ascii="Times New Roman" w:hAnsi="Times New Roman" w:cs="Times New Roman"/>
        </w:rPr>
        <w:t xml:space="preserve">. St. Louis: W. S. Bryan, 1880; </w:t>
      </w:r>
      <w:bookmarkStart w:id="44" w:name="_Hlk70523364"/>
      <w:r w:rsidRPr="002318C9">
        <w:rPr>
          <w:rFonts w:ascii="Times New Roman" w:hAnsi="Times New Roman" w:cs="Times New Roman"/>
        </w:rPr>
        <w:t xml:space="preserve">Terry Golway, </w:t>
      </w:r>
      <w:r w:rsidRPr="002318C9">
        <w:rPr>
          <w:rFonts w:ascii="Times New Roman" w:hAnsi="Times New Roman" w:cs="Times New Roman"/>
          <w:i/>
          <w:iCs/>
        </w:rPr>
        <w:t>Machine Made: Tammany Hall and the Creation of Modern American Politics</w:t>
      </w:r>
      <w:r w:rsidRPr="002318C9">
        <w:rPr>
          <w:rFonts w:ascii="Times New Roman" w:hAnsi="Times New Roman" w:cs="Times New Roman"/>
        </w:rPr>
        <w:t>. New York: Liveright, 2014</w:t>
      </w:r>
      <w:r w:rsidRPr="002318C9">
        <w:rPr>
          <w:rFonts w:ascii="Times New Roman" w:hAnsi="Times New Roman" w:cs="Times New Roman"/>
          <w:i/>
          <w:iCs/>
        </w:rPr>
        <w:t xml:space="preserve">; </w:t>
      </w:r>
      <w:bookmarkEnd w:id="44"/>
      <w:r w:rsidRPr="002318C9">
        <w:rPr>
          <w:rFonts w:ascii="Times New Roman" w:hAnsi="Times New Roman" w:cs="Times New Roman"/>
        </w:rPr>
        <w:t xml:space="preserve">H.V. Boynton, “The Washington Safe Burglary Conspiracy.” </w:t>
      </w:r>
      <w:r w:rsidRPr="002318C9">
        <w:rPr>
          <w:rFonts w:ascii="Times New Roman" w:hAnsi="Times New Roman" w:cs="Times New Roman"/>
          <w:i/>
          <w:iCs/>
        </w:rPr>
        <w:t>American Law Review</w:t>
      </w:r>
      <w:r w:rsidRPr="002318C9">
        <w:rPr>
          <w:rFonts w:ascii="Times New Roman" w:hAnsi="Times New Roman" w:cs="Times New Roman"/>
        </w:rPr>
        <w:t xml:space="preserve"> 11, no. 3 (April 1877): 401-446; </w:t>
      </w:r>
      <w:r w:rsidRPr="002318C9">
        <w:rPr>
          <w:rFonts w:ascii="Times New Roman" w:hAnsi="Times New Roman" w:cs="Times New Roman"/>
          <w:i/>
          <w:iCs/>
        </w:rPr>
        <w:t>More About The Washington Tammany: Its Tool in Congress Unmasked, Letter From John H. Crane to Norton P. Chapman, Delegate in Congress from the District of Columbia, In Which the Frauds of the District Ring are Shown Up, and the Mendacious Falsehoods of Their Delegate in Congress Exposed. Washington: Harvard University, February 21, 1873</w:t>
      </w:r>
      <w:r w:rsidRPr="002318C9">
        <w:rPr>
          <w:rFonts w:ascii="Times New Roman" w:hAnsi="Times New Roman" w:cs="Times New Roman"/>
        </w:rPr>
        <w:t>; H</w:t>
      </w:r>
      <w:r w:rsidR="00C76DE9">
        <w:rPr>
          <w:rFonts w:ascii="Times New Roman" w:hAnsi="Times New Roman" w:cs="Times New Roman"/>
        </w:rPr>
        <w:t xml:space="preserve">orace </w:t>
      </w:r>
      <w:r w:rsidRPr="002318C9">
        <w:rPr>
          <w:rFonts w:ascii="Times New Roman" w:hAnsi="Times New Roman" w:cs="Times New Roman"/>
        </w:rPr>
        <w:t>P</w:t>
      </w:r>
      <w:r w:rsidR="00C76DE9">
        <w:rPr>
          <w:rFonts w:ascii="Times New Roman" w:hAnsi="Times New Roman" w:cs="Times New Roman"/>
        </w:rPr>
        <w:t>orter</w:t>
      </w:r>
      <w:r w:rsidRPr="002318C9">
        <w:rPr>
          <w:rFonts w:ascii="Times New Roman" w:hAnsi="Times New Roman" w:cs="Times New Roman"/>
        </w:rPr>
        <w:t xml:space="preserve"> to O</w:t>
      </w:r>
      <w:r w:rsidR="00C76DE9">
        <w:rPr>
          <w:rFonts w:ascii="Times New Roman" w:hAnsi="Times New Roman" w:cs="Times New Roman"/>
        </w:rPr>
        <w:t xml:space="preserve">rville </w:t>
      </w:r>
      <w:r w:rsidRPr="002318C9">
        <w:rPr>
          <w:rFonts w:ascii="Times New Roman" w:hAnsi="Times New Roman" w:cs="Times New Roman"/>
        </w:rPr>
        <w:t>B</w:t>
      </w:r>
      <w:r w:rsidR="00C76DE9">
        <w:rPr>
          <w:rFonts w:ascii="Times New Roman" w:hAnsi="Times New Roman" w:cs="Times New Roman"/>
        </w:rPr>
        <w:t>abcock</w:t>
      </w:r>
      <w:r w:rsidRPr="002318C9">
        <w:rPr>
          <w:rFonts w:ascii="Times New Roman" w:hAnsi="Times New Roman" w:cs="Times New Roman"/>
        </w:rPr>
        <w:t>, March 11, 1869, Ulysses S. Grant Unpublished Correspondence, Ulysses S. Grant Presidential Library; H</w:t>
      </w:r>
      <w:r w:rsidR="00C76DE9">
        <w:rPr>
          <w:rFonts w:ascii="Times New Roman" w:hAnsi="Times New Roman" w:cs="Times New Roman"/>
        </w:rPr>
        <w:t xml:space="preserve">orace </w:t>
      </w:r>
      <w:r w:rsidRPr="002318C9">
        <w:rPr>
          <w:rFonts w:ascii="Times New Roman" w:hAnsi="Times New Roman" w:cs="Times New Roman"/>
        </w:rPr>
        <w:t>P</w:t>
      </w:r>
      <w:r w:rsidR="00C76DE9">
        <w:rPr>
          <w:rFonts w:ascii="Times New Roman" w:hAnsi="Times New Roman" w:cs="Times New Roman"/>
        </w:rPr>
        <w:t>orter</w:t>
      </w:r>
      <w:r w:rsidRPr="002318C9">
        <w:rPr>
          <w:rFonts w:ascii="Times New Roman" w:hAnsi="Times New Roman" w:cs="Times New Roman"/>
        </w:rPr>
        <w:t xml:space="preserve"> to O</w:t>
      </w:r>
      <w:r w:rsidR="00C76DE9">
        <w:rPr>
          <w:rFonts w:ascii="Times New Roman" w:hAnsi="Times New Roman" w:cs="Times New Roman"/>
        </w:rPr>
        <w:t>rville</w:t>
      </w:r>
      <w:r w:rsidRPr="002318C9">
        <w:rPr>
          <w:rFonts w:ascii="Times New Roman" w:hAnsi="Times New Roman" w:cs="Times New Roman"/>
        </w:rPr>
        <w:t xml:space="preserve"> Babcock, January 31, 1870, Ulysses S. Grant Unpublished Correspondence, Ulysses S. Grant Presidential Library; H</w:t>
      </w:r>
      <w:r w:rsidR="00C76DE9">
        <w:rPr>
          <w:rFonts w:ascii="Times New Roman" w:hAnsi="Times New Roman" w:cs="Times New Roman"/>
        </w:rPr>
        <w:t xml:space="preserve">orace </w:t>
      </w:r>
      <w:r w:rsidRPr="002318C9">
        <w:rPr>
          <w:rFonts w:ascii="Times New Roman" w:hAnsi="Times New Roman" w:cs="Times New Roman"/>
        </w:rPr>
        <w:t>P</w:t>
      </w:r>
      <w:r w:rsidR="00C76DE9">
        <w:rPr>
          <w:rFonts w:ascii="Times New Roman" w:hAnsi="Times New Roman" w:cs="Times New Roman"/>
        </w:rPr>
        <w:t>orter</w:t>
      </w:r>
      <w:r w:rsidRPr="002318C9">
        <w:rPr>
          <w:rFonts w:ascii="Times New Roman" w:hAnsi="Times New Roman" w:cs="Times New Roman"/>
        </w:rPr>
        <w:t xml:space="preserve"> to O</w:t>
      </w:r>
      <w:r w:rsidR="00C76DE9">
        <w:rPr>
          <w:rFonts w:ascii="Times New Roman" w:hAnsi="Times New Roman" w:cs="Times New Roman"/>
        </w:rPr>
        <w:t>rville</w:t>
      </w:r>
      <w:r w:rsidRPr="002318C9">
        <w:rPr>
          <w:rFonts w:ascii="Times New Roman" w:hAnsi="Times New Roman" w:cs="Times New Roman"/>
        </w:rPr>
        <w:t xml:space="preserve"> Babcock. June 10, 1872, Ulysses S. Grant Unpublished Correspondence, Ulysses S. Grant Presidential Library; Levi P. Luckey to O</w:t>
      </w:r>
      <w:r w:rsidR="00C76DE9">
        <w:rPr>
          <w:rFonts w:ascii="Times New Roman" w:hAnsi="Times New Roman" w:cs="Times New Roman"/>
        </w:rPr>
        <w:t xml:space="preserve">rville </w:t>
      </w:r>
      <w:r w:rsidRPr="002318C9">
        <w:rPr>
          <w:rFonts w:ascii="Times New Roman" w:hAnsi="Times New Roman" w:cs="Times New Roman"/>
        </w:rPr>
        <w:t>B</w:t>
      </w:r>
      <w:r w:rsidR="00C76DE9">
        <w:rPr>
          <w:rFonts w:ascii="Times New Roman" w:hAnsi="Times New Roman" w:cs="Times New Roman"/>
        </w:rPr>
        <w:t>abcock</w:t>
      </w:r>
      <w:r w:rsidRPr="002318C9">
        <w:rPr>
          <w:rFonts w:ascii="Times New Roman" w:hAnsi="Times New Roman" w:cs="Times New Roman"/>
        </w:rPr>
        <w:t>, September 20, 1873, Ulysses S. Grant Unpublished Correspondence, Ulysses S. Grant Presidential Library; Levi P. Luckey to O</w:t>
      </w:r>
      <w:r w:rsidR="00C76DE9">
        <w:rPr>
          <w:rFonts w:ascii="Times New Roman" w:hAnsi="Times New Roman" w:cs="Times New Roman"/>
        </w:rPr>
        <w:t xml:space="preserve">rville </w:t>
      </w:r>
      <w:r w:rsidRPr="002318C9">
        <w:rPr>
          <w:rFonts w:ascii="Times New Roman" w:hAnsi="Times New Roman" w:cs="Times New Roman"/>
        </w:rPr>
        <w:t>B</w:t>
      </w:r>
      <w:r w:rsidR="00C76DE9">
        <w:rPr>
          <w:rFonts w:ascii="Times New Roman" w:hAnsi="Times New Roman" w:cs="Times New Roman"/>
        </w:rPr>
        <w:t>abcock</w:t>
      </w:r>
      <w:r w:rsidRPr="002318C9">
        <w:rPr>
          <w:rFonts w:ascii="Times New Roman" w:hAnsi="Times New Roman" w:cs="Times New Roman"/>
        </w:rPr>
        <w:t>, June 25, 1874; HT Crosby to O</w:t>
      </w:r>
      <w:r w:rsidR="00C76DE9">
        <w:rPr>
          <w:rFonts w:ascii="Times New Roman" w:hAnsi="Times New Roman" w:cs="Times New Roman"/>
        </w:rPr>
        <w:t xml:space="preserve">rville </w:t>
      </w:r>
      <w:r w:rsidRPr="002318C9">
        <w:rPr>
          <w:rFonts w:ascii="Times New Roman" w:hAnsi="Times New Roman" w:cs="Times New Roman"/>
        </w:rPr>
        <w:t>B</w:t>
      </w:r>
      <w:r w:rsidR="00C76DE9">
        <w:rPr>
          <w:rFonts w:ascii="Times New Roman" w:hAnsi="Times New Roman" w:cs="Times New Roman"/>
        </w:rPr>
        <w:t>abcock</w:t>
      </w:r>
      <w:r w:rsidRPr="002318C9">
        <w:rPr>
          <w:rFonts w:ascii="Times New Roman" w:hAnsi="Times New Roman" w:cs="Times New Roman"/>
        </w:rPr>
        <w:t>, September 12, 1876, Ulysses S. Grant Unpublished Correspondence, Ulysses S. Grant Presidential Library</w:t>
      </w:r>
    </w:p>
  </w:footnote>
  <w:footnote w:id="749">
    <w:p w14:paraId="61AD23F7" w14:textId="14F0115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w:t>
      </w:r>
      <w:r w:rsidR="00C76DE9">
        <w:rPr>
          <w:rFonts w:ascii="Times New Roman" w:hAnsi="Times New Roman" w:cs="Times New Roman"/>
        </w:rPr>
        <w:t xml:space="preserve">orace </w:t>
      </w:r>
      <w:r w:rsidRPr="002318C9">
        <w:rPr>
          <w:rFonts w:ascii="Times New Roman" w:hAnsi="Times New Roman" w:cs="Times New Roman"/>
        </w:rPr>
        <w:t>P</w:t>
      </w:r>
      <w:r w:rsidR="00C76DE9">
        <w:rPr>
          <w:rFonts w:ascii="Times New Roman" w:hAnsi="Times New Roman" w:cs="Times New Roman"/>
        </w:rPr>
        <w:t>orter</w:t>
      </w:r>
      <w:r w:rsidRPr="002318C9">
        <w:rPr>
          <w:rFonts w:ascii="Times New Roman" w:hAnsi="Times New Roman" w:cs="Times New Roman"/>
        </w:rPr>
        <w:t xml:space="preserve"> to O</w:t>
      </w:r>
      <w:r w:rsidR="00C76DE9">
        <w:rPr>
          <w:rFonts w:ascii="Times New Roman" w:hAnsi="Times New Roman" w:cs="Times New Roman"/>
        </w:rPr>
        <w:t>rville</w:t>
      </w:r>
      <w:r w:rsidRPr="002318C9">
        <w:rPr>
          <w:rFonts w:ascii="Times New Roman" w:hAnsi="Times New Roman" w:cs="Times New Roman"/>
        </w:rPr>
        <w:t xml:space="preserve"> Babcock, September 20, 1870, Ulysses S. Grant Unpublished Correspondence, Ulysses S. Grant Presidential Library; H</w:t>
      </w:r>
      <w:r w:rsidR="00C76DE9">
        <w:rPr>
          <w:rFonts w:ascii="Times New Roman" w:hAnsi="Times New Roman" w:cs="Times New Roman"/>
        </w:rPr>
        <w:t xml:space="preserve">orace </w:t>
      </w:r>
      <w:r w:rsidRPr="002318C9">
        <w:rPr>
          <w:rFonts w:ascii="Times New Roman" w:hAnsi="Times New Roman" w:cs="Times New Roman"/>
        </w:rPr>
        <w:t>P</w:t>
      </w:r>
      <w:r w:rsidR="00C76DE9">
        <w:rPr>
          <w:rFonts w:ascii="Times New Roman" w:hAnsi="Times New Roman" w:cs="Times New Roman"/>
        </w:rPr>
        <w:t>orter</w:t>
      </w:r>
      <w:r w:rsidRPr="002318C9">
        <w:rPr>
          <w:rFonts w:ascii="Times New Roman" w:hAnsi="Times New Roman" w:cs="Times New Roman"/>
        </w:rPr>
        <w:t xml:space="preserve"> to O</w:t>
      </w:r>
      <w:r w:rsidR="00C76DE9">
        <w:rPr>
          <w:rFonts w:ascii="Times New Roman" w:hAnsi="Times New Roman" w:cs="Times New Roman"/>
        </w:rPr>
        <w:t xml:space="preserve">rville </w:t>
      </w:r>
      <w:r w:rsidRPr="002318C9">
        <w:rPr>
          <w:rFonts w:ascii="Times New Roman" w:hAnsi="Times New Roman" w:cs="Times New Roman"/>
        </w:rPr>
        <w:t>B</w:t>
      </w:r>
      <w:r w:rsidR="00C76DE9">
        <w:rPr>
          <w:rFonts w:ascii="Times New Roman" w:hAnsi="Times New Roman" w:cs="Times New Roman"/>
        </w:rPr>
        <w:t>abcock</w:t>
      </w:r>
      <w:r w:rsidRPr="002318C9">
        <w:rPr>
          <w:rFonts w:ascii="Times New Roman" w:hAnsi="Times New Roman" w:cs="Times New Roman"/>
        </w:rPr>
        <w:t>, July 3, 1871, Ulysses S. Grant Unpublished Correspondence, Ulysses S. Grant Presidential Library; H</w:t>
      </w:r>
      <w:r w:rsidR="00C76DE9">
        <w:rPr>
          <w:rFonts w:ascii="Times New Roman" w:hAnsi="Times New Roman" w:cs="Times New Roman"/>
        </w:rPr>
        <w:t xml:space="preserve">orace </w:t>
      </w:r>
      <w:r w:rsidRPr="002318C9">
        <w:rPr>
          <w:rFonts w:ascii="Times New Roman" w:hAnsi="Times New Roman" w:cs="Times New Roman"/>
        </w:rPr>
        <w:t>P</w:t>
      </w:r>
      <w:r w:rsidR="00C76DE9">
        <w:rPr>
          <w:rFonts w:ascii="Times New Roman" w:hAnsi="Times New Roman" w:cs="Times New Roman"/>
        </w:rPr>
        <w:t>orter</w:t>
      </w:r>
      <w:r w:rsidRPr="002318C9">
        <w:rPr>
          <w:rFonts w:ascii="Times New Roman" w:hAnsi="Times New Roman" w:cs="Times New Roman"/>
        </w:rPr>
        <w:t xml:space="preserve"> to O</w:t>
      </w:r>
      <w:r w:rsidR="00C76DE9">
        <w:rPr>
          <w:rFonts w:ascii="Times New Roman" w:hAnsi="Times New Roman" w:cs="Times New Roman"/>
        </w:rPr>
        <w:t xml:space="preserve">rville </w:t>
      </w:r>
      <w:r w:rsidRPr="002318C9">
        <w:rPr>
          <w:rFonts w:ascii="Times New Roman" w:hAnsi="Times New Roman" w:cs="Times New Roman"/>
        </w:rPr>
        <w:t>B</w:t>
      </w:r>
      <w:r w:rsidR="00C76DE9">
        <w:rPr>
          <w:rFonts w:ascii="Times New Roman" w:hAnsi="Times New Roman" w:cs="Times New Roman"/>
        </w:rPr>
        <w:t>abcock</w:t>
      </w:r>
      <w:r w:rsidRPr="002318C9">
        <w:rPr>
          <w:rFonts w:ascii="Times New Roman" w:hAnsi="Times New Roman" w:cs="Times New Roman"/>
        </w:rPr>
        <w:t>, August 16, 1872, Ulysses S. Grant Unpublished Correspondence, Ulysses S. Grant Presidential Library; W</w:t>
      </w:r>
      <w:r w:rsidR="00C76DE9">
        <w:rPr>
          <w:rFonts w:ascii="Times New Roman" w:hAnsi="Times New Roman" w:cs="Times New Roman"/>
        </w:rPr>
        <w:t xml:space="preserve">illiam </w:t>
      </w:r>
      <w:r w:rsidRPr="002318C9">
        <w:rPr>
          <w:rFonts w:ascii="Times New Roman" w:hAnsi="Times New Roman" w:cs="Times New Roman"/>
        </w:rPr>
        <w:t>B</w:t>
      </w:r>
      <w:r w:rsidR="00C76DE9">
        <w:rPr>
          <w:rFonts w:ascii="Times New Roman" w:hAnsi="Times New Roman" w:cs="Times New Roman"/>
        </w:rPr>
        <w:t>elknap</w:t>
      </w:r>
      <w:r w:rsidRPr="002318C9">
        <w:rPr>
          <w:rFonts w:ascii="Times New Roman" w:hAnsi="Times New Roman" w:cs="Times New Roman"/>
        </w:rPr>
        <w:t xml:space="preserve"> to O</w:t>
      </w:r>
      <w:r w:rsidR="00C76DE9">
        <w:rPr>
          <w:rFonts w:ascii="Times New Roman" w:hAnsi="Times New Roman" w:cs="Times New Roman"/>
        </w:rPr>
        <w:t xml:space="preserve">rville </w:t>
      </w:r>
      <w:r w:rsidRPr="002318C9">
        <w:rPr>
          <w:rFonts w:ascii="Times New Roman" w:hAnsi="Times New Roman" w:cs="Times New Roman"/>
        </w:rPr>
        <w:t>B</w:t>
      </w:r>
      <w:r w:rsidR="00C76DE9">
        <w:rPr>
          <w:rFonts w:ascii="Times New Roman" w:hAnsi="Times New Roman" w:cs="Times New Roman"/>
        </w:rPr>
        <w:t>abcock</w:t>
      </w:r>
      <w:r w:rsidRPr="002318C9">
        <w:rPr>
          <w:rFonts w:ascii="Times New Roman" w:hAnsi="Times New Roman" w:cs="Times New Roman"/>
        </w:rPr>
        <w:t>, July 19, 1873, Ulysses S. Grant Unpublished Correspondence, Ulysses S. Grant Presidential Library; W</w:t>
      </w:r>
      <w:r w:rsidR="00C76DE9">
        <w:rPr>
          <w:rFonts w:ascii="Times New Roman" w:hAnsi="Times New Roman" w:cs="Times New Roman"/>
        </w:rPr>
        <w:t xml:space="preserve">illiam </w:t>
      </w:r>
      <w:r w:rsidRPr="002318C9">
        <w:rPr>
          <w:rFonts w:ascii="Times New Roman" w:hAnsi="Times New Roman" w:cs="Times New Roman"/>
        </w:rPr>
        <w:t>B</w:t>
      </w:r>
      <w:r w:rsidR="00C76DE9">
        <w:rPr>
          <w:rFonts w:ascii="Times New Roman" w:hAnsi="Times New Roman" w:cs="Times New Roman"/>
        </w:rPr>
        <w:t>elknap</w:t>
      </w:r>
      <w:r w:rsidRPr="002318C9">
        <w:rPr>
          <w:rFonts w:ascii="Times New Roman" w:hAnsi="Times New Roman" w:cs="Times New Roman"/>
        </w:rPr>
        <w:t xml:space="preserve"> to O</w:t>
      </w:r>
      <w:r w:rsidR="00C76DE9">
        <w:rPr>
          <w:rFonts w:ascii="Times New Roman" w:hAnsi="Times New Roman" w:cs="Times New Roman"/>
        </w:rPr>
        <w:t xml:space="preserve">rville </w:t>
      </w:r>
      <w:r w:rsidRPr="002318C9">
        <w:rPr>
          <w:rFonts w:ascii="Times New Roman" w:hAnsi="Times New Roman" w:cs="Times New Roman"/>
        </w:rPr>
        <w:t>B</w:t>
      </w:r>
      <w:r w:rsidR="00C76DE9">
        <w:rPr>
          <w:rFonts w:ascii="Times New Roman" w:hAnsi="Times New Roman" w:cs="Times New Roman"/>
        </w:rPr>
        <w:t>abcock</w:t>
      </w:r>
      <w:r w:rsidRPr="002318C9">
        <w:rPr>
          <w:rFonts w:ascii="Times New Roman" w:hAnsi="Times New Roman" w:cs="Times New Roman"/>
        </w:rPr>
        <w:t>, June 23, 1874, Ulysses S. Grant Unpublished Correspondence, Ulysses S. Grant Presidential Library; M V Sheridan to O</w:t>
      </w:r>
      <w:r w:rsidR="00C76DE9">
        <w:rPr>
          <w:rFonts w:ascii="Times New Roman" w:hAnsi="Times New Roman" w:cs="Times New Roman"/>
        </w:rPr>
        <w:t xml:space="preserve">rville </w:t>
      </w:r>
      <w:r w:rsidRPr="002318C9">
        <w:rPr>
          <w:rFonts w:ascii="Times New Roman" w:hAnsi="Times New Roman" w:cs="Times New Roman"/>
        </w:rPr>
        <w:t>B</w:t>
      </w:r>
      <w:r w:rsidR="00C76DE9">
        <w:rPr>
          <w:rFonts w:ascii="Times New Roman" w:hAnsi="Times New Roman" w:cs="Times New Roman"/>
        </w:rPr>
        <w:t>abcock</w:t>
      </w:r>
      <w:r w:rsidRPr="002318C9">
        <w:rPr>
          <w:rFonts w:ascii="Times New Roman" w:hAnsi="Times New Roman" w:cs="Times New Roman"/>
        </w:rPr>
        <w:t>, July 29, 1875, Ulysses S. Grant Unpublished Correspondence, Ulysses S. Grant Presidential Library</w:t>
      </w:r>
    </w:p>
  </w:footnote>
  <w:footnote w:id="750">
    <w:p w14:paraId="4A499312" w14:textId="2A60DEC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John P. Richardson, </w:t>
      </w:r>
      <w:r w:rsidRPr="002318C9">
        <w:rPr>
          <w:rFonts w:ascii="Times New Roman" w:hAnsi="Times New Roman" w:cs="Times New Roman"/>
          <w:i/>
          <w:iCs/>
        </w:rPr>
        <w:t>Alexander Robey Shepherd: The Man Who Built the Nation’s Capital</w:t>
      </w:r>
      <w:r w:rsidRPr="002318C9">
        <w:rPr>
          <w:rFonts w:ascii="Times New Roman" w:hAnsi="Times New Roman" w:cs="Times New Roman"/>
        </w:rPr>
        <w:t xml:space="preserve"> (Athens, OH: Ohio University Press, 2016) 4-6; Anna Minta, “Planning a National Pantheon: Monuments in Washington, D.C. and the Creation of Symbolic Space.” In Klaus Benesch, Jeffrey Meilke, David E. Nye, &amp; Miles Orvell (eds.), </w:t>
      </w:r>
      <w:r w:rsidRPr="002318C9">
        <w:rPr>
          <w:rFonts w:ascii="Times New Roman" w:hAnsi="Times New Roman" w:cs="Times New Roman"/>
          <w:i/>
          <w:iCs/>
        </w:rPr>
        <w:t>Public Space and the Ideology of Place in American Culture</w:t>
      </w:r>
      <w:r w:rsidR="00BE710A">
        <w:rPr>
          <w:rFonts w:ascii="Times New Roman" w:hAnsi="Times New Roman" w:cs="Times New Roman"/>
          <w:i/>
          <w:iCs/>
        </w:rPr>
        <w:t>.</w:t>
      </w:r>
      <w:r w:rsidRPr="002318C9">
        <w:rPr>
          <w:rFonts w:ascii="Times New Roman" w:hAnsi="Times New Roman" w:cs="Times New Roman"/>
        </w:rPr>
        <w:t xml:space="preserve"> New York, Rodopi B.V.</w:t>
      </w:r>
      <w:r w:rsidR="00BE710A">
        <w:rPr>
          <w:rFonts w:ascii="Times New Roman" w:hAnsi="Times New Roman" w:cs="Times New Roman"/>
        </w:rPr>
        <w:t>, 2009.</w:t>
      </w:r>
      <w:r w:rsidRPr="002318C9">
        <w:rPr>
          <w:rFonts w:ascii="Times New Roman" w:hAnsi="Times New Roman" w:cs="Times New Roman"/>
        </w:rPr>
        <w:t xml:space="preserve"> 21-50</w:t>
      </w:r>
    </w:p>
  </w:footnote>
  <w:footnote w:id="751">
    <w:p w14:paraId="039BF94D" w14:textId="73C7317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11-20</w:t>
      </w:r>
    </w:p>
  </w:footnote>
  <w:footnote w:id="752">
    <w:p w14:paraId="11B7B7B2" w14:textId="473471F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11-20</w:t>
      </w:r>
    </w:p>
  </w:footnote>
  <w:footnote w:id="753">
    <w:p w14:paraId="500EEE65" w14:textId="68E29E6C"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11-20</w:t>
      </w:r>
    </w:p>
  </w:footnote>
  <w:footnote w:id="754">
    <w:p w14:paraId="67DC8483"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Charles Dickens, </w:t>
      </w:r>
      <w:r w:rsidRPr="002318C9">
        <w:rPr>
          <w:rFonts w:ascii="Times New Roman" w:hAnsi="Times New Roman" w:cs="Times New Roman"/>
          <w:i/>
          <w:iCs/>
        </w:rPr>
        <w:t>American Notes for General Circulation</w:t>
      </w:r>
      <w:r w:rsidRPr="002318C9">
        <w:rPr>
          <w:rFonts w:ascii="Times New Roman" w:hAnsi="Times New Roman" w:cs="Times New Roman"/>
        </w:rPr>
        <w:t>, 2 vols. (London, 1842), I:281-282</w:t>
      </w:r>
    </w:p>
  </w:footnote>
  <w:footnote w:id="755">
    <w:p w14:paraId="11D47E0B"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Pamela Scott, </w:t>
      </w:r>
      <w:r w:rsidRPr="002318C9">
        <w:rPr>
          <w:rFonts w:ascii="Times New Roman" w:hAnsi="Times New Roman" w:cs="Times New Roman"/>
          <w:i/>
          <w:iCs/>
        </w:rPr>
        <w:t>Capital Engineers: The U.S. Army Corps of Engineers in the Development of Washington, D.C. 1790-2004</w:t>
      </w:r>
      <w:r w:rsidRPr="002318C9">
        <w:rPr>
          <w:rFonts w:ascii="Times New Roman" w:hAnsi="Times New Roman" w:cs="Times New Roman"/>
        </w:rPr>
        <w:t xml:space="preserve"> (Alexandria, VA, Office of History, Headquarters, US Army Corps of Engineers, 2008)</w:t>
      </w:r>
    </w:p>
  </w:footnote>
  <w:footnote w:id="756">
    <w:p w14:paraId="1FF4276B" w14:textId="29D931C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00ED0313">
        <w:rPr>
          <w:rFonts w:ascii="Times New Roman" w:hAnsi="Times New Roman" w:cs="Times New Roman"/>
        </w:rPr>
        <w:t xml:space="preserve"> John</w:t>
      </w:r>
      <w:r w:rsidRPr="002318C9">
        <w:rPr>
          <w:rFonts w:ascii="Times New Roman" w:hAnsi="Times New Roman" w:cs="Times New Roman"/>
        </w:rPr>
        <w:t xml:space="preserve"> 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14-</w:t>
      </w:r>
      <w:r w:rsidR="00ED0313">
        <w:rPr>
          <w:rFonts w:ascii="Times New Roman" w:hAnsi="Times New Roman" w:cs="Times New Roman"/>
        </w:rPr>
        <w:t>1</w:t>
      </w:r>
      <w:r w:rsidRPr="002318C9">
        <w:rPr>
          <w:rFonts w:ascii="Times New Roman" w:hAnsi="Times New Roman" w:cs="Times New Roman"/>
        </w:rPr>
        <w:t xml:space="preserve">5; Margaret Leech, </w:t>
      </w:r>
      <w:r w:rsidRPr="002318C9">
        <w:rPr>
          <w:rFonts w:ascii="Times New Roman" w:hAnsi="Times New Roman" w:cs="Times New Roman"/>
          <w:i/>
          <w:iCs/>
        </w:rPr>
        <w:t>Reveille in Washington, 1860-1865</w:t>
      </w:r>
      <w:r w:rsidRPr="002318C9">
        <w:rPr>
          <w:rFonts w:ascii="Times New Roman" w:hAnsi="Times New Roman" w:cs="Times New Roman"/>
        </w:rPr>
        <w:t xml:space="preserve"> (New York, 1941), 9-10</w:t>
      </w:r>
    </w:p>
  </w:footnote>
  <w:footnote w:id="757">
    <w:p w14:paraId="7498E8EB" w14:textId="7950B962"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65-70; J.D. Dickey, </w:t>
      </w:r>
      <w:r w:rsidRPr="002318C9">
        <w:rPr>
          <w:rFonts w:ascii="Times New Roman" w:hAnsi="Times New Roman" w:cs="Times New Roman"/>
          <w:i/>
          <w:iCs/>
        </w:rPr>
        <w:t>Empire of Mud: The Secret History of Washington DC</w:t>
      </w:r>
      <w:r w:rsidRPr="002318C9">
        <w:rPr>
          <w:rFonts w:ascii="Times New Roman" w:hAnsi="Times New Roman" w:cs="Times New Roman"/>
        </w:rPr>
        <w:t xml:space="preserve"> (Guilford, CT: LP Press, 2014)</w:t>
      </w:r>
    </w:p>
  </w:footnote>
  <w:footnote w:id="758">
    <w:p w14:paraId="292C704A" w14:textId="12324BF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Dickey</w:t>
      </w:r>
      <w:r w:rsidR="00813938">
        <w:rPr>
          <w:rFonts w:ascii="Times New Roman" w:hAnsi="Times New Roman" w:cs="Times New Roman"/>
        </w:rPr>
        <w:t xml:space="preserve">, </w:t>
      </w:r>
      <w:r w:rsidR="00813938">
        <w:rPr>
          <w:rFonts w:ascii="Times New Roman" w:hAnsi="Times New Roman" w:cs="Times New Roman"/>
          <w:i/>
          <w:iCs/>
        </w:rPr>
        <w:t>Empire of Mud,</w:t>
      </w:r>
      <w:r w:rsidRPr="002318C9">
        <w:rPr>
          <w:rFonts w:ascii="Times New Roman" w:hAnsi="Times New Roman" w:cs="Times New Roman"/>
        </w:rPr>
        <w:t xml:space="preserve"> 169-170</w:t>
      </w:r>
    </w:p>
  </w:footnote>
  <w:footnote w:id="759">
    <w:p w14:paraId="28DC9689" w14:textId="42EAD56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Dickey</w:t>
      </w:r>
      <w:r w:rsidR="00813938">
        <w:rPr>
          <w:rFonts w:ascii="Times New Roman" w:hAnsi="Times New Roman" w:cs="Times New Roman"/>
        </w:rPr>
        <w:t xml:space="preserve">, </w:t>
      </w:r>
      <w:r w:rsidR="00813938">
        <w:rPr>
          <w:rFonts w:ascii="Times New Roman" w:hAnsi="Times New Roman" w:cs="Times New Roman"/>
          <w:i/>
          <w:iCs/>
        </w:rPr>
        <w:t>Empire of Mud,</w:t>
      </w:r>
      <w:r w:rsidRPr="002318C9">
        <w:rPr>
          <w:rFonts w:ascii="Times New Roman" w:hAnsi="Times New Roman" w:cs="Times New Roman"/>
        </w:rPr>
        <w:t xml:space="preserve"> 144-167; Chris Myers</w:t>
      </w:r>
      <w:r w:rsidR="00C70154">
        <w:rPr>
          <w:rFonts w:ascii="Times New Roman" w:hAnsi="Times New Roman" w:cs="Times New Roman"/>
        </w:rPr>
        <w:t xml:space="preserve"> Asch</w:t>
      </w:r>
      <w:r w:rsidRPr="002318C9">
        <w:rPr>
          <w:rFonts w:ascii="Times New Roman" w:hAnsi="Times New Roman" w:cs="Times New Roman"/>
        </w:rPr>
        <w:t xml:space="preserve"> and George Derek Musgrove. </w:t>
      </w:r>
      <w:r w:rsidRPr="002318C9">
        <w:rPr>
          <w:rFonts w:ascii="Times New Roman" w:hAnsi="Times New Roman" w:cs="Times New Roman"/>
          <w:i/>
          <w:iCs/>
        </w:rPr>
        <w:t>Chocolate City : A History of Race and Democracy in the Nation’s Capital</w:t>
      </w:r>
      <w:r w:rsidRPr="002318C9">
        <w:rPr>
          <w:rFonts w:ascii="Times New Roman" w:hAnsi="Times New Roman" w:cs="Times New Roman"/>
        </w:rPr>
        <w:t xml:space="preserve">. The University of North Carolina Press, 2017; </w:t>
      </w:r>
      <w:r w:rsidR="00C70154">
        <w:rPr>
          <w:rFonts w:ascii="Times New Roman" w:hAnsi="Times New Roman" w:cs="Times New Roman"/>
        </w:rPr>
        <w:t xml:space="preserve">Allison Suppan </w:t>
      </w:r>
      <w:r w:rsidRPr="002318C9">
        <w:rPr>
          <w:rFonts w:ascii="Times New Roman" w:hAnsi="Times New Roman" w:cs="Times New Roman"/>
        </w:rPr>
        <w:t xml:space="preserve">Helmuth, “‘Chocolate City, Rest in Peace’: White Space–Claiming and the Exclusion of Black People in Washington, DC.” </w:t>
      </w:r>
      <w:r w:rsidRPr="002318C9">
        <w:rPr>
          <w:rFonts w:ascii="Times New Roman" w:hAnsi="Times New Roman" w:cs="Times New Roman"/>
          <w:i/>
          <w:iCs/>
        </w:rPr>
        <w:t>City &amp; Community</w:t>
      </w:r>
      <w:r w:rsidRPr="002318C9">
        <w:rPr>
          <w:rFonts w:ascii="Times New Roman" w:hAnsi="Times New Roman" w:cs="Times New Roman"/>
        </w:rPr>
        <w:t xml:space="preserve">, vol. 18, no. 3, 2019, pp. 746–769; </w:t>
      </w:r>
      <w:r w:rsidR="00C70154">
        <w:rPr>
          <w:rFonts w:ascii="Times New Roman" w:hAnsi="Times New Roman" w:cs="Times New Roman"/>
        </w:rPr>
        <w:t xml:space="preserve">Kate </w:t>
      </w:r>
      <w:r w:rsidRPr="002318C9">
        <w:rPr>
          <w:rFonts w:ascii="Times New Roman" w:hAnsi="Times New Roman" w:cs="Times New Roman"/>
        </w:rPr>
        <w:t xml:space="preserve">Masur, </w:t>
      </w:r>
      <w:r w:rsidRPr="002318C9">
        <w:rPr>
          <w:rFonts w:ascii="Times New Roman" w:hAnsi="Times New Roman" w:cs="Times New Roman"/>
          <w:i/>
          <w:iCs/>
        </w:rPr>
        <w:t>An Example for All the Land</w:t>
      </w:r>
      <w:r w:rsidR="00BE710A">
        <w:rPr>
          <w:rFonts w:ascii="Times New Roman" w:hAnsi="Times New Roman" w:cs="Times New Roman"/>
          <w:i/>
          <w:iCs/>
        </w:rPr>
        <w:t>:</w:t>
      </w:r>
      <w:r w:rsidRPr="002318C9">
        <w:rPr>
          <w:rFonts w:ascii="Times New Roman" w:hAnsi="Times New Roman" w:cs="Times New Roman"/>
          <w:i/>
          <w:iCs/>
        </w:rPr>
        <w:t xml:space="preserve"> Emancipation and the Struggle over Equality in Washington, D.C.</w:t>
      </w:r>
      <w:r w:rsidRPr="002318C9">
        <w:rPr>
          <w:rFonts w:ascii="Times New Roman" w:hAnsi="Times New Roman" w:cs="Times New Roman"/>
        </w:rPr>
        <w:t xml:space="preserve"> </w:t>
      </w:r>
      <w:r w:rsidR="00BE710A">
        <w:rPr>
          <w:rFonts w:ascii="Times New Roman" w:hAnsi="Times New Roman" w:cs="Times New Roman"/>
        </w:rPr>
        <w:t xml:space="preserve">Chapel Hill: </w:t>
      </w:r>
      <w:r w:rsidRPr="002318C9">
        <w:rPr>
          <w:rFonts w:ascii="Times New Roman" w:hAnsi="Times New Roman" w:cs="Times New Roman"/>
        </w:rPr>
        <w:t>University of North Carolina Press, 2010.</w:t>
      </w:r>
    </w:p>
  </w:footnote>
  <w:footnote w:id="760">
    <w:p w14:paraId="3187BC78" w14:textId="789854F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Dickey</w:t>
      </w:r>
      <w:r w:rsidR="00813938">
        <w:rPr>
          <w:rFonts w:ascii="Times New Roman" w:hAnsi="Times New Roman" w:cs="Times New Roman"/>
        </w:rPr>
        <w:t xml:space="preserve">, </w:t>
      </w:r>
      <w:r w:rsidR="00813938">
        <w:rPr>
          <w:rFonts w:ascii="Times New Roman" w:hAnsi="Times New Roman" w:cs="Times New Roman"/>
          <w:i/>
          <w:iCs/>
        </w:rPr>
        <w:t>Empire of Mud,</w:t>
      </w:r>
      <w:r w:rsidRPr="002318C9">
        <w:rPr>
          <w:rFonts w:ascii="Times New Roman" w:hAnsi="Times New Roman" w:cs="Times New Roman"/>
        </w:rPr>
        <w:t xml:space="preserve"> 182-184</w:t>
      </w:r>
    </w:p>
  </w:footnote>
  <w:footnote w:id="761">
    <w:p w14:paraId="3F5611FF" w14:textId="3576589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Dickey</w:t>
      </w:r>
      <w:r w:rsidR="00813938">
        <w:rPr>
          <w:rFonts w:ascii="Times New Roman" w:hAnsi="Times New Roman" w:cs="Times New Roman"/>
        </w:rPr>
        <w:t xml:space="preserve">, </w:t>
      </w:r>
      <w:r w:rsidR="00813938">
        <w:rPr>
          <w:rFonts w:ascii="Times New Roman" w:hAnsi="Times New Roman" w:cs="Times New Roman"/>
          <w:i/>
          <w:iCs/>
        </w:rPr>
        <w:t>Empire of Mud,</w:t>
      </w:r>
      <w:r w:rsidRPr="002318C9">
        <w:rPr>
          <w:rFonts w:ascii="Times New Roman" w:hAnsi="Times New Roman" w:cs="Times New Roman"/>
        </w:rPr>
        <w:t xml:space="preserve"> 182-184</w:t>
      </w:r>
    </w:p>
  </w:footnote>
  <w:footnote w:id="762">
    <w:p w14:paraId="63FD4BA3" w14:textId="02E259C2"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72; William Tindall, </w:t>
      </w:r>
      <w:r w:rsidRPr="002318C9">
        <w:rPr>
          <w:rFonts w:ascii="Times New Roman" w:hAnsi="Times New Roman" w:cs="Times New Roman"/>
          <w:i/>
          <w:iCs/>
        </w:rPr>
        <w:t>Standard History of the City of Washington from a Study of the Original Sources</w:t>
      </w:r>
      <w:r w:rsidR="00BE710A">
        <w:rPr>
          <w:rFonts w:ascii="Times New Roman" w:hAnsi="Times New Roman" w:cs="Times New Roman"/>
        </w:rPr>
        <w:t xml:space="preserve">. </w:t>
      </w:r>
      <w:r w:rsidRPr="002318C9">
        <w:rPr>
          <w:rFonts w:ascii="Times New Roman" w:hAnsi="Times New Roman" w:cs="Times New Roman"/>
        </w:rPr>
        <w:t>Knoxville, TN: HW Crew and Co., 1914</w:t>
      </w:r>
      <w:r w:rsidR="00BE710A">
        <w:rPr>
          <w:rFonts w:ascii="Times New Roman" w:hAnsi="Times New Roman" w:cs="Times New Roman"/>
        </w:rPr>
        <w:t>.</w:t>
      </w:r>
      <w:r w:rsidRPr="002318C9">
        <w:rPr>
          <w:rFonts w:ascii="Times New Roman" w:hAnsi="Times New Roman" w:cs="Times New Roman"/>
        </w:rPr>
        <w:t xml:space="preserve"> p472; </w:t>
      </w:r>
      <w:r w:rsidRPr="002318C9">
        <w:rPr>
          <w:rFonts w:ascii="Times New Roman" w:hAnsi="Times New Roman" w:cs="Times New Roman"/>
          <w:i/>
          <w:iCs/>
        </w:rPr>
        <w:t>US Statutes at Large</w:t>
      </w:r>
      <w:r w:rsidRPr="002318C9">
        <w:rPr>
          <w:rFonts w:ascii="Times New Roman" w:hAnsi="Times New Roman" w:cs="Times New Roman"/>
        </w:rPr>
        <w:t>, vol 14, p466.</w:t>
      </w:r>
    </w:p>
  </w:footnote>
  <w:footnote w:id="763">
    <w:p w14:paraId="074B8A8E" w14:textId="6291B2E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72</w:t>
      </w:r>
    </w:p>
  </w:footnote>
  <w:footnote w:id="764">
    <w:p w14:paraId="780F10FF" w14:textId="3D8F00F2"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72-3</w:t>
      </w:r>
    </w:p>
  </w:footnote>
  <w:footnote w:id="765">
    <w:p w14:paraId="750BF54E" w14:textId="01DCF72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72-74</w:t>
      </w:r>
    </w:p>
  </w:footnote>
  <w:footnote w:id="766">
    <w:p w14:paraId="66CE961D" w14:textId="7CD33B2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72-75</w:t>
      </w:r>
      <w:r w:rsidR="00315FD9">
        <w:rPr>
          <w:rFonts w:ascii="Times New Roman" w:hAnsi="Times New Roman" w:cs="Times New Roman"/>
        </w:rPr>
        <w:t xml:space="preserve">; </w:t>
      </w:r>
      <w:r w:rsidR="001079A8">
        <w:rPr>
          <w:rFonts w:ascii="Times New Roman" w:hAnsi="Times New Roman" w:cs="Times New Roman"/>
        </w:rPr>
        <w:t>T</w:t>
      </w:r>
      <w:r w:rsidR="00315FD9">
        <w:rPr>
          <w:rFonts w:ascii="Times New Roman" w:hAnsi="Times New Roman" w:cs="Times New Roman"/>
        </w:rPr>
        <w:t>his street system is also referred to as a “spoke-and-wheel” system.</w:t>
      </w:r>
    </w:p>
  </w:footnote>
  <w:footnote w:id="767">
    <w:p w14:paraId="1E61BC37" w14:textId="6C3B010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Most of the scholarship considering the capital’s revitalization focuses on Alexander Robey Shepherd, who played a critical role in this process during Reconstruction. For more on this scholarship, consider: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Pr="002318C9">
        <w:rPr>
          <w:rFonts w:ascii="Times New Roman" w:hAnsi="Times New Roman" w:cs="Times New Roman"/>
        </w:rPr>
        <w:t xml:space="preserve">; William M. Maury, </w:t>
      </w:r>
      <w:r w:rsidRPr="002318C9">
        <w:rPr>
          <w:rFonts w:ascii="Times New Roman" w:hAnsi="Times New Roman" w:cs="Times New Roman"/>
          <w:i/>
          <w:iCs/>
        </w:rPr>
        <w:t xml:space="preserve">Alexander “Boss” Shepherd and the Board of Public Works. </w:t>
      </w:r>
      <w:r w:rsidRPr="002318C9">
        <w:rPr>
          <w:rFonts w:ascii="Times New Roman" w:hAnsi="Times New Roman" w:cs="Times New Roman"/>
        </w:rPr>
        <w:t xml:space="preserve">Washington: George Washington University Washington Studies, 1975; Constance McLaughlin Green, </w:t>
      </w:r>
      <w:r w:rsidRPr="002318C9">
        <w:rPr>
          <w:rFonts w:ascii="Times New Roman" w:hAnsi="Times New Roman" w:cs="Times New Roman"/>
          <w:i/>
          <w:iCs/>
        </w:rPr>
        <w:t>Washington: Village and Capital, 1800-1878.</w:t>
      </w:r>
      <w:r w:rsidRPr="002318C9">
        <w:rPr>
          <w:rFonts w:ascii="Times New Roman" w:hAnsi="Times New Roman" w:cs="Times New Roman"/>
        </w:rPr>
        <w:t xml:space="preserve"> Princeton: Princeton University Press, 1962; Tom Lewis, </w:t>
      </w:r>
      <w:r w:rsidRPr="002318C9">
        <w:rPr>
          <w:rFonts w:ascii="Times New Roman" w:hAnsi="Times New Roman" w:cs="Times New Roman"/>
          <w:i/>
          <w:iCs/>
        </w:rPr>
        <w:t>Washington: A History of Our National City.</w:t>
      </w:r>
      <w:r w:rsidRPr="002318C9">
        <w:rPr>
          <w:rFonts w:ascii="Times New Roman" w:hAnsi="Times New Roman" w:cs="Times New Roman"/>
        </w:rPr>
        <w:t xml:space="preserve"> New York: Basic Books,</w:t>
      </w:r>
      <w:r w:rsidR="0054115D">
        <w:rPr>
          <w:rFonts w:ascii="Times New Roman" w:hAnsi="Times New Roman" w:cs="Times New Roman"/>
        </w:rPr>
        <w:t xml:space="preserve"> </w:t>
      </w:r>
      <w:r w:rsidRPr="002318C9">
        <w:rPr>
          <w:rFonts w:ascii="Times New Roman" w:hAnsi="Times New Roman" w:cs="Times New Roman"/>
        </w:rPr>
        <w:t xml:space="preserve">2015; Carl Abbott, </w:t>
      </w:r>
      <w:r w:rsidRPr="002318C9">
        <w:rPr>
          <w:rFonts w:ascii="Times New Roman" w:hAnsi="Times New Roman" w:cs="Times New Roman"/>
          <w:i/>
          <w:iCs/>
        </w:rPr>
        <w:t>Political Terrain: Washington, D.C., From Tidewater Town to Global Metropolis.</w:t>
      </w:r>
      <w:r w:rsidRPr="002318C9">
        <w:rPr>
          <w:rFonts w:ascii="Times New Roman" w:hAnsi="Times New Roman" w:cs="Times New Roman"/>
        </w:rPr>
        <w:t xml:space="preserve"> Chapel Hill: UNC Press, 1999; H. Paul Caemmerer, </w:t>
      </w:r>
      <w:r w:rsidRPr="002318C9">
        <w:rPr>
          <w:rFonts w:ascii="Times New Roman" w:hAnsi="Times New Roman" w:cs="Times New Roman"/>
          <w:i/>
          <w:iCs/>
        </w:rPr>
        <w:t>A Manual on the Origin and Development of Washington</w:t>
      </w:r>
      <w:r w:rsidRPr="002318C9">
        <w:rPr>
          <w:rFonts w:ascii="Times New Roman" w:hAnsi="Times New Roman" w:cs="Times New Roman"/>
        </w:rPr>
        <w:t xml:space="preserve">. Washington: United States Government Printing Office, 1939; and James Huntington Whyte, </w:t>
      </w:r>
      <w:r w:rsidRPr="002318C9">
        <w:rPr>
          <w:rFonts w:ascii="Times New Roman" w:hAnsi="Times New Roman" w:cs="Times New Roman"/>
          <w:i/>
          <w:iCs/>
        </w:rPr>
        <w:t>The Uncivil War: Washington During the Reconstruction, 1865-1878.</w:t>
      </w:r>
      <w:r w:rsidRPr="002318C9">
        <w:rPr>
          <w:rFonts w:ascii="Times New Roman" w:hAnsi="Times New Roman" w:cs="Times New Roman"/>
        </w:rPr>
        <w:t xml:space="preserve"> New York: Twayne Publishers, 1958.</w:t>
      </w:r>
    </w:p>
  </w:footnote>
  <w:footnote w:id="768">
    <w:p w14:paraId="267E501E" w14:textId="217D0AB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75</w:t>
      </w:r>
    </w:p>
  </w:footnote>
  <w:footnote w:id="769">
    <w:p w14:paraId="56D442F9" w14:textId="0EEDCE16"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1-7</w:t>
      </w:r>
    </w:p>
  </w:footnote>
  <w:footnote w:id="770">
    <w:p w14:paraId="281A2D84" w14:textId="763D23B2"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7-9</w:t>
      </w:r>
    </w:p>
  </w:footnote>
  <w:footnote w:id="771">
    <w:p w14:paraId="0F50D961" w14:textId="5AC0538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8-9</w:t>
      </w:r>
    </w:p>
  </w:footnote>
  <w:footnote w:id="772">
    <w:p w14:paraId="65062867" w14:textId="77777777" w:rsidR="006521E6" w:rsidRPr="002318C9" w:rsidRDefault="006521E6" w:rsidP="006521E6">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 xml:space="preserve">Portrait of Governor Alexander Robey Shepherd that currently hangs in the offices of the D.C. Council. </w:t>
      </w:r>
      <w:r w:rsidRPr="002318C9">
        <w:rPr>
          <w:rFonts w:ascii="Times New Roman" w:hAnsi="Times New Roman" w:cs="Times New Roman"/>
        </w:rPr>
        <w:t>Photo Courtesy of The Association of Oldest Inhabitants of DC</w:t>
      </w:r>
    </w:p>
  </w:footnote>
  <w:footnote w:id="773">
    <w:p w14:paraId="22B97B85" w14:textId="77777777" w:rsidR="006521E6" w:rsidRPr="002318C9" w:rsidRDefault="006521E6" w:rsidP="006521E6">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William Tindall was a longtime aide to Alexander Robey Shepherd and wrote about him after his time in Washington. William Tindall, “A Sketch of Alexander Robey Shepherd,” </w:t>
      </w:r>
      <w:r w:rsidRPr="009F159B">
        <w:rPr>
          <w:rFonts w:ascii="Times New Roman" w:hAnsi="Times New Roman" w:cs="Times New Roman"/>
          <w:i/>
          <w:iCs/>
        </w:rPr>
        <w:t xml:space="preserve">Records of the Columbia Historical Society </w:t>
      </w:r>
      <w:r w:rsidRPr="009F159B">
        <w:rPr>
          <w:rFonts w:ascii="Times New Roman" w:hAnsi="Times New Roman" w:cs="Times New Roman"/>
        </w:rPr>
        <w:t xml:space="preserve">14 </w:t>
      </w:r>
      <w:r w:rsidRPr="002318C9">
        <w:rPr>
          <w:rFonts w:ascii="Times New Roman" w:hAnsi="Times New Roman" w:cs="Times New Roman"/>
        </w:rPr>
        <w:t>[1911]:50</w:t>
      </w:r>
    </w:p>
  </w:footnote>
  <w:footnote w:id="774">
    <w:p w14:paraId="40C46985" w14:textId="77777777" w:rsidR="006521E6" w:rsidRPr="002318C9" w:rsidRDefault="006521E6" w:rsidP="006521E6">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 xml:space="preserve">John </w:t>
      </w:r>
      <w:r w:rsidRPr="002318C9">
        <w:rPr>
          <w:rFonts w:ascii="Times New Roman" w:hAnsi="Times New Roman" w:cs="Times New Roman"/>
        </w:rPr>
        <w:t>Richardson</w:t>
      </w:r>
      <w:r>
        <w:rPr>
          <w:rFonts w:ascii="Times New Roman" w:hAnsi="Times New Roman" w:cs="Times New Roman"/>
        </w:rPr>
        <w:t xml:space="preserve">, </w:t>
      </w:r>
      <w:r w:rsidRPr="00727FF1">
        <w:rPr>
          <w:rFonts w:ascii="Times New Roman" w:hAnsi="Times New Roman" w:cs="Times New Roman"/>
          <w:i/>
          <w:iCs/>
        </w:rPr>
        <w:t>Alexander Robey Shepherd</w:t>
      </w:r>
      <w:r>
        <w:rPr>
          <w:rFonts w:ascii="Times New Roman" w:hAnsi="Times New Roman" w:cs="Times New Roman"/>
          <w:i/>
          <w:iCs/>
        </w:rPr>
        <w:t>,</w:t>
      </w:r>
      <w:r w:rsidRPr="002318C9">
        <w:rPr>
          <w:rFonts w:ascii="Times New Roman" w:hAnsi="Times New Roman" w:cs="Times New Roman"/>
        </w:rPr>
        <w:t xml:space="preserve"> 8-10</w:t>
      </w:r>
    </w:p>
  </w:footnote>
  <w:footnote w:id="775">
    <w:p w14:paraId="610DFF21" w14:textId="181701F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10-25</w:t>
      </w:r>
    </w:p>
  </w:footnote>
  <w:footnote w:id="776">
    <w:p w14:paraId="710184DB" w14:textId="5CA9BBE2"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17-23; in 1863, Shepherd and his brother, Thomas, were both drafted into military service, but Thomas paid $800 for substitutes for the pair, potentially because Alexander did not want his name on the record as having paid to opt out of military service; Certificate no. 893.510, Civil War and Later Survivors’ Records, RG 15, NARA.</w:t>
      </w:r>
    </w:p>
  </w:footnote>
  <w:footnote w:id="777">
    <w:p w14:paraId="6252A6AA" w14:textId="231D558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24-25</w:t>
      </w:r>
    </w:p>
  </w:footnote>
  <w:footnote w:id="778">
    <w:p w14:paraId="17D0B12F" w14:textId="115C8DD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23-26</w:t>
      </w:r>
    </w:p>
  </w:footnote>
  <w:footnote w:id="779">
    <w:p w14:paraId="3C2A215B" w14:textId="0534E482"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26-62</w:t>
      </w:r>
    </w:p>
  </w:footnote>
  <w:footnote w:id="780">
    <w:p w14:paraId="374E6C43" w14:textId="066E0F2D"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26-62</w:t>
      </w:r>
    </w:p>
  </w:footnote>
  <w:footnote w:id="781">
    <w:p w14:paraId="569C15C3" w14:textId="37DE139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31; </w:t>
      </w:r>
      <w:r w:rsidR="004775B2">
        <w:rPr>
          <w:rFonts w:ascii="Times New Roman" w:hAnsi="Times New Roman" w:cs="Times New Roman"/>
          <w:i/>
          <w:iCs/>
        </w:rPr>
        <w:t xml:space="preserve">Washington Evening Star, </w:t>
      </w:r>
      <w:r w:rsidRPr="002318C9">
        <w:rPr>
          <w:rFonts w:ascii="Times New Roman" w:hAnsi="Times New Roman" w:cs="Times New Roman"/>
        </w:rPr>
        <w:t xml:space="preserve">May 13, 1862, </w:t>
      </w:r>
    </w:p>
  </w:footnote>
  <w:footnote w:id="782">
    <w:p w14:paraId="22424831" w14:textId="22943B2D"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69-70</w:t>
      </w:r>
    </w:p>
  </w:footnote>
  <w:footnote w:id="783">
    <w:p w14:paraId="63D84050"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Congressional Globe</w:t>
      </w:r>
      <w:r w:rsidRPr="002318C9">
        <w:rPr>
          <w:rFonts w:ascii="Times New Roman" w:hAnsi="Times New Roman" w:cs="Times New Roman"/>
        </w:rPr>
        <w:t>, 40</w:t>
      </w:r>
      <w:r w:rsidRPr="002318C9">
        <w:rPr>
          <w:rFonts w:ascii="Times New Roman" w:hAnsi="Times New Roman" w:cs="Times New Roman"/>
          <w:vertAlign w:val="superscript"/>
        </w:rPr>
        <w:t>th</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Session, June 15, 1868. Pg 3174</w:t>
      </w:r>
    </w:p>
  </w:footnote>
  <w:footnote w:id="784">
    <w:p w14:paraId="7A2825F5" w14:textId="2112A4AC"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63</w:t>
      </w:r>
    </w:p>
  </w:footnote>
  <w:footnote w:id="785">
    <w:p w14:paraId="71453398" w14:textId="77777777" w:rsidR="002D394D" w:rsidRPr="009F159B" w:rsidRDefault="002D394D" w:rsidP="002D394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1871 District of Columbia Organic Act, otherwise known as “An Act to provide a Government for the District of Columbia.” </w:t>
      </w:r>
      <w:r w:rsidRPr="002318C9">
        <w:rPr>
          <w:rStyle w:val="HTMLCite"/>
          <w:rFonts w:ascii="Times New Roman" w:hAnsi="Times New Roman" w:cs="Times New Roman"/>
        </w:rPr>
        <w:t xml:space="preserve"> Statutes at Large, </w:t>
      </w:r>
      <w:r w:rsidRPr="009F159B">
        <w:rPr>
          <w:rStyle w:val="HTMLCite"/>
          <w:rFonts w:ascii="Times New Roman" w:hAnsi="Times New Roman" w:cs="Times New Roman"/>
          <w:i w:val="0"/>
          <w:iCs w:val="0"/>
        </w:rPr>
        <w:t>41st Congress, 3rd Session. Feb. 21, 1871, 41st Congress, 3rd session, chap. 62, 16 Stat. 419-429</w:t>
      </w:r>
    </w:p>
  </w:footnote>
  <w:footnote w:id="786">
    <w:p w14:paraId="06D93759"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Statutes at Large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February 21, 1871. Pg 419-429</w:t>
      </w:r>
    </w:p>
  </w:footnote>
  <w:footnote w:id="787">
    <w:p w14:paraId="562CFED0" w14:textId="67B96C5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Statutes at Large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February 21, 1871. Pg 419-429; Washington was one of the first cities to fully adopt the right for black citizens to vote. As a result there was a great deal of conflict surrounding the formation of the government, as many conservatives were concerned that the African American vote would give the Republican Party a major advantage given the influx of freedmen into the city during and after the Civil War. As a result, this plan was adopted by Congress to accommodate all parties in the district. Appointees would ensure some semblance of balance in the system in case elections proved to be too one-sided. For more, consider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Pr="002318C9">
        <w:rPr>
          <w:rFonts w:ascii="Times New Roman" w:hAnsi="Times New Roman" w:cs="Times New Roman"/>
        </w:rPr>
        <w:t>; Whyte</w:t>
      </w:r>
      <w:r w:rsidR="007F621B">
        <w:rPr>
          <w:rFonts w:ascii="Times New Roman" w:hAnsi="Times New Roman" w:cs="Times New Roman"/>
        </w:rPr>
        <w:t xml:space="preserve">, </w:t>
      </w:r>
      <w:r w:rsidR="007F621B">
        <w:rPr>
          <w:rFonts w:ascii="Times New Roman" w:hAnsi="Times New Roman" w:cs="Times New Roman"/>
          <w:i/>
          <w:iCs/>
        </w:rPr>
        <w:t>The Uncivil War</w:t>
      </w:r>
      <w:r w:rsidRPr="002318C9">
        <w:rPr>
          <w:rFonts w:ascii="Times New Roman" w:hAnsi="Times New Roman" w:cs="Times New Roman"/>
        </w:rPr>
        <w:t xml:space="preserve">; Robert Harrison, </w:t>
      </w:r>
      <w:r w:rsidRPr="002318C9">
        <w:rPr>
          <w:rFonts w:ascii="Times New Roman" w:hAnsi="Times New Roman" w:cs="Times New Roman"/>
          <w:i/>
          <w:iCs/>
        </w:rPr>
        <w:t xml:space="preserve">Washington During Civil War and Reconstruction: Race and Radicalism. </w:t>
      </w:r>
      <w:r w:rsidRPr="002318C9">
        <w:rPr>
          <w:rFonts w:ascii="Times New Roman" w:hAnsi="Times New Roman" w:cs="Times New Roman"/>
        </w:rPr>
        <w:t>New York: Cambridge University Press, 2011.</w:t>
      </w:r>
    </w:p>
  </w:footnote>
  <w:footnote w:id="788">
    <w:p w14:paraId="17385538"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Statutes at Large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February 21, 1871. Pg 419-429</w:t>
      </w:r>
    </w:p>
  </w:footnote>
  <w:footnote w:id="789">
    <w:p w14:paraId="672A0F25"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Statutes at Large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February 21, 1871. Pg 427</w:t>
      </w:r>
    </w:p>
  </w:footnote>
  <w:footnote w:id="790">
    <w:p w14:paraId="5393FB6C"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Statutes at Large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February 21, 1871. Pg 427</w:t>
      </w:r>
    </w:p>
  </w:footnote>
  <w:footnote w:id="791">
    <w:p w14:paraId="6F21372C"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Statutes at Large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February 21, 1871. Pg 427</w:t>
      </w:r>
    </w:p>
  </w:footnote>
  <w:footnote w:id="792">
    <w:p w14:paraId="684E8420"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Statutes at Large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February 21, 1871. Pg 427</w:t>
      </w:r>
    </w:p>
  </w:footnote>
  <w:footnote w:id="793">
    <w:p w14:paraId="272FA441" w14:textId="2F0B190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Statutes at Large</w:t>
      </w:r>
      <w:r w:rsidRPr="002318C9">
        <w:rPr>
          <w:rFonts w:ascii="Times New Roman" w:hAnsi="Times New Roman" w:cs="Times New Roman"/>
        </w:rPr>
        <w:t>, 41</w:t>
      </w:r>
      <w:r w:rsidRPr="002318C9">
        <w:rPr>
          <w:rFonts w:ascii="Times New Roman" w:hAnsi="Times New Roman" w:cs="Times New Roman"/>
          <w:vertAlign w:val="superscript"/>
        </w:rPr>
        <w:t>st</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Session, February 21, 1871. Pg 427; $2500 in 1870 is equivalent in purchase power to around $60,000 in today’s standards.</w:t>
      </w:r>
    </w:p>
  </w:footnote>
  <w:footnote w:id="794">
    <w:p w14:paraId="69BD2947" w14:textId="5B21E3C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94</w:t>
      </w:r>
    </w:p>
  </w:footnote>
  <w:footnote w:id="795">
    <w:p w14:paraId="18E57691" w14:textId="0FFF120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117</w:t>
      </w:r>
    </w:p>
  </w:footnote>
  <w:footnote w:id="796">
    <w:p w14:paraId="36025020" w14:textId="0077E2C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125-</w:t>
      </w:r>
      <w:r w:rsidR="00ED0313">
        <w:rPr>
          <w:rFonts w:ascii="Times New Roman" w:hAnsi="Times New Roman" w:cs="Times New Roman"/>
        </w:rPr>
        <w:t>12</w:t>
      </w:r>
      <w:r w:rsidRPr="002318C9">
        <w:rPr>
          <w:rFonts w:ascii="Times New Roman" w:hAnsi="Times New Roman" w:cs="Times New Roman"/>
        </w:rPr>
        <w:t>6</w:t>
      </w:r>
    </w:p>
  </w:footnote>
  <w:footnote w:id="797">
    <w:p w14:paraId="11C89EFD" w14:textId="096328A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142; </w:t>
      </w:r>
      <w:r w:rsidRPr="002318C9">
        <w:rPr>
          <w:rFonts w:ascii="Times New Roman" w:hAnsi="Times New Roman" w:cs="Times New Roman"/>
          <w:i/>
          <w:iCs/>
        </w:rPr>
        <w:t>Philadelphia Press</w:t>
      </w:r>
      <w:r w:rsidRPr="002318C9">
        <w:rPr>
          <w:rFonts w:ascii="Times New Roman" w:hAnsi="Times New Roman" w:cs="Times New Roman"/>
        </w:rPr>
        <w:t>, Oct 12</w:t>
      </w:r>
      <w:r w:rsidR="007F621B" w:rsidRPr="002318C9">
        <w:rPr>
          <w:rFonts w:ascii="Times New Roman" w:hAnsi="Times New Roman" w:cs="Times New Roman"/>
        </w:rPr>
        <w:t>, 1873</w:t>
      </w:r>
      <w:r w:rsidRPr="002318C9">
        <w:rPr>
          <w:rFonts w:ascii="Times New Roman" w:hAnsi="Times New Roman" w:cs="Times New Roman"/>
        </w:rPr>
        <w:t xml:space="preserve">, reprinted in </w:t>
      </w:r>
      <w:r w:rsidRPr="002318C9">
        <w:rPr>
          <w:rFonts w:ascii="Times New Roman" w:hAnsi="Times New Roman" w:cs="Times New Roman"/>
          <w:i/>
          <w:iCs/>
        </w:rPr>
        <w:t>Evening Star</w:t>
      </w:r>
      <w:r w:rsidRPr="002318C9">
        <w:rPr>
          <w:rFonts w:ascii="Times New Roman" w:hAnsi="Times New Roman" w:cs="Times New Roman"/>
        </w:rPr>
        <w:t>, Oct 17</w:t>
      </w:r>
      <w:r w:rsidR="007F621B" w:rsidRPr="002318C9">
        <w:rPr>
          <w:rFonts w:ascii="Times New Roman" w:hAnsi="Times New Roman" w:cs="Times New Roman"/>
        </w:rPr>
        <w:t>, 1873</w:t>
      </w:r>
    </w:p>
  </w:footnote>
  <w:footnote w:id="798">
    <w:p w14:paraId="58880EB3" w14:textId="14F5E3F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143; </w:t>
      </w:r>
      <w:r w:rsidRPr="002318C9">
        <w:rPr>
          <w:rFonts w:ascii="Times New Roman" w:hAnsi="Times New Roman" w:cs="Times New Roman"/>
          <w:i/>
          <w:iCs/>
        </w:rPr>
        <w:t>New York World</w:t>
      </w:r>
      <w:r w:rsidRPr="002318C9">
        <w:rPr>
          <w:rFonts w:ascii="Times New Roman" w:hAnsi="Times New Roman" w:cs="Times New Roman"/>
        </w:rPr>
        <w:t>, Jan 21</w:t>
      </w:r>
      <w:r w:rsidR="007F621B" w:rsidRPr="002318C9">
        <w:rPr>
          <w:rFonts w:ascii="Times New Roman" w:hAnsi="Times New Roman" w:cs="Times New Roman"/>
        </w:rPr>
        <w:t>, 1876</w:t>
      </w:r>
      <w:r w:rsidRPr="002318C9">
        <w:rPr>
          <w:rFonts w:ascii="Times New Roman" w:hAnsi="Times New Roman" w:cs="Times New Roman"/>
        </w:rPr>
        <w:t xml:space="preserve">, reprinted in </w:t>
      </w:r>
      <w:r w:rsidRPr="002318C9">
        <w:rPr>
          <w:rFonts w:ascii="Times New Roman" w:hAnsi="Times New Roman" w:cs="Times New Roman"/>
          <w:i/>
          <w:iCs/>
        </w:rPr>
        <w:t>Evening Star</w:t>
      </w:r>
      <w:r w:rsidRPr="002318C9">
        <w:rPr>
          <w:rFonts w:ascii="Times New Roman" w:hAnsi="Times New Roman" w:cs="Times New Roman"/>
        </w:rPr>
        <w:t>, Jan 29, 1876</w:t>
      </w:r>
    </w:p>
  </w:footnote>
  <w:footnote w:id="799">
    <w:p w14:paraId="76A8CB1B" w14:textId="078785F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143; Typescript by Alexander Robey Shepherd’s daughter Grace Shepherd, Shepherd Papers, Library of Congress</w:t>
      </w:r>
    </w:p>
  </w:footnote>
  <w:footnote w:id="800">
    <w:p w14:paraId="4484C218"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Harper’s Weekly</w:t>
      </w:r>
      <w:r w:rsidRPr="002318C9">
        <w:rPr>
          <w:rFonts w:ascii="Times New Roman" w:hAnsi="Times New Roman" w:cs="Times New Roman"/>
        </w:rPr>
        <w:t>, July 18, 1874. Ulysses S. Grant Collection, Ulysses S. Grant Presidential Library, Mississippi State University Libraries</w:t>
      </w:r>
    </w:p>
  </w:footnote>
  <w:footnote w:id="801">
    <w:p w14:paraId="3416F327" w14:textId="7C9BC936" w:rsidR="002D394D" w:rsidRPr="005A0F3A" w:rsidRDefault="002D394D" w:rsidP="002D394D">
      <w:pPr>
        <w:pStyle w:val="FootnoteText"/>
        <w:rPr>
          <w:rFonts w:ascii="Times New Roman" w:hAnsi="Times New Roman" w:cs="Times New Roman"/>
          <w:sz w:val="16"/>
          <w:szCs w:val="16"/>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Maury</w:t>
      </w:r>
      <w:r w:rsidR="005A0F3A">
        <w:rPr>
          <w:rFonts w:ascii="Times New Roman" w:hAnsi="Times New Roman" w:cs="Times New Roman"/>
        </w:rPr>
        <w:t xml:space="preserve">, </w:t>
      </w:r>
      <w:r w:rsidR="005A0F3A" w:rsidRPr="005A0F3A">
        <w:rPr>
          <w:rFonts w:ascii="Times New Roman" w:hAnsi="Times New Roman" w:cs="Times New Roman"/>
          <w:i/>
          <w:iCs/>
          <w:szCs w:val="16"/>
        </w:rPr>
        <w:t>“Boss” Shepherd and the Board of Public Works</w:t>
      </w:r>
      <w:r w:rsidR="005A0F3A">
        <w:rPr>
          <w:rFonts w:ascii="Times New Roman" w:hAnsi="Times New Roman" w:cs="Times New Roman"/>
          <w:sz w:val="16"/>
          <w:szCs w:val="16"/>
        </w:rPr>
        <w:t>,</w:t>
      </w:r>
      <w:r w:rsidRPr="002318C9">
        <w:rPr>
          <w:rFonts w:ascii="Times New Roman" w:hAnsi="Times New Roman" w:cs="Times New Roman"/>
        </w:rPr>
        <w:t xml:space="preserve"> 6-29;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002C4B77">
        <w:rPr>
          <w:rFonts w:ascii="Times New Roman" w:hAnsi="Times New Roman" w:cs="Times New Roman"/>
          <w:i/>
          <w:iCs/>
        </w:rPr>
        <w:t>,</w:t>
      </w:r>
      <w:r w:rsidRPr="002318C9">
        <w:rPr>
          <w:rFonts w:ascii="Times New Roman" w:hAnsi="Times New Roman" w:cs="Times New Roman"/>
        </w:rPr>
        <w:t xml:space="preserve"> 125-131</w:t>
      </w:r>
    </w:p>
  </w:footnote>
  <w:footnote w:id="802">
    <w:p w14:paraId="6F7AF03D" w14:textId="30A4E390" w:rsidR="002D394D" w:rsidRPr="005A0F3A" w:rsidRDefault="002D394D" w:rsidP="002D394D">
      <w:pPr>
        <w:pStyle w:val="FootnoteText"/>
        <w:rPr>
          <w:rFonts w:ascii="Times New Roman" w:hAnsi="Times New Roman" w:cs="Times New Roman"/>
          <w:sz w:val="16"/>
          <w:szCs w:val="16"/>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Pr="002318C9">
        <w:rPr>
          <w:rFonts w:ascii="Times New Roman" w:hAnsi="Times New Roman" w:cs="Times New Roman"/>
        </w:rPr>
        <w:t>; Maury</w:t>
      </w:r>
      <w:r w:rsidR="005A0F3A">
        <w:rPr>
          <w:rFonts w:ascii="Times New Roman" w:hAnsi="Times New Roman" w:cs="Times New Roman"/>
        </w:rPr>
        <w:t xml:space="preserve">, </w:t>
      </w:r>
      <w:r w:rsidR="005A0F3A" w:rsidRPr="005A0F3A">
        <w:rPr>
          <w:rFonts w:ascii="Times New Roman" w:hAnsi="Times New Roman" w:cs="Times New Roman"/>
          <w:i/>
          <w:iCs/>
          <w:szCs w:val="16"/>
        </w:rPr>
        <w:t>“Boss” Shepherd and the Board of Public Works</w:t>
      </w:r>
    </w:p>
  </w:footnote>
  <w:footnote w:id="803">
    <w:p w14:paraId="5A5F4287" w14:textId="79A322F6"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77</w:t>
      </w:r>
    </w:p>
  </w:footnote>
  <w:footnote w:id="804">
    <w:p w14:paraId="13882451" w14:textId="07EEAD5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002C4B77">
        <w:rPr>
          <w:rFonts w:ascii="Times New Roman" w:hAnsi="Times New Roman" w:cs="Times New Roman"/>
          <w:i/>
          <w:iCs/>
        </w:rPr>
        <w:t>,</w:t>
      </w:r>
      <w:r w:rsidRPr="002318C9">
        <w:rPr>
          <w:rFonts w:ascii="Times New Roman" w:hAnsi="Times New Roman" w:cs="Times New Roman"/>
        </w:rPr>
        <w:t xml:space="preserve"> 101; House Committee for the District of Columbia, </w:t>
      </w:r>
      <w:r w:rsidRPr="002318C9">
        <w:rPr>
          <w:rFonts w:ascii="Times New Roman" w:hAnsi="Times New Roman" w:cs="Times New Roman"/>
          <w:i/>
          <w:iCs/>
        </w:rPr>
        <w:t>Affairs in the District of Columbia</w:t>
      </w:r>
      <w:r w:rsidRPr="002318C9">
        <w:rPr>
          <w:rFonts w:ascii="Times New Roman" w:hAnsi="Times New Roman" w:cs="Times New Roman"/>
        </w:rPr>
        <w:t>, 42</w:t>
      </w:r>
      <w:r w:rsidRPr="002318C9">
        <w:rPr>
          <w:rFonts w:ascii="Times New Roman" w:hAnsi="Times New Roman" w:cs="Times New Roman"/>
          <w:vertAlign w:val="superscript"/>
        </w:rPr>
        <w:t>nd</w:t>
      </w:r>
      <w:r w:rsidRPr="002318C9">
        <w:rPr>
          <w:rFonts w:ascii="Times New Roman" w:hAnsi="Times New Roman" w:cs="Times New Roman"/>
        </w:rPr>
        <w:t xml:space="preserve"> Cong, 2</w:t>
      </w:r>
      <w:r w:rsidRPr="002318C9">
        <w:rPr>
          <w:rFonts w:ascii="Times New Roman" w:hAnsi="Times New Roman" w:cs="Times New Roman"/>
          <w:vertAlign w:val="superscript"/>
        </w:rPr>
        <w:t>nd</w:t>
      </w:r>
      <w:r w:rsidRPr="002318C9">
        <w:rPr>
          <w:rFonts w:ascii="Times New Roman" w:hAnsi="Times New Roman" w:cs="Times New Roman"/>
        </w:rPr>
        <w:t xml:space="preserve"> sess, 1872, H. Rep. 72, p735 – will henceforth be referred to as 1872 Investigation</w:t>
      </w:r>
    </w:p>
  </w:footnote>
  <w:footnote w:id="805">
    <w:p w14:paraId="68E5E0C9" w14:textId="4EDD52A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002C4B77">
        <w:rPr>
          <w:rFonts w:ascii="Times New Roman" w:hAnsi="Times New Roman" w:cs="Times New Roman"/>
          <w:i/>
          <w:iCs/>
        </w:rPr>
        <w:t>,</w:t>
      </w:r>
      <w:r w:rsidRPr="002318C9">
        <w:rPr>
          <w:rFonts w:ascii="Times New Roman" w:hAnsi="Times New Roman" w:cs="Times New Roman"/>
        </w:rPr>
        <w:t xml:space="preserve"> 99-101</w:t>
      </w:r>
    </w:p>
  </w:footnote>
  <w:footnote w:id="806">
    <w:p w14:paraId="55ED630C" w14:textId="79D80AA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002C4B77">
        <w:rPr>
          <w:rFonts w:ascii="Times New Roman" w:hAnsi="Times New Roman" w:cs="Times New Roman"/>
          <w:i/>
          <w:iCs/>
        </w:rPr>
        <w:t>,</w:t>
      </w:r>
      <w:r w:rsidRPr="002318C9">
        <w:rPr>
          <w:rFonts w:ascii="Times New Roman" w:hAnsi="Times New Roman" w:cs="Times New Roman"/>
        </w:rPr>
        <w:t xml:space="preserve"> 133</w:t>
      </w:r>
    </w:p>
  </w:footnote>
  <w:footnote w:id="807">
    <w:p w14:paraId="0EFDB002" w14:textId="54C1230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002C4B77">
        <w:rPr>
          <w:rFonts w:ascii="Times New Roman" w:hAnsi="Times New Roman" w:cs="Times New Roman"/>
          <w:i/>
          <w:iCs/>
        </w:rPr>
        <w:t>,</w:t>
      </w:r>
      <w:r w:rsidRPr="002318C9">
        <w:rPr>
          <w:rFonts w:ascii="Times New Roman" w:hAnsi="Times New Roman" w:cs="Times New Roman"/>
        </w:rPr>
        <w:t xml:space="preserve"> 99</w:t>
      </w:r>
    </w:p>
  </w:footnote>
  <w:footnote w:id="808">
    <w:p w14:paraId="3555FEBD" w14:textId="31B992F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002C4B77">
        <w:rPr>
          <w:rFonts w:ascii="Times New Roman" w:hAnsi="Times New Roman" w:cs="Times New Roman"/>
          <w:i/>
          <w:iCs/>
        </w:rPr>
        <w:t>,</w:t>
      </w:r>
      <w:r w:rsidRPr="002318C9">
        <w:rPr>
          <w:rFonts w:ascii="Times New Roman" w:hAnsi="Times New Roman" w:cs="Times New Roman"/>
        </w:rPr>
        <w:t xml:space="preserve"> 99-101</w:t>
      </w:r>
    </w:p>
  </w:footnote>
  <w:footnote w:id="809">
    <w:p w14:paraId="3F1A7379" w14:textId="18BE5CF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Here, “parking” refers to the official term for improvement to public parks and areas that were established through public works projects.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002C4B77">
        <w:rPr>
          <w:rFonts w:ascii="Times New Roman" w:hAnsi="Times New Roman" w:cs="Times New Roman"/>
          <w:i/>
          <w:iCs/>
        </w:rPr>
        <w:t>,</w:t>
      </w:r>
      <w:r w:rsidRPr="002318C9">
        <w:rPr>
          <w:rFonts w:ascii="Times New Roman" w:hAnsi="Times New Roman" w:cs="Times New Roman"/>
        </w:rPr>
        <w:t xml:space="preserve"> 99-101</w:t>
      </w:r>
    </w:p>
  </w:footnote>
  <w:footnote w:id="810">
    <w:p w14:paraId="74CCC87D" w14:textId="2FCDA9D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002C4B77">
        <w:rPr>
          <w:rFonts w:ascii="Times New Roman" w:hAnsi="Times New Roman" w:cs="Times New Roman"/>
          <w:i/>
          <w:iCs/>
        </w:rPr>
        <w:t>,</w:t>
      </w:r>
      <w:r w:rsidRPr="002318C9">
        <w:rPr>
          <w:rFonts w:ascii="Times New Roman" w:hAnsi="Times New Roman" w:cs="Times New Roman"/>
        </w:rPr>
        <w:t xml:space="preserve"> 128-130</w:t>
      </w:r>
    </w:p>
  </w:footnote>
  <w:footnote w:id="811">
    <w:p w14:paraId="6F3453F3"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12">
    <w:p w14:paraId="45858AE3" w14:textId="715748B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002C4B77">
        <w:rPr>
          <w:rFonts w:ascii="Times New Roman" w:hAnsi="Times New Roman" w:cs="Times New Roman"/>
          <w:i/>
          <w:iCs/>
        </w:rPr>
        <w:t>,</w:t>
      </w:r>
      <w:r w:rsidRPr="002318C9">
        <w:rPr>
          <w:rFonts w:ascii="Times New Roman" w:hAnsi="Times New Roman" w:cs="Times New Roman"/>
        </w:rPr>
        <w:t xml:space="preserve"> 129-131</w:t>
      </w:r>
    </w:p>
  </w:footnote>
  <w:footnote w:id="813">
    <w:p w14:paraId="2F2DF8D0"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14">
    <w:p w14:paraId="11AF0EF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15">
    <w:p w14:paraId="03DD030E"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16">
    <w:p w14:paraId="50CAD8D9" w14:textId="5C01DC80"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4B77">
        <w:rPr>
          <w:rFonts w:ascii="Times New Roman" w:hAnsi="Times New Roman" w:cs="Times New Roman"/>
        </w:rPr>
        <w:t xml:space="preserve">John </w:t>
      </w:r>
      <w:r w:rsidRPr="002318C9">
        <w:rPr>
          <w:rFonts w:ascii="Times New Roman" w:hAnsi="Times New Roman" w:cs="Times New Roman"/>
        </w:rPr>
        <w:t>Richardson</w:t>
      </w:r>
      <w:r w:rsidR="002C4B77">
        <w:rPr>
          <w:rFonts w:ascii="Times New Roman" w:hAnsi="Times New Roman" w:cs="Times New Roman"/>
        </w:rPr>
        <w:t xml:space="preserve">, </w:t>
      </w:r>
      <w:r w:rsidR="002C4B77" w:rsidRPr="00727FF1">
        <w:rPr>
          <w:rFonts w:ascii="Times New Roman" w:hAnsi="Times New Roman" w:cs="Times New Roman"/>
          <w:i/>
          <w:iCs/>
        </w:rPr>
        <w:t>Alexander Robey Shepherd</w:t>
      </w:r>
      <w:r w:rsidR="002C4B77">
        <w:rPr>
          <w:rFonts w:ascii="Times New Roman" w:hAnsi="Times New Roman" w:cs="Times New Roman"/>
          <w:i/>
          <w:iCs/>
        </w:rPr>
        <w:t>,</w:t>
      </w:r>
      <w:r w:rsidRPr="002318C9">
        <w:rPr>
          <w:rFonts w:ascii="Times New Roman" w:hAnsi="Times New Roman" w:cs="Times New Roman"/>
        </w:rPr>
        <w:t xml:space="preserve"> 101-103</w:t>
      </w:r>
    </w:p>
  </w:footnote>
  <w:footnote w:id="817">
    <w:p w14:paraId="10EDCF7B" w14:textId="1122C4A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C4B77">
        <w:rPr>
          <w:rFonts w:ascii="Times New Roman" w:hAnsi="Times New Roman" w:cs="Times New Roman"/>
        </w:rPr>
        <w:t>Ibid</w:t>
      </w:r>
    </w:p>
  </w:footnote>
  <w:footnote w:id="818">
    <w:p w14:paraId="0E3D6293" w14:textId="5B61C612"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113-115</w:t>
      </w:r>
    </w:p>
  </w:footnote>
  <w:footnote w:id="819">
    <w:p w14:paraId="63FB606A"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20">
    <w:p w14:paraId="3DAEB97F" w14:textId="5036CF5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the reauctioning was discovered later during the 1874 congressional investigation into the BPW</w:t>
      </w:r>
      <w:r w:rsidR="004E6B9E">
        <w:rPr>
          <w:rFonts w:ascii="Times New Roman" w:hAnsi="Times New Roman" w:cs="Times New Roman"/>
        </w:rPr>
        <w:t>.</w:t>
      </w:r>
    </w:p>
  </w:footnote>
  <w:footnote w:id="821">
    <w:p w14:paraId="730F01B1" w14:textId="620CF61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122-128</w:t>
      </w:r>
    </w:p>
  </w:footnote>
  <w:footnote w:id="822">
    <w:p w14:paraId="21C0EB39" w14:textId="01FEC8E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122-128</w:t>
      </w:r>
    </w:p>
  </w:footnote>
  <w:footnote w:id="823">
    <w:p w14:paraId="010CB05E" w14:textId="05F62516"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103-108</w:t>
      </w:r>
    </w:p>
  </w:footnote>
  <w:footnote w:id="824">
    <w:p w14:paraId="5ED6C4A3" w14:textId="313EA28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103-108</w:t>
      </w:r>
    </w:p>
  </w:footnote>
  <w:footnote w:id="825">
    <w:p w14:paraId="70428DC9"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26">
    <w:p w14:paraId="444644E4" w14:textId="4690F6E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135-137</w:t>
      </w:r>
    </w:p>
  </w:footnote>
  <w:footnote w:id="827">
    <w:p w14:paraId="56CDB5D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28">
    <w:p w14:paraId="2CC50EB5" w14:textId="4CBAF34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 John Lubetkin, </w:t>
      </w:r>
      <w:r w:rsidRPr="002318C9">
        <w:rPr>
          <w:rFonts w:ascii="Times New Roman" w:hAnsi="Times New Roman" w:cs="Times New Roman"/>
          <w:i/>
          <w:iCs/>
        </w:rPr>
        <w:t>Jay Cooke’s Gamble: The Northern Pacific Railroad, the Sioux, and the Panic of 1873</w:t>
      </w:r>
      <w:r w:rsidRPr="002318C9">
        <w:rPr>
          <w:rFonts w:ascii="Times New Roman" w:hAnsi="Times New Roman" w:cs="Times New Roman"/>
        </w:rPr>
        <w:t xml:space="preserve">. Norman: University of Oklahoma Press, 2014; Nicolas </w:t>
      </w:r>
      <w:r w:rsidRPr="004E6B9E">
        <w:rPr>
          <w:rStyle w:val="HTMLCite"/>
          <w:rFonts w:ascii="Times New Roman" w:hAnsi="Times New Roman" w:cs="Times New Roman"/>
          <w:i w:val="0"/>
          <w:iCs w:val="0"/>
        </w:rPr>
        <w:t>Barreyre</w:t>
      </w:r>
      <w:r w:rsidRPr="002318C9">
        <w:rPr>
          <w:rStyle w:val="HTMLCite"/>
          <w:rFonts w:ascii="Times New Roman" w:hAnsi="Times New Roman" w:cs="Times New Roman"/>
        </w:rPr>
        <w:t>, "</w:t>
      </w:r>
      <w:r w:rsidRPr="009F159B">
        <w:rPr>
          <w:rStyle w:val="HTMLCite"/>
          <w:rFonts w:ascii="Times New Roman" w:hAnsi="Times New Roman" w:cs="Times New Roman"/>
          <w:i w:val="0"/>
          <w:iCs w:val="0"/>
        </w:rPr>
        <w:t>The Politics of Economic Crises: The Panic of 1873, the End of Reconstruction, and the Realignment of American Politics".</w:t>
      </w:r>
      <w:r w:rsidRPr="002318C9">
        <w:rPr>
          <w:rStyle w:val="HTMLCite"/>
          <w:rFonts w:ascii="Times New Roman" w:hAnsi="Times New Roman" w:cs="Times New Roman"/>
        </w:rPr>
        <w:t xml:space="preserve"> Journal of the Gilded Age and Progressive Era</w:t>
      </w:r>
      <w:r w:rsidRPr="004E6B9E">
        <w:rPr>
          <w:rStyle w:val="HTMLCite"/>
          <w:rFonts w:ascii="Times New Roman" w:hAnsi="Times New Roman" w:cs="Times New Roman"/>
          <w:i w:val="0"/>
          <w:iCs w:val="0"/>
        </w:rPr>
        <w:t>.</w:t>
      </w:r>
      <w:r w:rsidR="003D5FA1">
        <w:rPr>
          <w:rStyle w:val="HTMLCite"/>
          <w:rFonts w:ascii="Times New Roman" w:hAnsi="Times New Roman" w:cs="Times New Roman"/>
          <w:i w:val="0"/>
          <w:iCs w:val="0"/>
        </w:rPr>
        <w:t xml:space="preserve"> </w:t>
      </w:r>
      <w:r w:rsidRPr="004E6B9E">
        <w:rPr>
          <w:rStyle w:val="HTMLCite"/>
          <w:rFonts w:ascii="Times New Roman" w:hAnsi="Times New Roman" w:cs="Times New Roman"/>
          <w:i w:val="0"/>
          <w:iCs w:val="0"/>
        </w:rPr>
        <w:t>10</w:t>
      </w:r>
      <w:r w:rsidR="003D5FA1">
        <w:rPr>
          <w:rStyle w:val="HTMLCite"/>
          <w:rFonts w:ascii="Times New Roman" w:hAnsi="Times New Roman" w:cs="Times New Roman"/>
          <w:i w:val="0"/>
          <w:iCs w:val="0"/>
        </w:rPr>
        <w:t>.4</w:t>
      </w:r>
      <w:r w:rsidRPr="004E6B9E">
        <w:rPr>
          <w:rStyle w:val="HTMLCite"/>
          <w:rFonts w:ascii="Times New Roman" w:hAnsi="Times New Roman" w:cs="Times New Roman"/>
          <w:i w:val="0"/>
          <w:iCs w:val="0"/>
        </w:rPr>
        <w:t xml:space="preserve"> (</w:t>
      </w:r>
      <w:r w:rsidR="003D5FA1">
        <w:rPr>
          <w:rStyle w:val="HTMLCite"/>
          <w:rFonts w:ascii="Times New Roman" w:hAnsi="Times New Roman" w:cs="Times New Roman"/>
          <w:i w:val="0"/>
          <w:iCs w:val="0"/>
        </w:rPr>
        <w:t>2011</w:t>
      </w:r>
      <w:r w:rsidRPr="004E6B9E">
        <w:rPr>
          <w:rStyle w:val="HTMLCite"/>
          <w:rFonts w:ascii="Times New Roman" w:hAnsi="Times New Roman" w:cs="Times New Roman"/>
          <w:i w:val="0"/>
          <w:iCs w:val="0"/>
        </w:rPr>
        <w:t>): 403–423</w:t>
      </w:r>
      <w:r w:rsidRPr="002318C9">
        <w:rPr>
          <w:rStyle w:val="HTMLCite"/>
          <w:rFonts w:ascii="Times New Roman" w:hAnsi="Times New Roman" w:cs="Times New Roman"/>
        </w:rPr>
        <w:t>.</w:t>
      </w:r>
    </w:p>
  </w:footnote>
  <w:footnote w:id="829">
    <w:p w14:paraId="1ED2124B" w14:textId="38EE4E6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138-144</w:t>
      </w:r>
    </w:p>
  </w:footnote>
  <w:footnote w:id="830">
    <w:p w14:paraId="7C14873B" w14:textId="2F64CD7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119; 1872 Investigation, xxi</w:t>
      </w:r>
    </w:p>
  </w:footnote>
  <w:footnote w:id="831">
    <w:p w14:paraId="3A94E748" w14:textId="37E7839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110; 1872 Investigation, 364-368</w:t>
      </w:r>
    </w:p>
  </w:footnote>
  <w:footnote w:id="832">
    <w:p w14:paraId="7D7990F1" w14:textId="3FE65EC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123-124; 1872 Investigation iv-xiii</w:t>
      </w:r>
    </w:p>
  </w:footnote>
  <w:footnote w:id="833">
    <w:p w14:paraId="3BBA5AF2" w14:textId="69EE7D8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144-</w:t>
      </w:r>
      <w:r w:rsidR="00ED0313">
        <w:rPr>
          <w:rFonts w:ascii="Times New Roman" w:hAnsi="Times New Roman" w:cs="Times New Roman"/>
        </w:rPr>
        <w:t>14</w:t>
      </w:r>
      <w:r w:rsidRPr="002318C9">
        <w:rPr>
          <w:rFonts w:ascii="Times New Roman" w:hAnsi="Times New Roman" w:cs="Times New Roman"/>
        </w:rPr>
        <w:t>5</w:t>
      </w:r>
    </w:p>
  </w:footnote>
  <w:footnote w:id="834">
    <w:p w14:paraId="773FD73E" w14:textId="673D7FA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149; 1872 Investigation</w:t>
      </w:r>
    </w:p>
  </w:footnote>
  <w:footnote w:id="835">
    <w:p w14:paraId="673163DA" w14:textId="2721514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152-3; </w:t>
      </w:r>
      <w:r w:rsidRPr="002318C9">
        <w:rPr>
          <w:rFonts w:ascii="Times New Roman" w:hAnsi="Times New Roman" w:cs="Times New Roman"/>
          <w:i/>
          <w:iCs/>
        </w:rPr>
        <w:t>Evening Star</w:t>
      </w:r>
      <w:r w:rsidRPr="002318C9">
        <w:rPr>
          <w:rFonts w:ascii="Times New Roman" w:hAnsi="Times New Roman" w:cs="Times New Roman"/>
        </w:rPr>
        <w:t xml:space="preserve"> July 15, 1874</w:t>
      </w:r>
    </w:p>
  </w:footnote>
  <w:footnote w:id="836">
    <w:p w14:paraId="6CD0859F" w14:textId="4481602C"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157</w:t>
      </w:r>
    </w:p>
  </w:footnote>
  <w:footnote w:id="837">
    <w:p w14:paraId="16A32664" w14:textId="7649DB9A" w:rsidR="002D394D" w:rsidRPr="005A0F3A" w:rsidRDefault="002D394D" w:rsidP="002D394D">
      <w:pPr>
        <w:pStyle w:val="FootnoteText"/>
        <w:rPr>
          <w:rFonts w:ascii="Times New Roman" w:hAnsi="Times New Roman" w:cs="Times New Roman"/>
          <w:sz w:val="16"/>
          <w:szCs w:val="16"/>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Pr="002318C9">
        <w:rPr>
          <w:rFonts w:ascii="Times New Roman" w:hAnsi="Times New Roman" w:cs="Times New Roman"/>
        </w:rPr>
        <w:t>; Maury</w:t>
      </w:r>
      <w:r w:rsidR="005A0F3A">
        <w:rPr>
          <w:rFonts w:ascii="Times New Roman" w:hAnsi="Times New Roman" w:cs="Times New Roman"/>
        </w:rPr>
        <w:t xml:space="preserve">, </w:t>
      </w:r>
      <w:r w:rsidR="005A0F3A" w:rsidRPr="005A0F3A">
        <w:rPr>
          <w:rFonts w:ascii="Times New Roman" w:hAnsi="Times New Roman" w:cs="Times New Roman"/>
          <w:i/>
          <w:iCs/>
          <w:szCs w:val="16"/>
        </w:rPr>
        <w:t>“Boss” Shepherd and the Board of Public Works</w:t>
      </w:r>
    </w:p>
  </w:footnote>
  <w:footnote w:id="838">
    <w:p w14:paraId="0C048719" w14:textId="6E6B5DC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150-1; The territorial legislature, which was led at this point by speaker of the assembly Arthur Shepherd, a journalist by trade and Alexander Robey Shepherd’s brother, was gaveled to a close two months after Congress cancelled the government. In the wake of this closure, members of the legislature absconded with furniture and furnishings of the chamber. This legislature became known as the “feather-duster legislature,” named as such because one member allegedly stuffed a feather duster down his trousers to make off with it.</w:t>
      </w:r>
    </w:p>
  </w:footnote>
  <w:footnote w:id="839">
    <w:p w14:paraId="24BF8979" w14:textId="444B93A8" w:rsidR="002D394D" w:rsidRPr="005A0F3A" w:rsidRDefault="002D394D" w:rsidP="002D394D">
      <w:pPr>
        <w:pStyle w:val="FootnoteText"/>
        <w:rPr>
          <w:rFonts w:ascii="Times New Roman" w:hAnsi="Times New Roman" w:cs="Times New Roman"/>
          <w:sz w:val="16"/>
          <w:szCs w:val="16"/>
        </w:rPr>
      </w:pPr>
      <w:r w:rsidRPr="002318C9">
        <w:rPr>
          <w:rStyle w:val="FootnoteReference"/>
          <w:rFonts w:ascii="Times New Roman" w:hAnsi="Times New Roman" w:cs="Times New Roman"/>
        </w:rPr>
        <w:footnoteRef/>
      </w:r>
      <w:r w:rsidR="00ED0313">
        <w:rPr>
          <w:rFonts w:ascii="Times New Roman" w:hAnsi="Times New Roman" w:cs="Times New Roman"/>
        </w:rPr>
        <w:t xml:space="preserve"> John</w:t>
      </w:r>
      <w:r w:rsidRPr="002318C9">
        <w:rPr>
          <w:rFonts w:ascii="Times New Roman" w:hAnsi="Times New Roman" w:cs="Times New Roman"/>
        </w:rPr>
        <w:t xml:space="preserve"> 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157-160; Maury</w:t>
      </w:r>
      <w:r w:rsidR="005A0F3A">
        <w:rPr>
          <w:rFonts w:ascii="Times New Roman" w:hAnsi="Times New Roman" w:cs="Times New Roman"/>
        </w:rPr>
        <w:t xml:space="preserve">, </w:t>
      </w:r>
      <w:r w:rsidR="005A0F3A" w:rsidRPr="005A0F3A">
        <w:rPr>
          <w:rFonts w:ascii="Times New Roman" w:hAnsi="Times New Roman" w:cs="Times New Roman"/>
          <w:i/>
          <w:iCs/>
          <w:szCs w:val="16"/>
        </w:rPr>
        <w:t>“Boss” Shepherd and the Board of Public Works</w:t>
      </w:r>
      <w:r w:rsidR="005A0F3A">
        <w:rPr>
          <w:rFonts w:ascii="Times New Roman" w:hAnsi="Times New Roman" w:cs="Times New Roman"/>
          <w:sz w:val="16"/>
          <w:szCs w:val="16"/>
        </w:rPr>
        <w:t>,</w:t>
      </w:r>
      <w:r w:rsidRPr="002318C9">
        <w:rPr>
          <w:rFonts w:ascii="Times New Roman" w:hAnsi="Times New Roman" w:cs="Times New Roman"/>
        </w:rPr>
        <w:t xml:space="preserve"> 56-70; while some attempts at home rule in the District of Columbia were attempted, this commissioner government lasted until 1967. For more, consider Abbott</w:t>
      </w:r>
      <w:r w:rsidR="00574874">
        <w:rPr>
          <w:rFonts w:ascii="Times New Roman" w:hAnsi="Times New Roman" w:cs="Times New Roman"/>
        </w:rPr>
        <w:t xml:space="preserve">, </w:t>
      </w:r>
      <w:r w:rsidR="00574874">
        <w:rPr>
          <w:rFonts w:ascii="Times New Roman" w:hAnsi="Times New Roman" w:cs="Times New Roman"/>
          <w:i/>
          <w:iCs/>
        </w:rPr>
        <w:t>Political Terrain</w:t>
      </w:r>
      <w:r w:rsidRPr="002318C9">
        <w:rPr>
          <w:rFonts w:ascii="Times New Roman" w:hAnsi="Times New Roman" w:cs="Times New Roman"/>
        </w:rPr>
        <w:t xml:space="preserve">; </w:t>
      </w:r>
      <w:r w:rsidR="00574874">
        <w:rPr>
          <w:rFonts w:ascii="Times New Roman" w:hAnsi="Times New Roman" w:cs="Times New Roman"/>
        </w:rPr>
        <w:t xml:space="preserve">Tom </w:t>
      </w:r>
      <w:r w:rsidRPr="002318C9">
        <w:rPr>
          <w:rFonts w:ascii="Times New Roman" w:hAnsi="Times New Roman" w:cs="Times New Roman"/>
        </w:rPr>
        <w:t>Lewis</w:t>
      </w:r>
      <w:r w:rsidR="00574874">
        <w:rPr>
          <w:rFonts w:ascii="Times New Roman" w:hAnsi="Times New Roman" w:cs="Times New Roman"/>
        </w:rPr>
        <w:t xml:space="preserve">, </w:t>
      </w:r>
      <w:r w:rsidR="00574874">
        <w:rPr>
          <w:rFonts w:ascii="Times New Roman" w:hAnsi="Times New Roman" w:cs="Times New Roman"/>
          <w:i/>
          <w:iCs/>
        </w:rPr>
        <w:t>Washington</w:t>
      </w:r>
      <w:r w:rsidRPr="002318C9">
        <w:rPr>
          <w:rFonts w:ascii="Times New Roman" w:hAnsi="Times New Roman" w:cs="Times New Roman"/>
        </w:rPr>
        <w:t xml:space="preserve">; Charles Wesley Harris, </w:t>
      </w:r>
      <w:r w:rsidRPr="002318C9">
        <w:rPr>
          <w:rFonts w:ascii="Times New Roman" w:hAnsi="Times New Roman" w:cs="Times New Roman"/>
          <w:i/>
          <w:iCs/>
        </w:rPr>
        <w:t xml:space="preserve">Congress and the Governance of the Nation’s Capital: The Conflict of Federal and Local Interests. </w:t>
      </w:r>
      <w:r w:rsidRPr="002318C9">
        <w:rPr>
          <w:rFonts w:ascii="Times New Roman" w:hAnsi="Times New Roman" w:cs="Times New Roman"/>
        </w:rPr>
        <w:t>Washington, D.C: Georgetown University Press, 1995.</w:t>
      </w:r>
    </w:p>
  </w:footnote>
  <w:footnote w:id="840">
    <w:p w14:paraId="6309B40E" w14:textId="4E13B9A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149-161</w:t>
      </w:r>
    </w:p>
  </w:footnote>
  <w:footnote w:id="841">
    <w:p w14:paraId="064D79C5" w14:textId="75ED0D33" w:rsidR="002D394D" w:rsidRPr="005A0F3A" w:rsidRDefault="002D394D" w:rsidP="002D394D">
      <w:pPr>
        <w:pStyle w:val="FootnoteText"/>
        <w:rPr>
          <w:rFonts w:ascii="Times New Roman" w:hAnsi="Times New Roman" w:cs="Times New Roman"/>
          <w:sz w:val="16"/>
          <w:szCs w:val="16"/>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149-157; Maury</w:t>
      </w:r>
      <w:r w:rsidR="005A0F3A">
        <w:rPr>
          <w:rFonts w:ascii="Times New Roman" w:hAnsi="Times New Roman" w:cs="Times New Roman"/>
        </w:rPr>
        <w:t xml:space="preserve">, </w:t>
      </w:r>
      <w:r w:rsidR="005A0F3A" w:rsidRPr="005A0F3A">
        <w:rPr>
          <w:rFonts w:ascii="Times New Roman" w:hAnsi="Times New Roman" w:cs="Times New Roman"/>
          <w:i/>
          <w:iCs/>
          <w:szCs w:val="16"/>
        </w:rPr>
        <w:t>“Boss” Shepherd and the Board of Public Works</w:t>
      </w:r>
      <w:r w:rsidR="005A0F3A">
        <w:rPr>
          <w:rFonts w:ascii="Times New Roman" w:hAnsi="Times New Roman" w:cs="Times New Roman"/>
          <w:sz w:val="16"/>
          <w:szCs w:val="16"/>
        </w:rPr>
        <w:t xml:space="preserve">, </w:t>
      </w:r>
      <w:r w:rsidRPr="002318C9">
        <w:rPr>
          <w:rFonts w:ascii="Times New Roman" w:hAnsi="Times New Roman" w:cs="Times New Roman"/>
        </w:rPr>
        <w:t>27-29; John Potts to O</w:t>
      </w:r>
      <w:r w:rsidR="00574874">
        <w:rPr>
          <w:rFonts w:ascii="Times New Roman" w:hAnsi="Times New Roman" w:cs="Times New Roman"/>
        </w:rPr>
        <w:t xml:space="preserve">rville </w:t>
      </w:r>
      <w:r w:rsidRPr="002318C9">
        <w:rPr>
          <w:rFonts w:ascii="Times New Roman" w:hAnsi="Times New Roman" w:cs="Times New Roman"/>
        </w:rPr>
        <w:t>B</w:t>
      </w:r>
      <w:r w:rsidR="00574874">
        <w:rPr>
          <w:rFonts w:ascii="Times New Roman" w:hAnsi="Times New Roman" w:cs="Times New Roman"/>
        </w:rPr>
        <w:t>abcock</w:t>
      </w:r>
      <w:r w:rsidRPr="002318C9">
        <w:rPr>
          <w:rFonts w:ascii="Times New Roman" w:hAnsi="Times New Roman" w:cs="Times New Roman"/>
        </w:rPr>
        <w:t>, September 8, 1871, Ulysses S Grant Unpublished Correspondence, Ulysses S. Grant Presidential Library; O</w:t>
      </w:r>
      <w:r w:rsidR="00574874">
        <w:rPr>
          <w:rFonts w:ascii="Times New Roman" w:hAnsi="Times New Roman" w:cs="Times New Roman"/>
        </w:rPr>
        <w:t xml:space="preserve">rville </w:t>
      </w:r>
      <w:r w:rsidRPr="002318C9">
        <w:rPr>
          <w:rFonts w:ascii="Times New Roman" w:hAnsi="Times New Roman" w:cs="Times New Roman"/>
        </w:rPr>
        <w:t>B</w:t>
      </w:r>
      <w:r w:rsidR="00574874">
        <w:rPr>
          <w:rFonts w:ascii="Times New Roman" w:hAnsi="Times New Roman" w:cs="Times New Roman"/>
        </w:rPr>
        <w:t>abcock</w:t>
      </w:r>
      <w:r w:rsidRPr="002318C9">
        <w:rPr>
          <w:rFonts w:ascii="Times New Roman" w:hAnsi="Times New Roman" w:cs="Times New Roman"/>
        </w:rPr>
        <w:t xml:space="preserve"> to A</w:t>
      </w:r>
      <w:r w:rsidR="00574874">
        <w:rPr>
          <w:rFonts w:ascii="Times New Roman" w:hAnsi="Times New Roman" w:cs="Times New Roman"/>
        </w:rPr>
        <w:t xml:space="preserve">lexander </w:t>
      </w:r>
      <w:r w:rsidRPr="002318C9">
        <w:rPr>
          <w:rFonts w:ascii="Times New Roman" w:hAnsi="Times New Roman" w:cs="Times New Roman"/>
        </w:rPr>
        <w:t>R</w:t>
      </w:r>
      <w:r w:rsidR="00574874">
        <w:rPr>
          <w:rFonts w:ascii="Times New Roman" w:hAnsi="Times New Roman" w:cs="Times New Roman"/>
        </w:rPr>
        <w:t>obey</w:t>
      </w:r>
      <w:r w:rsidRPr="002318C9">
        <w:rPr>
          <w:rFonts w:ascii="Times New Roman" w:hAnsi="Times New Roman" w:cs="Times New Roman"/>
        </w:rPr>
        <w:t xml:space="preserve"> Shepherd, November 25, 1871, Ulysses S Grant Unpublished Correspondence, Ulysses S. Grant Presidential Library; O</w:t>
      </w:r>
      <w:r w:rsidR="00574874">
        <w:rPr>
          <w:rFonts w:ascii="Times New Roman" w:hAnsi="Times New Roman" w:cs="Times New Roman"/>
        </w:rPr>
        <w:t xml:space="preserve">rville </w:t>
      </w:r>
      <w:r w:rsidRPr="002318C9">
        <w:rPr>
          <w:rFonts w:ascii="Times New Roman" w:hAnsi="Times New Roman" w:cs="Times New Roman"/>
        </w:rPr>
        <w:t>B</w:t>
      </w:r>
      <w:r w:rsidR="00574874">
        <w:rPr>
          <w:rFonts w:ascii="Times New Roman" w:hAnsi="Times New Roman" w:cs="Times New Roman"/>
        </w:rPr>
        <w:t>abcock</w:t>
      </w:r>
      <w:r w:rsidRPr="002318C9">
        <w:rPr>
          <w:rFonts w:ascii="Times New Roman" w:hAnsi="Times New Roman" w:cs="Times New Roman"/>
        </w:rPr>
        <w:t xml:space="preserve"> to James A Joyce, July 9, 1872, Ulysses S Grant Unpublished Correspondence, Ulysses S. Grant Presidential Library; O</w:t>
      </w:r>
      <w:r w:rsidR="00574874">
        <w:rPr>
          <w:rFonts w:ascii="Times New Roman" w:hAnsi="Times New Roman" w:cs="Times New Roman"/>
        </w:rPr>
        <w:t xml:space="preserve">rville </w:t>
      </w:r>
      <w:r w:rsidRPr="002318C9">
        <w:rPr>
          <w:rFonts w:ascii="Times New Roman" w:hAnsi="Times New Roman" w:cs="Times New Roman"/>
        </w:rPr>
        <w:t>B</w:t>
      </w:r>
      <w:r w:rsidR="00574874">
        <w:rPr>
          <w:rFonts w:ascii="Times New Roman" w:hAnsi="Times New Roman" w:cs="Times New Roman"/>
        </w:rPr>
        <w:t>abcock</w:t>
      </w:r>
      <w:r w:rsidRPr="002318C9">
        <w:rPr>
          <w:rFonts w:ascii="Times New Roman" w:hAnsi="Times New Roman" w:cs="Times New Roman"/>
        </w:rPr>
        <w:t xml:space="preserve"> to AM Clapp, November 12, 1872, Ulysses S Grant Unpublished Correspondence, Ulysses S. Grant Presidential Library; O</w:t>
      </w:r>
      <w:r w:rsidR="00574874">
        <w:rPr>
          <w:rFonts w:ascii="Times New Roman" w:hAnsi="Times New Roman" w:cs="Times New Roman"/>
        </w:rPr>
        <w:t xml:space="preserve">rville </w:t>
      </w:r>
      <w:r w:rsidRPr="002318C9">
        <w:rPr>
          <w:rFonts w:ascii="Times New Roman" w:hAnsi="Times New Roman" w:cs="Times New Roman"/>
        </w:rPr>
        <w:t>B</w:t>
      </w:r>
      <w:r w:rsidR="00574874">
        <w:rPr>
          <w:rFonts w:ascii="Times New Roman" w:hAnsi="Times New Roman" w:cs="Times New Roman"/>
        </w:rPr>
        <w:t>abcock</w:t>
      </w:r>
      <w:r w:rsidRPr="002318C9">
        <w:rPr>
          <w:rFonts w:ascii="Times New Roman" w:hAnsi="Times New Roman" w:cs="Times New Roman"/>
        </w:rPr>
        <w:t xml:space="preserve"> to A</w:t>
      </w:r>
      <w:r w:rsidR="00574874">
        <w:rPr>
          <w:rFonts w:ascii="Times New Roman" w:hAnsi="Times New Roman" w:cs="Times New Roman"/>
        </w:rPr>
        <w:t xml:space="preserve">lexander </w:t>
      </w:r>
      <w:r w:rsidRPr="002318C9">
        <w:rPr>
          <w:rFonts w:ascii="Times New Roman" w:hAnsi="Times New Roman" w:cs="Times New Roman"/>
        </w:rPr>
        <w:t>R</w:t>
      </w:r>
      <w:r w:rsidR="00574874">
        <w:rPr>
          <w:rFonts w:ascii="Times New Roman" w:hAnsi="Times New Roman" w:cs="Times New Roman"/>
        </w:rPr>
        <w:t>obey</w:t>
      </w:r>
      <w:r w:rsidRPr="002318C9">
        <w:rPr>
          <w:rFonts w:ascii="Times New Roman" w:hAnsi="Times New Roman" w:cs="Times New Roman"/>
        </w:rPr>
        <w:t xml:space="preserve"> Shepherd, June 3, 1873, Ulysses S Grant Unpublished Correspondence, Ulysses S. Grant Presidential Library</w:t>
      </w:r>
    </w:p>
  </w:footnote>
  <w:footnote w:id="842">
    <w:p w14:paraId="654537A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D.C.), 23 March 1874; Henry E. Davis, "The Safe Burglary Case: An Episode and a Factor in the District's Development." </w:t>
      </w:r>
      <w:r w:rsidRPr="002318C9">
        <w:rPr>
          <w:rFonts w:ascii="Times New Roman" w:hAnsi="Times New Roman" w:cs="Times New Roman"/>
          <w:i/>
          <w:iCs/>
        </w:rPr>
        <w:t>Records of the Columbia Historical Society, Washington, D.C</w:t>
      </w:r>
      <w:r w:rsidRPr="002318C9">
        <w:rPr>
          <w:rFonts w:ascii="Times New Roman" w:hAnsi="Times New Roman" w:cs="Times New Roman"/>
        </w:rPr>
        <w:t xml:space="preserve">. 25 (1923): 149; </w:t>
      </w:r>
      <w:bookmarkStart w:id="46" w:name="_Hlk70687261"/>
      <w:r w:rsidRPr="002318C9">
        <w:rPr>
          <w:rFonts w:ascii="Times New Roman" w:hAnsi="Times New Roman" w:cs="Times New Roman"/>
        </w:rPr>
        <w:t xml:space="preserve">"The Safe Burglary." </w:t>
      </w:r>
      <w:r w:rsidRPr="002318C9">
        <w:rPr>
          <w:rFonts w:ascii="Times New Roman" w:hAnsi="Times New Roman" w:cs="Times New Roman"/>
          <w:i/>
          <w:iCs/>
        </w:rPr>
        <w:t>Mariposa Gazette</w:t>
      </w:r>
      <w:r w:rsidRPr="002318C9">
        <w:rPr>
          <w:rFonts w:ascii="Times New Roman" w:hAnsi="Times New Roman" w:cs="Times New Roman"/>
        </w:rPr>
        <w:t xml:space="preserve"> (Mariposa, CA), April 29, 1876</w:t>
      </w:r>
      <w:bookmarkEnd w:id="46"/>
      <w:r w:rsidRPr="002318C9">
        <w:rPr>
          <w:rFonts w:ascii="Times New Roman" w:hAnsi="Times New Roman" w:cs="Times New Roman"/>
        </w:rPr>
        <w:t>.</w:t>
      </w:r>
    </w:p>
  </w:footnote>
  <w:footnote w:id="843">
    <w:p w14:paraId="2B741D1E" w14:textId="2E7AD3B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76</w:t>
      </w:r>
    </w:p>
  </w:footnote>
  <w:footnote w:id="844">
    <w:p w14:paraId="208DC485" w14:textId="2BCBCE72"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76; </w:t>
      </w:r>
      <w:r w:rsidRPr="002318C9">
        <w:rPr>
          <w:rFonts w:ascii="Times New Roman" w:hAnsi="Times New Roman" w:cs="Times New Roman"/>
          <w:i/>
          <w:iCs/>
        </w:rPr>
        <w:t>Report of the Chief of Engineers</w:t>
      </w:r>
      <w:r w:rsidRPr="002318C9">
        <w:rPr>
          <w:rFonts w:ascii="Times New Roman" w:hAnsi="Times New Roman" w:cs="Times New Roman"/>
        </w:rPr>
        <w:t xml:space="preserve"> (will henceforth be referred to as Chief of Engineers Report),42</w:t>
      </w:r>
      <w:r w:rsidRPr="002318C9">
        <w:rPr>
          <w:rFonts w:ascii="Times New Roman" w:hAnsi="Times New Roman" w:cs="Times New Roman"/>
          <w:vertAlign w:val="superscript"/>
        </w:rPr>
        <w:t>nd</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 H. Exdoc. 1 (1871), p969; O</w:t>
      </w:r>
      <w:r w:rsidR="00C34182">
        <w:rPr>
          <w:rFonts w:ascii="Times New Roman" w:hAnsi="Times New Roman" w:cs="Times New Roman"/>
        </w:rPr>
        <w:t xml:space="preserve">rville </w:t>
      </w:r>
      <w:r w:rsidRPr="002318C9">
        <w:rPr>
          <w:rFonts w:ascii="Times New Roman" w:hAnsi="Times New Roman" w:cs="Times New Roman"/>
        </w:rPr>
        <w:t>B</w:t>
      </w:r>
      <w:r w:rsidR="00C34182">
        <w:rPr>
          <w:rFonts w:ascii="Times New Roman" w:hAnsi="Times New Roman" w:cs="Times New Roman"/>
        </w:rPr>
        <w:t>abcock</w:t>
      </w:r>
      <w:r w:rsidRPr="002318C9">
        <w:rPr>
          <w:rFonts w:ascii="Times New Roman" w:hAnsi="Times New Roman" w:cs="Times New Roman"/>
        </w:rPr>
        <w:t xml:space="preserve"> recommends William Barry, October 1, 1873, Ulysses S Grant Unpublished Correspondence, Ulysses S. Grant Presidential Library</w:t>
      </w:r>
    </w:p>
  </w:footnote>
  <w:footnote w:id="845">
    <w:p w14:paraId="79B8D3C4" w14:textId="1EAF5F6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76</w:t>
      </w:r>
    </w:p>
  </w:footnote>
  <w:footnote w:id="846">
    <w:p w14:paraId="42A101E9" w14:textId="3B60317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6422E">
        <w:rPr>
          <w:rFonts w:ascii="Times New Roman" w:hAnsi="Times New Roman" w:cs="Times New Roman"/>
        </w:rPr>
        <w:t xml:space="preserve">Pamela </w:t>
      </w:r>
      <w:r w:rsidRPr="002318C9">
        <w:rPr>
          <w:rFonts w:ascii="Times New Roman" w:hAnsi="Times New Roman" w:cs="Times New Roman"/>
        </w:rPr>
        <w:t>Scott</w:t>
      </w:r>
      <w:r w:rsidR="00E6422E">
        <w:rPr>
          <w:rFonts w:ascii="Times New Roman" w:hAnsi="Times New Roman" w:cs="Times New Roman"/>
        </w:rPr>
        <w:t xml:space="preserve">, </w:t>
      </w:r>
      <w:r w:rsidR="00E6422E" w:rsidRPr="002318C9">
        <w:rPr>
          <w:rFonts w:ascii="Times New Roman" w:hAnsi="Times New Roman" w:cs="Times New Roman"/>
          <w:i/>
          <w:iCs/>
        </w:rPr>
        <w:t>Capital Engineers</w:t>
      </w:r>
      <w:r w:rsidR="00E6422E">
        <w:rPr>
          <w:rFonts w:ascii="Times New Roman" w:hAnsi="Times New Roman" w:cs="Times New Roman"/>
          <w:i/>
          <w:iCs/>
        </w:rPr>
        <w:t>,</w:t>
      </w:r>
      <w:r w:rsidRPr="002318C9">
        <w:rPr>
          <w:rFonts w:ascii="Times New Roman" w:hAnsi="Times New Roman" w:cs="Times New Roman"/>
        </w:rPr>
        <w:t xml:space="preserve"> 76; Chief of Engineers Report, 59</w:t>
      </w:r>
      <w:r w:rsidRPr="002318C9">
        <w:rPr>
          <w:rFonts w:ascii="Times New Roman" w:hAnsi="Times New Roman" w:cs="Times New Roman"/>
          <w:vertAlign w:val="superscript"/>
        </w:rPr>
        <w:t>th</w:t>
      </w:r>
      <w:r w:rsidRPr="002318C9">
        <w:rPr>
          <w:rFonts w:ascii="Times New Roman" w:hAnsi="Times New Roman" w:cs="Times New Roman"/>
        </w:rPr>
        <w:t xml:space="preserve"> Congress, 1</w:t>
      </w:r>
      <w:r w:rsidRPr="002318C9">
        <w:rPr>
          <w:rFonts w:ascii="Times New Roman" w:hAnsi="Times New Roman" w:cs="Times New Roman"/>
          <w:vertAlign w:val="superscript"/>
        </w:rPr>
        <w:t>st</w:t>
      </w:r>
      <w:r w:rsidRPr="002318C9">
        <w:rPr>
          <w:rFonts w:ascii="Times New Roman" w:hAnsi="Times New Roman" w:cs="Times New Roman"/>
        </w:rPr>
        <w:t xml:space="preserve"> sess, H. Doc 2 (1905), p2653-2654</w:t>
      </w:r>
    </w:p>
  </w:footnote>
  <w:footnote w:id="847">
    <w:p w14:paraId="35D31D4A" w14:textId="6FCDBFD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Pr="002318C9">
        <w:rPr>
          <w:rFonts w:ascii="Times New Roman" w:hAnsi="Times New Roman" w:cs="Times New Roman"/>
        </w:rPr>
        <w:t xml:space="preserve"> 77; Chief of Engineers Report, 1871, </w:t>
      </w:r>
      <w:r w:rsidR="00C34182">
        <w:rPr>
          <w:rFonts w:ascii="Times New Roman" w:hAnsi="Times New Roman" w:cs="Times New Roman"/>
        </w:rPr>
        <w:t>p</w:t>
      </w:r>
      <w:r w:rsidRPr="002318C9">
        <w:rPr>
          <w:rFonts w:ascii="Times New Roman" w:hAnsi="Times New Roman" w:cs="Times New Roman"/>
        </w:rPr>
        <w:t>969</w:t>
      </w:r>
    </w:p>
  </w:footnote>
  <w:footnote w:id="848">
    <w:p w14:paraId="7F176AF5" w14:textId="2B45C08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77; Chief of Engineers Report, 44</w:t>
      </w:r>
      <w:r w:rsidRPr="002318C9">
        <w:rPr>
          <w:rFonts w:ascii="Times New Roman" w:hAnsi="Times New Roman" w:cs="Times New Roman"/>
          <w:vertAlign w:val="superscript"/>
        </w:rPr>
        <w:t>th</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 H. Exdoc. 1 (1876), p 683-684; Chief of Engineers Report, 45</w:t>
      </w:r>
      <w:r w:rsidRPr="002318C9">
        <w:rPr>
          <w:rFonts w:ascii="Times New Roman" w:hAnsi="Times New Roman" w:cs="Times New Roman"/>
          <w:vertAlign w:val="superscript"/>
        </w:rPr>
        <w:t>th</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 H. Exdoc. 1 (1877), p1065  </w:t>
      </w:r>
    </w:p>
  </w:footnote>
  <w:footnote w:id="849">
    <w:p w14:paraId="406F395B" w14:textId="6409F2E6"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77; Chief of Engineers Reports, 1871</w:t>
      </w:r>
      <w:r w:rsidR="00C34182">
        <w:rPr>
          <w:rFonts w:ascii="Times New Roman" w:hAnsi="Times New Roman" w:cs="Times New Roman"/>
        </w:rPr>
        <w:t>, p</w:t>
      </w:r>
      <w:r w:rsidRPr="002318C9">
        <w:rPr>
          <w:rFonts w:ascii="Times New Roman" w:hAnsi="Times New Roman" w:cs="Times New Roman"/>
        </w:rPr>
        <w:t>1925</w:t>
      </w:r>
    </w:p>
  </w:footnote>
  <w:footnote w:id="850">
    <w:p w14:paraId="05F837BF"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51">
    <w:p w14:paraId="1E7F4C24" w14:textId="68CE395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75</w:t>
      </w:r>
    </w:p>
  </w:footnote>
  <w:footnote w:id="852">
    <w:p w14:paraId="1498CBEF" w14:textId="65734E5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75</w:t>
      </w:r>
    </w:p>
  </w:footnote>
  <w:footnote w:id="853">
    <w:p w14:paraId="44D454E8" w14:textId="783041B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75; Chief of Engineers Report, 42</w:t>
      </w:r>
      <w:r w:rsidRPr="002318C9">
        <w:rPr>
          <w:rFonts w:ascii="Times New Roman" w:hAnsi="Times New Roman" w:cs="Times New Roman"/>
          <w:vertAlign w:val="superscript"/>
        </w:rPr>
        <w:t>nd</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 H Exdoc. 1 (1871), p969</w:t>
      </w:r>
    </w:p>
  </w:footnote>
  <w:footnote w:id="854">
    <w:p w14:paraId="20CA3441" w14:textId="3B82894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79; US Congress, House. Report of the Secretary of War, 1872. P1071</w:t>
      </w:r>
    </w:p>
  </w:footnote>
  <w:footnote w:id="855">
    <w:p w14:paraId="084371A4" w14:textId="2FF4EA0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79</w:t>
      </w:r>
    </w:p>
  </w:footnote>
  <w:footnote w:id="856">
    <w:p w14:paraId="1E6B53C2" w14:textId="22D4E83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75; Chief of Engineers Report, 58</w:t>
      </w:r>
      <w:r w:rsidRPr="002318C9">
        <w:rPr>
          <w:rFonts w:ascii="Times New Roman" w:hAnsi="Times New Roman" w:cs="Times New Roman"/>
          <w:vertAlign w:val="superscript"/>
        </w:rPr>
        <w:t>th</w:t>
      </w:r>
      <w:r w:rsidRPr="002318C9">
        <w:rPr>
          <w:rFonts w:ascii="Times New Roman" w:hAnsi="Times New Roman" w:cs="Times New Roman"/>
        </w:rPr>
        <w:t xml:space="preserve"> Congress, 3</w:t>
      </w:r>
      <w:r w:rsidRPr="002318C9">
        <w:rPr>
          <w:rFonts w:ascii="Times New Roman" w:hAnsi="Times New Roman" w:cs="Times New Roman"/>
          <w:vertAlign w:val="superscript"/>
        </w:rPr>
        <w:t>rd</w:t>
      </w:r>
      <w:r w:rsidRPr="002318C9">
        <w:rPr>
          <w:rFonts w:ascii="Times New Roman" w:hAnsi="Times New Roman" w:cs="Times New Roman"/>
        </w:rPr>
        <w:t xml:space="preserve"> Sess, H. Doc 2 (1904), p3917; Chief of Engineers Report, 56</w:t>
      </w:r>
      <w:r w:rsidRPr="002318C9">
        <w:rPr>
          <w:rFonts w:ascii="Times New Roman" w:hAnsi="Times New Roman" w:cs="Times New Roman"/>
          <w:vertAlign w:val="superscript"/>
        </w:rPr>
        <w:t>th</w:t>
      </w:r>
      <w:r w:rsidRPr="002318C9">
        <w:rPr>
          <w:rFonts w:ascii="Times New Roman" w:hAnsi="Times New Roman" w:cs="Times New Roman"/>
        </w:rPr>
        <w:t xml:space="preserve"> Congress, 1</w:t>
      </w:r>
      <w:r w:rsidRPr="002318C9">
        <w:rPr>
          <w:rFonts w:ascii="Times New Roman" w:hAnsi="Times New Roman" w:cs="Times New Roman"/>
          <w:vertAlign w:val="superscript"/>
        </w:rPr>
        <w:t>st</w:t>
      </w:r>
      <w:r w:rsidRPr="002318C9">
        <w:rPr>
          <w:rFonts w:ascii="Times New Roman" w:hAnsi="Times New Roman" w:cs="Times New Roman"/>
        </w:rPr>
        <w:t xml:space="preserve"> sess, H. Doc 2 (1899), p 3822; the 1894 version, which outlined 301 reservations across nearly 405 acres of public land, became the official reservation map by a Congressional act in 1898, with the Army Corps of Engineers maintaining “exclusive charge” of the parks; </w:t>
      </w:r>
      <w:r w:rsidRPr="002318C9">
        <w:rPr>
          <w:rFonts w:ascii="Times New Roman" w:hAnsi="Times New Roman" w:cs="Times New Roman"/>
          <w:i/>
          <w:iCs/>
        </w:rPr>
        <w:t>U.S. Statutes at Large</w:t>
      </w:r>
      <w:r w:rsidRPr="002318C9">
        <w:rPr>
          <w:rFonts w:ascii="Times New Roman" w:hAnsi="Times New Roman" w:cs="Times New Roman"/>
        </w:rPr>
        <w:t>, vol. 30, p 570</w:t>
      </w:r>
    </w:p>
  </w:footnote>
  <w:footnote w:id="857">
    <w:p w14:paraId="1678EF47" w14:textId="7D42124E" w:rsidR="002D394D" w:rsidRPr="007452C3" w:rsidRDefault="002D394D" w:rsidP="002D394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76-77; Dickey</w:t>
      </w:r>
      <w:r w:rsidR="007452C3">
        <w:rPr>
          <w:rFonts w:ascii="Times New Roman" w:hAnsi="Times New Roman" w:cs="Times New Roman"/>
        </w:rPr>
        <w:t xml:space="preserve">, </w:t>
      </w:r>
      <w:r w:rsidR="007452C3">
        <w:rPr>
          <w:rFonts w:ascii="Times New Roman" w:hAnsi="Times New Roman" w:cs="Times New Roman"/>
          <w:i/>
          <w:iCs/>
        </w:rPr>
        <w:t>Empire of Mud</w:t>
      </w:r>
    </w:p>
  </w:footnote>
  <w:footnote w:id="858">
    <w:p w14:paraId="38803A4E" w14:textId="3CE09B5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78</w:t>
      </w:r>
    </w:p>
  </w:footnote>
  <w:footnote w:id="859">
    <w:p w14:paraId="2A498F10"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60">
    <w:p w14:paraId="630232A6"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61">
    <w:p w14:paraId="665E0256" w14:textId="3E2F3E3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79; George Alfred Townsend, </w:t>
      </w:r>
      <w:r w:rsidRPr="002318C9">
        <w:rPr>
          <w:rFonts w:ascii="Times New Roman" w:hAnsi="Times New Roman" w:cs="Times New Roman"/>
          <w:i/>
          <w:iCs/>
        </w:rPr>
        <w:t>New Washington, or the Renovated City</w:t>
      </w:r>
      <w:r w:rsidR="00624D87">
        <w:rPr>
          <w:rFonts w:ascii="Times New Roman" w:hAnsi="Times New Roman" w:cs="Times New Roman"/>
          <w:i/>
          <w:iCs/>
        </w:rPr>
        <w:t xml:space="preserve">. </w:t>
      </w:r>
      <w:r w:rsidRPr="002318C9">
        <w:rPr>
          <w:rFonts w:ascii="Times New Roman" w:hAnsi="Times New Roman" w:cs="Times New Roman"/>
        </w:rPr>
        <w:t>Washington: Chronicle Publishing Company, 1874</w:t>
      </w:r>
      <w:r w:rsidR="00624D87">
        <w:rPr>
          <w:rFonts w:ascii="Times New Roman" w:hAnsi="Times New Roman" w:cs="Times New Roman"/>
        </w:rPr>
        <w:t>.</w:t>
      </w:r>
      <w:r w:rsidRPr="002318C9">
        <w:rPr>
          <w:rFonts w:ascii="Times New Roman" w:hAnsi="Times New Roman" w:cs="Times New Roman"/>
        </w:rPr>
        <w:t xml:space="preserve"> p17-18</w:t>
      </w:r>
    </w:p>
  </w:footnote>
  <w:footnote w:id="862">
    <w:p w14:paraId="3F8C9CFF"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63">
    <w:p w14:paraId="106FB0DD" w14:textId="37BB8920" w:rsidR="002D394D" w:rsidRPr="007452C3" w:rsidRDefault="002D394D" w:rsidP="002D394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00ED0313">
        <w:rPr>
          <w:rFonts w:ascii="Times New Roman" w:hAnsi="Times New Roman" w:cs="Times New Roman"/>
          <w:i/>
          <w:iCs/>
        </w:rPr>
        <w:t>,</w:t>
      </w:r>
      <w:r w:rsidRPr="002318C9">
        <w:rPr>
          <w:rFonts w:ascii="Times New Roman" w:hAnsi="Times New Roman" w:cs="Times New Roman"/>
        </w:rPr>
        <w:t xml:space="preserve"> 69-70; Dickey</w:t>
      </w:r>
      <w:r w:rsidR="007452C3">
        <w:rPr>
          <w:rFonts w:ascii="Times New Roman" w:hAnsi="Times New Roman" w:cs="Times New Roman"/>
        </w:rPr>
        <w:t xml:space="preserve">, </w:t>
      </w:r>
      <w:r w:rsidR="007452C3">
        <w:rPr>
          <w:rFonts w:ascii="Times New Roman" w:hAnsi="Times New Roman" w:cs="Times New Roman"/>
          <w:i/>
          <w:iCs/>
        </w:rPr>
        <w:t>Empire of Mud</w:t>
      </w:r>
    </w:p>
  </w:footnote>
  <w:footnote w:id="864">
    <w:p w14:paraId="27E0DA0A" w14:textId="199040E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79-80; O</w:t>
      </w:r>
      <w:r w:rsidR="007452C3">
        <w:rPr>
          <w:rFonts w:ascii="Times New Roman" w:hAnsi="Times New Roman" w:cs="Times New Roman"/>
        </w:rPr>
        <w:t xml:space="preserve">rville </w:t>
      </w:r>
      <w:r w:rsidRPr="002318C9">
        <w:rPr>
          <w:rFonts w:ascii="Times New Roman" w:hAnsi="Times New Roman" w:cs="Times New Roman"/>
        </w:rPr>
        <w:t>B</w:t>
      </w:r>
      <w:r w:rsidR="007452C3">
        <w:rPr>
          <w:rFonts w:ascii="Times New Roman" w:hAnsi="Times New Roman" w:cs="Times New Roman"/>
        </w:rPr>
        <w:t>abcock</w:t>
      </w:r>
      <w:r w:rsidRPr="002318C9">
        <w:rPr>
          <w:rFonts w:ascii="Times New Roman" w:hAnsi="Times New Roman" w:cs="Times New Roman"/>
        </w:rPr>
        <w:t xml:space="preserve"> to W Meyers, November 12, 1873, Ulysses S Grant Unpublished Correspondence, Ulysses S. Grant Presidential Library</w:t>
      </w:r>
    </w:p>
  </w:footnote>
  <w:footnote w:id="865">
    <w:p w14:paraId="78197D9B"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Joan E. Cashin, “The Material World of Mary Todd Lincoln: Her Households in Peace and War.” In </w:t>
      </w:r>
      <w:r w:rsidRPr="002318C9">
        <w:rPr>
          <w:rFonts w:ascii="Times New Roman" w:hAnsi="Times New Roman" w:cs="Times New Roman"/>
          <w:i/>
          <w:iCs/>
        </w:rPr>
        <w:t>Household War: How Americans Lived and Fought the Civil War</w:t>
      </w:r>
      <w:r w:rsidRPr="002318C9">
        <w:rPr>
          <w:rFonts w:ascii="Times New Roman" w:hAnsi="Times New Roman" w:cs="Times New Roman"/>
        </w:rPr>
        <w:t>, Athens, GA: University of Georgia Press, 2020. P19-34.; “Mary Lincoln,” WHHA, accessed March 17, 2024, https://www.whitehousehistory.org/bios/mary-lincoln.; Scott 79-80</w:t>
      </w:r>
    </w:p>
  </w:footnote>
  <w:footnote w:id="866">
    <w:p w14:paraId="04F4AA8F" w14:textId="577D1E4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81; Alan Lessoff, </w:t>
      </w:r>
      <w:r w:rsidRPr="002318C9">
        <w:rPr>
          <w:rFonts w:ascii="Times New Roman" w:hAnsi="Times New Roman" w:cs="Times New Roman"/>
          <w:i/>
          <w:iCs/>
        </w:rPr>
        <w:t>The Nation and Its City: Politics, “Corruption,” and Progress in Washington, D.C., 1861-1902</w:t>
      </w:r>
      <w:r w:rsidRPr="002318C9">
        <w:rPr>
          <w:rFonts w:ascii="Times New Roman" w:hAnsi="Times New Roman" w:cs="Times New Roman"/>
        </w:rPr>
        <w:t xml:space="preserve"> (Baltimore: Johns Hopkins Press, 1994. P56</w:t>
      </w:r>
    </w:p>
  </w:footnote>
  <w:footnote w:id="867">
    <w:p w14:paraId="393FDE2E" w14:textId="684BCD6C"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p>
  </w:footnote>
  <w:footnote w:id="868">
    <w:p w14:paraId="623B6752" w14:textId="0DBC9226"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80</w:t>
      </w:r>
    </w:p>
  </w:footnote>
  <w:footnote w:id="869">
    <w:p w14:paraId="1BF7A21D" w14:textId="32AEAFDC"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“The East Room,” WHHA, accessed February 22, 2024, https://www.whitehousehistory.org/white-house-tour/the-east-room.; Doug Wead, </w:t>
      </w:r>
      <w:r w:rsidRPr="002318C9">
        <w:rPr>
          <w:rFonts w:ascii="Times New Roman" w:hAnsi="Times New Roman" w:cs="Times New Roman"/>
          <w:i/>
          <w:iCs/>
        </w:rPr>
        <w:t>All the Presidents' Children: Triumph and Tragedy in the Lives of America's First Families</w:t>
      </w:r>
      <w:r w:rsidRPr="002318C9">
        <w:rPr>
          <w:rFonts w:ascii="Times New Roman" w:hAnsi="Times New Roman" w:cs="Times New Roman"/>
        </w:rPr>
        <w:t>. New York: Atria Books, 2003. P229-232;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Pr="002318C9">
        <w:rPr>
          <w:rFonts w:ascii="Times New Roman" w:hAnsi="Times New Roman" w:cs="Times New Roman"/>
        </w:rPr>
        <w:t xml:space="preserve"> 772-773; O</w:t>
      </w:r>
      <w:r w:rsidR="007452C3">
        <w:rPr>
          <w:rFonts w:ascii="Times New Roman" w:hAnsi="Times New Roman" w:cs="Times New Roman"/>
        </w:rPr>
        <w:t xml:space="preserve">rville </w:t>
      </w:r>
      <w:r w:rsidRPr="002318C9">
        <w:rPr>
          <w:rFonts w:ascii="Times New Roman" w:hAnsi="Times New Roman" w:cs="Times New Roman"/>
        </w:rPr>
        <w:t>B</w:t>
      </w:r>
      <w:r w:rsidR="007452C3">
        <w:rPr>
          <w:rFonts w:ascii="Times New Roman" w:hAnsi="Times New Roman" w:cs="Times New Roman"/>
        </w:rPr>
        <w:t>abcock</w:t>
      </w:r>
      <w:r w:rsidRPr="002318C9">
        <w:rPr>
          <w:rFonts w:ascii="Times New Roman" w:hAnsi="Times New Roman" w:cs="Times New Roman"/>
        </w:rPr>
        <w:t xml:space="preserve"> to H</w:t>
      </w:r>
      <w:r w:rsidR="007452C3">
        <w:rPr>
          <w:rFonts w:ascii="Times New Roman" w:hAnsi="Times New Roman" w:cs="Times New Roman"/>
        </w:rPr>
        <w:t xml:space="preserve">amilton </w:t>
      </w:r>
      <w:r w:rsidRPr="002318C9">
        <w:rPr>
          <w:rFonts w:ascii="Times New Roman" w:hAnsi="Times New Roman" w:cs="Times New Roman"/>
        </w:rPr>
        <w:t>F</w:t>
      </w:r>
      <w:r w:rsidR="007452C3">
        <w:rPr>
          <w:rFonts w:ascii="Times New Roman" w:hAnsi="Times New Roman" w:cs="Times New Roman"/>
        </w:rPr>
        <w:t>ish</w:t>
      </w:r>
      <w:r w:rsidRPr="002318C9">
        <w:rPr>
          <w:rFonts w:ascii="Times New Roman" w:hAnsi="Times New Roman" w:cs="Times New Roman"/>
        </w:rPr>
        <w:t>, June 20, 1873, Ulysses S Grant Unpublished Correspondence, Ulysses S. Grant Presidential Library</w:t>
      </w:r>
    </w:p>
  </w:footnote>
  <w:footnote w:id="870">
    <w:p w14:paraId="0612E68A"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WHHA East Room</w:t>
      </w:r>
    </w:p>
  </w:footnote>
  <w:footnote w:id="871">
    <w:p w14:paraId="1E22F1DC"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72">
    <w:p w14:paraId="3DA54177"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“Eisenhower Executive Office Building,” The White House, July 12, 2022, https://www.whitehouse.gov/about-the-white-house/the-grounds/eisenhower-executive-office-building/.</w:t>
      </w:r>
    </w:p>
  </w:footnote>
  <w:footnote w:id="873">
    <w:p w14:paraId="07CD4315"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74">
    <w:p w14:paraId="68932FBA"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75">
    <w:p w14:paraId="719AEE20"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76">
    <w:p w14:paraId="5FAE2F9E"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77">
    <w:p w14:paraId="3865B31D"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78">
    <w:p w14:paraId="30953CE6"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"Where Washington's Historic Chain Bridge Gets its Name." </w:t>
      </w:r>
      <w:r w:rsidRPr="002318C9">
        <w:rPr>
          <w:rFonts w:ascii="Times New Roman" w:hAnsi="Times New Roman" w:cs="Times New Roman"/>
          <w:i/>
          <w:iCs/>
        </w:rPr>
        <w:t>The Washington Post (1877-1922),</w:t>
      </w:r>
      <w:r w:rsidRPr="002318C9">
        <w:rPr>
          <w:rFonts w:ascii="Times New Roman" w:hAnsi="Times New Roman" w:cs="Times New Roman"/>
        </w:rPr>
        <w:t xml:space="preserve"> Nov 21, 1909.; "History of the Chain Bridge" in Mike High, </w:t>
      </w:r>
      <w:r w:rsidRPr="002318C9">
        <w:rPr>
          <w:rFonts w:ascii="Times New Roman" w:hAnsi="Times New Roman" w:cs="Times New Roman"/>
          <w:i/>
          <w:iCs/>
        </w:rPr>
        <w:t>The C&amp;O Canal: Companion</w:t>
      </w:r>
      <w:r w:rsidRPr="002318C9">
        <w:rPr>
          <w:rFonts w:ascii="Times New Roman" w:hAnsi="Times New Roman" w:cs="Times New Roman"/>
        </w:rPr>
        <w:t>. Baltimore: Johns Hopkins University Press, 2001. Archived from the original on 2005-04-02.</w:t>
      </w:r>
    </w:p>
  </w:footnote>
  <w:footnote w:id="879">
    <w:p w14:paraId="684E0377"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“History of the Chain Bridge”</w:t>
      </w:r>
    </w:p>
  </w:footnote>
  <w:footnote w:id="880">
    <w:p w14:paraId="13E7EA1D" w14:textId="103D0A0E"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“11th Street Bridge: Anacostia Park,” National Parks Service, accessed March 17, 2024, https://www.nps.gov/places/11th-street-bridge.htm.; James Croggon, “Old Burnt Bridge.” </w:t>
      </w:r>
      <w:r w:rsidRPr="002318C9">
        <w:rPr>
          <w:rFonts w:ascii="Times New Roman" w:hAnsi="Times New Roman" w:cs="Times New Roman"/>
          <w:i/>
          <w:iCs/>
        </w:rPr>
        <w:t xml:space="preserve">Evening Star, </w:t>
      </w:r>
      <w:r w:rsidRPr="002318C9">
        <w:rPr>
          <w:rFonts w:ascii="Times New Roman" w:hAnsi="Times New Roman" w:cs="Times New Roman"/>
        </w:rPr>
        <w:t xml:space="preserve">July 7, 1907; Charles R. Burr, “A Brief History of Anacostia, Its Name, Origin, and Progress.” </w:t>
      </w:r>
      <w:r w:rsidRPr="002318C9">
        <w:rPr>
          <w:rFonts w:ascii="Times New Roman" w:hAnsi="Times New Roman" w:cs="Times New Roman"/>
          <w:i/>
          <w:iCs/>
        </w:rPr>
        <w:t>Records of the Columbia Historical Society</w:t>
      </w:r>
      <w:r w:rsidRPr="002318C9">
        <w:rPr>
          <w:rFonts w:ascii="Times New Roman" w:hAnsi="Times New Roman" w:cs="Times New Roman"/>
        </w:rPr>
        <w:t>, Washington, 1920</w:t>
      </w:r>
      <w:r w:rsidR="00624D87">
        <w:rPr>
          <w:rFonts w:ascii="Times New Roman" w:hAnsi="Times New Roman" w:cs="Times New Roman"/>
        </w:rPr>
        <w:t>.</w:t>
      </w:r>
    </w:p>
  </w:footnote>
  <w:footnote w:id="881">
    <w:p w14:paraId="430D1401"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The Anacostia River was originally called the “Eastern Branch.” This bridge was later rebuilt in the early 1900s and renamed the Anacostia Bridge. “Old Burnt Bridge”; Burr; Abbott; Sandra Fitzpatrick and Maria R. Goodwin, </w:t>
      </w:r>
      <w:r w:rsidRPr="002318C9">
        <w:rPr>
          <w:rFonts w:ascii="Times New Roman" w:hAnsi="Times New Roman" w:cs="Times New Roman"/>
          <w:i/>
          <w:iCs/>
        </w:rPr>
        <w:t xml:space="preserve">A Guide to Black Washington: Places and Events of Historical and Cultural Significance in the Nation’s Capital. </w:t>
      </w:r>
      <w:r w:rsidRPr="002318C9">
        <w:rPr>
          <w:rFonts w:ascii="Times New Roman" w:hAnsi="Times New Roman" w:cs="Times New Roman"/>
        </w:rPr>
        <w:t>New York: Hippocrene Books, 1990.</w:t>
      </w:r>
    </w:p>
  </w:footnote>
  <w:footnote w:id="882">
    <w:p w14:paraId="67C5506A" w14:textId="7125BAF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78</w:t>
      </w:r>
    </w:p>
  </w:footnote>
  <w:footnote w:id="883">
    <w:p w14:paraId="17AADB7C" w14:textId="6E902CE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Ibid</w:t>
      </w:r>
    </w:p>
  </w:footnote>
  <w:footnote w:id="884">
    <w:p w14:paraId="10B2E9E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85">
    <w:p w14:paraId="3AC341AB" w14:textId="6F0ADD0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Katherine Allamong Jacob, </w:t>
      </w:r>
      <w:r w:rsidRPr="002318C9">
        <w:rPr>
          <w:rFonts w:ascii="Times New Roman" w:hAnsi="Times New Roman" w:cs="Times New Roman"/>
          <w:i/>
          <w:iCs/>
        </w:rPr>
        <w:t xml:space="preserve">Testament to Union: Civil War Monuments in Washington DC. </w:t>
      </w:r>
      <w:r w:rsidRPr="002318C9">
        <w:rPr>
          <w:rFonts w:ascii="Times New Roman" w:hAnsi="Times New Roman" w:cs="Times New Roman"/>
        </w:rPr>
        <w:t>Baltimore: Johns Hopkins University Press, 1998. 25-26, 85-87, 101-109</w:t>
      </w:r>
    </w:p>
  </w:footnote>
  <w:footnote w:id="886">
    <w:p w14:paraId="6FBB0A4B" w14:textId="1892B51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78; Jacob</w:t>
      </w:r>
      <w:r w:rsidR="004263EF">
        <w:rPr>
          <w:rFonts w:ascii="Times New Roman" w:hAnsi="Times New Roman" w:cs="Times New Roman"/>
        </w:rPr>
        <w:t>,</w:t>
      </w:r>
      <w:r w:rsidRPr="002318C9">
        <w:rPr>
          <w:rFonts w:ascii="Times New Roman" w:hAnsi="Times New Roman" w:cs="Times New Roman"/>
        </w:rPr>
        <w:t xml:space="preserve"> </w:t>
      </w:r>
      <w:r w:rsidRPr="002318C9">
        <w:rPr>
          <w:rFonts w:ascii="Times New Roman" w:hAnsi="Times New Roman" w:cs="Times New Roman"/>
          <w:i/>
          <w:iCs/>
        </w:rPr>
        <w:t>Testament t</w:t>
      </w:r>
      <w:r w:rsidRPr="001B6F84">
        <w:rPr>
          <w:rFonts w:ascii="Times New Roman" w:hAnsi="Times New Roman" w:cs="Times New Roman"/>
          <w:i/>
          <w:iCs/>
        </w:rPr>
        <w:t>o Union</w:t>
      </w:r>
      <w:r w:rsidRPr="002318C9">
        <w:rPr>
          <w:rFonts w:ascii="Times New Roman" w:hAnsi="Times New Roman" w:cs="Times New Roman"/>
        </w:rPr>
        <w:t xml:space="preserve"> </w:t>
      </w:r>
      <w:r w:rsidR="005636A9">
        <w:rPr>
          <w:rFonts w:ascii="Times New Roman" w:hAnsi="Times New Roman" w:cs="Times New Roman"/>
        </w:rPr>
        <w:t xml:space="preserve">51-53, 88-90, </w:t>
      </w:r>
      <w:r w:rsidRPr="002318C9">
        <w:rPr>
          <w:rFonts w:ascii="Times New Roman" w:hAnsi="Times New Roman" w:cs="Times New Roman"/>
        </w:rPr>
        <w:t>99-100, 110-113</w:t>
      </w:r>
    </w:p>
  </w:footnote>
  <w:footnote w:id="887">
    <w:p w14:paraId="7586E2E4" w14:textId="46DA391E"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004263EF">
        <w:rPr>
          <w:rFonts w:ascii="Times New Roman" w:hAnsi="Times New Roman" w:cs="Times New Roman"/>
          <w:i/>
          <w:iCs/>
        </w:rPr>
        <w:t>,</w:t>
      </w:r>
      <w:r w:rsidRPr="002318C9">
        <w:rPr>
          <w:rFonts w:ascii="Times New Roman" w:hAnsi="Times New Roman" w:cs="Times New Roman"/>
        </w:rPr>
        <w:t xml:space="preserve"> 78</w:t>
      </w:r>
    </w:p>
  </w:footnote>
  <w:footnote w:id="888">
    <w:p w14:paraId="52BB4A93" w14:textId="4FFF08E0"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Ibid</w:t>
      </w:r>
    </w:p>
  </w:footnote>
  <w:footnote w:id="889">
    <w:p w14:paraId="7628CC14"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90">
    <w:p w14:paraId="162A23F0" w14:textId="174D85A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3EF">
        <w:rPr>
          <w:rFonts w:ascii="Times New Roman" w:hAnsi="Times New Roman" w:cs="Times New Roman"/>
        </w:rPr>
        <w:t xml:space="preserve">Pamela </w:t>
      </w:r>
      <w:r w:rsidRPr="002318C9">
        <w:rPr>
          <w:rFonts w:ascii="Times New Roman" w:hAnsi="Times New Roman" w:cs="Times New Roman"/>
        </w:rPr>
        <w:t>Scott</w:t>
      </w:r>
      <w:r w:rsidR="004263EF">
        <w:rPr>
          <w:rFonts w:ascii="Times New Roman" w:hAnsi="Times New Roman" w:cs="Times New Roman"/>
        </w:rPr>
        <w:t xml:space="preserve">, </w:t>
      </w:r>
      <w:r w:rsidR="004263EF" w:rsidRPr="002318C9">
        <w:rPr>
          <w:rFonts w:ascii="Times New Roman" w:hAnsi="Times New Roman" w:cs="Times New Roman"/>
          <w:i/>
          <w:iCs/>
        </w:rPr>
        <w:t>Capital Engineers</w:t>
      </w:r>
      <w:r w:rsidRPr="002318C9">
        <w:rPr>
          <w:rFonts w:ascii="Times New Roman" w:hAnsi="Times New Roman" w:cs="Times New Roman"/>
        </w:rPr>
        <w:t xml:space="preserve"> 78; Chief of Engineers Report, “Annual Report of Colonel O.E. Babcock,” 43</w:t>
      </w:r>
      <w:r w:rsidRPr="002318C9">
        <w:rPr>
          <w:rFonts w:ascii="Times New Roman" w:hAnsi="Times New Roman" w:cs="Times New Roman"/>
          <w:vertAlign w:val="superscript"/>
        </w:rPr>
        <w:t>rd</w:t>
      </w:r>
      <w:r w:rsidRPr="002318C9">
        <w:rPr>
          <w:rFonts w:ascii="Times New Roman" w:hAnsi="Times New Roman" w:cs="Times New Roman"/>
        </w:rPr>
        <w:t xml:space="preserve"> Congress, 2</w:t>
      </w:r>
      <w:r w:rsidRPr="002318C9">
        <w:rPr>
          <w:rFonts w:ascii="Times New Roman" w:hAnsi="Times New Roman" w:cs="Times New Roman"/>
          <w:vertAlign w:val="superscript"/>
        </w:rPr>
        <w:t>nd</w:t>
      </w:r>
      <w:r w:rsidRPr="002318C9">
        <w:rPr>
          <w:rFonts w:ascii="Times New Roman" w:hAnsi="Times New Roman" w:cs="Times New Roman"/>
        </w:rPr>
        <w:t xml:space="preserve"> sess, H. Exdoc. 1 (1874), p385-386</w:t>
      </w:r>
    </w:p>
  </w:footnote>
  <w:footnote w:id="891">
    <w:p w14:paraId="69B16DA6"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“There Was Something Fishy Going on There... National Mall and Memorial Park, Washington Monument,” National Parks Service, accessed March 11, 2024, https://www.nps.gov/articles/000/babcocklake.htm.</w:t>
      </w:r>
    </w:p>
  </w:footnote>
  <w:footnote w:id="892">
    <w:p w14:paraId="56C873BD"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Ruthie Cooney, “The National Mall Was Once Home to a Huge Government Fish Farm That Wreaked Havoc on US Fisheries,” </w:t>
      </w:r>
      <w:r w:rsidRPr="00624D87">
        <w:rPr>
          <w:rFonts w:ascii="Times New Roman" w:hAnsi="Times New Roman" w:cs="Times New Roman"/>
          <w:i/>
          <w:iCs/>
        </w:rPr>
        <w:t>Boundary Stones</w:t>
      </w:r>
      <w:r w:rsidRPr="002318C9">
        <w:rPr>
          <w:rFonts w:ascii="Times New Roman" w:hAnsi="Times New Roman" w:cs="Times New Roman"/>
        </w:rPr>
        <w:t xml:space="preserve">, November 4, 2022; “The Government Fish Ponds, Important Work of the Fish Commission.” </w:t>
      </w:r>
      <w:r w:rsidRPr="002318C9">
        <w:rPr>
          <w:rFonts w:ascii="Times New Roman" w:hAnsi="Times New Roman" w:cs="Times New Roman"/>
          <w:i/>
          <w:iCs/>
        </w:rPr>
        <w:t>Evening Star</w:t>
      </w:r>
      <w:r w:rsidRPr="002318C9">
        <w:rPr>
          <w:rFonts w:ascii="Times New Roman" w:hAnsi="Times New Roman" w:cs="Times New Roman"/>
        </w:rPr>
        <w:t xml:space="preserve">, May 3, 1879; “Carp Culture, an Interesting Operation – One Hundred Thousand Young Fish Removed,” </w:t>
      </w:r>
      <w:r w:rsidRPr="002318C9">
        <w:rPr>
          <w:rFonts w:ascii="Times New Roman" w:hAnsi="Times New Roman" w:cs="Times New Roman"/>
          <w:i/>
          <w:iCs/>
        </w:rPr>
        <w:t xml:space="preserve">Evening Star, </w:t>
      </w:r>
      <w:r w:rsidRPr="002318C9">
        <w:rPr>
          <w:rFonts w:ascii="Times New Roman" w:hAnsi="Times New Roman" w:cs="Times New Roman"/>
        </w:rPr>
        <w:t>November 17, 1880</w:t>
      </w:r>
    </w:p>
  </w:footnote>
  <w:footnote w:id="893">
    <w:p w14:paraId="630CEBDB"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“Carp Culture”</w:t>
      </w:r>
    </w:p>
  </w:footnote>
  <w:footnote w:id="894">
    <w:p w14:paraId="01C1145E"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"CULTIVATING FISH.: RESULTS OF THE NEW LATCHING PROCESS. A VISIT TO THE CORP PONDS -- SOME HISTORICAL REMARKS ABOUT THE CARP FAMILY -- EQUALIZING SALT AND FRESH WATER FISH." </w:t>
      </w:r>
      <w:r w:rsidRPr="002318C9">
        <w:rPr>
          <w:rFonts w:ascii="Times New Roman" w:hAnsi="Times New Roman" w:cs="Times New Roman"/>
          <w:i/>
          <w:iCs/>
        </w:rPr>
        <w:t>The Washington Post,</w:t>
      </w:r>
      <w:r w:rsidRPr="002318C9">
        <w:rPr>
          <w:rFonts w:ascii="Times New Roman" w:hAnsi="Times New Roman" w:cs="Times New Roman"/>
        </w:rPr>
        <w:t xml:space="preserve"> May 10, 1880. </w:t>
      </w:r>
    </w:p>
  </w:footnote>
  <w:footnote w:id="895">
    <w:p w14:paraId="3975FDAE" w14:textId="54E03CB2" w:rsidR="00FC6960" w:rsidRPr="002318C9" w:rsidRDefault="00FC6960" w:rsidP="00FC6960">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Cooney</w:t>
      </w:r>
      <w:r>
        <w:rPr>
          <w:rFonts w:ascii="Times New Roman" w:hAnsi="Times New Roman" w:cs="Times New Roman"/>
        </w:rPr>
        <w:t>, “The National Mall..”</w:t>
      </w:r>
      <w:r w:rsidRPr="002318C9">
        <w:rPr>
          <w:rFonts w:ascii="Times New Roman" w:hAnsi="Times New Roman" w:cs="Times New Roman"/>
        </w:rPr>
        <w:t xml:space="preserve">; </w:t>
      </w:r>
      <w:r>
        <w:rPr>
          <w:rFonts w:ascii="Times New Roman" w:hAnsi="Times New Roman" w:cs="Times New Roman"/>
        </w:rPr>
        <w:t xml:space="preserve">left </w:t>
      </w:r>
      <w:r w:rsidRPr="002318C9">
        <w:rPr>
          <w:rFonts w:ascii="Times New Roman" w:hAnsi="Times New Roman" w:cs="Times New Roman"/>
        </w:rPr>
        <w:t>photo taken from National Archives 513092, Local Identifier 22-FF, NAIL Control Number NWDNS-22-FF</w:t>
      </w:r>
      <w:r>
        <w:rPr>
          <w:rFonts w:ascii="Times New Roman" w:hAnsi="Times New Roman" w:cs="Times New Roman"/>
        </w:rPr>
        <w:t>; right</w:t>
      </w:r>
      <w:r w:rsidRPr="00FC6960">
        <w:rPr>
          <w:rFonts w:ascii="Times New Roman" w:hAnsi="Times New Roman" w:cs="Times New Roman"/>
        </w:rPr>
        <w:t xml:space="preserve"> </w:t>
      </w:r>
      <w:r w:rsidRPr="002318C9">
        <w:rPr>
          <w:rFonts w:ascii="Times New Roman" w:hAnsi="Times New Roman" w:cs="Times New Roman"/>
        </w:rPr>
        <w:t>photo by Francis Hacker between 1877-1879, obtained from Library of Congress, LC-USZC4-12138</w:t>
      </w:r>
    </w:p>
  </w:footnote>
  <w:footnote w:id="896">
    <w:p w14:paraId="3FC9E190" w14:textId="115A934E"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322AA">
        <w:rPr>
          <w:rFonts w:ascii="Times New Roman" w:hAnsi="Times New Roman" w:cs="Times New Roman"/>
        </w:rPr>
        <w:t xml:space="preserve">Pamela </w:t>
      </w:r>
      <w:r w:rsidRPr="002318C9">
        <w:rPr>
          <w:rFonts w:ascii="Times New Roman" w:hAnsi="Times New Roman" w:cs="Times New Roman"/>
        </w:rPr>
        <w:t>Scott</w:t>
      </w:r>
      <w:r w:rsidR="00A322AA">
        <w:rPr>
          <w:rFonts w:ascii="Times New Roman" w:hAnsi="Times New Roman" w:cs="Times New Roman"/>
        </w:rPr>
        <w:t xml:space="preserve">, </w:t>
      </w:r>
      <w:r w:rsidR="00A322AA" w:rsidRPr="002318C9">
        <w:rPr>
          <w:rFonts w:ascii="Times New Roman" w:hAnsi="Times New Roman" w:cs="Times New Roman"/>
          <w:i/>
          <w:iCs/>
        </w:rPr>
        <w:t>Capital Engineers</w:t>
      </w:r>
      <w:r w:rsidR="00A322AA">
        <w:rPr>
          <w:rFonts w:ascii="Times New Roman" w:hAnsi="Times New Roman" w:cs="Times New Roman"/>
          <w:i/>
          <w:iCs/>
        </w:rPr>
        <w:t>,</w:t>
      </w:r>
      <w:r w:rsidRPr="002318C9">
        <w:rPr>
          <w:rFonts w:ascii="Times New Roman" w:hAnsi="Times New Roman" w:cs="Times New Roman"/>
        </w:rPr>
        <w:t xml:space="preserve"> 80</w:t>
      </w:r>
    </w:p>
  </w:footnote>
  <w:footnote w:id="897">
    <w:p w14:paraId="3EDF3258"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898">
    <w:p w14:paraId="139B3C6D" w14:textId="6E091EC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322AA">
        <w:rPr>
          <w:rFonts w:ascii="Times New Roman" w:hAnsi="Times New Roman" w:cs="Times New Roman"/>
        </w:rPr>
        <w:t>Ibid</w:t>
      </w:r>
    </w:p>
  </w:footnote>
  <w:footnote w:id="899">
    <w:p w14:paraId="4569EF00"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900">
    <w:p w14:paraId="0C029ED5"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Mark Wahlgren Summers, </w:t>
      </w:r>
      <w:r w:rsidRPr="002318C9">
        <w:rPr>
          <w:rFonts w:ascii="Times New Roman" w:hAnsi="Times New Roman" w:cs="Times New Roman"/>
          <w:i/>
          <w:iCs/>
        </w:rPr>
        <w:t>The Era of Good Stealings</w:t>
      </w:r>
      <w:r w:rsidRPr="002318C9">
        <w:rPr>
          <w:rFonts w:ascii="Times New Roman" w:hAnsi="Times New Roman" w:cs="Times New Roman"/>
        </w:rPr>
        <w:t>. New York: Oxford University Press, 1993.</w:t>
      </w:r>
    </w:p>
  </w:footnote>
  <w:footnote w:id="901">
    <w:p w14:paraId="5B93FDF6" w14:textId="354EC7CB" w:rsidR="002D394D" w:rsidRPr="009D5078" w:rsidRDefault="002D394D" w:rsidP="009D5078">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more on the presence of corruption in Reconstruction-Era politics, consider: Summers, </w:t>
      </w:r>
      <w:r w:rsidRPr="002318C9">
        <w:rPr>
          <w:rFonts w:ascii="Times New Roman" w:hAnsi="Times New Roman" w:cs="Times New Roman"/>
          <w:i/>
          <w:iCs/>
        </w:rPr>
        <w:t>Era of Good Stealings</w:t>
      </w:r>
      <w:r w:rsidRPr="002318C9">
        <w:rPr>
          <w:rFonts w:ascii="Times New Roman" w:hAnsi="Times New Roman" w:cs="Times New Roman"/>
        </w:rPr>
        <w:t xml:space="preserve">; </w:t>
      </w:r>
      <w:r w:rsidR="009D5078">
        <w:rPr>
          <w:rFonts w:ascii="Times New Roman" w:hAnsi="Times New Roman" w:cs="Times New Roman"/>
        </w:rPr>
        <w:t xml:space="preserve">Kenneth </w:t>
      </w:r>
      <w:r w:rsidR="009D5078" w:rsidRPr="009D5078">
        <w:rPr>
          <w:rFonts w:ascii="Times New Roman" w:hAnsi="Times New Roman" w:cs="Times New Roman"/>
        </w:rPr>
        <w:t xml:space="preserve">Ackerman, </w:t>
      </w:r>
      <w:r w:rsidR="009D5078" w:rsidRPr="009D5078">
        <w:rPr>
          <w:rFonts w:ascii="Times New Roman" w:hAnsi="Times New Roman" w:cs="Times New Roman"/>
          <w:i/>
          <w:iCs/>
        </w:rPr>
        <w:t>The Gold Ring: Jim Fisk Jay Gould, and Black Friday, 1869.</w:t>
      </w:r>
      <w:r w:rsidR="009D5078" w:rsidRPr="009D5078">
        <w:rPr>
          <w:rFonts w:ascii="Times New Roman" w:hAnsi="Times New Roman" w:cs="Times New Roman"/>
        </w:rPr>
        <w:t xml:space="preserve"> New York: Harper and Row, 2004</w:t>
      </w:r>
      <w:r w:rsidRPr="009D5078">
        <w:rPr>
          <w:rFonts w:ascii="Times New Roman" w:hAnsi="Times New Roman" w:cs="Times New Roman"/>
        </w:rPr>
        <w:t>; Claude G. Bowers,</w:t>
      </w:r>
      <w:r w:rsidRPr="009D5078">
        <w:rPr>
          <w:rFonts w:ascii="Times New Roman" w:hAnsi="Times New Roman" w:cs="Times New Roman"/>
          <w:i/>
          <w:iCs/>
        </w:rPr>
        <w:t xml:space="preserve"> The Tragic Era: The Revolution after Lincoln</w:t>
      </w:r>
      <w:r w:rsidRPr="009D5078">
        <w:rPr>
          <w:rFonts w:ascii="Times New Roman" w:hAnsi="Times New Roman" w:cs="Times New Roman"/>
        </w:rPr>
        <w:t>. Cambridge, MA: Riverside Press, 1929; Lessoff</w:t>
      </w:r>
      <w:r w:rsidR="00BE1293">
        <w:rPr>
          <w:rFonts w:ascii="Times New Roman" w:hAnsi="Times New Roman" w:cs="Times New Roman"/>
        </w:rPr>
        <w:t xml:space="preserve">, </w:t>
      </w:r>
      <w:r w:rsidR="00BE1293">
        <w:rPr>
          <w:rFonts w:ascii="Times New Roman" w:hAnsi="Times New Roman" w:cs="Times New Roman"/>
          <w:i/>
          <w:iCs/>
        </w:rPr>
        <w:t>The Nation and Its City</w:t>
      </w:r>
      <w:r w:rsidRPr="009D5078">
        <w:rPr>
          <w:rFonts w:ascii="Times New Roman" w:hAnsi="Times New Roman" w:cs="Times New Roman"/>
        </w:rPr>
        <w:t xml:space="preserve">; and Mark Wahlgren Summers, </w:t>
      </w:r>
      <w:r w:rsidRPr="009D5078">
        <w:rPr>
          <w:rFonts w:ascii="Times New Roman" w:hAnsi="Times New Roman" w:cs="Times New Roman"/>
          <w:i/>
          <w:iCs/>
        </w:rPr>
        <w:t>Party Games: Getting, Keeping, and Using Power in Gilded Age Politics</w:t>
      </w:r>
      <w:r w:rsidRPr="009D5078">
        <w:rPr>
          <w:rFonts w:ascii="Times New Roman" w:hAnsi="Times New Roman" w:cs="Times New Roman"/>
        </w:rPr>
        <w:t>. Chapel Hill: University of North Carolina Press, 2004.</w:t>
      </w:r>
    </w:p>
  </w:footnote>
  <w:footnote w:id="902">
    <w:p w14:paraId="5782A321" w14:textId="2344AE9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 </w:t>
      </w:r>
      <w:r w:rsidRPr="002318C9">
        <w:rPr>
          <w:rFonts w:ascii="Times New Roman" w:hAnsi="Times New Roman" w:cs="Times New Roman"/>
          <w:i/>
          <w:iCs/>
        </w:rPr>
        <w:t>Era of Good Stealings</w:t>
      </w:r>
      <w:r w:rsidRPr="002318C9">
        <w:rPr>
          <w:rFonts w:ascii="Times New Roman" w:hAnsi="Times New Roman" w:cs="Times New Roman"/>
        </w:rPr>
        <w:t>; Lessoff</w:t>
      </w:r>
      <w:r w:rsidR="00BE1293">
        <w:rPr>
          <w:rFonts w:ascii="Times New Roman" w:hAnsi="Times New Roman" w:cs="Times New Roman"/>
        </w:rPr>
        <w:t xml:space="preserve">, </w:t>
      </w:r>
      <w:r w:rsidR="00BE1293">
        <w:rPr>
          <w:rFonts w:ascii="Times New Roman" w:hAnsi="Times New Roman" w:cs="Times New Roman"/>
          <w:i/>
          <w:iCs/>
        </w:rPr>
        <w:t>The Nation and Its City</w:t>
      </w:r>
      <w:r w:rsidRPr="002318C9">
        <w:rPr>
          <w:rFonts w:ascii="Times New Roman" w:hAnsi="Times New Roman" w:cs="Times New Roman"/>
        </w:rPr>
        <w:t xml:space="preserve">; Mark Wahlgren Summers, </w:t>
      </w:r>
      <w:r w:rsidRPr="002318C9">
        <w:rPr>
          <w:rFonts w:ascii="Times New Roman" w:hAnsi="Times New Roman" w:cs="Times New Roman"/>
          <w:i/>
          <w:iCs/>
        </w:rPr>
        <w:t>The Press Gang: Newspapers &amp; Politics, 1865-1878</w:t>
      </w:r>
      <w:r w:rsidRPr="002318C9">
        <w:rPr>
          <w:rFonts w:ascii="Times New Roman" w:hAnsi="Times New Roman" w:cs="Times New Roman"/>
        </w:rPr>
        <w:t>. Chapel Hill: University of North Carolina Press, 1994.</w:t>
      </w:r>
    </w:p>
  </w:footnote>
  <w:footnote w:id="903">
    <w:p w14:paraId="49B8FDE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 </w:t>
      </w:r>
      <w:r w:rsidRPr="002318C9">
        <w:rPr>
          <w:rFonts w:ascii="Times New Roman" w:hAnsi="Times New Roman" w:cs="Times New Roman"/>
          <w:i/>
          <w:iCs/>
        </w:rPr>
        <w:t>Press Gang</w:t>
      </w:r>
    </w:p>
  </w:footnote>
  <w:footnote w:id="904">
    <w:p w14:paraId="58F09939"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We will see this play out for Babcock in the next two chapters.</w:t>
      </w:r>
    </w:p>
  </w:footnote>
  <w:footnote w:id="905">
    <w:p w14:paraId="2132FC8C" w14:textId="32AADE9E" w:rsidR="002D394D" w:rsidRPr="002318C9" w:rsidRDefault="002D394D" w:rsidP="002D394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Lessoff</w:t>
      </w:r>
      <w:r w:rsidR="00BE1293">
        <w:rPr>
          <w:rFonts w:ascii="Times New Roman" w:hAnsi="Times New Roman" w:cs="Times New Roman"/>
        </w:rPr>
        <w:t xml:space="preserve">, </w:t>
      </w:r>
      <w:r w:rsidR="00BE1293">
        <w:rPr>
          <w:rFonts w:ascii="Times New Roman" w:hAnsi="Times New Roman" w:cs="Times New Roman"/>
          <w:i/>
          <w:iCs/>
        </w:rPr>
        <w:t>The Nation and Its City</w:t>
      </w:r>
      <w:r w:rsidRPr="002318C9">
        <w:rPr>
          <w:rFonts w:ascii="Times New Roman" w:hAnsi="Times New Roman" w:cs="Times New Roman"/>
        </w:rPr>
        <w:t>; Dickey</w:t>
      </w:r>
      <w:r w:rsidR="00BE1293">
        <w:rPr>
          <w:rFonts w:ascii="Times New Roman" w:hAnsi="Times New Roman" w:cs="Times New Roman"/>
        </w:rPr>
        <w:t xml:space="preserve">, </w:t>
      </w:r>
      <w:r w:rsidR="00BE1293">
        <w:rPr>
          <w:rFonts w:ascii="Times New Roman" w:hAnsi="Times New Roman" w:cs="Times New Roman"/>
          <w:i/>
          <w:iCs/>
        </w:rPr>
        <w:t>Empire of Mud</w:t>
      </w:r>
      <w:r w:rsidRPr="002318C9">
        <w:rPr>
          <w:rFonts w:ascii="Times New Roman" w:hAnsi="Times New Roman" w:cs="Times New Roman"/>
        </w:rPr>
        <w:t xml:space="preserve">; Jacob, </w:t>
      </w:r>
      <w:r w:rsidRPr="002318C9">
        <w:rPr>
          <w:rFonts w:ascii="Times New Roman" w:hAnsi="Times New Roman" w:cs="Times New Roman"/>
          <w:i/>
          <w:iCs/>
        </w:rPr>
        <w:t>Capital Elite</w:t>
      </w:r>
    </w:p>
  </w:footnote>
  <w:footnote w:id="906">
    <w:p w14:paraId="3C0F3C5C" w14:textId="28FA8FA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 </w:t>
      </w:r>
      <w:r w:rsidRPr="002318C9">
        <w:rPr>
          <w:rFonts w:ascii="Times New Roman" w:hAnsi="Times New Roman" w:cs="Times New Roman"/>
          <w:i/>
          <w:iCs/>
        </w:rPr>
        <w:t>Era of Good Stealings</w:t>
      </w:r>
      <w:r w:rsidRPr="002318C9">
        <w:rPr>
          <w:rFonts w:ascii="Times New Roman" w:hAnsi="Times New Roman" w:cs="Times New Roman"/>
        </w:rPr>
        <w:t xml:space="preserve">; Summers, </w:t>
      </w:r>
      <w:r w:rsidRPr="002318C9">
        <w:rPr>
          <w:rFonts w:ascii="Times New Roman" w:hAnsi="Times New Roman" w:cs="Times New Roman"/>
          <w:i/>
          <w:iCs/>
        </w:rPr>
        <w:t>Party Games</w:t>
      </w:r>
      <w:r w:rsidRPr="002318C9">
        <w:rPr>
          <w:rFonts w:ascii="Times New Roman" w:hAnsi="Times New Roman" w:cs="Times New Roman"/>
        </w:rPr>
        <w:t>; Lessoff</w:t>
      </w:r>
      <w:r w:rsidR="00706724">
        <w:rPr>
          <w:rFonts w:ascii="Times New Roman" w:hAnsi="Times New Roman" w:cs="Times New Roman"/>
        </w:rPr>
        <w:t xml:space="preserve">, </w:t>
      </w:r>
      <w:r w:rsidR="00706724">
        <w:rPr>
          <w:rFonts w:ascii="Times New Roman" w:hAnsi="Times New Roman" w:cs="Times New Roman"/>
          <w:i/>
          <w:iCs/>
        </w:rPr>
        <w:t>The Nation and Its City</w:t>
      </w:r>
      <w:r w:rsidRPr="002318C9">
        <w:rPr>
          <w:rFonts w:ascii="Times New Roman" w:hAnsi="Times New Roman" w:cs="Times New Roman"/>
        </w:rPr>
        <w:t>; 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p>
  </w:footnote>
  <w:footnote w:id="907">
    <w:p w14:paraId="2F8B636C" w14:textId="605CBA4E" w:rsidR="002D394D" w:rsidRPr="005A0F3A" w:rsidRDefault="002D394D" w:rsidP="002D394D">
      <w:pPr>
        <w:pStyle w:val="FootnoteText"/>
        <w:rPr>
          <w:rFonts w:ascii="Times New Roman" w:hAnsi="Times New Roman" w:cs="Times New Roman"/>
          <w:sz w:val="16"/>
          <w:szCs w:val="16"/>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Richardson</w:t>
      </w:r>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Pr="002318C9">
        <w:rPr>
          <w:rFonts w:ascii="Times New Roman" w:hAnsi="Times New Roman" w:cs="Times New Roman"/>
        </w:rPr>
        <w:t>; Abbott; Maury</w:t>
      </w:r>
      <w:r w:rsidR="005A0F3A">
        <w:rPr>
          <w:rFonts w:ascii="Times New Roman" w:hAnsi="Times New Roman" w:cs="Times New Roman"/>
        </w:rPr>
        <w:t xml:space="preserve">, </w:t>
      </w:r>
      <w:r w:rsidR="005A0F3A" w:rsidRPr="005A0F3A">
        <w:rPr>
          <w:rFonts w:ascii="Times New Roman" w:hAnsi="Times New Roman" w:cs="Times New Roman"/>
          <w:i/>
          <w:iCs/>
          <w:szCs w:val="16"/>
        </w:rPr>
        <w:t>“Boss” Shepherd and the Board of Public Works</w:t>
      </w:r>
    </w:p>
  </w:footnote>
  <w:footnote w:id="908">
    <w:p w14:paraId="3B84C4D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48" w:name="_Hlk130723357"/>
      <w:r w:rsidRPr="002318C9">
        <w:rPr>
          <w:rFonts w:ascii="Times New Roman" w:hAnsi="Times New Roman" w:cs="Times New Roman"/>
          <w:i/>
          <w:iCs/>
        </w:rPr>
        <w:t>Frank Leslie’s Illustrated Weekly</w:t>
      </w:r>
      <w:r w:rsidRPr="002318C9">
        <w:rPr>
          <w:rFonts w:ascii="Times New Roman" w:hAnsi="Times New Roman" w:cs="Times New Roman"/>
        </w:rPr>
        <w:t>, February 19, 1876</w:t>
      </w:r>
      <w:bookmarkEnd w:id="48"/>
    </w:p>
  </w:footnote>
  <w:footnote w:id="909">
    <w:p w14:paraId="6F7F7D95"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Frank Leslie’s Illustrated Weekly</w:t>
      </w:r>
      <w:r w:rsidRPr="002318C9">
        <w:rPr>
          <w:rFonts w:ascii="Times New Roman" w:hAnsi="Times New Roman" w:cs="Times New Roman"/>
        </w:rPr>
        <w:t>, February 19, 1876</w:t>
      </w:r>
    </w:p>
  </w:footnote>
  <w:footnote w:id="910">
    <w:p w14:paraId="5B504737" w14:textId="77777777" w:rsidR="005D6D15" w:rsidRPr="002318C9" w:rsidRDefault="005D6D15" w:rsidP="005D6D1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Frank Leslie’s Illustrated Weekly</w:t>
      </w:r>
      <w:r w:rsidRPr="002318C9">
        <w:rPr>
          <w:rFonts w:ascii="Times New Roman" w:hAnsi="Times New Roman" w:cs="Times New Roman"/>
        </w:rPr>
        <w:t>, February 19, 1876</w:t>
      </w:r>
    </w:p>
  </w:footnote>
  <w:footnote w:id="911">
    <w:p w14:paraId="0901C068"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Frank Leslie’s Illustrated Weekly</w:t>
      </w:r>
      <w:r w:rsidRPr="002318C9">
        <w:rPr>
          <w:rFonts w:ascii="Times New Roman" w:hAnsi="Times New Roman" w:cs="Times New Roman"/>
        </w:rPr>
        <w:t>, February 19, 1876; in the cartoon, the Grant-dog portrayal has a collar around his neck naming him “Caesar”</w:t>
      </w:r>
    </w:p>
  </w:footnote>
  <w:footnote w:id="912">
    <w:p w14:paraId="233F1240" w14:textId="65053E73" w:rsidR="002D394D" w:rsidRPr="009D5078" w:rsidRDefault="002D394D" w:rsidP="009D5078">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006DB">
        <w:rPr>
          <w:rFonts w:ascii="Times New Roman" w:hAnsi="Times New Roman" w:cs="Times New Roman"/>
        </w:rPr>
        <w:t xml:space="preserve">Mark Wahlgren </w:t>
      </w:r>
      <w:r w:rsidR="009D5078" w:rsidRPr="009D5078">
        <w:rPr>
          <w:rFonts w:ascii="Times New Roman" w:hAnsi="Times New Roman" w:cs="Times New Roman"/>
        </w:rPr>
        <w:t xml:space="preserve">Summers, </w:t>
      </w:r>
      <w:r w:rsidR="009D5078" w:rsidRPr="009D5078">
        <w:rPr>
          <w:rFonts w:ascii="Times New Roman" w:hAnsi="Times New Roman" w:cs="Times New Roman"/>
          <w:i/>
          <w:iCs/>
        </w:rPr>
        <w:t>The Era of Good Stealings</w:t>
      </w:r>
      <w:r w:rsidR="009D5078" w:rsidRPr="009D5078">
        <w:rPr>
          <w:rFonts w:ascii="Times New Roman" w:hAnsi="Times New Roman" w:cs="Times New Roman"/>
        </w:rPr>
        <w:t>. New York, NY: Oxford University, 1993.</w:t>
      </w:r>
      <w:r w:rsidR="009D5078">
        <w:rPr>
          <w:rFonts w:ascii="Times New Roman" w:hAnsi="Times New Roman" w:cs="Times New Roman"/>
        </w:rPr>
        <w:t xml:space="preserve"> </w:t>
      </w:r>
      <w:r w:rsidRPr="009D5078">
        <w:rPr>
          <w:rFonts w:ascii="Times New Roman" w:hAnsi="Times New Roman" w:cs="Times New Roman"/>
        </w:rPr>
        <w:t>251</w:t>
      </w:r>
    </w:p>
  </w:footnote>
  <w:footnote w:id="913">
    <w:p w14:paraId="45ABEB21"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 </w:t>
      </w:r>
      <w:r w:rsidRPr="002318C9">
        <w:rPr>
          <w:rFonts w:ascii="Times New Roman" w:hAnsi="Times New Roman" w:cs="Times New Roman"/>
          <w:i/>
          <w:iCs/>
        </w:rPr>
        <w:t>Era of Good Stealings</w:t>
      </w:r>
      <w:r w:rsidRPr="002318C9">
        <w:rPr>
          <w:rFonts w:ascii="Times New Roman" w:hAnsi="Times New Roman" w:cs="Times New Roman"/>
        </w:rPr>
        <w:t>, 245-248</w:t>
      </w:r>
    </w:p>
  </w:footnote>
  <w:footnote w:id="914">
    <w:p w14:paraId="6F682E9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 </w:t>
      </w:r>
      <w:r w:rsidRPr="002318C9">
        <w:rPr>
          <w:rFonts w:ascii="Times New Roman" w:hAnsi="Times New Roman" w:cs="Times New Roman"/>
          <w:i/>
          <w:iCs/>
        </w:rPr>
        <w:t>Era of Good Stealings</w:t>
      </w:r>
      <w:r w:rsidRPr="002318C9">
        <w:rPr>
          <w:rFonts w:ascii="Times New Roman" w:hAnsi="Times New Roman" w:cs="Times New Roman"/>
        </w:rPr>
        <w:t>, 249-259</w:t>
      </w:r>
    </w:p>
  </w:footnote>
  <w:footnote w:id="915">
    <w:p w14:paraId="0ACF923A"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 </w:t>
      </w:r>
      <w:r w:rsidRPr="002318C9">
        <w:rPr>
          <w:rFonts w:ascii="Times New Roman" w:hAnsi="Times New Roman" w:cs="Times New Roman"/>
          <w:i/>
          <w:iCs/>
        </w:rPr>
        <w:t>Era of Good Stealings</w:t>
      </w:r>
      <w:r w:rsidRPr="002318C9">
        <w:rPr>
          <w:rFonts w:ascii="Times New Roman" w:hAnsi="Times New Roman" w:cs="Times New Roman"/>
        </w:rPr>
        <w:t>, 244</w:t>
      </w:r>
    </w:p>
  </w:footnote>
  <w:footnote w:id="916">
    <w:p w14:paraId="008B4092" w14:textId="77777777" w:rsidR="00DB11CE" w:rsidRPr="002318C9" w:rsidRDefault="00DB11CE" w:rsidP="00DB11CE">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50" w:name="_Hlk130301297"/>
      <w:r w:rsidRPr="002318C9">
        <w:rPr>
          <w:rFonts w:ascii="Times New Roman" w:hAnsi="Times New Roman" w:cs="Times New Roman"/>
          <w:i/>
          <w:iCs/>
        </w:rPr>
        <w:t>Frank Leslie’s Illustrated Weekly</w:t>
      </w:r>
      <w:r w:rsidRPr="002318C9">
        <w:rPr>
          <w:rFonts w:ascii="Times New Roman" w:hAnsi="Times New Roman" w:cs="Times New Roman"/>
        </w:rPr>
        <w:t>, February 19, 1876</w:t>
      </w:r>
      <w:bookmarkEnd w:id="50"/>
    </w:p>
  </w:footnote>
  <w:footnote w:id="917">
    <w:p w14:paraId="58295FDC"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Summers, </w:t>
      </w:r>
      <w:r w:rsidRPr="002318C9">
        <w:rPr>
          <w:rFonts w:ascii="Times New Roman" w:hAnsi="Times New Roman" w:cs="Times New Roman"/>
          <w:i/>
          <w:iCs/>
        </w:rPr>
        <w:t>Era of Good Stealings</w:t>
      </w:r>
      <w:r w:rsidRPr="002318C9">
        <w:rPr>
          <w:rFonts w:ascii="Times New Roman" w:hAnsi="Times New Roman" w:cs="Times New Roman"/>
        </w:rPr>
        <w:t>, 242-262</w:t>
      </w:r>
    </w:p>
  </w:footnote>
  <w:footnote w:id="918">
    <w:p w14:paraId="464F5BE1"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51" w:name="_Hlk130901066"/>
      <w:r w:rsidRPr="002318C9">
        <w:rPr>
          <w:rFonts w:ascii="Times New Roman" w:hAnsi="Times New Roman" w:cs="Times New Roman"/>
        </w:rPr>
        <w:t xml:space="preserve">Summers </w:t>
      </w:r>
      <w:r w:rsidRPr="002318C9">
        <w:rPr>
          <w:rFonts w:ascii="Times New Roman" w:hAnsi="Times New Roman" w:cs="Times New Roman"/>
          <w:i/>
          <w:iCs/>
        </w:rPr>
        <w:t>Era of Good Stealings</w:t>
      </w:r>
      <w:r w:rsidRPr="002318C9">
        <w:rPr>
          <w:rFonts w:ascii="Times New Roman" w:hAnsi="Times New Roman" w:cs="Times New Roman"/>
        </w:rPr>
        <w:t xml:space="preserve"> 244-258</w:t>
      </w:r>
    </w:p>
    <w:bookmarkEnd w:id="51"/>
  </w:footnote>
  <w:footnote w:id="919">
    <w:p w14:paraId="3D26F987" w14:textId="77777777" w:rsidR="00DB11CE" w:rsidRPr="009D5078" w:rsidRDefault="00DB11CE" w:rsidP="00DB11CE">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 xml:space="preserve">Charles W. </w:t>
      </w:r>
      <w:r w:rsidRPr="009D5078">
        <w:rPr>
          <w:rFonts w:ascii="Times New Roman" w:hAnsi="Times New Roman" w:cs="Times New Roman"/>
        </w:rPr>
        <w:t xml:space="preserve">Calhoun, </w:t>
      </w:r>
      <w:r w:rsidRPr="009D5078">
        <w:rPr>
          <w:rFonts w:ascii="Times New Roman" w:hAnsi="Times New Roman" w:cs="Times New Roman"/>
          <w:i/>
          <w:iCs/>
        </w:rPr>
        <w:t>The Presidency of Ulysses S. Grant</w:t>
      </w:r>
      <w:r w:rsidRPr="009D5078">
        <w:rPr>
          <w:rFonts w:ascii="Times New Roman" w:hAnsi="Times New Roman" w:cs="Times New Roman"/>
        </w:rPr>
        <w:t>. Lawrence, KS: University Press of Kansas, 2017.</w:t>
      </w:r>
      <w:r>
        <w:rPr>
          <w:rFonts w:ascii="Times New Roman" w:hAnsi="Times New Roman" w:cs="Times New Roman"/>
        </w:rPr>
        <w:t xml:space="preserve"> </w:t>
      </w:r>
      <w:r w:rsidRPr="009D5078">
        <w:rPr>
          <w:rFonts w:ascii="Times New Roman" w:hAnsi="Times New Roman" w:cs="Times New Roman"/>
        </w:rPr>
        <w:t>537-539</w:t>
      </w:r>
    </w:p>
  </w:footnote>
  <w:footnote w:id="920">
    <w:p w14:paraId="1B3F761A" w14:textId="77777777" w:rsidR="00DB11CE" w:rsidRPr="002318C9" w:rsidRDefault="00DB11CE" w:rsidP="00DB11CE">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52" w:name="_Hlk131242537"/>
      <w:r>
        <w:rPr>
          <w:rFonts w:ascii="Times New Roman" w:hAnsi="Times New Roman" w:cs="Times New Roman"/>
        </w:rPr>
        <w:t>Ibid</w:t>
      </w:r>
      <w:bookmarkEnd w:id="52"/>
    </w:p>
  </w:footnote>
  <w:footnote w:id="921">
    <w:p w14:paraId="29AAB073" w14:textId="77777777" w:rsidR="00DB11CE" w:rsidRPr="002318C9" w:rsidRDefault="00DB11CE" w:rsidP="00DB11CE">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Ibid;</w:t>
      </w:r>
      <w:r w:rsidRPr="002D684A">
        <w:rPr>
          <w:rFonts w:ascii="Times New Roman" w:hAnsi="Times New Roman" w:cs="Times New Roman"/>
        </w:rPr>
        <w:t xml:space="preserve"> </w:t>
      </w:r>
      <w:r>
        <w:rPr>
          <w:rFonts w:ascii="Times New Roman" w:hAnsi="Times New Roman" w:cs="Times New Roman"/>
        </w:rPr>
        <w:t>Horace White to Carl Schurz, March 10, 1876, Carl Schurz Papers, Library of Congress; Charles Nordoff to Carl Schurz, March 8, 1876, Carl Schurz Papers</w:t>
      </w:r>
    </w:p>
  </w:footnote>
  <w:footnote w:id="922">
    <w:p w14:paraId="348975A5"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As previously discussed, the District Ring used their positions as high-ranking members of Washington Society to accomplish goals both for the public and their own personal benefits.  In addition to coverage from Chapter Three, for more on the District Ring, consider: John P. Richardson, </w:t>
      </w:r>
      <w:r w:rsidRPr="002318C9">
        <w:rPr>
          <w:rFonts w:ascii="Times New Roman" w:hAnsi="Times New Roman" w:cs="Times New Roman"/>
          <w:i/>
          <w:iCs/>
        </w:rPr>
        <w:t>Alexander Robey Shepherd: The Man Who Built the Nation’s Capital</w:t>
      </w:r>
      <w:r w:rsidRPr="002318C9">
        <w:rPr>
          <w:rFonts w:ascii="Times New Roman" w:hAnsi="Times New Roman" w:cs="Times New Roman"/>
        </w:rPr>
        <w:t xml:space="preserve">. Athens: Ohio University Press, 2016; Boynton, “The Washington Safe Burglary Conspiracy.”; Alan Lessoff, </w:t>
      </w:r>
      <w:r w:rsidRPr="002318C9">
        <w:rPr>
          <w:rFonts w:ascii="Times New Roman" w:hAnsi="Times New Roman" w:cs="Times New Roman"/>
          <w:i/>
          <w:iCs/>
        </w:rPr>
        <w:t>The Nation and Its City: Politics, Corruption and Progress in Washington, D.C., 1861-1902</w:t>
      </w:r>
      <w:r w:rsidRPr="002318C9">
        <w:rPr>
          <w:rFonts w:ascii="Times New Roman" w:hAnsi="Times New Roman" w:cs="Times New Roman"/>
        </w:rPr>
        <w:t xml:space="preserve">. Baltimore: Johns Hopkins University Press, 1994; </w:t>
      </w:r>
      <w:r w:rsidRPr="002318C9">
        <w:rPr>
          <w:rFonts w:ascii="Times New Roman" w:hAnsi="Times New Roman" w:cs="Times New Roman"/>
          <w:i/>
          <w:iCs/>
        </w:rPr>
        <w:t>More About The Washington Tammany: Its Tool in Congress Unmasked, Letter From John H. Crane to Norton P. Chapman, Delegate in Congress from the District of Columbia, In Which the Frauds of the District Ring are Shown Up, and the Mendacious Falsehoods of Their Delegate in Congress Exposed</w:t>
      </w:r>
      <w:r w:rsidRPr="002318C9">
        <w:rPr>
          <w:rFonts w:ascii="Times New Roman" w:hAnsi="Times New Roman" w:cs="Times New Roman"/>
        </w:rPr>
        <w:t>. Washington: Harvard University, February 21, 1873.</w:t>
      </w:r>
    </w:p>
  </w:footnote>
  <w:footnote w:id="923">
    <w:p w14:paraId="18730DF7"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more on the Tweed Ring, also referred to as Tammany Hall for its physical headquarters in New York, consider: Terry Golway, </w:t>
      </w:r>
      <w:r w:rsidRPr="002318C9">
        <w:rPr>
          <w:rFonts w:ascii="Times New Roman" w:hAnsi="Times New Roman" w:cs="Times New Roman"/>
          <w:i/>
          <w:iCs/>
        </w:rPr>
        <w:t>Machine Made: Tammany Hall and the Creation of Modern American Politics</w:t>
      </w:r>
      <w:r w:rsidRPr="002318C9">
        <w:rPr>
          <w:rFonts w:ascii="Times New Roman" w:hAnsi="Times New Roman" w:cs="Times New Roman"/>
        </w:rPr>
        <w:t xml:space="preserve">. New York: Liveright, 2014; Samuel Jones Tilden, “The New York City Ring: It’s Origin, Maturity, and Fall“ (first published 1873), in </w:t>
      </w:r>
      <w:r w:rsidRPr="002318C9">
        <w:rPr>
          <w:rFonts w:ascii="Times New Roman" w:hAnsi="Times New Roman" w:cs="Times New Roman"/>
          <w:i/>
          <w:iCs/>
        </w:rPr>
        <w:t>The Writing and Speeches of Samuel J. Tilden</w:t>
      </w:r>
      <w:r w:rsidRPr="002318C9">
        <w:rPr>
          <w:rFonts w:ascii="Times New Roman" w:hAnsi="Times New Roman" w:cs="Times New Roman"/>
        </w:rPr>
        <w:t xml:space="preserve">, vol. 1, ed. John Bigelow (New York: Harper &amp; Brothers, 1885); and Oliver E. Allen, </w:t>
      </w:r>
      <w:r w:rsidRPr="002318C9">
        <w:rPr>
          <w:rFonts w:ascii="Times New Roman" w:hAnsi="Times New Roman" w:cs="Times New Roman"/>
          <w:i/>
          <w:iCs/>
        </w:rPr>
        <w:t>The Tiger: The Rise and Fall of Tammany Hall</w:t>
      </w:r>
      <w:r w:rsidRPr="002318C9">
        <w:rPr>
          <w:rFonts w:ascii="Times New Roman" w:hAnsi="Times New Roman" w:cs="Times New Roman"/>
        </w:rPr>
        <w:t>. Boston: Da Copo Press, 1993.</w:t>
      </w:r>
    </w:p>
  </w:footnote>
  <w:footnote w:id="924">
    <w:p w14:paraId="10EB7A1A"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Here I use the term as presented by Jeffrey Broxmeyer (who based the term in Max Weber’s discussion of accumulation of riches by plunder) in his investigation of “Rings” as volatile forms of governance. </w:t>
      </w:r>
      <w:bookmarkStart w:id="53" w:name="_Hlk70681986"/>
      <w:r w:rsidRPr="002318C9">
        <w:rPr>
          <w:rFonts w:ascii="Times New Roman" w:hAnsi="Times New Roman" w:cs="Times New Roman"/>
        </w:rPr>
        <w:t xml:space="preserve">Jeffrey D. </w:t>
      </w:r>
      <w:bookmarkStart w:id="54" w:name="_Hlk70682102"/>
      <w:r w:rsidRPr="002318C9">
        <w:rPr>
          <w:rFonts w:ascii="Times New Roman" w:hAnsi="Times New Roman" w:cs="Times New Roman"/>
        </w:rPr>
        <w:t>Broxmeyer, “Bringing The ‘Ring’ Back In</w:t>
      </w:r>
      <w:bookmarkEnd w:id="54"/>
      <w:r w:rsidRPr="002318C9">
        <w:rPr>
          <w:rFonts w:ascii="Times New Roman" w:hAnsi="Times New Roman" w:cs="Times New Roman"/>
        </w:rPr>
        <w:t xml:space="preserve">: The Politics Of Booty Capitalism.” </w:t>
      </w:r>
      <w:r w:rsidRPr="002318C9">
        <w:rPr>
          <w:rFonts w:ascii="Times New Roman" w:hAnsi="Times New Roman" w:cs="Times New Roman"/>
          <w:i/>
          <w:iCs/>
        </w:rPr>
        <w:t>The Journal of the Gilded Age and Progressive Era</w:t>
      </w:r>
      <w:r w:rsidRPr="002318C9">
        <w:rPr>
          <w:rFonts w:ascii="Times New Roman" w:hAnsi="Times New Roman" w:cs="Times New Roman"/>
        </w:rPr>
        <w:t xml:space="preserve"> 19, no. 2 (2020): 235–245.</w:t>
      </w:r>
      <w:bookmarkEnd w:id="53"/>
    </w:p>
  </w:footnote>
  <w:footnote w:id="925">
    <w:p w14:paraId="34B7E1DB"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Broxmeyer, “Bringing The ‘Ring’ Back In” 236</w:t>
      </w:r>
    </w:p>
  </w:footnote>
  <w:footnote w:id="926">
    <w:p w14:paraId="0D60610F"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56" w:name="_Hlk131243495"/>
      <w:r w:rsidRPr="002318C9">
        <w:rPr>
          <w:rFonts w:ascii="Times New Roman" w:hAnsi="Times New Roman" w:cs="Times New Roman"/>
        </w:rPr>
        <w:t>Tilden, “The New York City Ring,” 561</w:t>
      </w:r>
    </w:p>
    <w:bookmarkEnd w:id="56"/>
  </w:footnote>
  <w:footnote w:id="927">
    <w:p w14:paraId="45782F67"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Tilden, “The New York City Ring,” 561</w:t>
      </w:r>
    </w:p>
  </w:footnote>
  <w:footnote w:id="928">
    <w:p w14:paraId="2EBF49AD"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Broxmeyer, “Bringing The ‘Ring’ Back In” 236</w:t>
      </w:r>
    </w:p>
  </w:footnote>
  <w:footnote w:id="929">
    <w:p w14:paraId="7B7A41B8"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Broxmeyer, “Bringing The ‘Ring’ Back In”; McDonald, </w:t>
      </w:r>
      <w:r w:rsidRPr="002318C9">
        <w:rPr>
          <w:rFonts w:ascii="Times New Roman" w:hAnsi="Times New Roman" w:cs="Times New Roman"/>
          <w:i/>
          <w:iCs/>
        </w:rPr>
        <w:t>Secrets of the Great Whiskey Ring</w:t>
      </w:r>
    </w:p>
  </w:footnote>
  <w:footnote w:id="930">
    <w:p w14:paraId="1C3821D0" w14:textId="06B04529" w:rsidR="002D394D" w:rsidRPr="009D5078" w:rsidRDefault="002D394D" w:rsidP="009D5078">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D5078">
        <w:rPr>
          <w:rFonts w:ascii="Times New Roman" w:hAnsi="Times New Roman" w:cs="Times New Roman"/>
        </w:rPr>
        <w:t xml:space="preserve">Gen. John </w:t>
      </w:r>
      <w:r w:rsidR="009D5078" w:rsidRPr="009D5078">
        <w:rPr>
          <w:rFonts w:ascii="Times New Roman" w:hAnsi="Times New Roman" w:cs="Times New Roman"/>
        </w:rPr>
        <w:t xml:space="preserve">McDonald, </w:t>
      </w:r>
      <w:r w:rsidR="009D5078" w:rsidRPr="009D5078">
        <w:rPr>
          <w:rFonts w:ascii="Times New Roman" w:hAnsi="Times New Roman" w:cs="Times New Roman"/>
          <w:i/>
          <w:iCs/>
        </w:rPr>
        <w:t>Secrets of the Great Whiskey Ring: And Eighteen Months in the Penitentiary. Containing a Complete Exposure of the Illicit Whiskey Frauds Culminating in 1875, with Documentary Proofs. to which is Added the Author's Remarkable Experiences while a Convict in the Missouri Penitentiary, at Jefferson City</w:t>
      </w:r>
      <w:r w:rsidR="009D5078" w:rsidRPr="009D5078">
        <w:rPr>
          <w:rFonts w:ascii="Times New Roman" w:hAnsi="Times New Roman" w:cs="Times New Roman"/>
        </w:rPr>
        <w:t>. St. Louis, Mo: W. S. Bryan, 1880</w:t>
      </w:r>
      <w:r w:rsidRPr="009D5078">
        <w:rPr>
          <w:rFonts w:ascii="Times New Roman" w:hAnsi="Times New Roman" w:cs="Times New Roman"/>
        </w:rPr>
        <w:t xml:space="preserve">; Golway, </w:t>
      </w:r>
      <w:r w:rsidRPr="009D5078">
        <w:rPr>
          <w:rFonts w:ascii="Times New Roman" w:hAnsi="Times New Roman" w:cs="Times New Roman"/>
          <w:i/>
          <w:iCs/>
        </w:rPr>
        <w:t>Machine Made</w:t>
      </w:r>
    </w:p>
  </w:footnote>
  <w:footnote w:id="931">
    <w:p w14:paraId="3075E6AE"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57" w:name="_Hlk131242972"/>
      <w:r w:rsidRPr="002318C9">
        <w:rPr>
          <w:rFonts w:ascii="Times New Roman" w:hAnsi="Times New Roman" w:cs="Times New Roman"/>
        </w:rPr>
        <w:t>Boynton, “The Washington Safe Burglary Conspiracy.”</w:t>
      </w:r>
      <w:bookmarkEnd w:id="57"/>
    </w:p>
  </w:footnote>
  <w:footnote w:id="932">
    <w:p w14:paraId="361F6AF1"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More About The Washington Tammany</w:t>
      </w:r>
    </w:p>
  </w:footnote>
  <w:footnote w:id="933">
    <w:p w14:paraId="6E566F3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Golway, </w:t>
      </w:r>
      <w:r w:rsidRPr="002318C9">
        <w:rPr>
          <w:rFonts w:ascii="Times New Roman" w:hAnsi="Times New Roman" w:cs="Times New Roman"/>
          <w:i/>
          <w:iCs/>
        </w:rPr>
        <w:t>Machine Made.</w:t>
      </w:r>
    </w:p>
  </w:footnote>
  <w:footnote w:id="934">
    <w:p w14:paraId="04F4D498" w14:textId="77777777" w:rsidR="002D394D" w:rsidRPr="002318C9" w:rsidRDefault="002D394D" w:rsidP="002D394D">
      <w:pPr>
        <w:pStyle w:val="FootnoteText"/>
        <w:rPr>
          <w:rFonts w:ascii="Times New Roman" w:hAnsi="Times New Roman" w:cs="Times New Roman"/>
          <w:b/>
          <w:bCs/>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McDonald, </w:t>
      </w:r>
      <w:r w:rsidRPr="002318C9">
        <w:rPr>
          <w:rFonts w:ascii="Times New Roman" w:hAnsi="Times New Roman" w:cs="Times New Roman"/>
          <w:i/>
          <w:iCs/>
        </w:rPr>
        <w:t>Secrets of the Great Whiskey Ring</w:t>
      </w:r>
      <w:r w:rsidRPr="002318C9">
        <w:rPr>
          <w:rFonts w:ascii="Times New Roman" w:hAnsi="Times New Roman" w:cs="Times New Roman"/>
        </w:rPr>
        <w:t xml:space="preserve">; Kenneth D. Ackerman, </w:t>
      </w:r>
      <w:r w:rsidRPr="002318C9">
        <w:rPr>
          <w:rFonts w:ascii="Times New Roman" w:hAnsi="Times New Roman" w:cs="Times New Roman"/>
          <w:i/>
          <w:iCs/>
        </w:rPr>
        <w:t>The Gold Ring: Jim Fisk Jay Gould, and Black Friday, 1869.</w:t>
      </w:r>
      <w:r w:rsidRPr="002318C9">
        <w:rPr>
          <w:rFonts w:ascii="Times New Roman" w:hAnsi="Times New Roman" w:cs="Times New Roman"/>
        </w:rPr>
        <w:t xml:space="preserve"> New York: Harper and Row, 2004.</w:t>
      </w:r>
    </w:p>
  </w:footnote>
  <w:footnote w:id="935">
    <w:p w14:paraId="3F8C6F69"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Mark Wahlgren Summers, </w:t>
      </w:r>
      <w:r w:rsidRPr="002318C9">
        <w:rPr>
          <w:rFonts w:ascii="Times New Roman" w:hAnsi="Times New Roman" w:cs="Times New Roman"/>
          <w:i/>
          <w:iCs/>
        </w:rPr>
        <w:t>Railroads, Reconstruction, and the Gospel of Prosperity: Aid Under the Radical Republicans, 1865-1877.</w:t>
      </w:r>
      <w:r w:rsidRPr="002318C9">
        <w:rPr>
          <w:rFonts w:ascii="Times New Roman" w:hAnsi="Times New Roman" w:cs="Times New Roman"/>
        </w:rPr>
        <w:t xml:space="preserve"> Princeton: Princeton University Press, 1984; Hermon King Murphey, “The Northern Railroads and the Civil War,” The Mississippi Valley Historical Review, 5, No. 3 (Dec., 1918), pp. 324-338</w:t>
      </w:r>
    </w:p>
  </w:footnote>
  <w:footnote w:id="936">
    <w:p w14:paraId="099ADEB9"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Lessoff, </w:t>
      </w:r>
      <w:r w:rsidRPr="002318C9">
        <w:rPr>
          <w:rFonts w:ascii="Times New Roman" w:hAnsi="Times New Roman" w:cs="Times New Roman"/>
          <w:i/>
          <w:iCs/>
        </w:rPr>
        <w:t>The Nation and Its City</w:t>
      </w:r>
    </w:p>
  </w:footnote>
  <w:footnote w:id="937">
    <w:p w14:paraId="155F0EF0"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Kenneth J. Winkle, </w:t>
      </w:r>
      <w:r w:rsidRPr="002318C9">
        <w:rPr>
          <w:rFonts w:ascii="Times New Roman" w:hAnsi="Times New Roman" w:cs="Times New Roman"/>
          <w:i/>
          <w:iCs/>
        </w:rPr>
        <w:t>Lincoln’s Citadel: The Civil War in Washington DC.</w:t>
      </w:r>
      <w:r w:rsidRPr="002318C9">
        <w:rPr>
          <w:rFonts w:ascii="Times New Roman" w:hAnsi="Times New Roman" w:cs="Times New Roman"/>
        </w:rPr>
        <w:t xml:space="preserve"> New York: WW Norton and Company, 2014.</w:t>
      </w:r>
    </w:p>
  </w:footnote>
  <w:footnote w:id="938">
    <w:p w14:paraId="7ACCDBB6"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58" w:name="_Hlk70684289"/>
      <w:r w:rsidRPr="002318C9">
        <w:rPr>
          <w:rFonts w:ascii="Times New Roman" w:hAnsi="Times New Roman" w:cs="Times New Roman"/>
        </w:rPr>
        <w:t xml:space="preserve">J.D. </w:t>
      </w:r>
      <w:bookmarkStart w:id="59" w:name="_Hlk70684332"/>
      <w:r w:rsidRPr="002318C9">
        <w:rPr>
          <w:rFonts w:ascii="Times New Roman" w:hAnsi="Times New Roman" w:cs="Times New Roman"/>
        </w:rPr>
        <w:t xml:space="preserve">Dickey, </w:t>
      </w:r>
      <w:r w:rsidRPr="002318C9">
        <w:rPr>
          <w:rFonts w:ascii="Times New Roman" w:hAnsi="Times New Roman" w:cs="Times New Roman"/>
          <w:i/>
          <w:iCs/>
        </w:rPr>
        <w:t>Empire of Mud</w:t>
      </w:r>
      <w:bookmarkEnd w:id="59"/>
      <w:r w:rsidRPr="002318C9">
        <w:rPr>
          <w:rFonts w:ascii="Times New Roman" w:hAnsi="Times New Roman" w:cs="Times New Roman"/>
          <w:i/>
          <w:iCs/>
        </w:rPr>
        <w:t>: The Secret History of Washington, DC</w:t>
      </w:r>
      <w:r w:rsidRPr="002318C9">
        <w:rPr>
          <w:rFonts w:ascii="Times New Roman" w:hAnsi="Times New Roman" w:cs="Times New Roman"/>
        </w:rPr>
        <w:t>. Guilford, CT: Lyons Press, 2014</w:t>
      </w:r>
      <w:bookmarkEnd w:id="58"/>
      <w:r w:rsidRPr="002318C9">
        <w:rPr>
          <w:rFonts w:ascii="Times New Roman" w:hAnsi="Times New Roman" w:cs="Times New Roman"/>
        </w:rPr>
        <w:t xml:space="preserve">; Lessoff, </w:t>
      </w:r>
      <w:r w:rsidRPr="002318C9">
        <w:rPr>
          <w:rFonts w:ascii="Times New Roman" w:hAnsi="Times New Roman" w:cs="Times New Roman"/>
          <w:i/>
          <w:iCs/>
        </w:rPr>
        <w:t>The Nation and Its City</w:t>
      </w:r>
    </w:p>
  </w:footnote>
  <w:footnote w:id="939">
    <w:p w14:paraId="2015BCBF" w14:textId="24B4FB3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The Governor of Washington, D.C. </w:t>
      </w:r>
      <w:r w:rsidR="00A967C7">
        <w:rPr>
          <w:rFonts w:ascii="Times New Roman" w:hAnsi="Times New Roman" w:cs="Times New Roman"/>
        </w:rPr>
        <w:t>wa</w:t>
      </w:r>
      <w:r w:rsidRPr="002318C9">
        <w:rPr>
          <w:rFonts w:ascii="Times New Roman" w:hAnsi="Times New Roman" w:cs="Times New Roman"/>
        </w:rPr>
        <w:t>s a unique position within the American governance system, as this elected official serve</w:t>
      </w:r>
      <w:r w:rsidR="00A967C7">
        <w:rPr>
          <w:rFonts w:ascii="Times New Roman" w:hAnsi="Times New Roman" w:cs="Times New Roman"/>
        </w:rPr>
        <w:t>d</w:t>
      </w:r>
      <w:r w:rsidRPr="002318C9">
        <w:rPr>
          <w:rFonts w:ascii="Times New Roman" w:hAnsi="Times New Roman" w:cs="Times New Roman"/>
        </w:rPr>
        <w:t xml:space="preserve"> simultaneously as governor, mayor, and county executive.  They </w:t>
      </w:r>
      <w:r w:rsidR="00A967C7">
        <w:rPr>
          <w:rFonts w:ascii="Times New Roman" w:hAnsi="Times New Roman" w:cs="Times New Roman"/>
        </w:rPr>
        <w:t>we</w:t>
      </w:r>
      <w:r w:rsidRPr="002318C9">
        <w:rPr>
          <w:rFonts w:ascii="Times New Roman" w:hAnsi="Times New Roman" w:cs="Times New Roman"/>
        </w:rPr>
        <w:t>re elected by the local constituency but hold a position with importance both in the local and national political landscapes.</w:t>
      </w:r>
    </w:p>
  </w:footnote>
  <w:footnote w:id="940">
    <w:p w14:paraId="7CF6A6F4" w14:textId="476CCB4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particularly 432; Shepherd’s involvement in nefarious actions while governor has been disputed by recent scholarship. However, his associations with men who were involved with the District Ring led to contemporary claims of corruption, which is why he warrants mention as at least a potential member of the Ring.  For recent scholarship that contrasts claims of impropriety by Shepherd, consider: </w:t>
      </w:r>
      <w:bookmarkStart w:id="60" w:name="_Hlk70684605"/>
      <w:bookmarkStart w:id="61" w:name="_Hlk70684645"/>
      <w:r w:rsidR="00ED0313">
        <w:rPr>
          <w:rFonts w:ascii="Times New Roman" w:hAnsi="Times New Roman" w:cs="Times New Roman"/>
        </w:rPr>
        <w:t xml:space="preserve">John </w:t>
      </w:r>
      <w:r w:rsidRPr="002318C9">
        <w:rPr>
          <w:rFonts w:ascii="Times New Roman" w:hAnsi="Times New Roman" w:cs="Times New Roman"/>
        </w:rPr>
        <w:t>Richardson</w:t>
      </w:r>
      <w:bookmarkEnd w:id="60"/>
      <w:bookmarkEnd w:id="61"/>
      <w:r w:rsidR="00ED0313">
        <w:rPr>
          <w:rFonts w:ascii="Times New Roman" w:hAnsi="Times New Roman" w:cs="Times New Roman"/>
        </w:rPr>
        <w:t xml:space="preserve">, </w:t>
      </w:r>
      <w:r w:rsidR="00ED0313" w:rsidRPr="00727FF1">
        <w:rPr>
          <w:rFonts w:ascii="Times New Roman" w:hAnsi="Times New Roman" w:cs="Times New Roman"/>
          <w:i/>
          <w:iCs/>
        </w:rPr>
        <w:t>Alexander Robey Shepherd</w:t>
      </w:r>
      <w:r w:rsidRPr="002318C9">
        <w:rPr>
          <w:rFonts w:ascii="Times New Roman" w:hAnsi="Times New Roman" w:cs="Times New Roman"/>
        </w:rPr>
        <w:t xml:space="preserve">; and </w:t>
      </w:r>
      <w:bookmarkStart w:id="62" w:name="_Hlk70684531"/>
      <w:r w:rsidRPr="002318C9">
        <w:rPr>
          <w:rFonts w:ascii="Times New Roman" w:hAnsi="Times New Roman" w:cs="Times New Roman"/>
        </w:rPr>
        <w:t>Zachary Klitzman, “Who’s the Boss?: Alexander Shepherd, the D.C. Territorial Government and the Boss Charge”. Master’s Dissertation, American University, 2016.</w:t>
      </w:r>
      <w:bookmarkEnd w:id="62"/>
      <w:r w:rsidRPr="002318C9">
        <w:rPr>
          <w:rFonts w:ascii="Times New Roman" w:hAnsi="Times New Roman" w:cs="Times New Roman"/>
        </w:rPr>
        <w:t xml:space="preserve">  For scholarship that implies Shepherd was involved in nefarious activities, consider Dickey, </w:t>
      </w:r>
      <w:r w:rsidRPr="002318C9">
        <w:rPr>
          <w:rFonts w:ascii="Times New Roman" w:hAnsi="Times New Roman" w:cs="Times New Roman"/>
          <w:i/>
          <w:iCs/>
        </w:rPr>
        <w:t>Empire of Mud.</w:t>
      </w:r>
    </w:p>
  </w:footnote>
  <w:footnote w:id="941">
    <w:p w14:paraId="1D6FC7FE"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particularly 416</w:t>
      </w:r>
    </w:p>
  </w:footnote>
  <w:footnote w:id="942">
    <w:p w14:paraId="64581DBC"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Clarvoe is the highest-ranking individual within the Metropolitan Police Department for whom we have records that implicate complicity in the District Ring and that was involved in the Safe Burglary Conspiracy. Boynton, “The Washington Safe Burglary Conspiracy,” 410-429; Henry E. Davis, "The Safe Burglary Case: An Episode and a Factor in the District's Development." </w:t>
      </w:r>
      <w:r w:rsidRPr="002318C9">
        <w:rPr>
          <w:rFonts w:ascii="Times New Roman" w:hAnsi="Times New Roman" w:cs="Times New Roman"/>
          <w:i/>
          <w:iCs/>
        </w:rPr>
        <w:t>Records of the Columbia Historical Society, Washington, D.C.</w:t>
      </w:r>
      <w:r w:rsidRPr="002318C9">
        <w:rPr>
          <w:rFonts w:ascii="Times New Roman" w:hAnsi="Times New Roman" w:cs="Times New Roman"/>
        </w:rPr>
        <w:t xml:space="preserve"> 25 (1923): 146</w:t>
      </w:r>
    </w:p>
  </w:footnote>
  <w:footnote w:id="943">
    <w:p w14:paraId="2379938F"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“150 Years of History." United States Secret Service. Accessed April 28, 2021. https://www.secretservice.gov/about/history/150-years.</w:t>
      </w:r>
    </w:p>
  </w:footnote>
  <w:footnote w:id="944">
    <w:p w14:paraId="0A1E9BC3"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Charles Lane, "In the 19th Century, A Different Secret Service, but Not Without Controversy." </w:t>
      </w:r>
      <w:r w:rsidRPr="002318C9">
        <w:rPr>
          <w:rFonts w:ascii="Times New Roman" w:hAnsi="Times New Roman" w:cs="Times New Roman"/>
          <w:i/>
          <w:iCs/>
        </w:rPr>
        <w:t>The Washington Post</w:t>
      </w:r>
      <w:r w:rsidRPr="002318C9">
        <w:rPr>
          <w:rFonts w:ascii="Times New Roman" w:hAnsi="Times New Roman" w:cs="Times New Roman"/>
        </w:rPr>
        <w:t xml:space="preserve">. October 01, 2014; </w:t>
      </w:r>
      <w:bookmarkStart w:id="63" w:name="_Hlk70685492"/>
      <w:r w:rsidRPr="002318C9">
        <w:rPr>
          <w:rFonts w:ascii="Times New Roman" w:hAnsi="Times New Roman" w:cs="Times New Roman"/>
        </w:rPr>
        <w:t xml:space="preserve">Charles </w:t>
      </w:r>
      <w:bookmarkStart w:id="64" w:name="_Hlk70685534"/>
      <w:r w:rsidRPr="002318C9">
        <w:rPr>
          <w:rFonts w:ascii="Times New Roman" w:hAnsi="Times New Roman" w:cs="Times New Roman"/>
        </w:rPr>
        <w:t xml:space="preserve">Lane, </w:t>
      </w:r>
      <w:r w:rsidRPr="002318C9">
        <w:rPr>
          <w:rFonts w:ascii="Times New Roman" w:hAnsi="Times New Roman" w:cs="Times New Roman"/>
          <w:i/>
          <w:iCs/>
        </w:rPr>
        <w:t>Freedom's Detective</w:t>
      </w:r>
      <w:bookmarkEnd w:id="64"/>
      <w:r w:rsidRPr="002318C9">
        <w:rPr>
          <w:rFonts w:ascii="Times New Roman" w:hAnsi="Times New Roman" w:cs="Times New Roman"/>
          <w:i/>
          <w:iCs/>
        </w:rPr>
        <w:t>: The Secret Service, the Ku Klux Klan and the Man Who Masterminded America's First War on Terror</w:t>
      </w:r>
      <w:r w:rsidRPr="002318C9">
        <w:rPr>
          <w:rFonts w:ascii="Times New Roman" w:hAnsi="Times New Roman" w:cs="Times New Roman"/>
        </w:rPr>
        <w:t>. New York: Hanover Square Press, 2019.</w:t>
      </w:r>
    </w:p>
    <w:bookmarkEnd w:id="63"/>
  </w:footnote>
  <w:footnote w:id="945">
    <w:p w14:paraId="534A2DE7"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w:t>
      </w:r>
      <w:bookmarkStart w:id="65" w:name="_Hlk70684962"/>
      <w:r w:rsidRPr="002318C9">
        <w:rPr>
          <w:rFonts w:ascii="Times New Roman" w:hAnsi="Times New Roman" w:cs="Times New Roman"/>
        </w:rPr>
        <w:t>Davis, "The Safe Burglary Case.”</w:t>
      </w:r>
      <w:bookmarkEnd w:id="65"/>
    </w:p>
  </w:footnote>
  <w:footnote w:id="946">
    <w:p w14:paraId="5FCFDB3F" w14:textId="004036A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Davis, "The Safe Burglary Case.”; </w:t>
      </w:r>
      <w:bookmarkStart w:id="66" w:name="_Hlk70603209"/>
      <w:r w:rsidRPr="002318C9">
        <w:rPr>
          <w:rFonts w:ascii="Times New Roman" w:hAnsi="Times New Roman" w:cs="Times New Roman"/>
          <w:i/>
          <w:iCs/>
        </w:rPr>
        <w:t>National Republican.</w:t>
      </w:r>
      <w:r w:rsidRPr="002318C9">
        <w:rPr>
          <w:rFonts w:ascii="Times New Roman" w:hAnsi="Times New Roman" w:cs="Times New Roman"/>
        </w:rPr>
        <w:t xml:space="preserve"> (Washington), Sept</w:t>
      </w:r>
      <w:r w:rsidR="00993C77">
        <w:rPr>
          <w:rFonts w:ascii="Times New Roman" w:hAnsi="Times New Roman" w:cs="Times New Roman"/>
        </w:rPr>
        <w:t>ember 23</w:t>
      </w:r>
      <w:r w:rsidR="007C1778">
        <w:rPr>
          <w:rFonts w:ascii="Times New Roman" w:hAnsi="Times New Roman" w:cs="Times New Roman"/>
        </w:rPr>
        <w:t>,</w:t>
      </w:r>
      <w:r w:rsidRPr="002318C9">
        <w:rPr>
          <w:rFonts w:ascii="Times New Roman" w:hAnsi="Times New Roman" w:cs="Times New Roman"/>
        </w:rPr>
        <w:t xml:space="preserve"> 1876. </w:t>
      </w:r>
      <w:bookmarkEnd w:id="66"/>
    </w:p>
  </w:footnote>
  <w:footnote w:id="947">
    <w:p w14:paraId="441AE20B" w14:textId="5069C23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Davis, "The Safe Burglary Case.”; </w:t>
      </w:r>
      <w:bookmarkStart w:id="67" w:name="_Hlk70686548"/>
      <w:r w:rsidRPr="002318C9">
        <w:rPr>
          <w:rFonts w:ascii="Times New Roman" w:hAnsi="Times New Roman" w:cs="Times New Roman"/>
          <w:i/>
          <w:iCs/>
        </w:rPr>
        <w:t>National Republican.</w:t>
      </w:r>
      <w:r w:rsidRPr="002318C9">
        <w:rPr>
          <w:rFonts w:ascii="Times New Roman" w:hAnsi="Times New Roman" w:cs="Times New Roman"/>
        </w:rPr>
        <w:t xml:space="preserve"> (Washington), Nov</w:t>
      </w:r>
      <w:r w:rsidR="00E56352">
        <w:rPr>
          <w:rFonts w:ascii="Times New Roman" w:hAnsi="Times New Roman" w:cs="Times New Roman"/>
        </w:rPr>
        <w:t>ember 19,</w:t>
      </w:r>
      <w:r w:rsidRPr="002318C9">
        <w:rPr>
          <w:rFonts w:ascii="Times New Roman" w:hAnsi="Times New Roman" w:cs="Times New Roman"/>
        </w:rPr>
        <w:t xml:space="preserve"> 1874; </w:t>
      </w:r>
      <w:bookmarkEnd w:id="67"/>
      <w:r w:rsidRPr="002318C9">
        <w:rPr>
          <w:rFonts w:ascii="Times New Roman" w:hAnsi="Times New Roman" w:cs="Times New Roman"/>
          <w:i/>
          <w:iCs/>
        </w:rPr>
        <w:t xml:space="preserve">Chicago </w:t>
      </w:r>
      <w:r w:rsidR="007C1778">
        <w:rPr>
          <w:rFonts w:ascii="Times New Roman" w:hAnsi="Times New Roman" w:cs="Times New Roman"/>
          <w:i/>
          <w:iCs/>
        </w:rPr>
        <w:t>D</w:t>
      </w:r>
      <w:r w:rsidRPr="002318C9">
        <w:rPr>
          <w:rFonts w:ascii="Times New Roman" w:hAnsi="Times New Roman" w:cs="Times New Roman"/>
          <w:i/>
          <w:iCs/>
        </w:rPr>
        <w:t>aily tribun</w:t>
      </w:r>
      <w:r w:rsidR="00E56352">
        <w:rPr>
          <w:rFonts w:ascii="Times New Roman" w:hAnsi="Times New Roman" w:cs="Times New Roman"/>
          <w:i/>
          <w:iCs/>
        </w:rPr>
        <w:t>e</w:t>
      </w:r>
      <w:r w:rsidR="00E56352">
        <w:rPr>
          <w:rFonts w:ascii="Times New Roman" w:hAnsi="Times New Roman" w:cs="Times New Roman"/>
        </w:rPr>
        <w:t>, October 30,</w:t>
      </w:r>
      <w:r w:rsidRPr="002318C9">
        <w:rPr>
          <w:rFonts w:ascii="Times New Roman" w:hAnsi="Times New Roman" w:cs="Times New Roman"/>
        </w:rPr>
        <w:t xml:space="preserve"> 1874. </w:t>
      </w:r>
    </w:p>
  </w:footnote>
  <w:footnote w:id="948">
    <w:p w14:paraId="565E97E3" w14:textId="0DD1852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w:t>
      </w:r>
      <w:r w:rsidRPr="002318C9">
        <w:rPr>
          <w:rFonts w:ascii="Times New Roman" w:hAnsi="Times New Roman" w:cs="Times New Roman"/>
          <w:i/>
          <w:iCs/>
        </w:rPr>
        <w:t>National Republican.</w:t>
      </w:r>
      <w:r w:rsidRPr="002318C9">
        <w:rPr>
          <w:rFonts w:ascii="Times New Roman" w:hAnsi="Times New Roman" w:cs="Times New Roman"/>
        </w:rPr>
        <w:t xml:space="preserve"> (Washington), Nov</w:t>
      </w:r>
      <w:r w:rsidR="00E56352">
        <w:rPr>
          <w:rFonts w:ascii="Times New Roman" w:hAnsi="Times New Roman" w:cs="Times New Roman"/>
        </w:rPr>
        <w:t>ember 7,</w:t>
      </w:r>
      <w:r w:rsidRPr="002318C9">
        <w:rPr>
          <w:rFonts w:ascii="Times New Roman" w:hAnsi="Times New Roman" w:cs="Times New Roman"/>
        </w:rPr>
        <w:t xml:space="preserve"> 1874</w:t>
      </w:r>
    </w:p>
  </w:footnote>
  <w:footnote w:id="949">
    <w:p w14:paraId="10C26636" w14:textId="0FBE35A4" w:rsidR="00E445B9" w:rsidRDefault="00E445B9">
      <w:pPr>
        <w:pStyle w:val="FootnoteText"/>
      </w:pPr>
      <w:r>
        <w:rPr>
          <w:rStyle w:val="FootnoteReference"/>
        </w:rPr>
        <w:footnoteRef/>
      </w:r>
      <w:r>
        <w:t xml:space="preserve"> </w:t>
      </w:r>
      <w:r w:rsidRPr="002318C9">
        <w:rPr>
          <w:rFonts w:ascii="Times New Roman" w:hAnsi="Times New Roman" w:cs="Times New Roman"/>
        </w:rPr>
        <w:t xml:space="preserve">Boynton, “The Washington Safe Burglary Conspiracy”; </w:t>
      </w:r>
      <w:bookmarkStart w:id="68" w:name="_Hlk70600095"/>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Pr>
          <w:rFonts w:ascii="Times New Roman" w:hAnsi="Times New Roman" w:cs="Times New Roman"/>
        </w:rPr>
        <w:t xml:space="preserve">September </w:t>
      </w:r>
      <w:r w:rsidRPr="002318C9">
        <w:rPr>
          <w:rFonts w:ascii="Times New Roman" w:hAnsi="Times New Roman" w:cs="Times New Roman"/>
        </w:rPr>
        <w:t>21</w:t>
      </w:r>
      <w:r>
        <w:rPr>
          <w:rFonts w:ascii="Times New Roman" w:hAnsi="Times New Roman" w:cs="Times New Roman"/>
        </w:rPr>
        <w:t>,</w:t>
      </w:r>
      <w:r w:rsidRPr="002318C9">
        <w:rPr>
          <w:rFonts w:ascii="Times New Roman" w:hAnsi="Times New Roman" w:cs="Times New Roman"/>
        </w:rPr>
        <w:t xml:space="preserve"> 1876.</w:t>
      </w:r>
      <w:bookmarkEnd w:id="68"/>
    </w:p>
  </w:footnote>
  <w:footnote w:id="950">
    <w:p w14:paraId="05F5BBC8" w14:textId="553FA5B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445B9">
        <w:rPr>
          <w:rFonts w:ascii="Times New Roman" w:hAnsi="Times New Roman" w:cs="Times New Roman"/>
        </w:rPr>
        <w:t>Ibid</w:t>
      </w:r>
    </w:p>
  </w:footnote>
  <w:footnote w:id="951">
    <w:p w14:paraId="3F3192BE" w14:textId="6FC0459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E56352">
        <w:rPr>
          <w:rFonts w:ascii="Times New Roman" w:hAnsi="Times New Roman" w:cs="Times New Roman"/>
        </w:rPr>
        <w:t xml:space="preserve">March </w:t>
      </w:r>
      <w:r w:rsidRPr="002318C9">
        <w:rPr>
          <w:rFonts w:ascii="Times New Roman" w:hAnsi="Times New Roman" w:cs="Times New Roman"/>
        </w:rPr>
        <w:t>23</w:t>
      </w:r>
      <w:r w:rsidR="00E56352">
        <w:rPr>
          <w:rFonts w:ascii="Times New Roman" w:hAnsi="Times New Roman" w:cs="Times New Roman"/>
        </w:rPr>
        <w:t>,</w:t>
      </w:r>
      <w:r w:rsidRPr="002318C9">
        <w:rPr>
          <w:rFonts w:ascii="Times New Roman" w:hAnsi="Times New Roman" w:cs="Times New Roman"/>
        </w:rPr>
        <w:t xml:space="preserve"> 1874. </w:t>
      </w:r>
    </w:p>
  </w:footnote>
  <w:footnote w:id="952">
    <w:p w14:paraId="6BD74781"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142; "The Safe Burglary." </w:t>
      </w:r>
      <w:r w:rsidRPr="002318C9">
        <w:rPr>
          <w:rFonts w:ascii="Times New Roman" w:hAnsi="Times New Roman" w:cs="Times New Roman"/>
          <w:i/>
          <w:iCs/>
        </w:rPr>
        <w:t>Mariposa Gazette</w:t>
      </w:r>
      <w:r w:rsidRPr="002318C9">
        <w:rPr>
          <w:rFonts w:ascii="Times New Roman" w:hAnsi="Times New Roman" w:cs="Times New Roman"/>
        </w:rPr>
        <w:t xml:space="preserve"> (Mariposa, CA), April 29, 1876 </w:t>
      </w:r>
    </w:p>
  </w:footnote>
  <w:footnote w:id="953">
    <w:p w14:paraId="3CDF20D1" w14:textId="31AD344E"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141; </w:t>
      </w:r>
      <w:r w:rsidR="00ED0313">
        <w:rPr>
          <w:rFonts w:ascii="Times New Roman" w:hAnsi="Times New Roman" w:cs="Times New Roman"/>
        </w:rPr>
        <w:t xml:space="preserve">John </w:t>
      </w:r>
      <w:r w:rsidRPr="002318C9">
        <w:rPr>
          <w:rFonts w:ascii="Times New Roman" w:hAnsi="Times New Roman" w:cs="Times New Roman"/>
        </w:rPr>
        <w:t xml:space="preserve">Richardson, </w:t>
      </w:r>
      <w:r w:rsidRPr="002318C9">
        <w:rPr>
          <w:rFonts w:ascii="Times New Roman" w:hAnsi="Times New Roman" w:cs="Times New Roman"/>
          <w:i/>
          <w:iCs/>
        </w:rPr>
        <w:t>Alexander Robey Shepherd</w:t>
      </w:r>
    </w:p>
  </w:footnote>
  <w:footnote w:id="954">
    <w:p w14:paraId="56FABCA1"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Dickey, </w:t>
      </w:r>
      <w:r w:rsidRPr="002318C9">
        <w:rPr>
          <w:rFonts w:ascii="Times New Roman" w:hAnsi="Times New Roman" w:cs="Times New Roman"/>
          <w:i/>
          <w:iCs/>
        </w:rPr>
        <w:t>Empire of Mud</w:t>
      </w:r>
      <w:r w:rsidRPr="002318C9">
        <w:rPr>
          <w:rFonts w:ascii="Times New Roman" w:hAnsi="Times New Roman" w:cs="Times New Roman"/>
        </w:rPr>
        <w:t>, 232-236.</w:t>
      </w:r>
    </w:p>
  </w:footnote>
  <w:footnote w:id="955">
    <w:p w14:paraId="6C2349FF"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Dickey, </w:t>
      </w:r>
      <w:r w:rsidRPr="002318C9">
        <w:rPr>
          <w:rFonts w:ascii="Times New Roman" w:hAnsi="Times New Roman" w:cs="Times New Roman"/>
          <w:i/>
          <w:iCs/>
        </w:rPr>
        <w:t>Empire of Mud,</w:t>
      </w:r>
      <w:r w:rsidRPr="002318C9">
        <w:rPr>
          <w:rFonts w:ascii="Times New Roman" w:hAnsi="Times New Roman" w:cs="Times New Roman"/>
        </w:rPr>
        <w:t xml:space="preserve"> 231-247</w:t>
      </w:r>
    </w:p>
  </w:footnote>
  <w:footnote w:id="956">
    <w:p w14:paraId="20DAAFDA" w14:textId="044CB01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69" w:name="_Hlk70685012"/>
      <w:r w:rsidRPr="002318C9">
        <w:rPr>
          <w:rFonts w:ascii="Times New Roman" w:hAnsi="Times New Roman" w:cs="Times New Roman"/>
        </w:rPr>
        <w:t xml:space="preserve">Davis, "The Safe Burglary Case,” </w:t>
      </w:r>
      <w:bookmarkEnd w:id="69"/>
      <w:r w:rsidRPr="002318C9">
        <w:rPr>
          <w:rFonts w:ascii="Times New Roman" w:hAnsi="Times New Roman" w:cs="Times New Roman"/>
        </w:rPr>
        <w:t xml:space="preserve">142; Dickey, </w:t>
      </w:r>
      <w:r w:rsidRPr="002318C9">
        <w:rPr>
          <w:rFonts w:ascii="Times New Roman" w:hAnsi="Times New Roman" w:cs="Times New Roman"/>
          <w:i/>
          <w:iCs/>
        </w:rPr>
        <w:t>Empire of Mud</w:t>
      </w:r>
      <w:r w:rsidR="007C1778">
        <w:rPr>
          <w:rFonts w:ascii="Times New Roman" w:hAnsi="Times New Roman" w:cs="Times New Roman"/>
          <w:i/>
          <w:iCs/>
        </w:rPr>
        <w:t>,</w:t>
      </w:r>
      <w:r w:rsidRPr="002318C9">
        <w:rPr>
          <w:rFonts w:ascii="Times New Roman" w:hAnsi="Times New Roman" w:cs="Times New Roman"/>
        </w:rPr>
        <w:t xml:space="preserve"> 234-247</w:t>
      </w:r>
    </w:p>
  </w:footnote>
  <w:footnote w:id="957">
    <w:p w14:paraId="00990D8C"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142</w:t>
      </w:r>
    </w:p>
  </w:footnote>
  <w:footnote w:id="958">
    <w:p w14:paraId="0AA9750D" w14:textId="1BBFFCD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142;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E56352">
        <w:rPr>
          <w:rFonts w:ascii="Times New Roman" w:hAnsi="Times New Roman" w:cs="Times New Roman"/>
        </w:rPr>
        <w:t xml:space="preserve">March </w:t>
      </w:r>
      <w:r w:rsidRPr="002318C9">
        <w:rPr>
          <w:rFonts w:ascii="Times New Roman" w:hAnsi="Times New Roman" w:cs="Times New Roman"/>
        </w:rPr>
        <w:t>23</w:t>
      </w:r>
      <w:r w:rsidR="00E56352">
        <w:rPr>
          <w:rFonts w:ascii="Times New Roman" w:hAnsi="Times New Roman" w:cs="Times New Roman"/>
        </w:rPr>
        <w:t>,</w:t>
      </w:r>
      <w:r w:rsidRPr="002318C9">
        <w:rPr>
          <w:rFonts w:ascii="Times New Roman" w:hAnsi="Times New Roman" w:cs="Times New Roman"/>
        </w:rPr>
        <w:t xml:space="preserve"> 1874. </w:t>
      </w:r>
    </w:p>
  </w:footnote>
  <w:footnote w:id="959">
    <w:p w14:paraId="21FC2840" w14:textId="121A0CC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 </w:t>
      </w:r>
      <w:r w:rsidR="00D0398F">
        <w:rPr>
          <w:rFonts w:ascii="Times New Roman" w:hAnsi="Times New Roman" w:cs="Times New Roman"/>
          <w:i/>
          <w:iCs/>
        </w:rPr>
        <w:t xml:space="preserve">The </w:t>
      </w:r>
      <w:r w:rsidRPr="002318C9">
        <w:rPr>
          <w:rFonts w:ascii="Times New Roman" w:hAnsi="Times New Roman" w:cs="Times New Roman"/>
          <w:i/>
          <w:iCs/>
        </w:rPr>
        <w:t>Presidency of Ulysses S. Grant,</w:t>
      </w:r>
      <w:r w:rsidRPr="002318C9">
        <w:rPr>
          <w:rFonts w:ascii="Times New Roman" w:hAnsi="Times New Roman" w:cs="Times New Roman"/>
        </w:rPr>
        <w:t xml:space="preserve"> 527</w:t>
      </w:r>
    </w:p>
  </w:footnote>
  <w:footnote w:id="960">
    <w:p w14:paraId="61A0EAE3" w14:textId="0114369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402-403; Davis, "The Safe Burglary Case,” 142-144;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E56352">
        <w:rPr>
          <w:rFonts w:ascii="Times New Roman" w:hAnsi="Times New Roman" w:cs="Times New Roman"/>
        </w:rPr>
        <w:t xml:space="preserve">March </w:t>
      </w:r>
      <w:r w:rsidRPr="002318C9">
        <w:rPr>
          <w:rFonts w:ascii="Times New Roman" w:hAnsi="Times New Roman" w:cs="Times New Roman"/>
        </w:rPr>
        <w:t>23</w:t>
      </w:r>
      <w:r w:rsidR="00E56352">
        <w:rPr>
          <w:rFonts w:ascii="Times New Roman" w:hAnsi="Times New Roman" w:cs="Times New Roman"/>
        </w:rPr>
        <w:t>,</w:t>
      </w:r>
      <w:r w:rsidRPr="002318C9">
        <w:rPr>
          <w:rFonts w:ascii="Times New Roman" w:hAnsi="Times New Roman" w:cs="Times New Roman"/>
        </w:rPr>
        <w:t xml:space="preserve"> 1874. </w:t>
      </w:r>
    </w:p>
  </w:footnote>
  <w:footnote w:id="961">
    <w:p w14:paraId="75600188" w14:textId="1A433F1C"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143-144;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E56352">
        <w:rPr>
          <w:rFonts w:ascii="Times New Roman" w:hAnsi="Times New Roman" w:cs="Times New Roman"/>
        </w:rPr>
        <w:t xml:space="preserve">March </w:t>
      </w:r>
      <w:r w:rsidRPr="002318C9">
        <w:rPr>
          <w:rFonts w:ascii="Times New Roman" w:hAnsi="Times New Roman" w:cs="Times New Roman"/>
        </w:rPr>
        <w:t>24</w:t>
      </w:r>
      <w:r w:rsidR="00E56352">
        <w:rPr>
          <w:rFonts w:ascii="Times New Roman" w:hAnsi="Times New Roman" w:cs="Times New Roman"/>
        </w:rPr>
        <w:t>,</w:t>
      </w:r>
      <w:r w:rsidRPr="002318C9">
        <w:rPr>
          <w:rFonts w:ascii="Times New Roman" w:hAnsi="Times New Roman" w:cs="Times New Roman"/>
        </w:rPr>
        <w:t xml:space="preserve"> 1874. </w:t>
      </w:r>
    </w:p>
  </w:footnote>
  <w:footnote w:id="962">
    <w:p w14:paraId="7F27B8B0" w14:textId="7A9CE2F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144; Boynton, “The Washington Safe Burglary Conspiracy,” 403;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E56352">
        <w:rPr>
          <w:rFonts w:ascii="Times New Roman" w:hAnsi="Times New Roman" w:cs="Times New Roman"/>
        </w:rPr>
        <w:t>November 7,</w:t>
      </w:r>
      <w:r w:rsidRPr="002318C9">
        <w:rPr>
          <w:rFonts w:ascii="Times New Roman" w:hAnsi="Times New Roman" w:cs="Times New Roman"/>
        </w:rPr>
        <w:t xml:space="preserve"> 1874. </w:t>
      </w:r>
    </w:p>
  </w:footnote>
  <w:footnote w:id="963">
    <w:p w14:paraId="31E52290" w14:textId="63E7A15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403; Davis, "The Safe Burglary Case,” 144-146;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010649">
        <w:rPr>
          <w:rFonts w:ascii="Times New Roman" w:hAnsi="Times New Roman" w:cs="Times New Roman"/>
        </w:rPr>
        <w:t>November 7,</w:t>
      </w:r>
      <w:r w:rsidRPr="002318C9">
        <w:rPr>
          <w:rFonts w:ascii="Times New Roman" w:hAnsi="Times New Roman" w:cs="Times New Roman"/>
        </w:rPr>
        <w:t xml:space="preserve"> 1874. </w:t>
      </w:r>
    </w:p>
  </w:footnote>
  <w:footnote w:id="964">
    <w:p w14:paraId="3E6BB412" w14:textId="10451BED"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402-404; Davis, "The Safe Burglary Case,” 143-146; </w:t>
      </w:r>
      <w:r w:rsidRPr="002318C9">
        <w:rPr>
          <w:rFonts w:ascii="Times New Roman" w:hAnsi="Times New Roman" w:cs="Times New Roman"/>
          <w:i/>
          <w:iCs/>
        </w:rPr>
        <w:t xml:space="preserve">The Cairo bulletin. </w:t>
      </w:r>
      <w:r w:rsidRPr="002318C9">
        <w:rPr>
          <w:rFonts w:ascii="Times New Roman" w:hAnsi="Times New Roman" w:cs="Times New Roman"/>
        </w:rPr>
        <w:t>(Cairo, I</w:t>
      </w:r>
      <w:r w:rsidR="00010649">
        <w:rPr>
          <w:rFonts w:ascii="Times New Roman" w:hAnsi="Times New Roman" w:cs="Times New Roman"/>
        </w:rPr>
        <w:t>L</w:t>
      </w:r>
      <w:r w:rsidRPr="002318C9">
        <w:rPr>
          <w:rFonts w:ascii="Times New Roman" w:hAnsi="Times New Roman" w:cs="Times New Roman"/>
        </w:rPr>
        <w:t xml:space="preserve">), </w:t>
      </w:r>
      <w:r w:rsidR="00010649">
        <w:rPr>
          <w:rFonts w:ascii="Times New Roman" w:hAnsi="Times New Roman" w:cs="Times New Roman"/>
        </w:rPr>
        <w:t xml:space="preserve">April </w:t>
      </w:r>
      <w:r w:rsidRPr="002318C9">
        <w:rPr>
          <w:rFonts w:ascii="Times New Roman" w:hAnsi="Times New Roman" w:cs="Times New Roman"/>
        </w:rPr>
        <w:t>11</w:t>
      </w:r>
      <w:r w:rsidR="00010649">
        <w:rPr>
          <w:rFonts w:ascii="Times New Roman" w:hAnsi="Times New Roman" w:cs="Times New Roman"/>
        </w:rPr>
        <w:t>,</w:t>
      </w:r>
      <w:r w:rsidRPr="002318C9">
        <w:rPr>
          <w:rFonts w:ascii="Times New Roman" w:hAnsi="Times New Roman" w:cs="Times New Roman"/>
        </w:rPr>
        <w:t xml:space="preserve"> 1876. </w:t>
      </w:r>
    </w:p>
  </w:footnote>
  <w:footnote w:id="965">
    <w:p w14:paraId="44E7F480" w14:textId="0CE39AE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145; </w:t>
      </w:r>
      <w:r w:rsidRPr="002318C9">
        <w:rPr>
          <w:rFonts w:ascii="Times New Roman" w:hAnsi="Times New Roman" w:cs="Times New Roman"/>
          <w:i/>
          <w:iCs/>
        </w:rPr>
        <w:t xml:space="preserve">Helena weekly herald. </w:t>
      </w:r>
      <w:r w:rsidRPr="002318C9">
        <w:rPr>
          <w:rFonts w:ascii="Times New Roman" w:hAnsi="Times New Roman" w:cs="Times New Roman"/>
        </w:rPr>
        <w:t xml:space="preserve">(Helena, Mont.), 13 April 1876.; </w:t>
      </w:r>
      <w:r w:rsidRPr="002318C9">
        <w:rPr>
          <w:rFonts w:ascii="Times New Roman" w:hAnsi="Times New Roman" w:cs="Times New Roman"/>
          <w:i/>
          <w:iCs/>
        </w:rPr>
        <w:t>The New York herald</w:t>
      </w:r>
      <w:r w:rsidRPr="002318C9">
        <w:rPr>
          <w:rFonts w:ascii="Times New Roman" w:hAnsi="Times New Roman" w:cs="Times New Roman"/>
        </w:rPr>
        <w:t xml:space="preserve">, </w:t>
      </w:r>
      <w:r w:rsidR="00010649">
        <w:rPr>
          <w:rFonts w:ascii="Times New Roman" w:hAnsi="Times New Roman" w:cs="Times New Roman"/>
        </w:rPr>
        <w:t xml:space="preserve">April </w:t>
      </w:r>
      <w:r w:rsidRPr="002318C9">
        <w:rPr>
          <w:rFonts w:ascii="Times New Roman" w:hAnsi="Times New Roman" w:cs="Times New Roman"/>
        </w:rPr>
        <w:t>10</w:t>
      </w:r>
      <w:r w:rsidR="00010649">
        <w:rPr>
          <w:rFonts w:ascii="Times New Roman" w:hAnsi="Times New Roman" w:cs="Times New Roman"/>
        </w:rPr>
        <w:t xml:space="preserve">, </w:t>
      </w:r>
      <w:r w:rsidRPr="002318C9">
        <w:rPr>
          <w:rFonts w:ascii="Times New Roman" w:hAnsi="Times New Roman" w:cs="Times New Roman"/>
        </w:rPr>
        <w:t xml:space="preserve">1876. </w:t>
      </w:r>
    </w:p>
  </w:footnote>
  <w:footnote w:id="966">
    <w:p w14:paraId="119BA3CD"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405</w:t>
      </w:r>
    </w:p>
  </w:footnote>
  <w:footnote w:id="967">
    <w:p w14:paraId="1AE7A606" w14:textId="33B8115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Boynton, “The Washington Safe Burglary Conspiracy”;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002872">
        <w:rPr>
          <w:rFonts w:ascii="Times New Roman" w:hAnsi="Times New Roman" w:cs="Times New Roman"/>
        </w:rPr>
        <w:t xml:space="preserve">November </w:t>
      </w:r>
      <w:r w:rsidRPr="002318C9">
        <w:rPr>
          <w:rFonts w:ascii="Times New Roman" w:hAnsi="Times New Roman" w:cs="Times New Roman"/>
        </w:rPr>
        <w:t>19</w:t>
      </w:r>
      <w:r w:rsidR="00002872">
        <w:rPr>
          <w:rFonts w:ascii="Times New Roman" w:hAnsi="Times New Roman" w:cs="Times New Roman"/>
        </w:rPr>
        <w:t>,</w:t>
      </w:r>
      <w:r w:rsidRPr="002318C9">
        <w:rPr>
          <w:rFonts w:ascii="Times New Roman" w:hAnsi="Times New Roman" w:cs="Times New Roman"/>
        </w:rPr>
        <w:t xml:space="preserve"> 1874;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002872">
        <w:rPr>
          <w:rFonts w:ascii="Times New Roman" w:hAnsi="Times New Roman" w:cs="Times New Roman"/>
        </w:rPr>
        <w:t xml:space="preserve">November </w:t>
      </w:r>
      <w:r w:rsidRPr="002318C9">
        <w:rPr>
          <w:rFonts w:ascii="Times New Roman" w:hAnsi="Times New Roman" w:cs="Times New Roman"/>
        </w:rPr>
        <w:t>10</w:t>
      </w:r>
      <w:r w:rsidR="00002872">
        <w:rPr>
          <w:rFonts w:ascii="Times New Roman" w:hAnsi="Times New Roman" w:cs="Times New Roman"/>
        </w:rPr>
        <w:t>,</w:t>
      </w:r>
      <w:r w:rsidRPr="002318C9">
        <w:rPr>
          <w:rFonts w:ascii="Times New Roman" w:hAnsi="Times New Roman" w:cs="Times New Roman"/>
        </w:rPr>
        <w:t xml:space="preserve"> 1874; </w:t>
      </w:r>
      <w:r w:rsidRPr="002318C9">
        <w:rPr>
          <w:rFonts w:ascii="Times New Roman" w:hAnsi="Times New Roman" w:cs="Times New Roman"/>
          <w:i/>
          <w:iCs/>
        </w:rPr>
        <w:t>Chicago daily tribune</w:t>
      </w:r>
      <w:r w:rsidR="00002872">
        <w:rPr>
          <w:rFonts w:ascii="Times New Roman" w:hAnsi="Times New Roman" w:cs="Times New Roman"/>
          <w:i/>
          <w:iCs/>
        </w:rPr>
        <w:t xml:space="preserve">, </w:t>
      </w:r>
      <w:r w:rsidR="00002872">
        <w:rPr>
          <w:rFonts w:ascii="Times New Roman" w:hAnsi="Times New Roman" w:cs="Times New Roman"/>
        </w:rPr>
        <w:t>October 3</w:t>
      </w:r>
      <w:r w:rsidRPr="002318C9">
        <w:rPr>
          <w:rFonts w:ascii="Times New Roman" w:hAnsi="Times New Roman" w:cs="Times New Roman"/>
        </w:rPr>
        <w:t>0</w:t>
      </w:r>
      <w:r w:rsidR="00002872">
        <w:rPr>
          <w:rFonts w:ascii="Times New Roman" w:hAnsi="Times New Roman" w:cs="Times New Roman"/>
        </w:rPr>
        <w:t>,</w:t>
      </w:r>
      <w:r w:rsidRPr="002318C9">
        <w:rPr>
          <w:rFonts w:ascii="Times New Roman" w:hAnsi="Times New Roman" w:cs="Times New Roman"/>
        </w:rPr>
        <w:t xml:space="preserve"> 1874. </w:t>
      </w:r>
    </w:p>
  </w:footnote>
  <w:footnote w:id="968">
    <w:p w14:paraId="43D8F0A6" w14:textId="490CEA1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144-146; Boynton, “The Washington Safe Burglary Conspiracy,” 405-410; </w:t>
      </w:r>
      <w:bookmarkStart w:id="70" w:name="_Hlk70603086"/>
      <w:r w:rsidRPr="002318C9">
        <w:rPr>
          <w:rFonts w:ascii="Times New Roman" w:hAnsi="Times New Roman" w:cs="Times New Roman"/>
          <w:i/>
          <w:iCs/>
        </w:rPr>
        <w:t xml:space="preserve">The Cairo bulletin. </w:t>
      </w:r>
      <w:r w:rsidRPr="002318C9">
        <w:rPr>
          <w:rFonts w:ascii="Times New Roman" w:hAnsi="Times New Roman" w:cs="Times New Roman"/>
        </w:rPr>
        <w:t>(Cairo, I</w:t>
      </w:r>
      <w:r w:rsidR="00002872">
        <w:rPr>
          <w:rFonts w:ascii="Times New Roman" w:hAnsi="Times New Roman" w:cs="Times New Roman"/>
        </w:rPr>
        <w:t>L</w:t>
      </w:r>
      <w:r w:rsidRPr="002318C9">
        <w:rPr>
          <w:rFonts w:ascii="Times New Roman" w:hAnsi="Times New Roman" w:cs="Times New Roman"/>
        </w:rPr>
        <w:t xml:space="preserve">.), </w:t>
      </w:r>
      <w:r w:rsidR="00002872">
        <w:rPr>
          <w:rFonts w:ascii="Times New Roman" w:hAnsi="Times New Roman" w:cs="Times New Roman"/>
        </w:rPr>
        <w:t xml:space="preserve">April </w:t>
      </w:r>
      <w:r w:rsidRPr="002318C9">
        <w:rPr>
          <w:rFonts w:ascii="Times New Roman" w:hAnsi="Times New Roman" w:cs="Times New Roman"/>
        </w:rPr>
        <w:t>11</w:t>
      </w:r>
      <w:r w:rsidR="00002872">
        <w:rPr>
          <w:rFonts w:ascii="Times New Roman" w:hAnsi="Times New Roman" w:cs="Times New Roman"/>
        </w:rPr>
        <w:t xml:space="preserve">, </w:t>
      </w:r>
      <w:r w:rsidRPr="002318C9">
        <w:rPr>
          <w:rFonts w:ascii="Times New Roman" w:hAnsi="Times New Roman" w:cs="Times New Roman"/>
        </w:rPr>
        <w:t xml:space="preserve">1876. </w:t>
      </w:r>
      <w:bookmarkEnd w:id="70"/>
    </w:p>
  </w:footnote>
  <w:footnote w:id="969">
    <w:p w14:paraId="7494DA2E" w14:textId="2ED9AAD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407-411; Davis, "The Safe Burglary Case,” 145;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002872">
        <w:rPr>
          <w:rFonts w:ascii="Times New Roman" w:hAnsi="Times New Roman" w:cs="Times New Roman"/>
        </w:rPr>
        <w:t xml:space="preserve">September </w:t>
      </w:r>
      <w:r w:rsidRPr="002318C9">
        <w:rPr>
          <w:rFonts w:ascii="Times New Roman" w:hAnsi="Times New Roman" w:cs="Times New Roman"/>
        </w:rPr>
        <w:t>22</w:t>
      </w:r>
      <w:r w:rsidR="00002872">
        <w:rPr>
          <w:rFonts w:ascii="Times New Roman" w:hAnsi="Times New Roman" w:cs="Times New Roman"/>
        </w:rPr>
        <w:t>,</w:t>
      </w:r>
      <w:r w:rsidRPr="002318C9">
        <w:rPr>
          <w:rFonts w:ascii="Times New Roman" w:hAnsi="Times New Roman" w:cs="Times New Roman"/>
        </w:rPr>
        <w:t xml:space="preserve"> 1876. </w:t>
      </w:r>
    </w:p>
  </w:footnote>
  <w:footnote w:id="970">
    <w:p w14:paraId="0D831AAA" w14:textId="2748C43D"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145-149; Boynton, “The Washington Safe Burglary Conspiracy,” 407; </w:t>
      </w:r>
      <w:r w:rsidRPr="002318C9">
        <w:rPr>
          <w:rFonts w:ascii="Times New Roman" w:hAnsi="Times New Roman" w:cs="Times New Roman"/>
          <w:i/>
          <w:iCs/>
        </w:rPr>
        <w:t xml:space="preserve">The Cairo bulletin. </w:t>
      </w:r>
      <w:r w:rsidRPr="002318C9">
        <w:rPr>
          <w:rFonts w:ascii="Times New Roman" w:hAnsi="Times New Roman" w:cs="Times New Roman"/>
        </w:rPr>
        <w:t>(Cairo, I</w:t>
      </w:r>
      <w:r w:rsidR="00002872">
        <w:rPr>
          <w:rFonts w:ascii="Times New Roman" w:hAnsi="Times New Roman" w:cs="Times New Roman"/>
        </w:rPr>
        <w:t>L</w:t>
      </w:r>
      <w:r w:rsidRPr="002318C9">
        <w:rPr>
          <w:rFonts w:ascii="Times New Roman" w:hAnsi="Times New Roman" w:cs="Times New Roman"/>
        </w:rPr>
        <w:t xml:space="preserve">), </w:t>
      </w:r>
      <w:r w:rsidR="00002872">
        <w:rPr>
          <w:rFonts w:ascii="Times New Roman" w:hAnsi="Times New Roman" w:cs="Times New Roman"/>
        </w:rPr>
        <w:t xml:space="preserve">April </w:t>
      </w:r>
      <w:r w:rsidRPr="002318C9">
        <w:rPr>
          <w:rFonts w:ascii="Times New Roman" w:hAnsi="Times New Roman" w:cs="Times New Roman"/>
        </w:rPr>
        <w:t>11</w:t>
      </w:r>
      <w:r w:rsidR="00002872">
        <w:rPr>
          <w:rFonts w:ascii="Times New Roman" w:hAnsi="Times New Roman" w:cs="Times New Roman"/>
        </w:rPr>
        <w:t>,</w:t>
      </w:r>
      <w:r w:rsidRPr="002318C9">
        <w:rPr>
          <w:rFonts w:ascii="Times New Roman" w:hAnsi="Times New Roman" w:cs="Times New Roman"/>
        </w:rPr>
        <w:t xml:space="preserve"> 1876. </w:t>
      </w:r>
    </w:p>
  </w:footnote>
  <w:footnote w:id="971">
    <w:p w14:paraId="79A29A49" w14:textId="3B350F6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408-410; Davis, "The Safe Burglary Case,” 145-146; </w:t>
      </w:r>
      <w:r w:rsidRPr="002318C9">
        <w:rPr>
          <w:rFonts w:ascii="Times New Roman" w:hAnsi="Times New Roman" w:cs="Times New Roman"/>
          <w:i/>
          <w:iCs/>
        </w:rPr>
        <w:t xml:space="preserve">The Cairo bulletin. </w:t>
      </w:r>
      <w:r w:rsidRPr="002318C9">
        <w:rPr>
          <w:rFonts w:ascii="Times New Roman" w:hAnsi="Times New Roman" w:cs="Times New Roman"/>
        </w:rPr>
        <w:t>(Cairo, I</w:t>
      </w:r>
      <w:r w:rsidR="00002872">
        <w:rPr>
          <w:rFonts w:ascii="Times New Roman" w:hAnsi="Times New Roman" w:cs="Times New Roman"/>
        </w:rPr>
        <w:t>L</w:t>
      </w:r>
      <w:r w:rsidRPr="002318C9">
        <w:rPr>
          <w:rFonts w:ascii="Times New Roman" w:hAnsi="Times New Roman" w:cs="Times New Roman"/>
        </w:rPr>
        <w:t xml:space="preserve">), </w:t>
      </w:r>
      <w:r w:rsidR="00002872">
        <w:rPr>
          <w:rFonts w:ascii="Times New Roman" w:hAnsi="Times New Roman" w:cs="Times New Roman"/>
        </w:rPr>
        <w:t xml:space="preserve">April </w:t>
      </w:r>
      <w:r w:rsidRPr="002318C9">
        <w:rPr>
          <w:rFonts w:ascii="Times New Roman" w:hAnsi="Times New Roman" w:cs="Times New Roman"/>
        </w:rPr>
        <w:t>11</w:t>
      </w:r>
      <w:r w:rsidR="00002872">
        <w:rPr>
          <w:rFonts w:ascii="Times New Roman" w:hAnsi="Times New Roman" w:cs="Times New Roman"/>
        </w:rPr>
        <w:t>,</w:t>
      </w:r>
      <w:r w:rsidRPr="002318C9">
        <w:rPr>
          <w:rFonts w:ascii="Times New Roman" w:hAnsi="Times New Roman" w:cs="Times New Roman"/>
        </w:rPr>
        <w:t xml:space="preserve"> 1876. </w:t>
      </w:r>
    </w:p>
  </w:footnote>
  <w:footnote w:id="972">
    <w:p w14:paraId="6E05DB00" w14:textId="0DDA388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The records conflict over the name of the burglar first approached to burglarize the safe, with different accounts referring to him as “Miles” and “Bliss.” The majority of the sources refer him as Miles, so this will be the name adopted henceforth. Davis, "The Safe Burglary Case”; Boynton, “The Washington Safe Burglary Conspiracy”;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8B31A2">
        <w:rPr>
          <w:rFonts w:ascii="Times New Roman" w:hAnsi="Times New Roman" w:cs="Times New Roman"/>
        </w:rPr>
        <w:t xml:space="preserve">September </w:t>
      </w:r>
      <w:r w:rsidRPr="002318C9">
        <w:rPr>
          <w:rFonts w:ascii="Times New Roman" w:hAnsi="Times New Roman" w:cs="Times New Roman"/>
        </w:rPr>
        <w:t>27</w:t>
      </w:r>
      <w:r w:rsidR="008B31A2">
        <w:rPr>
          <w:rFonts w:ascii="Times New Roman" w:hAnsi="Times New Roman" w:cs="Times New Roman"/>
        </w:rPr>
        <w:t>,</w:t>
      </w:r>
      <w:r w:rsidRPr="002318C9">
        <w:rPr>
          <w:rFonts w:ascii="Times New Roman" w:hAnsi="Times New Roman" w:cs="Times New Roman"/>
        </w:rPr>
        <w:t xml:space="preserve"> 1876. </w:t>
      </w:r>
    </w:p>
  </w:footnote>
  <w:footnote w:id="973">
    <w:p w14:paraId="71AF923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407-408; Davis, "The Safe Burglary Case,” 145-146</w:t>
      </w:r>
    </w:p>
  </w:footnote>
  <w:footnote w:id="974">
    <w:p w14:paraId="77888A76" w14:textId="351B6E3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406-407;</w:t>
      </w:r>
      <w:r w:rsidRPr="002318C9">
        <w:rPr>
          <w:rFonts w:ascii="Times New Roman" w:hAnsi="Times New Roman" w:cs="Times New Roman"/>
          <w:i/>
          <w:iCs/>
          <w:sz w:val="22"/>
          <w:szCs w:val="22"/>
        </w:rPr>
        <w:t xml:space="preserve">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8B31A2">
        <w:rPr>
          <w:rFonts w:ascii="Times New Roman" w:hAnsi="Times New Roman" w:cs="Times New Roman"/>
        </w:rPr>
        <w:t xml:space="preserve">November </w:t>
      </w:r>
      <w:r w:rsidRPr="002318C9">
        <w:rPr>
          <w:rFonts w:ascii="Times New Roman" w:hAnsi="Times New Roman" w:cs="Times New Roman"/>
        </w:rPr>
        <w:t>19</w:t>
      </w:r>
      <w:r w:rsidR="008B31A2">
        <w:rPr>
          <w:rFonts w:ascii="Times New Roman" w:hAnsi="Times New Roman" w:cs="Times New Roman"/>
        </w:rPr>
        <w:t>,</w:t>
      </w:r>
      <w:r w:rsidRPr="002318C9">
        <w:rPr>
          <w:rFonts w:ascii="Times New Roman" w:hAnsi="Times New Roman" w:cs="Times New Roman"/>
        </w:rPr>
        <w:t xml:space="preserve"> 1874; </w:t>
      </w:r>
      <w:r w:rsidRPr="002318C9">
        <w:rPr>
          <w:rFonts w:ascii="Times New Roman" w:hAnsi="Times New Roman" w:cs="Times New Roman"/>
          <w:i/>
          <w:iCs/>
        </w:rPr>
        <w:t>Chicago daily tribune</w:t>
      </w:r>
      <w:r w:rsidR="008B31A2">
        <w:rPr>
          <w:rFonts w:ascii="Times New Roman" w:hAnsi="Times New Roman" w:cs="Times New Roman"/>
          <w:i/>
          <w:iCs/>
        </w:rPr>
        <w:t xml:space="preserve">, </w:t>
      </w:r>
      <w:r w:rsidRPr="002318C9">
        <w:rPr>
          <w:rFonts w:ascii="Times New Roman" w:hAnsi="Times New Roman" w:cs="Times New Roman"/>
        </w:rPr>
        <w:t>Oct</w:t>
      </w:r>
      <w:r w:rsidR="008B31A2">
        <w:rPr>
          <w:rFonts w:ascii="Times New Roman" w:hAnsi="Times New Roman" w:cs="Times New Roman"/>
        </w:rPr>
        <w:t>ober 30,</w:t>
      </w:r>
      <w:r w:rsidRPr="002318C9">
        <w:rPr>
          <w:rFonts w:ascii="Times New Roman" w:hAnsi="Times New Roman" w:cs="Times New Roman"/>
        </w:rPr>
        <w:t xml:space="preserve"> 1874. </w:t>
      </w:r>
    </w:p>
  </w:footnote>
  <w:footnote w:id="975">
    <w:p w14:paraId="4C34CC46"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410</w:t>
      </w:r>
    </w:p>
  </w:footnote>
  <w:footnote w:id="976">
    <w:p w14:paraId="208D7991" w14:textId="7F469041"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145-146; Boynton, “The Washington Safe Burglary Conspiracy,” 408-410;</w:t>
      </w:r>
      <w:r w:rsidR="007C4EC8">
        <w:rPr>
          <w:rFonts w:ascii="Times New Roman" w:hAnsi="Times New Roman" w:cs="Times New Roman"/>
        </w:rPr>
        <w:t xml:space="preserve"> </w:t>
      </w:r>
      <w:r w:rsidR="007C4EC8">
        <w:rPr>
          <w:rFonts w:ascii="Times New Roman" w:hAnsi="Times New Roman" w:cs="Times New Roman"/>
          <w:i/>
          <w:iCs/>
        </w:rPr>
        <w:t>New York Sun</w:t>
      </w:r>
      <w:r w:rsidRPr="002318C9">
        <w:rPr>
          <w:rFonts w:ascii="Times New Roman" w:hAnsi="Times New Roman" w:cs="Times New Roman"/>
        </w:rPr>
        <w:t xml:space="preserve">, </w:t>
      </w:r>
      <w:r w:rsidR="007C4EC8">
        <w:rPr>
          <w:rFonts w:ascii="Times New Roman" w:hAnsi="Times New Roman" w:cs="Times New Roman"/>
        </w:rPr>
        <w:t xml:space="preserve">June </w:t>
      </w:r>
      <w:r w:rsidRPr="002318C9">
        <w:rPr>
          <w:rFonts w:ascii="Times New Roman" w:hAnsi="Times New Roman" w:cs="Times New Roman"/>
        </w:rPr>
        <w:t>11</w:t>
      </w:r>
      <w:r w:rsidR="007C4EC8">
        <w:rPr>
          <w:rFonts w:ascii="Times New Roman" w:hAnsi="Times New Roman" w:cs="Times New Roman"/>
        </w:rPr>
        <w:t xml:space="preserve">, </w:t>
      </w:r>
      <w:r w:rsidRPr="002318C9">
        <w:rPr>
          <w:rFonts w:ascii="Times New Roman" w:hAnsi="Times New Roman" w:cs="Times New Roman"/>
        </w:rPr>
        <w:t xml:space="preserve">1874. </w:t>
      </w:r>
    </w:p>
  </w:footnote>
  <w:footnote w:id="977">
    <w:p w14:paraId="6E7D64DF" w14:textId="0FC4BD9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408-410; </w:t>
      </w:r>
      <w:r w:rsidR="001E2EAC">
        <w:rPr>
          <w:rFonts w:ascii="Times New Roman" w:hAnsi="Times New Roman" w:cs="Times New Roman"/>
          <w:i/>
          <w:iCs/>
        </w:rPr>
        <w:t>New York Sun</w:t>
      </w:r>
      <w:r w:rsidR="001E2EAC">
        <w:rPr>
          <w:rFonts w:ascii="Times New Roman" w:hAnsi="Times New Roman" w:cs="Times New Roman"/>
        </w:rPr>
        <w:t xml:space="preserve">, June </w:t>
      </w:r>
      <w:r w:rsidRPr="002318C9">
        <w:rPr>
          <w:rFonts w:ascii="Times New Roman" w:hAnsi="Times New Roman" w:cs="Times New Roman"/>
        </w:rPr>
        <w:t>11</w:t>
      </w:r>
      <w:r w:rsidR="001E2EAC">
        <w:rPr>
          <w:rFonts w:ascii="Times New Roman" w:hAnsi="Times New Roman" w:cs="Times New Roman"/>
        </w:rPr>
        <w:t>,</w:t>
      </w:r>
      <w:r w:rsidRPr="002318C9">
        <w:rPr>
          <w:rFonts w:ascii="Times New Roman" w:hAnsi="Times New Roman" w:cs="Times New Roman"/>
        </w:rPr>
        <w:t xml:space="preserve"> 1874.</w:t>
      </w:r>
    </w:p>
  </w:footnote>
  <w:footnote w:id="978">
    <w:p w14:paraId="5B93BDDD" w14:textId="7439D59E"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409; </w:t>
      </w:r>
      <w:r w:rsidR="001E2EAC">
        <w:rPr>
          <w:rFonts w:ascii="Times New Roman" w:hAnsi="Times New Roman" w:cs="Times New Roman"/>
          <w:i/>
          <w:iCs/>
        </w:rPr>
        <w:t>New York Sun</w:t>
      </w:r>
      <w:r w:rsidR="001E2EAC">
        <w:rPr>
          <w:rFonts w:ascii="Times New Roman" w:hAnsi="Times New Roman" w:cs="Times New Roman"/>
        </w:rPr>
        <w:t xml:space="preserve">, June </w:t>
      </w:r>
      <w:r w:rsidR="001E2EAC" w:rsidRPr="002318C9">
        <w:rPr>
          <w:rFonts w:ascii="Times New Roman" w:hAnsi="Times New Roman" w:cs="Times New Roman"/>
        </w:rPr>
        <w:t>11</w:t>
      </w:r>
      <w:r w:rsidR="001E2EAC">
        <w:rPr>
          <w:rFonts w:ascii="Times New Roman" w:hAnsi="Times New Roman" w:cs="Times New Roman"/>
        </w:rPr>
        <w:t>,</w:t>
      </w:r>
      <w:r w:rsidR="001E2EAC" w:rsidRPr="002318C9">
        <w:rPr>
          <w:rFonts w:ascii="Times New Roman" w:hAnsi="Times New Roman" w:cs="Times New Roman"/>
        </w:rPr>
        <w:t xml:space="preserve"> 1874.</w:t>
      </w:r>
    </w:p>
  </w:footnote>
  <w:footnote w:id="979">
    <w:p w14:paraId="4DE7B50E" w14:textId="47E21ADD"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409; </w:t>
      </w:r>
      <w:r w:rsidR="001E2EAC">
        <w:rPr>
          <w:rFonts w:ascii="Times New Roman" w:hAnsi="Times New Roman" w:cs="Times New Roman"/>
          <w:i/>
          <w:iCs/>
        </w:rPr>
        <w:t>New York Sun</w:t>
      </w:r>
      <w:r w:rsidR="001E2EAC">
        <w:rPr>
          <w:rFonts w:ascii="Times New Roman" w:hAnsi="Times New Roman" w:cs="Times New Roman"/>
        </w:rPr>
        <w:t xml:space="preserve">, June </w:t>
      </w:r>
      <w:r w:rsidR="001E2EAC" w:rsidRPr="002318C9">
        <w:rPr>
          <w:rFonts w:ascii="Times New Roman" w:hAnsi="Times New Roman" w:cs="Times New Roman"/>
        </w:rPr>
        <w:t>11</w:t>
      </w:r>
      <w:r w:rsidR="001E2EAC">
        <w:rPr>
          <w:rFonts w:ascii="Times New Roman" w:hAnsi="Times New Roman" w:cs="Times New Roman"/>
        </w:rPr>
        <w:t>,</w:t>
      </w:r>
      <w:r w:rsidR="001E2EAC" w:rsidRPr="002318C9">
        <w:rPr>
          <w:rFonts w:ascii="Times New Roman" w:hAnsi="Times New Roman" w:cs="Times New Roman"/>
        </w:rPr>
        <w:t xml:space="preserve"> 1874.</w:t>
      </w:r>
    </w:p>
  </w:footnote>
  <w:footnote w:id="980">
    <w:p w14:paraId="4D19B7E5" w14:textId="0EFFD9D0"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408-412; Davis, "The Safe Burglary Case,” 144-147; </w:t>
      </w:r>
      <w:r w:rsidR="001E2EAC">
        <w:rPr>
          <w:rFonts w:ascii="Times New Roman" w:hAnsi="Times New Roman" w:cs="Times New Roman"/>
          <w:i/>
          <w:iCs/>
        </w:rPr>
        <w:t>New York Sun</w:t>
      </w:r>
      <w:r w:rsidR="001E2EAC">
        <w:rPr>
          <w:rFonts w:ascii="Times New Roman" w:hAnsi="Times New Roman" w:cs="Times New Roman"/>
        </w:rPr>
        <w:t xml:space="preserve">, June </w:t>
      </w:r>
      <w:r w:rsidR="001E2EAC" w:rsidRPr="002318C9">
        <w:rPr>
          <w:rFonts w:ascii="Times New Roman" w:hAnsi="Times New Roman" w:cs="Times New Roman"/>
        </w:rPr>
        <w:t>11</w:t>
      </w:r>
      <w:r w:rsidR="001E2EAC">
        <w:rPr>
          <w:rFonts w:ascii="Times New Roman" w:hAnsi="Times New Roman" w:cs="Times New Roman"/>
        </w:rPr>
        <w:t>,</w:t>
      </w:r>
      <w:r w:rsidR="001E2EAC" w:rsidRPr="002318C9">
        <w:rPr>
          <w:rFonts w:ascii="Times New Roman" w:hAnsi="Times New Roman" w:cs="Times New Roman"/>
        </w:rPr>
        <w:t xml:space="preserve"> 1874.</w:t>
      </w:r>
    </w:p>
  </w:footnote>
  <w:footnote w:id="981">
    <w:p w14:paraId="6EB0B5EA" w14:textId="0E3D14A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146; Boynton, “The Washington Safe Burglary Conspiracy,” 410-413; </w:t>
      </w:r>
      <w:r w:rsidR="001E2EAC">
        <w:rPr>
          <w:rFonts w:ascii="Times New Roman" w:hAnsi="Times New Roman" w:cs="Times New Roman"/>
          <w:i/>
          <w:iCs/>
        </w:rPr>
        <w:t>New York Sun</w:t>
      </w:r>
      <w:r w:rsidR="001E2EAC">
        <w:rPr>
          <w:rFonts w:ascii="Times New Roman" w:hAnsi="Times New Roman" w:cs="Times New Roman"/>
        </w:rPr>
        <w:t xml:space="preserve">, June </w:t>
      </w:r>
      <w:r w:rsidR="001E2EAC" w:rsidRPr="002318C9">
        <w:rPr>
          <w:rFonts w:ascii="Times New Roman" w:hAnsi="Times New Roman" w:cs="Times New Roman"/>
        </w:rPr>
        <w:t>11</w:t>
      </w:r>
      <w:r w:rsidR="001E2EAC">
        <w:rPr>
          <w:rFonts w:ascii="Times New Roman" w:hAnsi="Times New Roman" w:cs="Times New Roman"/>
        </w:rPr>
        <w:t>,</w:t>
      </w:r>
      <w:r w:rsidR="001E2EAC" w:rsidRPr="002318C9">
        <w:rPr>
          <w:rFonts w:ascii="Times New Roman" w:hAnsi="Times New Roman" w:cs="Times New Roman"/>
        </w:rPr>
        <w:t xml:space="preserve"> 1874.</w:t>
      </w:r>
    </w:p>
  </w:footnote>
  <w:footnote w:id="982">
    <w:p w14:paraId="0C3FB72A"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411</w:t>
      </w:r>
    </w:p>
  </w:footnote>
  <w:footnote w:id="983">
    <w:p w14:paraId="03628221" w14:textId="7BB23AB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411-413; </w:t>
      </w:r>
      <w:r w:rsidRPr="002318C9">
        <w:rPr>
          <w:rFonts w:ascii="Times New Roman" w:hAnsi="Times New Roman" w:cs="Times New Roman"/>
          <w:i/>
          <w:iCs/>
        </w:rPr>
        <w:t>National Republican</w:t>
      </w:r>
      <w:r w:rsidRPr="002318C9">
        <w:rPr>
          <w:rFonts w:ascii="Times New Roman" w:hAnsi="Times New Roman" w:cs="Times New Roman"/>
        </w:rPr>
        <w:t xml:space="preserve"> (Washington</w:t>
      </w:r>
      <w:r w:rsidR="00E1231B">
        <w:rPr>
          <w:rFonts w:ascii="Times New Roman" w:hAnsi="Times New Roman" w:cs="Times New Roman"/>
        </w:rPr>
        <w:t>)</w:t>
      </w:r>
      <w:r w:rsidRPr="002318C9">
        <w:rPr>
          <w:rFonts w:ascii="Times New Roman" w:hAnsi="Times New Roman" w:cs="Times New Roman"/>
        </w:rPr>
        <w:t xml:space="preserve">, </w:t>
      </w:r>
      <w:r w:rsidR="00E1231B">
        <w:rPr>
          <w:rFonts w:ascii="Times New Roman" w:hAnsi="Times New Roman" w:cs="Times New Roman"/>
        </w:rPr>
        <w:t xml:space="preserve">October </w:t>
      </w:r>
      <w:r w:rsidRPr="002318C9">
        <w:rPr>
          <w:rFonts w:ascii="Times New Roman" w:hAnsi="Times New Roman" w:cs="Times New Roman"/>
        </w:rPr>
        <w:t>27</w:t>
      </w:r>
      <w:r w:rsidR="00E1231B">
        <w:rPr>
          <w:rFonts w:ascii="Times New Roman" w:hAnsi="Times New Roman" w:cs="Times New Roman"/>
        </w:rPr>
        <w:t>,</w:t>
      </w:r>
      <w:r w:rsidRPr="002318C9">
        <w:rPr>
          <w:rFonts w:ascii="Times New Roman" w:hAnsi="Times New Roman" w:cs="Times New Roman"/>
        </w:rPr>
        <w:t xml:space="preserve"> 1874. </w:t>
      </w:r>
    </w:p>
  </w:footnote>
  <w:footnote w:id="984">
    <w:p w14:paraId="7526E47B" w14:textId="36FE686E"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413-414; </w:t>
      </w:r>
      <w:r w:rsidR="00E1231B" w:rsidRPr="002318C9">
        <w:rPr>
          <w:rFonts w:ascii="Times New Roman" w:hAnsi="Times New Roman" w:cs="Times New Roman"/>
          <w:i/>
          <w:iCs/>
        </w:rPr>
        <w:t>National Republican</w:t>
      </w:r>
      <w:r w:rsidR="00E1231B" w:rsidRPr="002318C9">
        <w:rPr>
          <w:rFonts w:ascii="Times New Roman" w:hAnsi="Times New Roman" w:cs="Times New Roman"/>
        </w:rPr>
        <w:t xml:space="preserve"> (Washington</w:t>
      </w:r>
      <w:r w:rsidR="00E1231B">
        <w:rPr>
          <w:rFonts w:ascii="Times New Roman" w:hAnsi="Times New Roman" w:cs="Times New Roman"/>
        </w:rPr>
        <w:t>)</w:t>
      </w:r>
      <w:r w:rsidR="00E1231B" w:rsidRPr="002318C9">
        <w:rPr>
          <w:rFonts w:ascii="Times New Roman" w:hAnsi="Times New Roman" w:cs="Times New Roman"/>
        </w:rPr>
        <w:t xml:space="preserve">, </w:t>
      </w:r>
      <w:r w:rsidR="00E1231B">
        <w:rPr>
          <w:rFonts w:ascii="Times New Roman" w:hAnsi="Times New Roman" w:cs="Times New Roman"/>
        </w:rPr>
        <w:t xml:space="preserve">October </w:t>
      </w:r>
      <w:r w:rsidR="00E1231B" w:rsidRPr="002318C9">
        <w:rPr>
          <w:rFonts w:ascii="Times New Roman" w:hAnsi="Times New Roman" w:cs="Times New Roman"/>
        </w:rPr>
        <w:t>27</w:t>
      </w:r>
      <w:r w:rsidR="00E1231B">
        <w:rPr>
          <w:rFonts w:ascii="Times New Roman" w:hAnsi="Times New Roman" w:cs="Times New Roman"/>
        </w:rPr>
        <w:t>,</w:t>
      </w:r>
      <w:r w:rsidR="00E1231B" w:rsidRPr="002318C9">
        <w:rPr>
          <w:rFonts w:ascii="Times New Roman" w:hAnsi="Times New Roman" w:cs="Times New Roman"/>
        </w:rPr>
        <w:t xml:space="preserve"> 1874.</w:t>
      </w:r>
    </w:p>
  </w:footnote>
  <w:footnote w:id="985">
    <w:p w14:paraId="7018413C" w14:textId="53269C9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414; </w:t>
      </w:r>
      <w:r w:rsidR="00E1231B">
        <w:rPr>
          <w:rFonts w:ascii="Times New Roman" w:hAnsi="Times New Roman" w:cs="Times New Roman"/>
          <w:i/>
          <w:iCs/>
        </w:rPr>
        <w:t>New York Sun</w:t>
      </w:r>
      <w:r w:rsidR="00E1231B">
        <w:rPr>
          <w:rFonts w:ascii="Times New Roman" w:hAnsi="Times New Roman" w:cs="Times New Roman"/>
        </w:rPr>
        <w:t xml:space="preserve">, June </w:t>
      </w:r>
      <w:r w:rsidR="00E1231B" w:rsidRPr="002318C9">
        <w:rPr>
          <w:rFonts w:ascii="Times New Roman" w:hAnsi="Times New Roman" w:cs="Times New Roman"/>
        </w:rPr>
        <w:t>11</w:t>
      </w:r>
      <w:r w:rsidR="00E1231B">
        <w:rPr>
          <w:rFonts w:ascii="Times New Roman" w:hAnsi="Times New Roman" w:cs="Times New Roman"/>
        </w:rPr>
        <w:t>,</w:t>
      </w:r>
      <w:r w:rsidR="00E1231B" w:rsidRPr="002318C9">
        <w:rPr>
          <w:rFonts w:ascii="Times New Roman" w:hAnsi="Times New Roman" w:cs="Times New Roman"/>
        </w:rPr>
        <w:t xml:space="preserve"> 1874.</w:t>
      </w:r>
    </w:p>
  </w:footnote>
  <w:footnote w:id="986">
    <w:p w14:paraId="6D8B930E" w14:textId="6604E9A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414-415; </w:t>
      </w:r>
      <w:r w:rsidR="00E1231B" w:rsidRPr="002318C9">
        <w:rPr>
          <w:rFonts w:ascii="Times New Roman" w:hAnsi="Times New Roman" w:cs="Times New Roman"/>
          <w:i/>
          <w:iCs/>
        </w:rPr>
        <w:t>National Republican</w:t>
      </w:r>
      <w:r w:rsidR="00E1231B" w:rsidRPr="002318C9">
        <w:rPr>
          <w:rFonts w:ascii="Times New Roman" w:hAnsi="Times New Roman" w:cs="Times New Roman"/>
        </w:rPr>
        <w:t xml:space="preserve"> (Washington</w:t>
      </w:r>
      <w:r w:rsidR="00E1231B">
        <w:rPr>
          <w:rFonts w:ascii="Times New Roman" w:hAnsi="Times New Roman" w:cs="Times New Roman"/>
        </w:rPr>
        <w:t>)</w:t>
      </w:r>
      <w:r w:rsidR="00E1231B" w:rsidRPr="002318C9">
        <w:rPr>
          <w:rFonts w:ascii="Times New Roman" w:hAnsi="Times New Roman" w:cs="Times New Roman"/>
        </w:rPr>
        <w:t xml:space="preserve">, </w:t>
      </w:r>
      <w:r w:rsidR="00E1231B">
        <w:rPr>
          <w:rFonts w:ascii="Times New Roman" w:hAnsi="Times New Roman" w:cs="Times New Roman"/>
        </w:rPr>
        <w:t xml:space="preserve">October </w:t>
      </w:r>
      <w:r w:rsidR="00E1231B" w:rsidRPr="002318C9">
        <w:rPr>
          <w:rFonts w:ascii="Times New Roman" w:hAnsi="Times New Roman" w:cs="Times New Roman"/>
        </w:rPr>
        <w:t>27</w:t>
      </w:r>
      <w:r w:rsidR="00E1231B">
        <w:rPr>
          <w:rFonts w:ascii="Times New Roman" w:hAnsi="Times New Roman" w:cs="Times New Roman"/>
        </w:rPr>
        <w:t>,</w:t>
      </w:r>
      <w:r w:rsidR="00E1231B" w:rsidRPr="002318C9">
        <w:rPr>
          <w:rFonts w:ascii="Times New Roman" w:hAnsi="Times New Roman" w:cs="Times New Roman"/>
        </w:rPr>
        <w:t xml:space="preserve"> 1874.</w:t>
      </w:r>
    </w:p>
  </w:footnote>
  <w:footnote w:id="987">
    <w:p w14:paraId="1E956E75" w14:textId="5580BBD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414; </w:t>
      </w:r>
      <w:r w:rsidR="00E1231B" w:rsidRPr="002318C9">
        <w:rPr>
          <w:rFonts w:ascii="Times New Roman" w:hAnsi="Times New Roman" w:cs="Times New Roman"/>
          <w:i/>
          <w:iCs/>
        </w:rPr>
        <w:t>National Republican</w:t>
      </w:r>
      <w:r w:rsidR="00E1231B" w:rsidRPr="002318C9">
        <w:rPr>
          <w:rFonts w:ascii="Times New Roman" w:hAnsi="Times New Roman" w:cs="Times New Roman"/>
        </w:rPr>
        <w:t xml:space="preserve"> (Washington</w:t>
      </w:r>
      <w:r w:rsidR="00E1231B">
        <w:rPr>
          <w:rFonts w:ascii="Times New Roman" w:hAnsi="Times New Roman" w:cs="Times New Roman"/>
        </w:rPr>
        <w:t>)</w:t>
      </w:r>
      <w:r w:rsidR="00E1231B" w:rsidRPr="002318C9">
        <w:rPr>
          <w:rFonts w:ascii="Times New Roman" w:hAnsi="Times New Roman" w:cs="Times New Roman"/>
        </w:rPr>
        <w:t xml:space="preserve">, </w:t>
      </w:r>
      <w:r w:rsidR="00E1231B">
        <w:rPr>
          <w:rFonts w:ascii="Times New Roman" w:hAnsi="Times New Roman" w:cs="Times New Roman"/>
        </w:rPr>
        <w:t xml:space="preserve">October </w:t>
      </w:r>
      <w:r w:rsidR="00E1231B" w:rsidRPr="002318C9">
        <w:rPr>
          <w:rFonts w:ascii="Times New Roman" w:hAnsi="Times New Roman" w:cs="Times New Roman"/>
        </w:rPr>
        <w:t>27</w:t>
      </w:r>
      <w:r w:rsidR="00E1231B">
        <w:rPr>
          <w:rFonts w:ascii="Times New Roman" w:hAnsi="Times New Roman" w:cs="Times New Roman"/>
        </w:rPr>
        <w:t>,</w:t>
      </w:r>
      <w:r w:rsidR="00E1231B" w:rsidRPr="002318C9">
        <w:rPr>
          <w:rFonts w:ascii="Times New Roman" w:hAnsi="Times New Roman" w:cs="Times New Roman"/>
        </w:rPr>
        <w:t xml:space="preserve"> 1874</w:t>
      </w:r>
      <w:r w:rsidRPr="002318C9">
        <w:rPr>
          <w:rFonts w:ascii="Times New Roman" w:hAnsi="Times New Roman" w:cs="Times New Roman"/>
        </w:rPr>
        <w:t xml:space="preserve">. </w:t>
      </w:r>
    </w:p>
  </w:footnote>
  <w:footnote w:id="988">
    <w:p w14:paraId="65BB4768" w14:textId="1F95DA5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1231B">
        <w:rPr>
          <w:rFonts w:ascii="Times New Roman" w:hAnsi="Times New Roman" w:cs="Times New Roman"/>
        </w:rPr>
        <w:t>Ibid</w:t>
      </w:r>
    </w:p>
  </w:footnote>
  <w:footnote w:id="989">
    <w:p w14:paraId="5CAF56DE" w14:textId="33FC49AE"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414-415; </w:t>
      </w:r>
      <w:r w:rsidR="00E1231B" w:rsidRPr="002318C9">
        <w:rPr>
          <w:rFonts w:ascii="Times New Roman" w:hAnsi="Times New Roman" w:cs="Times New Roman"/>
          <w:i/>
          <w:iCs/>
        </w:rPr>
        <w:t>National Republican</w:t>
      </w:r>
      <w:r w:rsidR="00E1231B" w:rsidRPr="002318C9">
        <w:rPr>
          <w:rFonts w:ascii="Times New Roman" w:hAnsi="Times New Roman" w:cs="Times New Roman"/>
        </w:rPr>
        <w:t xml:space="preserve"> (Washington</w:t>
      </w:r>
      <w:r w:rsidR="00E1231B">
        <w:rPr>
          <w:rFonts w:ascii="Times New Roman" w:hAnsi="Times New Roman" w:cs="Times New Roman"/>
        </w:rPr>
        <w:t>)</w:t>
      </w:r>
      <w:r w:rsidR="00E1231B" w:rsidRPr="002318C9">
        <w:rPr>
          <w:rFonts w:ascii="Times New Roman" w:hAnsi="Times New Roman" w:cs="Times New Roman"/>
        </w:rPr>
        <w:t xml:space="preserve">, </w:t>
      </w:r>
      <w:r w:rsidR="00E1231B">
        <w:rPr>
          <w:rFonts w:ascii="Times New Roman" w:hAnsi="Times New Roman" w:cs="Times New Roman"/>
        </w:rPr>
        <w:t xml:space="preserve">October </w:t>
      </w:r>
      <w:r w:rsidR="00E1231B" w:rsidRPr="002318C9">
        <w:rPr>
          <w:rFonts w:ascii="Times New Roman" w:hAnsi="Times New Roman" w:cs="Times New Roman"/>
        </w:rPr>
        <w:t>27</w:t>
      </w:r>
      <w:r w:rsidR="00E1231B">
        <w:rPr>
          <w:rFonts w:ascii="Times New Roman" w:hAnsi="Times New Roman" w:cs="Times New Roman"/>
        </w:rPr>
        <w:t>,</w:t>
      </w:r>
      <w:r w:rsidR="00E1231B" w:rsidRPr="002318C9">
        <w:rPr>
          <w:rFonts w:ascii="Times New Roman" w:hAnsi="Times New Roman" w:cs="Times New Roman"/>
        </w:rPr>
        <w:t xml:space="preserve"> 1874.</w:t>
      </w:r>
    </w:p>
  </w:footnote>
  <w:footnote w:id="990">
    <w:p w14:paraId="4DA466AD" w14:textId="5A2CF49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415-416; </w:t>
      </w:r>
      <w:r w:rsidR="00E82BA1" w:rsidRPr="002318C9">
        <w:rPr>
          <w:rFonts w:ascii="Times New Roman" w:hAnsi="Times New Roman" w:cs="Times New Roman"/>
          <w:i/>
          <w:iCs/>
        </w:rPr>
        <w:t>National Republican</w:t>
      </w:r>
      <w:r w:rsidR="00E82BA1" w:rsidRPr="002318C9">
        <w:rPr>
          <w:rFonts w:ascii="Times New Roman" w:hAnsi="Times New Roman" w:cs="Times New Roman"/>
        </w:rPr>
        <w:t xml:space="preserve"> (Washington</w:t>
      </w:r>
      <w:r w:rsidR="00E82BA1">
        <w:rPr>
          <w:rFonts w:ascii="Times New Roman" w:hAnsi="Times New Roman" w:cs="Times New Roman"/>
        </w:rPr>
        <w:t>)</w:t>
      </w:r>
      <w:r w:rsidR="00E82BA1" w:rsidRPr="002318C9">
        <w:rPr>
          <w:rFonts w:ascii="Times New Roman" w:hAnsi="Times New Roman" w:cs="Times New Roman"/>
        </w:rPr>
        <w:t xml:space="preserve">, </w:t>
      </w:r>
      <w:r w:rsidR="00E82BA1">
        <w:rPr>
          <w:rFonts w:ascii="Times New Roman" w:hAnsi="Times New Roman" w:cs="Times New Roman"/>
        </w:rPr>
        <w:t xml:space="preserve">October </w:t>
      </w:r>
      <w:r w:rsidR="00E82BA1" w:rsidRPr="002318C9">
        <w:rPr>
          <w:rFonts w:ascii="Times New Roman" w:hAnsi="Times New Roman" w:cs="Times New Roman"/>
        </w:rPr>
        <w:t>27</w:t>
      </w:r>
      <w:r w:rsidR="00E82BA1">
        <w:rPr>
          <w:rFonts w:ascii="Times New Roman" w:hAnsi="Times New Roman" w:cs="Times New Roman"/>
        </w:rPr>
        <w:t>,</w:t>
      </w:r>
      <w:r w:rsidR="00E82BA1" w:rsidRPr="002318C9">
        <w:rPr>
          <w:rFonts w:ascii="Times New Roman" w:hAnsi="Times New Roman" w:cs="Times New Roman"/>
        </w:rPr>
        <w:t xml:space="preserve"> 1874.</w:t>
      </w:r>
    </w:p>
  </w:footnote>
  <w:footnote w:id="991">
    <w:p w14:paraId="3703E77F" w14:textId="389C959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415-419; </w:t>
      </w:r>
      <w:r w:rsidR="00E82BA1">
        <w:rPr>
          <w:rFonts w:ascii="Times New Roman" w:hAnsi="Times New Roman" w:cs="Times New Roman"/>
          <w:i/>
          <w:iCs/>
        </w:rPr>
        <w:t>New York Sun</w:t>
      </w:r>
      <w:r w:rsidR="00E82BA1">
        <w:rPr>
          <w:rFonts w:ascii="Times New Roman" w:hAnsi="Times New Roman" w:cs="Times New Roman"/>
        </w:rPr>
        <w:t xml:space="preserve">, June </w:t>
      </w:r>
      <w:r w:rsidR="00E82BA1" w:rsidRPr="002318C9">
        <w:rPr>
          <w:rFonts w:ascii="Times New Roman" w:hAnsi="Times New Roman" w:cs="Times New Roman"/>
        </w:rPr>
        <w:t>11</w:t>
      </w:r>
      <w:r w:rsidR="00E82BA1">
        <w:rPr>
          <w:rFonts w:ascii="Times New Roman" w:hAnsi="Times New Roman" w:cs="Times New Roman"/>
        </w:rPr>
        <w:t>,</w:t>
      </w:r>
      <w:r w:rsidR="00E82BA1" w:rsidRPr="002318C9">
        <w:rPr>
          <w:rFonts w:ascii="Times New Roman" w:hAnsi="Times New Roman" w:cs="Times New Roman"/>
        </w:rPr>
        <w:t xml:space="preserve"> 1874.</w:t>
      </w:r>
    </w:p>
  </w:footnote>
  <w:footnote w:id="992">
    <w:p w14:paraId="2BD4B526" w14:textId="2BCDC6D6"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417-430;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E82BA1">
        <w:rPr>
          <w:rFonts w:ascii="Times New Roman" w:hAnsi="Times New Roman" w:cs="Times New Roman"/>
        </w:rPr>
        <w:t xml:space="preserve">November </w:t>
      </w:r>
      <w:r w:rsidRPr="002318C9">
        <w:rPr>
          <w:rFonts w:ascii="Times New Roman" w:hAnsi="Times New Roman" w:cs="Times New Roman"/>
        </w:rPr>
        <w:t>19</w:t>
      </w:r>
      <w:r w:rsidR="00E82BA1">
        <w:rPr>
          <w:rFonts w:ascii="Times New Roman" w:hAnsi="Times New Roman" w:cs="Times New Roman"/>
        </w:rPr>
        <w:t>,</w:t>
      </w:r>
      <w:r w:rsidRPr="002318C9">
        <w:rPr>
          <w:rFonts w:ascii="Times New Roman" w:hAnsi="Times New Roman" w:cs="Times New Roman"/>
        </w:rPr>
        <w:t xml:space="preserve"> 1874; </w:t>
      </w:r>
      <w:r w:rsidRPr="002318C9">
        <w:rPr>
          <w:rFonts w:ascii="Times New Roman" w:hAnsi="Times New Roman" w:cs="Times New Roman"/>
          <w:i/>
          <w:iCs/>
        </w:rPr>
        <w:t>Chicago daily tribune</w:t>
      </w:r>
      <w:r w:rsidRPr="002318C9">
        <w:rPr>
          <w:rFonts w:ascii="Times New Roman" w:hAnsi="Times New Roman" w:cs="Times New Roman"/>
        </w:rPr>
        <w:t xml:space="preserve">, </w:t>
      </w:r>
      <w:r w:rsidR="0033300D">
        <w:rPr>
          <w:rFonts w:ascii="Times New Roman" w:hAnsi="Times New Roman" w:cs="Times New Roman"/>
        </w:rPr>
        <w:t xml:space="preserve">October </w:t>
      </w:r>
      <w:r w:rsidRPr="002318C9">
        <w:rPr>
          <w:rFonts w:ascii="Times New Roman" w:hAnsi="Times New Roman" w:cs="Times New Roman"/>
        </w:rPr>
        <w:t>30</w:t>
      </w:r>
      <w:r w:rsidR="0033300D">
        <w:rPr>
          <w:rFonts w:ascii="Times New Roman" w:hAnsi="Times New Roman" w:cs="Times New Roman"/>
        </w:rPr>
        <w:t>,</w:t>
      </w:r>
      <w:r w:rsidRPr="002318C9">
        <w:rPr>
          <w:rFonts w:ascii="Times New Roman" w:hAnsi="Times New Roman" w:cs="Times New Roman"/>
        </w:rPr>
        <w:t xml:space="preserve"> 1874. </w:t>
      </w:r>
    </w:p>
  </w:footnote>
  <w:footnote w:id="993">
    <w:p w14:paraId="1A364D9F" w14:textId="152F0BDC"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416;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D45974">
        <w:rPr>
          <w:rFonts w:ascii="Times New Roman" w:hAnsi="Times New Roman" w:cs="Times New Roman"/>
        </w:rPr>
        <w:t xml:space="preserve">October </w:t>
      </w:r>
      <w:r w:rsidRPr="002318C9">
        <w:rPr>
          <w:rFonts w:ascii="Times New Roman" w:hAnsi="Times New Roman" w:cs="Times New Roman"/>
        </w:rPr>
        <w:t>27</w:t>
      </w:r>
      <w:r w:rsidR="00D45974">
        <w:rPr>
          <w:rFonts w:ascii="Times New Roman" w:hAnsi="Times New Roman" w:cs="Times New Roman"/>
        </w:rPr>
        <w:t xml:space="preserve">, </w:t>
      </w:r>
      <w:r w:rsidRPr="002318C9">
        <w:rPr>
          <w:rFonts w:ascii="Times New Roman" w:hAnsi="Times New Roman" w:cs="Times New Roman"/>
        </w:rPr>
        <w:t xml:space="preserve">1874. </w:t>
      </w:r>
    </w:p>
  </w:footnote>
  <w:footnote w:id="994">
    <w:p w14:paraId="304C85EF"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416-418</w:t>
      </w:r>
    </w:p>
  </w:footnote>
  <w:footnote w:id="995">
    <w:p w14:paraId="02BAEC0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417-418</w:t>
      </w:r>
    </w:p>
  </w:footnote>
  <w:footnote w:id="996">
    <w:p w14:paraId="57FCB575"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417-421</w:t>
      </w:r>
    </w:p>
  </w:footnote>
  <w:footnote w:id="997">
    <w:p w14:paraId="14CA3435"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71" w:name="_Hlk70887707"/>
      <w:r w:rsidRPr="002318C9">
        <w:rPr>
          <w:rFonts w:ascii="Times New Roman" w:hAnsi="Times New Roman" w:cs="Times New Roman"/>
        </w:rPr>
        <w:t>Boynton, “The Washington Safe Burglary Conspiracy,” 422-425</w:t>
      </w:r>
      <w:bookmarkEnd w:id="71"/>
    </w:p>
  </w:footnote>
  <w:footnote w:id="998">
    <w:p w14:paraId="2C41928C" w14:textId="367925B0"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425;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D45974">
        <w:rPr>
          <w:rFonts w:ascii="Times New Roman" w:hAnsi="Times New Roman" w:cs="Times New Roman"/>
        </w:rPr>
        <w:t xml:space="preserve">September </w:t>
      </w:r>
      <w:r w:rsidRPr="002318C9">
        <w:rPr>
          <w:rFonts w:ascii="Times New Roman" w:hAnsi="Times New Roman" w:cs="Times New Roman"/>
        </w:rPr>
        <w:t>4</w:t>
      </w:r>
      <w:r w:rsidR="00D45974">
        <w:rPr>
          <w:rFonts w:ascii="Times New Roman" w:hAnsi="Times New Roman" w:cs="Times New Roman"/>
        </w:rPr>
        <w:t>,</w:t>
      </w:r>
      <w:r w:rsidRPr="002318C9">
        <w:rPr>
          <w:rFonts w:ascii="Times New Roman" w:hAnsi="Times New Roman" w:cs="Times New Roman"/>
        </w:rPr>
        <w:t xml:space="preserve"> 1874; </w:t>
      </w:r>
      <w:r w:rsidRPr="002318C9">
        <w:rPr>
          <w:rFonts w:ascii="Times New Roman" w:hAnsi="Times New Roman" w:cs="Times New Roman"/>
          <w:i/>
          <w:iCs/>
        </w:rPr>
        <w:t>The Morristown gazette.</w:t>
      </w:r>
      <w:r w:rsidRPr="002318C9">
        <w:rPr>
          <w:rFonts w:ascii="Times New Roman" w:hAnsi="Times New Roman" w:cs="Times New Roman"/>
        </w:rPr>
        <w:t xml:space="preserve"> (Morristown, T</w:t>
      </w:r>
      <w:r w:rsidR="00D45974">
        <w:rPr>
          <w:rFonts w:ascii="Times New Roman" w:hAnsi="Times New Roman" w:cs="Times New Roman"/>
        </w:rPr>
        <w:t>N</w:t>
      </w:r>
      <w:r w:rsidRPr="002318C9">
        <w:rPr>
          <w:rFonts w:ascii="Times New Roman" w:hAnsi="Times New Roman" w:cs="Times New Roman"/>
        </w:rPr>
        <w:t xml:space="preserve">), </w:t>
      </w:r>
      <w:r w:rsidR="00D45974">
        <w:rPr>
          <w:rFonts w:ascii="Times New Roman" w:hAnsi="Times New Roman" w:cs="Times New Roman"/>
        </w:rPr>
        <w:t xml:space="preserve">April </w:t>
      </w:r>
      <w:r w:rsidRPr="002318C9">
        <w:rPr>
          <w:rFonts w:ascii="Times New Roman" w:hAnsi="Times New Roman" w:cs="Times New Roman"/>
        </w:rPr>
        <w:t>19</w:t>
      </w:r>
      <w:r w:rsidR="00D45974">
        <w:rPr>
          <w:rFonts w:ascii="Times New Roman" w:hAnsi="Times New Roman" w:cs="Times New Roman"/>
        </w:rPr>
        <w:t>,</w:t>
      </w:r>
      <w:r w:rsidRPr="002318C9">
        <w:rPr>
          <w:rFonts w:ascii="Times New Roman" w:hAnsi="Times New Roman" w:cs="Times New Roman"/>
        </w:rPr>
        <w:t xml:space="preserve"> 1876. </w:t>
      </w:r>
    </w:p>
  </w:footnote>
  <w:footnote w:id="999">
    <w:p w14:paraId="6A9FCEA9"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426</w:t>
      </w:r>
    </w:p>
  </w:footnote>
  <w:footnote w:id="1000">
    <w:p w14:paraId="0FC82661"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426</w:t>
      </w:r>
    </w:p>
  </w:footnote>
  <w:footnote w:id="1001">
    <w:p w14:paraId="0C7509D1" w14:textId="1D6D7BFE"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426; </w:t>
      </w:r>
      <w:r w:rsidRPr="002318C9">
        <w:rPr>
          <w:rFonts w:ascii="Times New Roman" w:hAnsi="Times New Roman" w:cs="Times New Roman"/>
          <w:i/>
          <w:iCs/>
        </w:rPr>
        <w:t>The Morristown gazette.</w:t>
      </w:r>
      <w:r w:rsidRPr="002318C9">
        <w:rPr>
          <w:rFonts w:ascii="Times New Roman" w:hAnsi="Times New Roman" w:cs="Times New Roman"/>
        </w:rPr>
        <w:t xml:space="preserve"> (Morristown, T</w:t>
      </w:r>
      <w:r w:rsidR="00D45974">
        <w:rPr>
          <w:rFonts w:ascii="Times New Roman" w:hAnsi="Times New Roman" w:cs="Times New Roman"/>
        </w:rPr>
        <w:t>N</w:t>
      </w:r>
      <w:r w:rsidRPr="002318C9">
        <w:rPr>
          <w:rFonts w:ascii="Times New Roman" w:hAnsi="Times New Roman" w:cs="Times New Roman"/>
        </w:rPr>
        <w:t xml:space="preserve">), </w:t>
      </w:r>
      <w:r w:rsidR="00D45974">
        <w:rPr>
          <w:rFonts w:ascii="Times New Roman" w:hAnsi="Times New Roman" w:cs="Times New Roman"/>
        </w:rPr>
        <w:t xml:space="preserve">April </w:t>
      </w:r>
      <w:r w:rsidRPr="002318C9">
        <w:rPr>
          <w:rFonts w:ascii="Times New Roman" w:hAnsi="Times New Roman" w:cs="Times New Roman"/>
        </w:rPr>
        <w:t>19</w:t>
      </w:r>
      <w:r w:rsidR="00D45974">
        <w:rPr>
          <w:rFonts w:ascii="Times New Roman" w:hAnsi="Times New Roman" w:cs="Times New Roman"/>
        </w:rPr>
        <w:t>,</w:t>
      </w:r>
      <w:r w:rsidRPr="002318C9">
        <w:rPr>
          <w:rFonts w:ascii="Times New Roman" w:hAnsi="Times New Roman" w:cs="Times New Roman"/>
        </w:rPr>
        <w:t xml:space="preserve"> 1876. </w:t>
      </w:r>
    </w:p>
  </w:footnote>
  <w:footnote w:id="1002">
    <w:p w14:paraId="010661B5" w14:textId="301BFFB6"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426-428; “</w:t>
      </w:r>
      <w:bookmarkStart w:id="72" w:name="_Hlk70429083"/>
      <w:r w:rsidRPr="002318C9">
        <w:rPr>
          <w:rFonts w:ascii="Times New Roman" w:hAnsi="Times New Roman" w:cs="Times New Roman"/>
        </w:rPr>
        <w:t xml:space="preserve">The Washington Conspiracy Case.” </w:t>
      </w:r>
      <w:bookmarkEnd w:id="72"/>
      <w:r w:rsidRPr="002318C9">
        <w:rPr>
          <w:rFonts w:ascii="Times New Roman" w:hAnsi="Times New Roman" w:cs="Times New Roman"/>
        </w:rPr>
        <w:t xml:space="preserve">351-359; </w:t>
      </w:r>
      <w:r w:rsidRPr="002318C9">
        <w:rPr>
          <w:rFonts w:ascii="Times New Roman" w:hAnsi="Times New Roman" w:cs="Times New Roman"/>
          <w:i/>
          <w:iCs/>
        </w:rPr>
        <w:t xml:space="preserve">Evening star. </w:t>
      </w:r>
      <w:r w:rsidRPr="002318C9">
        <w:rPr>
          <w:rFonts w:ascii="Times New Roman" w:hAnsi="Times New Roman" w:cs="Times New Roman"/>
        </w:rPr>
        <w:t>(Washingt</w:t>
      </w:r>
      <w:r w:rsidR="00D45974">
        <w:rPr>
          <w:rFonts w:ascii="Times New Roman" w:hAnsi="Times New Roman" w:cs="Times New Roman"/>
        </w:rPr>
        <w:t>on</w:t>
      </w:r>
      <w:r w:rsidRPr="002318C9">
        <w:rPr>
          <w:rFonts w:ascii="Times New Roman" w:hAnsi="Times New Roman" w:cs="Times New Roman"/>
        </w:rPr>
        <w:t xml:space="preserve">), </w:t>
      </w:r>
      <w:r w:rsidR="00D45974">
        <w:rPr>
          <w:rFonts w:ascii="Times New Roman" w:hAnsi="Times New Roman" w:cs="Times New Roman"/>
        </w:rPr>
        <w:t xml:space="preserve">July </w:t>
      </w:r>
      <w:r w:rsidRPr="002318C9">
        <w:rPr>
          <w:rFonts w:ascii="Times New Roman" w:hAnsi="Times New Roman" w:cs="Times New Roman"/>
        </w:rPr>
        <w:t>15</w:t>
      </w:r>
      <w:r w:rsidR="00D45974">
        <w:rPr>
          <w:rFonts w:ascii="Times New Roman" w:hAnsi="Times New Roman" w:cs="Times New Roman"/>
        </w:rPr>
        <w:t>,</w:t>
      </w:r>
      <w:r w:rsidRPr="002318C9">
        <w:rPr>
          <w:rFonts w:ascii="Times New Roman" w:hAnsi="Times New Roman" w:cs="Times New Roman"/>
        </w:rPr>
        <w:t xml:space="preserve"> 1874. </w:t>
      </w:r>
    </w:p>
  </w:footnote>
  <w:footnote w:id="1003">
    <w:p w14:paraId="6CDF1ADE" w14:textId="5329035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431; Davis, "The Safe Burglary Case,” 149;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28018E">
        <w:rPr>
          <w:rFonts w:ascii="Times New Roman" w:hAnsi="Times New Roman" w:cs="Times New Roman"/>
        </w:rPr>
        <w:t xml:space="preserve">October </w:t>
      </w:r>
      <w:r w:rsidRPr="002318C9">
        <w:rPr>
          <w:rFonts w:ascii="Times New Roman" w:hAnsi="Times New Roman" w:cs="Times New Roman"/>
        </w:rPr>
        <w:t>21</w:t>
      </w:r>
      <w:r w:rsidR="0028018E">
        <w:rPr>
          <w:rFonts w:ascii="Times New Roman" w:hAnsi="Times New Roman" w:cs="Times New Roman"/>
        </w:rPr>
        <w:t>,</w:t>
      </w:r>
      <w:r w:rsidRPr="002318C9">
        <w:rPr>
          <w:rFonts w:ascii="Times New Roman" w:hAnsi="Times New Roman" w:cs="Times New Roman"/>
        </w:rPr>
        <w:t xml:space="preserve"> 1874. </w:t>
      </w:r>
    </w:p>
  </w:footnote>
  <w:footnote w:id="1004">
    <w:p w14:paraId="4616A6BE" w14:textId="6258D05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149; </w:t>
      </w:r>
      <w:bookmarkStart w:id="73" w:name="_Hlk70689093"/>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28018E">
        <w:rPr>
          <w:rFonts w:ascii="Times New Roman" w:hAnsi="Times New Roman" w:cs="Times New Roman"/>
        </w:rPr>
        <w:t xml:space="preserve">September </w:t>
      </w:r>
      <w:r w:rsidRPr="002318C9">
        <w:rPr>
          <w:rFonts w:ascii="Times New Roman" w:hAnsi="Times New Roman" w:cs="Times New Roman"/>
        </w:rPr>
        <w:t>11</w:t>
      </w:r>
      <w:r w:rsidR="0028018E">
        <w:rPr>
          <w:rFonts w:ascii="Times New Roman" w:hAnsi="Times New Roman" w:cs="Times New Roman"/>
        </w:rPr>
        <w:t>,</w:t>
      </w:r>
      <w:r w:rsidRPr="002318C9">
        <w:rPr>
          <w:rFonts w:ascii="Times New Roman" w:hAnsi="Times New Roman" w:cs="Times New Roman"/>
        </w:rPr>
        <w:t xml:space="preserve"> 1874. </w:t>
      </w:r>
      <w:bookmarkEnd w:id="73"/>
    </w:p>
  </w:footnote>
  <w:footnote w:id="1005">
    <w:p w14:paraId="6E07A235"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149</w:t>
      </w:r>
    </w:p>
  </w:footnote>
  <w:footnote w:id="1006">
    <w:p w14:paraId="35E6CDA1"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155</w:t>
      </w:r>
    </w:p>
  </w:footnote>
  <w:footnote w:id="1007">
    <w:p w14:paraId="726B756C" w14:textId="37B37F16"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154;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28018E">
        <w:rPr>
          <w:rFonts w:ascii="Times New Roman" w:hAnsi="Times New Roman" w:cs="Times New Roman"/>
        </w:rPr>
        <w:t xml:space="preserve">September </w:t>
      </w:r>
      <w:r w:rsidRPr="002318C9">
        <w:rPr>
          <w:rFonts w:ascii="Times New Roman" w:hAnsi="Times New Roman" w:cs="Times New Roman"/>
        </w:rPr>
        <w:t>26</w:t>
      </w:r>
      <w:r w:rsidR="0028018E">
        <w:rPr>
          <w:rFonts w:ascii="Times New Roman" w:hAnsi="Times New Roman" w:cs="Times New Roman"/>
        </w:rPr>
        <w:t>,</w:t>
      </w:r>
      <w:r w:rsidRPr="002318C9">
        <w:rPr>
          <w:rFonts w:ascii="Times New Roman" w:hAnsi="Times New Roman" w:cs="Times New Roman"/>
        </w:rPr>
        <w:t xml:space="preserve"> 1876. </w:t>
      </w:r>
    </w:p>
  </w:footnote>
  <w:footnote w:id="1008">
    <w:p w14:paraId="1F84AB92" w14:textId="5B544386"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154-155;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5A2205">
        <w:rPr>
          <w:rFonts w:ascii="Times New Roman" w:hAnsi="Times New Roman" w:cs="Times New Roman"/>
        </w:rPr>
        <w:t xml:space="preserve">October </w:t>
      </w:r>
      <w:r w:rsidRPr="002318C9">
        <w:rPr>
          <w:rFonts w:ascii="Times New Roman" w:hAnsi="Times New Roman" w:cs="Times New Roman"/>
        </w:rPr>
        <w:t>27</w:t>
      </w:r>
      <w:r w:rsidR="005A2205">
        <w:rPr>
          <w:rFonts w:ascii="Times New Roman" w:hAnsi="Times New Roman" w:cs="Times New Roman"/>
        </w:rPr>
        <w:t>,</w:t>
      </w:r>
      <w:r w:rsidRPr="002318C9">
        <w:rPr>
          <w:rFonts w:ascii="Times New Roman" w:hAnsi="Times New Roman" w:cs="Times New Roman"/>
        </w:rPr>
        <w:t xml:space="preserve"> 1874. </w:t>
      </w:r>
    </w:p>
  </w:footnote>
  <w:footnote w:id="1009">
    <w:p w14:paraId="3FB6B2EA" w14:textId="6560845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155; </w:t>
      </w:r>
      <w:bookmarkStart w:id="74" w:name="_Hlk70599930"/>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5A2205">
        <w:rPr>
          <w:rFonts w:ascii="Times New Roman" w:hAnsi="Times New Roman" w:cs="Times New Roman"/>
        </w:rPr>
        <w:t xml:space="preserve">November </w:t>
      </w:r>
      <w:r w:rsidRPr="002318C9">
        <w:rPr>
          <w:rFonts w:ascii="Times New Roman" w:hAnsi="Times New Roman" w:cs="Times New Roman"/>
        </w:rPr>
        <w:t>19</w:t>
      </w:r>
      <w:r w:rsidR="005A2205">
        <w:rPr>
          <w:rFonts w:ascii="Times New Roman" w:hAnsi="Times New Roman" w:cs="Times New Roman"/>
        </w:rPr>
        <w:t>,</w:t>
      </w:r>
      <w:r w:rsidRPr="002318C9">
        <w:rPr>
          <w:rFonts w:ascii="Times New Roman" w:hAnsi="Times New Roman" w:cs="Times New Roman"/>
        </w:rPr>
        <w:t xml:space="preserve"> 1874; </w:t>
      </w:r>
      <w:r w:rsidRPr="002318C9">
        <w:rPr>
          <w:rFonts w:ascii="Times New Roman" w:hAnsi="Times New Roman" w:cs="Times New Roman"/>
          <w:i/>
          <w:iCs/>
        </w:rPr>
        <w:t>Chicago daily tribune</w:t>
      </w:r>
      <w:r w:rsidR="005A2205">
        <w:rPr>
          <w:rFonts w:ascii="Times New Roman" w:hAnsi="Times New Roman" w:cs="Times New Roman"/>
          <w:i/>
          <w:iCs/>
        </w:rPr>
        <w:t xml:space="preserve">, </w:t>
      </w:r>
      <w:r w:rsidR="005A2205">
        <w:rPr>
          <w:rFonts w:ascii="Times New Roman" w:hAnsi="Times New Roman" w:cs="Times New Roman"/>
        </w:rPr>
        <w:t xml:space="preserve">October </w:t>
      </w:r>
      <w:r w:rsidRPr="002318C9">
        <w:rPr>
          <w:rFonts w:ascii="Times New Roman" w:hAnsi="Times New Roman" w:cs="Times New Roman"/>
        </w:rPr>
        <w:t>30</w:t>
      </w:r>
      <w:r w:rsidR="005A2205">
        <w:rPr>
          <w:rFonts w:ascii="Times New Roman" w:hAnsi="Times New Roman" w:cs="Times New Roman"/>
        </w:rPr>
        <w:t>,</w:t>
      </w:r>
      <w:r w:rsidRPr="002318C9">
        <w:rPr>
          <w:rFonts w:ascii="Times New Roman" w:hAnsi="Times New Roman" w:cs="Times New Roman"/>
        </w:rPr>
        <w:t xml:space="preserve"> 1874. </w:t>
      </w:r>
    </w:p>
    <w:bookmarkEnd w:id="74"/>
  </w:footnote>
  <w:footnote w:id="1010">
    <w:p w14:paraId="5EFAA1A8"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430-432</w:t>
      </w:r>
    </w:p>
  </w:footnote>
  <w:footnote w:id="1011">
    <w:p w14:paraId="5018A463"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155</w:t>
      </w:r>
    </w:p>
  </w:footnote>
  <w:footnote w:id="1012">
    <w:p w14:paraId="5C675B8E" w14:textId="32A9B78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420-433; </w:t>
      </w:r>
      <w:bookmarkStart w:id="75" w:name="_Hlk70604526"/>
      <w:r w:rsidRPr="002318C9">
        <w:rPr>
          <w:rFonts w:ascii="Times New Roman" w:hAnsi="Times New Roman" w:cs="Times New Roman"/>
          <w:i/>
          <w:iCs/>
        </w:rPr>
        <w:t>National Republican.</w:t>
      </w:r>
      <w:r w:rsidRPr="002318C9">
        <w:rPr>
          <w:rFonts w:ascii="Times New Roman" w:hAnsi="Times New Roman" w:cs="Times New Roman"/>
        </w:rPr>
        <w:t xml:space="preserve"> (Washingto</w:t>
      </w:r>
      <w:r w:rsidR="002F7E3D">
        <w:rPr>
          <w:rFonts w:ascii="Times New Roman" w:hAnsi="Times New Roman" w:cs="Times New Roman"/>
        </w:rPr>
        <w:t>n</w:t>
      </w:r>
      <w:r w:rsidRPr="002318C9">
        <w:rPr>
          <w:rFonts w:ascii="Times New Roman" w:hAnsi="Times New Roman" w:cs="Times New Roman"/>
        </w:rPr>
        <w:t xml:space="preserve">), </w:t>
      </w:r>
      <w:r w:rsidR="002F7E3D">
        <w:rPr>
          <w:rFonts w:ascii="Times New Roman" w:hAnsi="Times New Roman" w:cs="Times New Roman"/>
        </w:rPr>
        <w:t xml:space="preserve">September </w:t>
      </w:r>
      <w:r w:rsidRPr="002318C9">
        <w:rPr>
          <w:rFonts w:ascii="Times New Roman" w:hAnsi="Times New Roman" w:cs="Times New Roman"/>
        </w:rPr>
        <w:t>26</w:t>
      </w:r>
      <w:r w:rsidR="002F7E3D">
        <w:rPr>
          <w:rFonts w:ascii="Times New Roman" w:hAnsi="Times New Roman" w:cs="Times New Roman"/>
        </w:rPr>
        <w:t>,</w:t>
      </w:r>
      <w:r w:rsidRPr="002318C9">
        <w:rPr>
          <w:rFonts w:ascii="Times New Roman" w:hAnsi="Times New Roman" w:cs="Times New Roman"/>
        </w:rPr>
        <w:t xml:space="preserve"> 1876. </w:t>
      </w:r>
      <w:bookmarkEnd w:id="75"/>
    </w:p>
  </w:footnote>
  <w:footnote w:id="1013">
    <w:p w14:paraId="04303E84"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The old adage that “The man who represents himself has a fool for a client” comes to mind here.</w:t>
      </w:r>
    </w:p>
  </w:footnote>
  <w:footnote w:id="1014">
    <w:p w14:paraId="49DAFEF5" w14:textId="3562A91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157;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2F7E3D">
        <w:rPr>
          <w:rFonts w:ascii="Times New Roman" w:hAnsi="Times New Roman" w:cs="Times New Roman"/>
        </w:rPr>
        <w:t xml:space="preserve">November </w:t>
      </w:r>
      <w:r w:rsidRPr="002318C9">
        <w:rPr>
          <w:rFonts w:ascii="Times New Roman" w:hAnsi="Times New Roman" w:cs="Times New Roman"/>
        </w:rPr>
        <w:t>19</w:t>
      </w:r>
      <w:r w:rsidR="002F7E3D">
        <w:rPr>
          <w:rFonts w:ascii="Times New Roman" w:hAnsi="Times New Roman" w:cs="Times New Roman"/>
        </w:rPr>
        <w:t>,</w:t>
      </w:r>
      <w:r w:rsidRPr="002318C9">
        <w:rPr>
          <w:rFonts w:ascii="Times New Roman" w:hAnsi="Times New Roman" w:cs="Times New Roman"/>
        </w:rPr>
        <w:t xml:space="preserve"> 1874.</w:t>
      </w:r>
    </w:p>
  </w:footnote>
  <w:footnote w:id="1015">
    <w:p w14:paraId="7173CEE6" w14:textId="76B4059F"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431;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2F7E3D">
        <w:rPr>
          <w:rFonts w:ascii="Times New Roman" w:hAnsi="Times New Roman" w:cs="Times New Roman"/>
        </w:rPr>
        <w:t xml:space="preserve">September </w:t>
      </w:r>
      <w:r w:rsidRPr="002318C9">
        <w:rPr>
          <w:rFonts w:ascii="Times New Roman" w:hAnsi="Times New Roman" w:cs="Times New Roman"/>
        </w:rPr>
        <w:t>26</w:t>
      </w:r>
      <w:r w:rsidR="002F7E3D">
        <w:rPr>
          <w:rFonts w:ascii="Times New Roman" w:hAnsi="Times New Roman" w:cs="Times New Roman"/>
        </w:rPr>
        <w:t>,</w:t>
      </w:r>
      <w:r w:rsidRPr="002318C9">
        <w:rPr>
          <w:rFonts w:ascii="Times New Roman" w:hAnsi="Times New Roman" w:cs="Times New Roman"/>
        </w:rPr>
        <w:t xml:space="preserve"> 1876. </w:t>
      </w:r>
    </w:p>
  </w:footnote>
  <w:footnote w:id="1016">
    <w:p w14:paraId="02D53BDA" w14:textId="5260A1E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431;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2F7E3D">
        <w:rPr>
          <w:rFonts w:ascii="Times New Roman" w:hAnsi="Times New Roman" w:cs="Times New Roman"/>
        </w:rPr>
        <w:t xml:space="preserve">September </w:t>
      </w:r>
      <w:r w:rsidRPr="002318C9">
        <w:rPr>
          <w:rFonts w:ascii="Times New Roman" w:hAnsi="Times New Roman" w:cs="Times New Roman"/>
        </w:rPr>
        <w:t>26</w:t>
      </w:r>
      <w:r w:rsidR="002F7E3D">
        <w:rPr>
          <w:rFonts w:ascii="Times New Roman" w:hAnsi="Times New Roman" w:cs="Times New Roman"/>
        </w:rPr>
        <w:t>,</w:t>
      </w:r>
      <w:r w:rsidRPr="002318C9">
        <w:rPr>
          <w:rFonts w:ascii="Times New Roman" w:hAnsi="Times New Roman" w:cs="Times New Roman"/>
        </w:rPr>
        <w:t xml:space="preserve"> 1876. </w:t>
      </w:r>
    </w:p>
  </w:footnote>
  <w:footnote w:id="1017">
    <w:p w14:paraId="4965DC0F" w14:textId="1DEC8A22"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155-156; "Federal Judicial Center." Humphreys, David Campbell | Federal Judicial Center. </w:t>
      </w:r>
    </w:p>
  </w:footnote>
  <w:footnote w:id="1018">
    <w:p w14:paraId="63B7F853" w14:textId="19442902"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155-156;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7B13EA">
        <w:rPr>
          <w:rFonts w:ascii="Times New Roman" w:hAnsi="Times New Roman" w:cs="Times New Roman"/>
        </w:rPr>
        <w:t xml:space="preserve">October </w:t>
      </w:r>
      <w:r w:rsidRPr="002318C9">
        <w:rPr>
          <w:rFonts w:ascii="Times New Roman" w:hAnsi="Times New Roman" w:cs="Times New Roman"/>
        </w:rPr>
        <w:t>27</w:t>
      </w:r>
      <w:r w:rsidR="007B13EA">
        <w:rPr>
          <w:rFonts w:ascii="Times New Roman" w:hAnsi="Times New Roman" w:cs="Times New Roman"/>
        </w:rPr>
        <w:t>,</w:t>
      </w:r>
      <w:r w:rsidRPr="002318C9">
        <w:rPr>
          <w:rFonts w:ascii="Times New Roman" w:hAnsi="Times New Roman" w:cs="Times New Roman"/>
        </w:rPr>
        <w:t xml:space="preserve"> 1874. </w:t>
      </w:r>
    </w:p>
  </w:footnote>
  <w:footnote w:id="1019">
    <w:p w14:paraId="23BE86EF"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156</w:t>
      </w:r>
    </w:p>
  </w:footnote>
  <w:footnote w:id="1020">
    <w:p w14:paraId="5F4B3F30" w14:textId="20618BA4" w:rsidR="002D394D" w:rsidRPr="002318C9" w:rsidRDefault="002D394D" w:rsidP="002D394D">
      <w:pPr>
        <w:pStyle w:val="FootnoteText"/>
        <w:rPr>
          <w:rFonts w:ascii="Times New Roman" w:hAnsi="Times New Roman" w:cs="Times New Roman"/>
          <w:color w:val="0563C1" w:themeColor="hyperlink"/>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 xml:space="preserve">The Cheyenne daily leader. </w:t>
      </w:r>
      <w:r w:rsidRPr="002318C9">
        <w:rPr>
          <w:rFonts w:ascii="Times New Roman" w:hAnsi="Times New Roman" w:cs="Times New Roman"/>
        </w:rPr>
        <w:t>(Cheyenne, W</w:t>
      </w:r>
      <w:r w:rsidR="007B13EA">
        <w:rPr>
          <w:rFonts w:ascii="Times New Roman" w:hAnsi="Times New Roman" w:cs="Times New Roman"/>
        </w:rPr>
        <w:t>Y</w:t>
      </w:r>
      <w:r w:rsidRPr="002318C9">
        <w:rPr>
          <w:rFonts w:ascii="Times New Roman" w:hAnsi="Times New Roman" w:cs="Times New Roman"/>
        </w:rPr>
        <w:t xml:space="preserve">), </w:t>
      </w:r>
      <w:r w:rsidR="007B13EA">
        <w:rPr>
          <w:rFonts w:ascii="Times New Roman" w:hAnsi="Times New Roman" w:cs="Times New Roman"/>
        </w:rPr>
        <w:t xml:space="preserve">April </w:t>
      </w:r>
      <w:r w:rsidRPr="002318C9">
        <w:rPr>
          <w:rFonts w:ascii="Times New Roman" w:hAnsi="Times New Roman" w:cs="Times New Roman"/>
        </w:rPr>
        <w:t>11</w:t>
      </w:r>
      <w:r w:rsidR="007B13EA">
        <w:rPr>
          <w:rFonts w:ascii="Times New Roman" w:hAnsi="Times New Roman" w:cs="Times New Roman"/>
        </w:rPr>
        <w:t>,</w:t>
      </w:r>
      <w:r w:rsidRPr="002318C9">
        <w:rPr>
          <w:rFonts w:ascii="Times New Roman" w:hAnsi="Times New Roman" w:cs="Times New Roman"/>
        </w:rPr>
        <w:t xml:space="preserve"> 1876; </w:t>
      </w:r>
      <w:bookmarkStart w:id="76" w:name="_Hlk70598486"/>
      <w:r w:rsidRPr="002318C9">
        <w:rPr>
          <w:rFonts w:ascii="Times New Roman" w:hAnsi="Times New Roman" w:cs="Times New Roman"/>
          <w:i/>
          <w:iCs/>
        </w:rPr>
        <w:t xml:space="preserve">Helena weekly herald. </w:t>
      </w:r>
      <w:r w:rsidRPr="002318C9">
        <w:rPr>
          <w:rFonts w:ascii="Times New Roman" w:hAnsi="Times New Roman" w:cs="Times New Roman"/>
        </w:rPr>
        <w:t>(Helena, M</w:t>
      </w:r>
      <w:r w:rsidR="007B13EA">
        <w:rPr>
          <w:rFonts w:ascii="Times New Roman" w:hAnsi="Times New Roman" w:cs="Times New Roman"/>
        </w:rPr>
        <w:t>T</w:t>
      </w:r>
      <w:r w:rsidRPr="002318C9">
        <w:rPr>
          <w:rFonts w:ascii="Times New Roman" w:hAnsi="Times New Roman" w:cs="Times New Roman"/>
        </w:rPr>
        <w:t xml:space="preserve">), </w:t>
      </w:r>
      <w:r w:rsidR="007B13EA">
        <w:rPr>
          <w:rFonts w:ascii="Times New Roman" w:hAnsi="Times New Roman" w:cs="Times New Roman"/>
        </w:rPr>
        <w:t xml:space="preserve">April </w:t>
      </w:r>
      <w:r w:rsidRPr="002318C9">
        <w:rPr>
          <w:rFonts w:ascii="Times New Roman" w:hAnsi="Times New Roman" w:cs="Times New Roman"/>
        </w:rPr>
        <w:t>13</w:t>
      </w:r>
      <w:r w:rsidR="007B13EA">
        <w:rPr>
          <w:rFonts w:ascii="Times New Roman" w:hAnsi="Times New Roman" w:cs="Times New Roman"/>
        </w:rPr>
        <w:t xml:space="preserve">, </w:t>
      </w:r>
      <w:r w:rsidRPr="002318C9">
        <w:rPr>
          <w:rFonts w:ascii="Times New Roman" w:hAnsi="Times New Roman" w:cs="Times New Roman"/>
        </w:rPr>
        <w:t xml:space="preserve">1876; </w:t>
      </w:r>
      <w:r w:rsidRPr="002318C9">
        <w:rPr>
          <w:rFonts w:ascii="Times New Roman" w:hAnsi="Times New Roman" w:cs="Times New Roman"/>
          <w:i/>
          <w:iCs/>
        </w:rPr>
        <w:t xml:space="preserve">The Morristown gazette. </w:t>
      </w:r>
      <w:r w:rsidRPr="002318C9">
        <w:rPr>
          <w:rFonts w:ascii="Times New Roman" w:hAnsi="Times New Roman" w:cs="Times New Roman"/>
        </w:rPr>
        <w:t xml:space="preserve">(Morristown, </w:t>
      </w:r>
      <w:r w:rsidR="007B13EA">
        <w:rPr>
          <w:rFonts w:ascii="Times New Roman" w:hAnsi="Times New Roman" w:cs="Times New Roman"/>
        </w:rPr>
        <w:t>TN</w:t>
      </w:r>
      <w:r w:rsidRPr="002318C9">
        <w:rPr>
          <w:rFonts w:ascii="Times New Roman" w:hAnsi="Times New Roman" w:cs="Times New Roman"/>
        </w:rPr>
        <w:t xml:space="preserve">), </w:t>
      </w:r>
      <w:r w:rsidR="007B13EA">
        <w:rPr>
          <w:rFonts w:ascii="Times New Roman" w:hAnsi="Times New Roman" w:cs="Times New Roman"/>
        </w:rPr>
        <w:t xml:space="preserve">April </w:t>
      </w:r>
      <w:r w:rsidRPr="002318C9">
        <w:rPr>
          <w:rFonts w:ascii="Times New Roman" w:hAnsi="Times New Roman" w:cs="Times New Roman"/>
        </w:rPr>
        <w:t>19</w:t>
      </w:r>
      <w:r w:rsidR="007B13EA">
        <w:rPr>
          <w:rFonts w:ascii="Times New Roman" w:hAnsi="Times New Roman" w:cs="Times New Roman"/>
        </w:rPr>
        <w:t>,</w:t>
      </w:r>
      <w:r w:rsidRPr="002318C9">
        <w:rPr>
          <w:rFonts w:ascii="Times New Roman" w:hAnsi="Times New Roman" w:cs="Times New Roman"/>
        </w:rPr>
        <w:t xml:space="preserve"> 1876; </w:t>
      </w:r>
      <w:r w:rsidRPr="002318C9">
        <w:rPr>
          <w:rFonts w:ascii="Times New Roman" w:hAnsi="Times New Roman" w:cs="Times New Roman"/>
          <w:i/>
          <w:iCs/>
        </w:rPr>
        <w:t>The New York herald</w:t>
      </w:r>
      <w:r w:rsidR="00E00145">
        <w:rPr>
          <w:rFonts w:ascii="Times New Roman" w:hAnsi="Times New Roman" w:cs="Times New Roman"/>
          <w:i/>
          <w:iCs/>
        </w:rPr>
        <w:t>,</w:t>
      </w:r>
      <w:r w:rsidRPr="002318C9">
        <w:rPr>
          <w:rFonts w:ascii="Times New Roman" w:hAnsi="Times New Roman" w:cs="Times New Roman"/>
        </w:rPr>
        <w:t xml:space="preserve"> </w:t>
      </w:r>
      <w:r w:rsidR="00E00145">
        <w:rPr>
          <w:rFonts w:ascii="Times New Roman" w:hAnsi="Times New Roman" w:cs="Times New Roman"/>
        </w:rPr>
        <w:t xml:space="preserve">April </w:t>
      </w:r>
      <w:r w:rsidRPr="002318C9">
        <w:rPr>
          <w:rFonts w:ascii="Times New Roman" w:hAnsi="Times New Roman" w:cs="Times New Roman"/>
        </w:rPr>
        <w:t>10</w:t>
      </w:r>
      <w:r w:rsidR="00E00145">
        <w:rPr>
          <w:rFonts w:ascii="Times New Roman" w:hAnsi="Times New Roman" w:cs="Times New Roman"/>
        </w:rPr>
        <w:t>,</w:t>
      </w:r>
      <w:r w:rsidRPr="002318C9">
        <w:rPr>
          <w:rFonts w:ascii="Times New Roman" w:hAnsi="Times New Roman" w:cs="Times New Roman"/>
        </w:rPr>
        <w:t xml:space="preserve"> 1876. </w:t>
      </w:r>
    </w:p>
    <w:bookmarkEnd w:id="76"/>
  </w:footnote>
  <w:footnote w:id="1021">
    <w:p w14:paraId="64C3EF66" w14:textId="6A43D78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 xml:space="preserve">Alexandria gazette. </w:t>
      </w:r>
      <w:r w:rsidRPr="002318C9">
        <w:rPr>
          <w:rFonts w:ascii="Times New Roman" w:hAnsi="Times New Roman" w:cs="Times New Roman"/>
        </w:rPr>
        <w:t xml:space="preserve">(Alexandria, D.C.), </w:t>
      </w:r>
      <w:r w:rsidR="00E00145">
        <w:rPr>
          <w:rFonts w:ascii="Times New Roman" w:hAnsi="Times New Roman" w:cs="Times New Roman"/>
        </w:rPr>
        <w:t xml:space="preserve">December </w:t>
      </w:r>
      <w:r w:rsidRPr="002318C9">
        <w:rPr>
          <w:rFonts w:ascii="Times New Roman" w:hAnsi="Times New Roman" w:cs="Times New Roman"/>
        </w:rPr>
        <w:t>9</w:t>
      </w:r>
      <w:r w:rsidR="00E00145">
        <w:rPr>
          <w:rFonts w:ascii="Times New Roman" w:hAnsi="Times New Roman" w:cs="Times New Roman"/>
        </w:rPr>
        <w:t>,</w:t>
      </w:r>
      <w:r w:rsidRPr="002318C9">
        <w:rPr>
          <w:rFonts w:ascii="Times New Roman" w:hAnsi="Times New Roman" w:cs="Times New Roman"/>
        </w:rPr>
        <w:t xml:space="preserve"> 1874; </w:t>
      </w:r>
      <w:r w:rsidRPr="002318C9">
        <w:rPr>
          <w:rFonts w:ascii="Times New Roman" w:hAnsi="Times New Roman" w:cs="Times New Roman"/>
          <w:i/>
          <w:iCs/>
        </w:rPr>
        <w:t xml:space="preserve">Alexandria gazette. </w:t>
      </w:r>
      <w:r w:rsidRPr="002318C9">
        <w:rPr>
          <w:rFonts w:ascii="Times New Roman" w:hAnsi="Times New Roman" w:cs="Times New Roman"/>
        </w:rPr>
        <w:t xml:space="preserve">(Alexandria, D.C.), </w:t>
      </w:r>
      <w:r w:rsidR="00E00145">
        <w:rPr>
          <w:rFonts w:ascii="Times New Roman" w:hAnsi="Times New Roman" w:cs="Times New Roman"/>
        </w:rPr>
        <w:t xml:space="preserve">October </w:t>
      </w:r>
      <w:r w:rsidRPr="002318C9">
        <w:rPr>
          <w:rFonts w:ascii="Times New Roman" w:hAnsi="Times New Roman" w:cs="Times New Roman"/>
        </w:rPr>
        <w:t>20</w:t>
      </w:r>
      <w:r w:rsidR="00E00145">
        <w:rPr>
          <w:rFonts w:ascii="Times New Roman" w:hAnsi="Times New Roman" w:cs="Times New Roman"/>
        </w:rPr>
        <w:t xml:space="preserve">, </w:t>
      </w:r>
      <w:r w:rsidRPr="002318C9">
        <w:rPr>
          <w:rFonts w:ascii="Times New Roman" w:hAnsi="Times New Roman" w:cs="Times New Roman"/>
        </w:rPr>
        <w:t xml:space="preserve">1874.;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E00145">
        <w:rPr>
          <w:rFonts w:ascii="Times New Roman" w:hAnsi="Times New Roman" w:cs="Times New Roman"/>
        </w:rPr>
        <w:t xml:space="preserve">September </w:t>
      </w:r>
      <w:r w:rsidRPr="002318C9">
        <w:rPr>
          <w:rFonts w:ascii="Times New Roman" w:hAnsi="Times New Roman" w:cs="Times New Roman"/>
        </w:rPr>
        <w:t>21</w:t>
      </w:r>
      <w:r w:rsidR="00E00145">
        <w:rPr>
          <w:rFonts w:ascii="Times New Roman" w:hAnsi="Times New Roman" w:cs="Times New Roman"/>
        </w:rPr>
        <w:t>,</w:t>
      </w:r>
      <w:r w:rsidRPr="002318C9">
        <w:rPr>
          <w:rFonts w:ascii="Times New Roman" w:hAnsi="Times New Roman" w:cs="Times New Roman"/>
        </w:rPr>
        <w:t xml:space="preserve"> 1876.;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E00145">
        <w:rPr>
          <w:rFonts w:ascii="Times New Roman" w:hAnsi="Times New Roman" w:cs="Times New Roman"/>
        </w:rPr>
        <w:t xml:space="preserve">June </w:t>
      </w:r>
      <w:r w:rsidRPr="002318C9">
        <w:rPr>
          <w:rFonts w:ascii="Times New Roman" w:hAnsi="Times New Roman" w:cs="Times New Roman"/>
        </w:rPr>
        <w:t>18</w:t>
      </w:r>
      <w:r w:rsidR="00E00145">
        <w:rPr>
          <w:rFonts w:ascii="Times New Roman" w:hAnsi="Times New Roman" w:cs="Times New Roman"/>
        </w:rPr>
        <w:t>,</w:t>
      </w:r>
      <w:r w:rsidRPr="002318C9">
        <w:rPr>
          <w:rFonts w:ascii="Times New Roman" w:hAnsi="Times New Roman" w:cs="Times New Roman"/>
        </w:rPr>
        <w:t xml:space="preserve"> 1874; </w:t>
      </w:r>
      <w:r w:rsidRPr="002318C9">
        <w:rPr>
          <w:rFonts w:ascii="Times New Roman" w:hAnsi="Times New Roman" w:cs="Times New Roman"/>
          <w:i/>
          <w:iCs/>
        </w:rPr>
        <w:t>Evening star.</w:t>
      </w:r>
      <w:r w:rsidRPr="002318C9">
        <w:rPr>
          <w:rFonts w:ascii="Times New Roman" w:hAnsi="Times New Roman" w:cs="Times New Roman"/>
        </w:rPr>
        <w:t xml:space="preserve"> (Washington), </w:t>
      </w:r>
      <w:r w:rsidR="00E00145">
        <w:rPr>
          <w:rFonts w:ascii="Times New Roman" w:hAnsi="Times New Roman" w:cs="Times New Roman"/>
        </w:rPr>
        <w:t xml:space="preserve">September </w:t>
      </w:r>
      <w:r w:rsidRPr="002318C9">
        <w:rPr>
          <w:rFonts w:ascii="Times New Roman" w:hAnsi="Times New Roman" w:cs="Times New Roman"/>
        </w:rPr>
        <w:t>10</w:t>
      </w:r>
      <w:r w:rsidR="00E00145">
        <w:rPr>
          <w:rFonts w:ascii="Times New Roman" w:hAnsi="Times New Roman" w:cs="Times New Roman"/>
        </w:rPr>
        <w:t>,</w:t>
      </w:r>
      <w:r w:rsidRPr="002318C9">
        <w:rPr>
          <w:rFonts w:ascii="Times New Roman" w:hAnsi="Times New Roman" w:cs="Times New Roman"/>
        </w:rPr>
        <w:t xml:space="preserve"> 1874; "Alexandria Gazette." </w:t>
      </w:r>
      <w:r w:rsidRPr="002318C9">
        <w:rPr>
          <w:rFonts w:ascii="Times New Roman" w:hAnsi="Times New Roman" w:cs="Times New Roman"/>
          <w:i/>
          <w:iCs/>
        </w:rPr>
        <w:t>Chronicling America</w:t>
      </w:r>
      <w:r w:rsidRPr="002318C9">
        <w:rPr>
          <w:rFonts w:ascii="Times New Roman" w:hAnsi="Times New Roman" w:cs="Times New Roman"/>
        </w:rPr>
        <w:t xml:space="preserve">.; "Evening Star." </w:t>
      </w:r>
      <w:r w:rsidRPr="002318C9">
        <w:rPr>
          <w:rFonts w:ascii="Times New Roman" w:hAnsi="Times New Roman" w:cs="Times New Roman"/>
          <w:i/>
          <w:iCs/>
        </w:rPr>
        <w:t>Chronicling America</w:t>
      </w:r>
      <w:r w:rsidRPr="002318C9">
        <w:rPr>
          <w:rFonts w:ascii="Times New Roman" w:hAnsi="Times New Roman" w:cs="Times New Roman"/>
        </w:rPr>
        <w:t xml:space="preserve">. </w:t>
      </w:r>
    </w:p>
  </w:footnote>
  <w:footnote w:id="1022">
    <w:p w14:paraId="4BC40986" w14:textId="0B8B8E9D"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E00145">
        <w:rPr>
          <w:rFonts w:ascii="Times New Roman" w:hAnsi="Times New Roman" w:cs="Times New Roman"/>
        </w:rPr>
        <w:t xml:space="preserve">September </w:t>
      </w:r>
      <w:r w:rsidRPr="002318C9">
        <w:rPr>
          <w:rFonts w:ascii="Times New Roman" w:hAnsi="Times New Roman" w:cs="Times New Roman"/>
        </w:rPr>
        <w:t>11</w:t>
      </w:r>
      <w:r w:rsidR="00E00145">
        <w:rPr>
          <w:rFonts w:ascii="Times New Roman" w:hAnsi="Times New Roman" w:cs="Times New Roman"/>
        </w:rPr>
        <w:t>,</w:t>
      </w:r>
      <w:r w:rsidRPr="002318C9">
        <w:rPr>
          <w:rFonts w:ascii="Times New Roman" w:hAnsi="Times New Roman" w:cs="Times New Roman"/>
        </w:rPr>
        <w:t xml:space="preserve"> 1874. </w:t>
      </w:r>
    </w:p>
  </w:footnote>
  <w:footnote w:id="1023">
    <w:p w14:paraId="3AAE41FB" w14:textId="4588710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E00145">
        <w:rPr>
          <w:rFonts w:ascii="Times New Roman" w:hAnsi="Times New Roman" w:cs="Times New Roman"/>
        </w:rPr>
        <w:t xml:space="preserve">January </w:t>
      </w:r>
      <w:r w:rsidRPr="002318C9">
        <w:rPr>
          <w:rFonts w:ascii="Times New Roman" w:hAnsi="Times New Roman" w:cs="Times New Roman"/>
        </w:rPr>
        <w:t>1</w:t>
      </w:r>
      <w:r w:rsidR="00E00145">
        <w:rPr>
          <w:rFonts w:ascii="Times New Roman" w:hAnsi="Times New Roman" w:cs="Times New Roman"/>
        </w:rPr>
        <w:t xml:space="preserve">, </w:t>
      </w:r>
      <w:r w:rsidRPr="002318C9">
        <w:rPr>
          <w:rFonts w:ascii="Times New Roman" w:hAnsi="Times New Roman" w:cs="Times New Roman"/>
        </w:rPr>
        <w:t xml:space="preserve">1875. </w:t>
      </w:r>
    </w:p>
  </w:footnote>
  <w:footnote w:id="1024">
    <w:p w14:paraId="4A260E07" w14:textId="709EEA4C"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E00145">
        <w:rPr>
          <w:rFonts w:ascii="Times New Roman" w:hAnsi="Times New Roman" w:cs="Times New Roman"/>
        </w:rPr>
        <w:t xml:space="preserve">November </w:t>
      </w:r>
      <w:r w:rsidRPr="002318C9">
        <w:rPr>
          <w:rFonts w:ascii="Times New Roman" w:hAnsi="Times New Roman" w:cs="Times New Roman"/>
        </w:rPr>
        <w:t>19</w:t>
      </w:r>
      <w:r w:rsidR="00E00145">
        <w:rPr>
          <w:rFonts w:ascii="Times New Roman" w:hAnsi="Times New Roman" w:cs="Times New Roman"/>
        </w:rPr>
        <w:t>,</w:t>
      </w:r>
      <w:r w:rsidRPr="002318C9">
        <w:rPr>
          <w:rFonts w:ascii="Times New Roman" w:hAnsi="Times New Roman" w:cs="Times New Roman"/>
        </w:rPr>
        <w:t xml:space="preserve"> 1874. </w:t>
      </w:r>
    </w:p>
  </w:footnote>
  <w:footnote w:id="1025">
    <w:p w14:paraId="30F50633"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431-432; it is unclear from available resources if this member of the President’s extended family was married to one of the President’s sisters, or was a sibling, by blood or by law, of the First Lady.</w:t>
      </w:r>
    </w:p>
  </w:footnote>
  <w:footnote w:id="1026">
    <w:p w14:paraId="42FB9C55"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431-432</w:t>
      </w:r>
    </w:p>
  </w:footnote>
  <w:footnote w:id="1027">
    <w:p w14:paraId="49A93F7F"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431</w:t>
      </w:r>
    </w:p>
  </w:footnote>
  <w:footnote w:id="1028">
    <w:p w14:paraId="7CF5C413" w14:textId="049803BB"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431-432; </w:t>
      </w:r>
      <w:r w:rsidRPr="002318C9">
        <w:rPr>
          <w:rFonts w:ascii="Times New Roman" w:hAnsi="Times New Roman" w:cs="Times New Roman"/>
          <w:i/>
          <w:iCs/>
        </w:rPr>
        <w:t xml:space="preserve">Alexandria gazette. </w:t>
      </w:r>
      <w:r w:rsidRPr="002318C9">
        <w:rPr>
          <w:rFonts w:ascii="Times New Roman" w:hAnsi="Times New Roman" w:cs="Times New Roman"/>
        </w:rPr>
        <w:t xml:space="preserve">(Alexandria, D.C.), </w:t>
      </w:r>
      <w:r w:rsidR="00E00145">
        <w:rPr>
          <w:rFonts w:ascii="Times New Roman" w:hAnsi="Times New Roman" w:cs="Times New Roman"/>
        </w:rPr>
        <w:t xml:space="preserve">December </w:t>
      </w:r>
      <w:r w:rsidRPr="002318C9">
        <w:rPr>
          <w:rFonts w:ascii="Times New Roman" w:hAnsi="Times New Roman" w:cs="Times New Roman"/>
        </w:rPr>
        <w:t>9</w:t>
      </w:r>
      <w:r w:rsidR="00E00145">
        <w:rPr>
          <w:rFonts w:ascii="Times New Roman" w:hAnsi="Times New Roman" w:cs="Times New Roman"/>
        </w:rPr>
        <w:t>,</w:t>
      </w:r>
      <w:r w:rsidRPr="002318C9">
        <w:rPr>
          <w:rFonts w:ascii="Times New Roman" w:hAnsi="Times New Roman" w:cs="Times New Roman"/>
        </w:rPr>
        <w:t xml:space="preserve"> 1874. </w:t>
      </w:r>
    </w:p>
  </w:footnote>
  <w:footnote w:id="1029">
    <w:p w14:paraId="7B6FFE0A"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431-432</w:t>
      </w:r>
    </w:p>
  </w:footnote>
  <w:footnote w:id="1030">
    <w:p w14:paraId="1271D0A1" w14:textId="71E546E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432; </w:t>
      </w:r>
      <w:r w:rsidRPr="002318C9">
        <w:rPr>
          <w:rFonts w:ascii="Times New Roman" w:hAnsi="Times New Roman" w:cs="Times New Roman"/>
          <w:i/>
          <w:iCs/>
        </w:rPr>
        <w:t xml:space="preserve">Wilmington daily commercial. </w:t>
      </w:r>
      <w:r w:rsidRPr="002318C9">
        <w:rPr>
          <w:rFonts w:ascii="Times New Roman" w:hAnsi="Times New Roman" w:cs="Times New Roman"/>
        </w:rPr>
        <w:t>(Wilmington, D</w:t>
      </w:r>
      <w:r w:rsidR="00E00145">
        <w:rPr>
          <w:rFonts w:ascii="Times New Roman" w:hAnsi="Times New Roman" w:cs="Times New Roman"/>
        </w:rPr>
        <w:t>E</w:t>
      </w:r>
      <w:r w:rsidRPr="002318C9">
        <w:rPr>
          <w:rFonts w:ascii="Times New Roman" w:hAnsi="Times New Roman" w:cs="Times New Roman"/>
        </w:rPr>
        <w:t xml:space="preserve">), </w:t>
      </w:r>
      <w:r w:rsidR="00E00145">
        <w:rPr>
          <w:rFonts w:ascii="Times New Roman" w:hAnsi="Times New Roman" w:cs="Times New Roman"/>
        </w:rPr>
        <w:t xml:space="preserve">November </w:t>
      </w:r>
      <w:r w:rsidRPr="002318C9">
        <w:rPr>
          <w:rFonts w:ascii="Times New Roman" w:hAnsi="Times New Roman" w:cs="Times New Roman"/>
        </w:rPr>
        <w:t>27</w:t>
      </w:r>
      <w:r w:rsidR="00E00145">
        <w:rPr>
          <w:rFonts w:ascii="Times New Roman" w:hAnsi="Times New Roman" w:cs="Times New Roman"/>
        </w:rPr>
        <w:t>,</w:t>
      </w:r>
      <w:r w:rsidRPr="002318C9">
        <w:rPr>
          <w:rFonts w:ascii="Times New Roman" w:hAnsi="Times New Roman" w:cs="Times New Roman"/>
        </w:rPr>
        <w:t xml:space="preserve"> 1874. </w:t>
      </w:r>
    </w:p>
  </w:footnote>
  <w:footnote w:id="1031">
    <w:p w14:paraId="335D61DE" w14:textId="5DEACEC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432; </w:t>
      </w:r>
      <w:r w:rsidRPr="002318C9">
        <w:rPr>
          <w:rFonts w:ascii="Times New Roman" w:hAnsi="Times New Roman" w:cs="Times New Roman"/>
          <w:i/>
          <w:iCs/>
        </w:rPr>
        <w:t xml:space="preserve">Alexandria gazette. </w:t>
      </w:r>
      <w:r w:rsidRPr="002318C9">
        <w:rPr>
          <w:rFonts w:ascii="Times New Roman" w:hAnsi="Times New Roman" w:cs="Times New Roman"/>
        </w:rPr>
        <w:t xml:space="preserve">(Alexandria, D.C.), </w:t>
      </w:r>
      <w:r w:rsidR="00E00145">
        <w:rPr>
          <w:rFonts w:ascii="Times New Roman" w:hAnsi="Times New Roman" w:cs="Times New Roman"/>
        </w:rPr>
        <w:t xml:space="preserve">December </w:t>
      </w:r>
      <w:r w:rsidRPr="002318C9">
        <w:rPr>
          <w:rFonts w:ascii="Times New Roman" w:hAnsi="Times New Roman" w:cs="Times New Roman"/>
        </w:rPr>
        <w:t>9</w:t>
      </w:r>
      <w:r w:rsidR="00E00145">
        <w:rPr>
          <w:rFonts w:ascii="Times New Roman" w:hAnsi="Times New Roman" w:cs="Times New Roman"/>
        </w:rPr>
        <w:t>,</w:t>
      </w:r>
      <w:r w:rsidRPr="002318C9">
        <w:rPr>
          <w:rFonts w:ascii="Times New Roman" w:hAnsi="Times New Roman" w:cs="Times New Roman"/>
        </w:rPr>
        <w:t xml:space="preserve"> 1874. </w:t>
      </w:r>
    </w:p>
  </w:footnote>
  <w:footnote w:id="1032">
    <w:p w14:paraId="20805007" w14:textId="26620C9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00145">
        <w:rPr>
          <w:rFonts w:ascii="Times New Roman" w:hAnsi="Times New Roman" w:cs="Times New Roman"/>
        </w:rPr>
        <w:t>Ibid</w:t>
      </w:r>
      <w:r w:rsidRPr="002318C9">
        <w:rPr>
          <w:rFonts w:ascii="Times New Roman" w:hAnsi="Times New Roman" w:cs="Times New Roman"/>
        </w:rPr>
        <w:t xml:space="preserve"> </w:t>
      </w:r>
    </w:p>
  </w:footnote>
  <w:footnote w:id="1033">
    <w:p w14:paraId="758ACFDE" w14:textId="01C3697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00145">
        <w:rPr>
          <w:rFonts w:ascii="Times New Roman" w:hAnsi="Times New Roman" w:cs="Times New Roman"/>
        </w:rPr>
        <w:t>Ibid</w:t>
      </w:r>
      <w:r w:rsidRPr="002318C9">
        <w:rPr>
          <w:rFonts w:ascii="Times New Roman" w:hAnsi="Times New Roman" w:cs="Times New Roman"/>
        </w:rPr>
        <w:t xml:space="preserve"> </w:t>
      </w:r>
    </w:p>
  </w:footnote>
  <w:footnote w:id="1034">
    <w:p w14:paraId="695561BF"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440</w:t>
      </w:r>
    </w:p>
  </w:footnote>
  <w:footnote w:id="1035">
    <w:p w14:paraId="0B93BE06"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440</w:t>
      </w:r>
    </w:p>
  </w:footnote>
  <w:footnote w:id="1036">
    <w:p w14:paraId="3DED934B" w14:textId="75F9E618"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440-441; </w:t>
      </w:r>
      <w:r w:rsidRPr="002318C9">
        <w:rPr>
          <w:rFonts w:ascii="Times New Roman" w:hAnsi="Times New Roman" w:cs="Times New Roman"/>
          <w:i/>
          <w:iCs/>
        </w:rPr>
        <w:t xml:space="preserve">Alexandria gazette. </w:t>
      </w:r>
      <w:r w:rsidRPr="002318C9">
        <w:rPr>
          <w:rFonts w:ascii="Times New Roman" w:hAnsi="Times New Roman" w:cs="Times New Roman"/>
        </w:rPr>
        <w:t xml:space="preserve">(Alexandria, D.C.), </w:t>
      </w:r>
      <w:r w:rsidR="00470D91">
        <w:rPr>
          <w:rFonts w:ascii="Times New Roman" w:hAnsi="Times New Roman" w:cs="Times New Roman"/>
        </w:rPr>
        <w:t xml:space="preserve">December </w:t>
      </w:r>
      <w:r w:rsidRPr="002318C9">
        <w:rPr>
          <w:rFonts w:ascii="Times New Roman" w:hAnsi="Times New Roman" w:cs="Times New Roman"/>
        </w:rPr>
        <w:t>9</w:t>
      </w:r>
      <w:r w:rsidR="00470D91">
        <w:rPr>
          <w:rFonts w:ascii="Times New Roman" w:hAnsi="Times New Roman" w:cs="Times New Roman"/>
        </w:rPr>
        <w:t>,</w:t>
      </w:r>
      <w:r w:rsidRPr="002318C9">
        <w:rPr>
          <w:rFonts w:ascii="Times New Roman" w:hAnsi="Times New Roman" w:cs="Times New Roman"/>
        </w:rPr>
        <w:t xml:space="preserve"> 1874. </w:t>
      </w:r>
    </w:p>
  </w:footnote>
  <w:footnote w:id="1037">
    <w:p w14:paraId="5E38770A" w14:textId="39B3B51D"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 </w:t>
      </w:r>
      <w:r w:rsidR="00D0398F" w:rsidRPr="002318C9">
        <w:rPr>
          <w:rFonts w:ascii="Times New Roman" w:hAnsi="Times New Roman" w:cs="Times New Roman"/>
          <w:i/>
          <w:iCs/>
        </w:rPr>
        <w:t>The Presidency of Ulysses S. Grant</w:t>
      </w:r>
      <w:r w:rsidRPr="002318C9">
        <w:rPr>
          <w:rFonts w:ascii="Times New Roman" w:hAnsi="Times New Roman" w:cs="Times New Roman"/>
          <w:i/>
          <w:iCs/>
        </w:rPr>
        <w:t>,</w:t>
      </w:r>
      <w:r w:rsidRPr="002318C9">
        <w:rPr>
          <w:rFonts w:ascii="Times New Roman" w:hAnsi="Times New Roman" w:cs="Times New Roman"/>
        </w:rPr>
        <w:t xml:space="preserve"> 448-449, 490-527; Boynton, “The Washington Safe Burglary Conspiracy,” 441</w:t>
      </w:r>
    </w:p>
  </w:footnote>
  <w:footnote w:id="1038">
    <w:p w14:paraId="373BAFD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441</w:t>
      </w:r>
    </w:p>
  </w:footnote>
  <w:footnote w:id="1039">
    <w:p w14:paraId="07D4E86E" w14:textId="000283C5"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77" w:name="_Hlk131244273"/>
      <w:r w:rsidRPr="002318C9">
        <w:rPr>
          <w:rFonts w:ascii="Times New Roman" w:hAnsi="Times New Roman" w:cs="Times New Roman"/>
        </w:rPr>
        <w:t xml:space="preserve">Calhoun, </w:t>
      </w:r>
      <w:r w:rsidR="00D0398F" w:rsidRPr="002318C9">
        <w:rPr>
          <w:rFonts w:ascii="Times New Roman" w:hAnsi="Times New Roman" w:cs="Times New Roman"/>
          <w:i/>
          <w:iCs/>
        </w:rPr>
        <w:t>The Presidency of Ulysses S. Grant</w:t>
      </w:r>
      <w:r w:rsidRPr="002318C9">
        <w:rPr>
          <w:rFonts w:ascii="Times New Roman" w:hAnsi="Times New Roman" w:cs="Times New Roman"/>
        </w:rPr>
        <w:t xml:space="preserve">, 481-510; </w:t>
      </w:r>
      <w:r w:rsidRPr="002318C9">
        <w:rPr>
          <w:rFonts w:ascii="Times New Roman" w:hAnsi="Times New Roman" w:cs="Times New Roman"/>
          <w:i/>
          <w:iCs/>
        </w:rPr>
        <w:t xml:space="preserve">Testimony before the Select </w:t>
      </w:r>
      <w:r w:rsidR="00EB1FB4" w:rsidRPr="002318C9">
        <w:rPr>
          <w:rFonts w:ascii="Times New Roman" w:hAnsi="Times New Roman" w:cs="Times New Roman"/>
          <w:i/>
          <w:iCs/>
        </w:rPr>
        <w:t>Committee</w:t>
      </w:r>
      <w:r w:rsidRPr="002318C9">
        <w:rPr>
          <w:rFonts w:ascii="Times New Roman" w:hAnsi="Times New Roman" w:cs="Times New Roman"/>
          <w:i/>
          <w:iCs/>
        </w:rPr>
        <w:t xml:space="preserve"> Concerning the Whiskey Frauds</w:t>
      </w:r>
      <w:r w:rsidRPr="002318C9">
        <w:rPr>
          <w:rFonts w:ascii="Times New Roman" w:hAnsi="Times New Roman" w:cs="Times New Roman"/>
        </w:rPr>
        <w:t xml:space="preserve">; McDonald, </w:t>
      </w:r>
      <w:r w:rsidRPr="002318C9">
        <w:rPr>
          <w:rFonts w:ascii="Times New Roman" w:hAnsi="Times New Roman" w:cs="Times New Roman"/>
          <w:i/>
          <w:iCs/>
        </w:rPr>
        <w:t>Secrets of the Great Whiskey Ring</w:t>
      </w:r>
      <w:bookmarkEnd w:id="77"/>
    </w:p>
  </w:footnote>
  <w:footnote w:id="1040">
    <w:p w14:paraId="0DE56EF9" w14:textId="59D28D6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Pr="002318C9">
        <w:rPr>
          <w:rFonts w:ascii="Times New Roman" w:hAnsi="Times New Roman" w:cs="Times New Roman"/>
          <w:i/>
          <w:iCs/>
        </w:rPr>
        <w:t xml:space="preserve"> </w:t>
      </w:r>
      <w:r w:rsidR="00D0398F" w:rsidRPr="002318C9">
        <w:rPr>
          <w:rFonts w:ascii="Times New Roman" w:hAnsi="Times New Roman" w:cs="Times New Roman"/>
          <w:i/>
          <w:iCs/>
        </w:rPr>
        <w:t>The Presidency of Ulysses S. Grant</w:t>
      </w:r>
      <w:r w:rsidRPr="002318C9">
        <w:rPr>
          <w:rFonts w:ascii="Times New Roman" w:hAnsi="Times New Roman" w:cs="Times New Roman"/>
          <w:i/>
          <w:iCs/>
        </w:rPr>
        <w:t>,</w:t>
      </w:r>
      <w:r w:rsidRPr="002318C9">
        <w:rPr>
          <w:rFonts w:ascii="Times New Roman" w:hAnsi="Times New Roman" w:cs="Times New Roman"/>
        </w:rPr>
        <w:t xml:space="preserve"> 496-501; </w:t>
      </w:r>
      <w:bookmarkStart w:id="78" w:name="_Hlk131244137"/>
      <w:r w:rsidR="00993C77">
        <w:rPr>
          <w:rFonts w:ascii="Times New Roman" w:hAnsi="Times New Roman" w:cs="Times New Roman"/>
          <w:i/>
          <w:iCs/>
        </w:rPr>
        <w:t>Whiskey Frauds Testimony</w:t>
      </w:r>
      <w:bookmarkEnd w:id="78"/>
    </w:p>
  </w:footnote>
  <w:footnote w:id="1041">
    <w:p w14:paraId="35DF03F9" w14:textId="66FB450D"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 </w:t>
      </w:r>
      <w:r w:rsidR="00D0398F" w:rsidRPr="002318C9">
        <w:rPr>
          <w:rFonts w:ascii="Times New Roman" w:hAnsi="Times New Roman" w:cs="Times New Roman"/>
          <w:i/>
          <w:iCs/>
        </w:rPr>
        <w:t>The Presidency of Ulysses S. Grant</w:t>
      </w:r>
      <w:r w:rsidRPr="002318C9">
        <w:rPr>
          <w:rFonts w:ascii="Times New Roman" w:hAnsi="Times New Roman" w:cs="Times New Roman"/>
        </w:rPr>
        <w:t xml:space="preserve">, 481-510; </w:t>
      </w:r>
      <w:r w:rsidR="00993C77">
        <w:rPr>
          <w:rFonts w:ascii="Times New Roman" w:hAnsi="Times New Roman" w:cs="Times New Roman"/>
          <w:i/>
          <w:iCs/>
        </w:rPr>
        <w:t>Whiskey Frauds Testimony</w:t>
      </w:r>
      <w:r w:rsidRPr="002318C9">
        <w:rPr>
          <w:rFonts w:ascii="Times New Roman" w:hAnsi="Times New Roman" w:cs="Times New Roman"/>
        </w:rPr>
        <w:t xml:space="preserve">; McDonald, </w:t>
      </w:r>
      <w:r w:rsidRPr="002318C9">
        <w:rPr>
          <w:rFonts w:ascii="Times New Roman" w:hAnsi="Times New Roman" w:cs="Times New Roman"/>
          <w:i/>
          <w:iCs/>
        </w:rPr>
        <w:t>Secrets of the Great Whiskey Ring</w:t>
      </w:r>
    </w:p>
  </w:footnote>
  <w:footnote w:id="1042">
    <w:p w14:paraId="47A8462B" w14:textId="7ABCA6B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 </w:t>
      </w:r>
      <w:r w:rsidR="00D0398F" w:rsidRPr="002318C9">
        <w:rPr>
          <w:rFonts w:ascii="Times New Roman" w:hAnsi="Times New Roman" w:cs="Times New Roman"/>
          <w:i/>
          <w:iCs/>
        </w:rPr>
        <w:t>The Presidency of Ulysses S. Grant</w:t>
      </w:r>
      <w:r w:rsidRPr="002318C9">
        <w:rPr>
          <w:rFonts w:ascii="Times New Roman" w:hAnsi="Times New Roman" w:cs="Times New Roman"/>
          <w:i/>
          <w:iCs/>
        </w:rPr>
        <w:t xml:space="preserve">, </w:t>
      </w:r>
      <w:r w:rsidRPr="002318C9">
        <w:rPr>
          <w:rFonts w:ascii="Times New Roman" w:hAnsi="Times New Roman" w:cs="Times New Roman"/>
        </w:rPr>
        <w:t xml:space="preserve">481-560;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470D91">
        <w:rPr>
          <w:rFonts w:ascii="Times New Roman" w:hAnsi="Times New Roman" w:cs="Times New Roman"/>
        </w:rPr>
        <w:t xml:space="preserve">September </w:t>
      </w:r>
      <w:r w:rsidRPr="002318C9">
        <w:rPr>
          <w:rFonts w:ascii="Times New Roman" w:hAnsi="Times New Roman" w:cs="Times New Roman"/>
        </w:rPr>
        <w:t>29</w:t>
      </w:r>
      <w:r w:rsidR="00470D91">
        <w:rPr>
          <w:rFonts w:ascii="Times New Roman" w:hAnsi="Times New Roman" w:cs="Times New Roman"/>
        </w:rPr>
        <w:t>,</w:t>
      </w:r>
      <w:r w:rsidRPr="002318C9">
        <w:rPr>
          <w:rFonts w:ascii="Times New Roman" w:hAnsi="Times New Roman" w:cs="Times New Roman"/>
        </w:rPr>
        <w:t xml:space="preserve"> 1876; Boynton, “The Washington Safe Burglary Conspiracy”</w:t>
      </w:r>
    </w:p>
  </w:footnote>
  <w:footnote w:id="1043">
    <w:p w14:paraId="1D98A9E1" w14:textId="10D58B50"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443;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470D91">
        <w:rPr>
          <w:rFonts w:ascii="Times New Roman" w:hAnsi="Times New Roman" w:cs="Times New Roman"/>
        </w:rPr>
        <w:t xml:space="preserve">September </w:t>
      </w:r>
      <w:r w:rsidRPr="002318C9">
        <w:rPr>
          <w:rFonts w:ascii="Times New Roman" w:hAnsi="Times New Roman" w:cs="Times New Roman"/>
        </w:rPr>
        <w:t>21</w:t>
      </w:r>
      <w:r w:rsidR="00470D91">
        <w:rPr>
          <w:rFonts w:ascii="Times New Roman" w:hAnsi="Times New Roman" w:cs="Times New Roman"/>
        </w:rPr>
        <w:t>,</w:t>
      </w:r>
      <w:r w:rsidRPr="002318C9">
        <w:rPr>
          <w:rFonts w:ascii="Times New Roman" w:hAnsi="Times New Roman" w:cs="Times New Roman"/>
        </w:rPr>
        <w:t xml:space="preserve"> 1876. </w:t>
      </w:r>
    </w:p>
  </w:footnote>
  <w:footnote w:id="1044">
    <w:p w14:paraId="04B9D071" w14:textId="1E1264E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443; </w:t>
      </w:r>
      <w:r w:rsidRPr="002318C9">
        <w:rPr>
          <w:rFonts w:ascii="Times New Roman" w:hAnsi="Times New Roman" w:cs="Times New Roman"/>
          <w:i/>
          <w:iCs/>
        </w:rPr>
        <w:t xml:space="preserve">Evening star. </w:t>
      </w:r>
      <w:r w:rsidRPr="002318C9">
        <w:rPr>
          <w:rFonts w:ascii="Times New Roman" w:hAnsi="Times New Roman" w:cs="Times New Roman"/>
        </w:rPr>
        <w:t>(Washington</w:t>
      </w:r>
      <w:r w:rsidR="00470D91">
        <w:rPr>
          <w:rFonts w:ascii="Times New Roman" w:hAnsi="Times New Roman" w:cs="Times New Roman"/>
        </w:rPr>
        <w:t>)</w:t>
      </w:r>
      <w:r w:rsidRPr="002318C9">
        <w:rPr>
          <w:rFonts w:ascii="Times New Roman" w:hAnsi="Times New Roman" w:cs="Times New Roman"/>
        </w:rPr>
        <w:t xml:space="preserve">, </w:t>
      </w:r>
      <w:r w:rsidR="00470D91">
        <w:rPr>
          <w:rFonts w:ascii="Times New Roman" w:hAnsi="Times New Roman" w:cs="Times New Roman"/>
        </w:rPr>
        <w:t xml:space="preserve">September </w:t>
      </w:r>
      <w:r w:rsidRPr="002318C9">
        <w:rPr>
          <w:rFonts w:ascii="Times New Roman" w:hAnsi="Times New Roman" w:cs="Times New Roman"/>
        </w:rPr>
        <w:t>22</w:t>
      </w:r>
      <w:r w:rsidR="00470D91">
        <w:rPr>
          <w:rFonts w:ascii="Times New Roman" w:hAnsi="Times New Roman" w:cs="Times New Roman"/>
        </w:rPr>
        <w:t>,</w:t>
      </w:r>
      <w:r w:rsidRPr="002318C9">
        <w:rPr>
          <w:rFonts w:ascii="Times New Roman" w:hAnsi="Times New Roman" w:cs="Times New Roman"/>
        </w:rPr>
        <w:t xml:space="preserve"> 1876; </w:t>
      </w:r>
      <w:r w:rsidRPr="002318C9">
        <w:rPr>
          <w:rFonts w:ascii="Times New Roman" w:hAnsi="Times New Roman" w:cs="Times New Roman"/>
          <w:i/>
          <w:iCs/>
        </w:rPr>
        <w:t>National Republican.</w:t>
      </w:r>
      <w:r w:rsidRPr="002318C9">
        <w:rPr>
          <w:rFonts w:ascii="Times New Roman" w:hAnsi="Times New Roman" w:cs="Times New Roman"/>
        </w:rPr>
        <w:t xml:space="preserve"> (Washington), </w:t>
      </w:r>
      <w:r w:rsidR="00470D91">
        <w:rPr>
          <w:rFonts w:ascii="Times New Roman" w:hAnsi="Times New Roman" w:cs="Times New Roman"/>
        </w:rPr>
        <w:t xml:space="preserve">September </w:t>
      </w:r>
      <w:r w:rsidRPr="002318C9">
        <w:rPr>
          <w:rFonts w:ascii="Times New Roman" w:hAnsi="Times New Roman" w:cs="Times New Roman"/>
        </w:rPr>
        <w:t>23</w:t>
      </w:r>
      <w:r w:rsidR="00470D91">
        <w:rPr>
          <w:rFonts w:ascii="Times New Roman" w:hAnsi="Times New Roman" w:cs="Times New Roman"/>
        </w:rPr>
        <w:t>,</w:t>
      </w:r>
      <w:r w:rsidRPr="002318C9">
        <w:rPr>
          <w:rFonts w:ascii="Times New Roman" w:hAnsi="Times New Roman" w:cs="Times New Roman"/>
        </w:rPr>
        <w:t xml:space="preserve"> 1876.</w:t>
      </w:r>
    </w:p>
  </w:footnote>
  <w:footnote w:id="1045">
    <w:p w14:paraId="677E3F43" w14:textId="1432180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443; </w:t>
      </w:r>
      <w:r w:rsidRPr="002318C9">
        <w:rPr>
          <w:rFonts w:ascii="Times New Roman" w:hAnsi="Times New Roman" w:cs="Times New Roman"/>
          <w:i/>
          <w:iCs/>
        </w:rPr>
        <w:t xml:space="preserve">Helena weekly herald. </w:t>
      </w:r>
      <w:r w:rsidRPr="002318C9">
        <w:rPr>
          <w:rFonts w:ascii="Times New Roman" w:hAnsi="Times New Roman" w:cs="Times New Roman"/>
        </w:rPr>
        <w:t>(Helena, M</w:t>
      </w:r>
      <w:r w:rsidR="00470D91">
        <w:rPr>
          <w:rFonts w:ascii="Times New Roman" w:hAnsi="Times New Roman" w:cs="Times New Roman"/>
        </w:rPr>
        <w:t>T</w:t>
      </w:r>
      <w:r w:rsidRPr="002318C9">
        <w:rPr>
          <w:rFonts w:ascii="Times New Roman" w:hAnsi="Times New Roman" w:cs="Times New Roman"/>
        </w:rPr>
        <w:t xml:space="preserve">), </w:t>
      </w:r>
      <w:r w:rsidR="00470D91">
        <w:rPr>
          <w:rFonts w:ascii="Times New Roman" w:hAnsi="Times New Roman" w:cs="Times New Roman"/>
        </w:rPr>
        <w:t>April 1</w:t>
      </w:r>
      <w:r w:rsidRPr="002318C9">
        <w:rPr>
          <w:rFonts w:ascii="Times New Roman" w:hAnsi="Times New Roman" w:cs="Times New Roman"/>
        </w:rPr>
        <w:t>3</w:t>
      </w:r>
      <w:r w:rsidR="00470D91">
        <w:rPr>
          <w:rFonts w:ascii="Times New Roman" w:hAnsi="Times New Roman" w:cs="Times New Roman"/>
        </w:rPr>
        <w:t xml:space="preserve">, </w:t>
      </w:r>
      <w:r w:rsidRPr="002318C9">
        <w:rPr>
          <w:rFonts w:ascii="Times New Roman" w:hAnsi="Times New Roman" w:cs="Times New Roman"/>
        </w:rPr>
        <w:t xml:space="preserve">1876.; </w:t>
      </w:r>
      <w:r w:rsidRPr="002318C9">
        <w:rPr>
          <w:rFonts w:ascii="Times New Roman" w:hAnsi="Times New Roman" w:cs="Times New Roman"/>
          <w:i/>
          <w:iCs/>
        </w:rPr>
        <w:t>The New York herald</w:t>
      </w:r>
      <w:r w:rsidRPr="002318C9">
        <w:rPr>
          <w:rFonts w:ascii="Times New Roman" w:hAnsi="Times New Roman" w:cs="Times New Roman"/>
        </w:rPr>
        <w:t xml:space="preserve">, </w:t>
      </w:r>
      <w:r w:rsidR="00470D91">
        <w:rPr>
          <w:rFonts w:ascii="Times New Roman" w:hAnsi="Times New Roman" w:cs="Times New Roman"/>
        </w:rPr>
        <w:t xml:space="preserve">April </w:t>
      </w:r>
      <w:r w:rsidRPr="002318C9">
        <w:rPr>
          <w:rFonts w:ascii="Times New Roman" w:hAnsi="Times New Roman" w:cs="Times New Roman"/>
        </w:rPr>
        <w:t>10</w:t>
      </w:r>
      <w:r w:rsidR="00470D91">
        <w:rPr>
          <w:rFonts w:ascii="Times New Roman" w:hAnsi="Times New Roman" w:cs="Times New Roman"/>
        </w:rPr>
        <w:t>,</w:t>
      </w:r>
      <w:r w:rsidRPr="002318C9">
        <w:rPr>
          <w:rFonts w:ascii="Times New Roman" w:hAnsi="Times New Roman" w:cs="Times New Roman"/>
        </w:rPr>
        <w:t xml:space="preserve"> 1876. </w:t>
      </w:r>
    </w:p>
  </w:footnote>
  <w:footnote w:id="1046">
    <w:p w14:paraId="714DE0BA"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420-443</w:t>
      </w:r>
    </w:p>
  </w:footnote>
  <w:footnote w:id="1047">
    <w:p w14:paraId="53B33548"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79" w:name="_Hlk130898959"/>
      <w:r w:rsidRPr="002318C9">
        <w:rPr>
          <w:rFonts w:ascii="Times New Roman" w:hAnsi="Times New Roman" w:cs="Times New Roman"/>
        </w:rPr>
        <w:t>Davis, "The Safe Burglary Case,” 172-181; Boynton, “The Washington Safe Burglary Conspiracy,” 443</w:t>
      </w:r>
    </w:p>
    <w:bookmarkEnd w:id="79"/>
  </w:footnote>
  <w:footnote w:id="1048">
    <w:p w14:paraId="1D0FF2C9" w14:textId="350942FD"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80" w:name="_Hlk70600987"/>
      <w:r w:rsidRPr="002318C9">
        <w:rPr>
          <w:rFonts w:ascii="Times New Roman" w:hAnsi="Times New Roman" w:cs="Times New Roman"/>
          <w:i/>
          <w:iCs/>
        </w:rPr>
        <w:t xml:space="preserve">Helena weekly herald. </w:t>
      </w:r>
      <w:r w:rsidRPr="002318C9">
        <w:rPr>
          <w:rFonts w:ascii="Times New Roman" w:hAnsi="Times New Roman" w:cs="Times New Roman"/>
        </w:rPr>
        <w:t xml:space="preserve">(Helena, </w:t>
      </w:r>
      <w:r w:rsidR="003768E3">
        <w:rPr>
          <w:rFonts w:ascii="Times New Roman" w:hAnsi="Times New Roman" w:cs="Times New Roman"/>
        </w:rPr>
        <w:t>MT</w:t>
      </w:r>
      <w:r w:rsidRPr="002318C9">
        <w:rPr>
          <w:rFonts w:ascii="Times New Roman" w:hAnsi="Times New Roman" w:cs="Times New Roman"/>
        </w:rPr>
        <w:t xml:space="preserve">), </w:t>
      </w:r>
      <w:r w:rsidR="003768E3">
        <w:rPr>
          <w:rFonts w:ascii="Times New Roman" w:hAnsi="Times New Roman" w:cs="Times New Roman"/>
        </w:rPr>
        <w:t xml:space="preserve">April </w:t>
      </w:r>
      <w:r w:rsidRPr="002318C9">
        <w:rPr>
          <w:rFonts w:ascii="Times New Roman" w:hAnsi="Times New Roman" w:cs="Times New Roman"/>
        </w:rPr>
        <w:t>13</w:t>
      </w:r>
      <w:r w:rsidR="003768E3">
        <w:rPr>
          <w:rFonts w:ascii="Times New Roman" w:hAnsi="Times New Roman" w:cs="Times New Roman"/>
        </w:rPr>
        <w:t>,</w:t>
      </w:r>
      <w:r w:rsidRPr="002318C9">
        <w:rPr>
          <w:rFonts w:ascii="Times New Roman" w:hAnsi="Times New Roman" w:cs="Times New Roman"/>
        </w:rPr>
        <w:t xml:space="preserve"> 1876; </w:t>
      </w:r>
      <w:r w:rsidRPr="002318C9">
        <w:rPr>
          <w:rFonts w:ascii="Times New Roman" w:hAnsi="Times New Roman" w:cs="Times New Roman"/>
          <w:i/>
          <w:iCs/>
        </w:rPr>
        <w:t>The New York herald</w:t>
      </w:r>
      <w:r w:rsidRPr="002318C9">
        <w:rPr>
          <w:rFonts w:ascii="Times New Roman" w:hAnsi="Times New Roman" w:cs="Times New Roman"/>
        </w:rPr>
        <w:t xml:space="preserve">, </w:t>
      </w:r>
      <w:r w:rsidR="003768E3">
        <w:rPr>
          <w:rFonts w:ascii="Times New Roman" w:hAnsi="Times New Roman" w:cs="Times New Roman"/>
        </w:rPr>
        <w:t xml:space="preserve">April </w:t>
      </w:r>
      <w:r w:rsidRPr="002318C9">
        <w:rPr>
          <w:rFonts w:ascii="Times New Roman" w:hAnsi="Times New Roman" w:cs="Times New Roman"/>
        </w:rPr>
        <w:t>10</w:t>
      </w:r>
      <w:r w:rsidR="003768E3">
        <w:rPr>
          <w:rFonts w:ascii="Times New Roman" w:hAnsi="Times New Roman" w:cs="Times New Roman"/>
        </w:rPr>
        <w:t>,</w:t>
      </w:r>
      <w:r w:rsidRPr="002318C9">
        <w:rPr>
          <w:rFonts w:ascii="Times New Roman" w:hAnsi="Times New Roman" w:cs="Times New Roman"/>
        </w:rPr>
        <w:t xml:space="preserve"> 1876. </w:t>
      </w:r>
    </w:p>
    <w:bookmarkEnd w:id="80"/>
  </w:footnote>
  <w:footnote w:id="1049">
    <w:p w14:paraId="07E1C484"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81" w:name="_Hlk70354335"/>
      <w:bookmarkStart w:id="82" w:name="_Hlk70688265"/>
      <w:r w:rsidRPr="002318C9">
        <w:rPr>
          <w:rFonts w:ascii="Times New Roman" w:hAnsi="Times New Roman" w:cs="Times New Roman"/>
          <w:i/>
          <w:iCs/>
        </w:rPr>
        <w:t>New York</w:t>
      </w:r>
      <w:r w:rsidRPr="002318C9">
        <w:rPr>
          <w:rFonts w:ascii="Times New Roman" w:hAnsi="Times New Roman" w:cs="Times New Roman"/>
        </w:rPr>
        <w:t xml:space="preserve"> </w:t>
      </w:r>
      <w:r w:rsidRPr="002318C9">
        <w:rPr>
          <w:rFonts w:ascii="Times New Roman" w:hAnsi="Times New Roman" w:cs="Times New Roman"/>
          <w:i/>
          <w:iCs/>
        </w:rPr>
        <w:t>Sun</w:t>
      </w:r>
      <w:r w:rsidRPr="002318C9">
        <w:rPr>
          <w:rFonts w:ascii="Times New Roman" w:hAnsi="Times New Roman" w:cs="Times New Roman"/>
        </w:rPr>
        <w:t>, September 21, 1876</w:t>
      </w:r>
      <w:bookmarkEnd w:id="81"/>
      <w:r w:rsidRPr="002318C9">
        <w:rPr>
          <w:rFonts w:ascii="Times New Roman" w:hAnsi="Times New Roman" w:cs="Times New Roman"/>
        </w:rPr>
        <w:t xml:space="preserve">. </w:t>
      </w:r>
    </w:p>
    <w:bookmarkEnd w:id="82"/>
  </w:footnote>
  <w:footnote w:id="1050">
    <w:p w14:paraId="7B3CB7F8"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New York</w:t>
      </w:r>
      <w:r w:rsidRPr="002318C9">
        <w:rPr>
          <w:rFonts w:ascii="Times New Roman" w:hAnsi="Times New Roman" w:cs="Times New Roman"/>
        </w:rPr>
        <w:t xml:space="preserve"> </w:t>
      </w:r>
      <w:r w:rsidRPr="002318C9">
        <w:rPr>
          <w:rFonts w:ascii="Times New Roman" w:hAnsi="Times New Roman" w:cs="Times New Roman"/>
          <w:i/>
          <w:iCs/>
        </w:rPr>
        <w:t>Sun</w:t>
      </w:r>
      <w:r w:rsidRPr="002318C9">
        <w:rPr>
          <w:rFonts w:ascii="Times New Roman" w:hAnsi="Times New Roman" w:cs="Times New Roman"/>
        </w:rPr>
        <w:t>, September 21, 1876.</w:t>
      </w:r>
    </w:p>
  </w:footnote>
  <w:footnote w:id="1051">
    <w:p w14:paraId="636A91E3" w14:textId="66127E2A"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443-446;</w:t>
      </w:r>
      <w:bookmarkStart w:id="83" w:name="_Hlk131246875"/>
      <w:r w:rsidRPr="002318C9">
        <w:rPr>
          <w:rFonts w:ascii="Times New Roman" w:hAnsi="Times New Roman" w:cs="Times New Roman"/>
          <w:i/>
          <w:iCs/>
        </w:rPr>
        <w:t xml:space="preserve"> National Republican.</w:t>
      </w:r>
      <w:r w:rsidRPr="002318C9">
        <w:rPr>
          <w:rFonts w:ascii="Times New Roman" w:hAnsi="Times New Roman" w:cs="Times New Roman"/>
        </w:rPr>
        <w:t xml:space="preserve"> (Washington), </w:t>
      </w:r>
      <w:r w:rsidR="003768E3">
        <w:rPr>
          <w:rFonts w:ascii="Times New Roman" w:hAnsi="Times New Roman" w:cs="Times New Roman"/>
        </w:rPr>
        <w:t xml:space="preserve">September </w:t>
      </w:r>
      <w:r w:rsidRPr="002318C9">
        <w:rPr>
          <w:rFonts w:ascii="Times New Roman" w:hAnsi="Times New Roman" w:cs="Times New Roman"/>
        </w:rPr>
        <w:t>29</w:t>
      </w:r>
      <w:r w:rsidR="003768E3">
        <w:rPr>
          <w:rFonts w:ascii="Times New Roman" w:hAnsi="Times New Roman" w:cs="Times New Roman"/>
        </w:rPr>
        <w:t>,</w:t>
      </w:r>
      <w:r w:rsidRPr="002318C9">
        <w:rPr>
          <w:rFonts w:ascii="Times New Roman" w:hAnsi="Times New Roman" w:cs="Times New Roman"/>
        </w:rPr>
        <w:t xml:space="preserve"> 1876. </w:t>
      </w:r>
      <w:bookmarkEnd w:id="83"/>
    </w:p>
  </w:footnote>
  <w:footnote w:id="1052">
    <w:p w14:paraId="0A6BA7C8"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443</w:t>
      </w:r>
    </w:p>
  </w:footnote>
  <w:footnote w:id="1053">
    <w:p w14:paraId="5F104FDD"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443; Davis, "The Safe Burglary Case,” 168; </w:t>
      </w:r>
      <w:bookmarkStart w:id="84" w:name="_Hlk70356445"/>
      <w:r w:rsidRPr="002318C9">
        <w:rPr>
          <w:rFonts w:ascii="Times New Roman" w:hAnsi="Times New Roman" w:cs="Times New Roman"/>
        </w:rPr>
        <w:t>Ulysses S. Grant to Alphonso Taft, September 16, 1876</w:t>
      </w:r>
    </w:p>
    <w:bookmarkEnd w:id="84"/>
  </w:footnote>
  <w:footnote w:id="1054">
    <w:p w14:paraId="0FD4B192"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Ulysses S. Grant to Alphonso Taft, September 16, 1876</w:t>
      </w:r>
    </w:p>
  </w:footnote>
  <w:footnote w:id="1055">
    <w:p w14:paraId="6DACF12C" w14:textId="0F94E10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Boynton, “The Washington Safe Burglary Conspiracy,” 445-446; </w:t>
      </w:r>
      <w:r w:rsidRPr="002318C9">
        <w:rPr>
          <w:rFonts w:ascii="Times New Roman" w:hAnsi="Times New Roman" w:cs="Times New Roman"/>
          <w:i/>
          <w:iCs/>
        </w:rPr>
        <w:t xml:space="preserve">Evening star. </w:t>
      </w:r>
      <w:r w:rsidRPr="002318C9">
        <w:rPr>
          <w:rFonts w:ascii="Times New Roman" w:hAnsi="Times New Roman" w:cs="Times New Roman"/>
        </w:rPr>
        <w:t>(Washington), Nov</w:t>
      </w:r>
      <w:r w:rsidR="00C83EDD">
        <w:rPr>
          <w:rFonts w:ascii="Times New Roman" w:hAnsi="Times New Roman" w:cs="Times New Roman"/>
        </w:rPr>
        <w:t>ember 24,</w:t>
      </w:r>
      <w:r w:rsidRPr="002318C9">
        <w:rPr>
          <w:rFonts w:ascii="Times New Roman" w:hAnsi="Times New Roman" w:cs="Times New Roman"/>
        </w:rPr>
        <w:t xml:space="preserve"> 1876. </w:t>
      </w:r>
    </w:p>
  </w:footnote>
  <w:footnote w:id="1056">
    <w:p w14:paraId="720884BC" w14:textId="1D03710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such records on the Whiskey Ring, consider: McDonald, </w:t>
      </w:r>
      <w:r w:rsidRPr="002318C9">
        <w:rPr>
          <w:rFonts w:ascii="Times New Roman" w:hAnsi="Times New Roman" w:cs="Times New Roman"/>
          <w:i/>
          <w:iCs/>
        </w:rPr>
        <w:t>Secrets</w:t>
      </w:r>
      <w:r w:rsidRPr="002318C9">
        <w:rPr>
          <w:rFonts w:ascii="Times New Roman" w:hAnsi="Times New Roman" w:cs="Times New Roman"/>
        </w:rPr>
        <w:t xml:space="preserve">; </w:t>
      </w:r>
      <w:r w:rsidR="00E51192">
        <w:rPr>
          <w:rFonts w:ascii="Times New Roman" w:hAnsi="Times New Roman" w:cs="Times New Roman"/>
          <w:i/>
          <w:iCs/>
        </w:rPr>
        <w:t>Whiskey Frauds</w:t>
      </w:r>
      <w:r w:rsidR="007C1778">
        <w:rPr>
          <w:rFonts w:ascii="Times New Roman" w:hAnsi="Times New Roman" w:cs="Times New Roman"/>
          <w:i/>
          <w:iCs/>
        </w:rPr>
        <w:t xml:space="preserve"> Testimony.</w:t>
      </w:r>
      <w:r w:rsidR="00E51192">
        <w:rPr>
          <w:rFonts w:ascii="Times New Roman" w:hAnsi="Times New Roman" w:cs="Times New Roman"/>
          <w:i/>
          <w:iCs/>
        </w:rPr>
        <w:t xml:space="preserve"> </w:t>
      </w:r>
      <w:r w:rsidRPr="002318C9">
        <w:rPr>
          <w:rFonts w:ascii="Times New Roman" w:hAnsi="Times New Roman" w:cs="Times New Roman"/>
        </w:rPr>
        <w:t xml:space="preserve">For information on the Gold Ring, consider Ackerman, </w:t>
      </w:r>
      <w:r w:rsidRPr="002318C9">
        <w:rPr>
          <w:rFonts w:ascii="Times New Roman" w:hAnsi="Times New Roman" w:cs="Times New Roman"/>
          <w:i/>
          <w:iCs/>
        </w:rPr>
        <w:t>The Gold Ring</w:t>
      </w:r>
      <w:r w:rsidRPr="002318C9">
        <w:rPr>
          <w:rFonts w:ascii="Times New Roman" w:hAnsi="Times New Roman" w:cs="Times New Roman"/>
        </w:rPr>
        <w:t>.</w:t>
      </w:r>
    </w:p>
  </w:footnote>
  <w:footnote w:id="1057">
    <w:p w14:paraId="4BD91D6D" w14:textId="77777777"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Davis, "The Safe Burglary Case,” 172-181; Boynton, “The Washington Safe Burglary Conspiracy,” 443</w:t>
      </w:r>
    </w:p>
  </w:footnote>
  <w:footnote w:id="1058">
    <w:p w14:paraId="634AC59F" w14:textId="4B863E8F" w:rsidR="002D394D" w:rsidRPr="002318C9" w:rsidRDefault="002D394D" w:rsidP="002D394D">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Lane, </w:t>
      </w:r>
      <w:r w:rsidRPr="002318C9">
        <w:rPr>
          <w:rFonts w:ascii="Times New Roman" w:hAnsi="Times New Roman" w:cs="Times New Roman"/>
          <w:i/>
          <w:iCs/>
        </w:rPr>
        <w:t>Freedom's Detective</w:t>
      </w:r>
      <w:r w:rsidRPr="002318C9">
        <w:rPr>
          <w:rFonts w:ascii="Times New Roman" w:hAnsi="Times New Roman" w:cs="Times New Roman"/>
        </w:rPr>
        <w:t xml:space="preserve">; </w:t>
      </w:r>
      <w:r w:rsidRPr="002318C9">
        <w:rPr>
          <w:rFonts w:ascii="Times New Roman" w:hAnsi="Times New Roman" w:cs="Times New Roman"/>
          <w:i/>
          <w:iCs/>
        </w:rPr>
        <w:t xml:space="preserve">Evening star. </w:t>
      </w:r>
      <w:r w:rsidRPr="002318C9">
        <w:rPr>
          <w:rFonts w:ascii="Times New Roman" w:hAnsi="Times New Roman" w:cs="Times New Roman"/>
        </w:rPr>
        <w:t xml:space="preserve">(Washington), </w:t>
      </w:r>
      <w:r w:rsidR="00E51192">
        <w:rPr>
          <w:rFonts w:ascii="Times New Roman" w:hAnsi="Times New Roman" w:cs="Times New Roman"/>
        </w:rPr>
        <w:t xml:space="preserve">September </w:t>
      </w:r>
      <w:r w:rsidRPr="002318C9">
        <w:rPr>
          <w:rFonts w:ascii="Times New Roman" w:hAnsi="Times New Roman" w:cs="Times New Roman"/>
        </w:rPr>
        <w:t>10</w:t>
      </w:r>
      <w:r w:rsidR="00E51192">
        <w:rPr>
          <w:rFonts w:ascii="Times New Roman" w:hAnsi="Times New Roman" w:cs="Times New Roman"/>
        </w:rPr>
        <w:t>,</w:t>
      </w:r>
      <w:r w:rsidRPr="002318C9">
        <w:rPr>
          <w:rFonts w:ascii="Times New Roman" w:hAnsi="Times New Roman" w:cs="Times New Roman"/>
        </w:rPr>
        <w:t xml:space="preserve"> 1874</w:t>
      </w:r>
    </w:p>
  </w:footnote>
  <w:footnote w:id="1059">
    <w:p w14:paraId="468C5B99" w14:textId="28ACCC83"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 xml:space="preserve">Richardson, </w:t>
      </w:r>
      <w:r w:rsidRPr="002318C9">
        <w:rPr>
          <w:rFonts w:ascii="Times New Roman" w:hAnsi="Times New Roman" w:cs="Times New Roman"/>
          <w:i/>
          <w:iCs/>
        </w:rPr>
        <w:t>Alexander Robey Shepherd</w:t>
      </w:r>
    </w:p>
  </w:footnote>
  <w:footnote w:id="1060">
    <w:p w14:paraId="11A2D992" w14:textId="2F8F7E49"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D0313">
        <w:rPr>
          <w:rFonts w:ascii="Times New Roman" w:hAnsi="Times New Roman" w:cs="Times New Roman"/>
        </w:rPr>
        <w:t xml:space="preserve">John </w:t>
      </w:r>
      <w:r w:rsidRPr="002318C9">
        <w:rPr>
          <w:rFonts w:ascii="Times New Roman" w:hAnsi="Times New Roman" w:cs="Times New Roman"/>
        </w:rPr>
        <w:t xml:space="preserve">Richardson, </w:t>
      </w:r>
      <w:r w:rsidRPr="002318C9">
        <w:rPr>
          <w:rFonts w:ascii="Times New Roman" w:hAnsi="Times New Roman" w:cs="Times New Roman"/>
          <w:i/>
          <w:iCs/>
        </w:rPr>
        <w:t>Alexander Robey Shepherd</w:t>
      </w:r>
      <w:r w:rsidRPr="002318C9">
        <w:rPr>
          <w:rFonts w:ascii="Times New Roman" w:hAnsi="Times New Roman" w:cs="Times New Roman"/>
        </w:rPr>
        <w:t xml:space="preserve">; John Mason Hart, </w:t>
      </w:r>
      <w:r w:rsidRPr="002318C9">
        <w:rPr>
          <w:rFonts w:ascii="Times New Roman" w:hAnsi="Times New Roman" w:cs="Times New Roman"/>
          <w:i/>
          <w:iCs/>
        </w:rPr>
        <w:t>The Silver of the Sierra Madre: John Robinson, Boss Shepherd, and the People of the Canyons</w:t>
      </w:r>
      <w:r w:rsidRPr="002318C9">
        <w:rPr>
          <w:rFonts w:ascii="Times New Roman" w:hAnsi="Times New Roman" w:cs="Times New Roman"/>
        </w:rPr>
        <w:t>. Tucson: University of Arizona Press, 2008.</w:t>
      </w:r>
    </w:p>
  </w:footnote>
  <w:footnote w:id="1061">
    <w:p w14:paraId="2F81797A" w14:textId="28AE5694" w:rsidR="002D394D" w:rsidRPr="002318C9" w:rsidRDefault="002D394D" w:rsidP="002D394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McDonald, </w:t>
      </w:r>
      <w:r w:rsidRPr="002318C9">
        <w:rPr>
          <w:rFonts w:ascii="Times New Roman" w:hAnsi="Times New Roman" w:cs="Times New Roman"/>
          <w:i/>
          <w:iCs/>
        </w:rPr>
        <w:t>Secrets</w:t>
      </w:r>
    </w:p>
  </w:footnote>
  <w:footnote w:id="1062">
    <w:p w14:paraId="37E2E397" w14:textId="4D4CF7FF" w:rsidR="0028725C"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8725C" w:rsidRPr="002318C9">
        <w:rPr>
          <w:rFonts w:ascii="Times New Roman" w:hAnsi="Times New Roman" w:cs="Times New Roman"/>
        </w:rPr>
        <w:t xml:space="preserve">Ulysses S. Grant, </w:t>
      </w:r>
      <w:r w:rsidR="002E7F67">
        <w:rPr>
          <w:rFonts w:ascii="Times New Roman" w:hAnsi="Times New Roman" w:cs="Times New Roman"/>
        </w:rPr>
        <w:t>“</w:t>
      </w:r>
      <w:r w:rsidR="0028725C" w:rsidRPr="002E7F67">
        <w:rPr>
          <w:rFonts w:ascii="Times New Roman" w:hAnsi="Times New Roman" w:cs="Times New Roman"/>
        </w:rPr>
        <w:t>Sixth Annual Message to Congress</w:t>
      </w:r>
      <w:r w:rsidR="0028725C" w:rsidRPr="002318C9">
        <w:rPr>
          <w:rFonts w:ascii="Times New Roman" w:hAnsi="Times New Roman" w:cs="Times New Roman"/>
        </w:rPr>
        <w:t>,</w:t>
      </w:r>
      <w:r w:rsidR="002E7F67">
        <w:rPr>
          <w:rFonts w:ascii="Times New Roman" w:hAnsi="Times New Roman" w:cs="Times New Roman"/>
        </w:rPr>
        <w:t>”</w:t>
      </w:r>
      <w:r w:rsidR="0028725C" w:rsidRPr="002318C9">
        <w:rPr>
          <w:rFonts w:ascii="Times New Roman" w:hAnsi="Times New Roman" w:cs="Times New Roman"/>
        </w:rPr>
        <w:t xml:space="preserve"> December </w:t>
      </w:r>
      <w:r w:rsidR="008C533E">
        <w:rPr>
          <w:rFonts w:ascii="Times New Roman" w:hAnsi="Times New Roman" w:cs="Times New Roman"/>
        </w:rPr>
        <w:t>7</w:t>
      </w:r>
      <w:r w:rsidR="0028725C" w:rsidRPr="002318C9">
        <w:rPr>
          <w:rFonts w:ascii="Times New Roman" w:hAnsi="Times New Roman" w:cs="Times New Roman"/>
        </w:rPr>
        <w:t>, 187</w:t>
      </w:r>
      <w:r w:rsidR="008C533E">
        <w:rPr>
          <w:rFonts w:ascii="Times New Roman" w:hAnsi="Times New Roman" w:cs="Times New Roman"/>
        </w:rPr>
        <w:t>4</w:t>
      </w:r>
      <w:r w:rsidR="0028725C">
        <w:rPr>
          <w:rFonts w:ascii="Times New Roman" w:hAnsi="Times New Roman" w:cs="Times New Roman"/>
        </w:rPr>
        <w:t xml:space="preserve">; </w:t>
      </w:r>
      <w:r w:rsidR="0028725C" w:rsidRPr="002318C9">
        <w:rPr>
          <w:rFonts w:ascii="Times New Roman" w:hAnsi="Times New Roman" w:cs="Times New Roman"/>
        </w:rPr>
        <w:t xml:space="preserve">Ulysses S. Grant, </w:t>
      </w:r>
      <w:r w:rsidR="002E7F67">
        <w:rPr>
          <w:rFonts w:ascii="Times New Roman" w:hAnsi="Times New Roman" w:cs="Times New Roman"/>
        </w:rPr>
        <w:t>“</w:t>
      </w:r>
      <w:r w:rsidR="0028725C" w:rsidRPr="002E7F67">
        <w:rPr>
          <w:rFonts w:ascii="Times New Roman" w:hAnsi="Times New Roman" w:cs="Times New Roman"/>
        </w:rPr>
        <w:t>Fifth Annual Message to Congress,</w:t>
      </w:r>
      <w:r w:rsidR="002E7F67">
        <w:rPr>
          <w:rFonts w:ascii="Times New Roman" w:hAnsi="Times New Roman" w:cs="Times New Roman"/>
        </w:rPr>
        <w:t>”</w:t>
      </w:r>
      <w:r w:rsidR="0028725C" w:rsidRPr="002318C9">
        <w:rPr>
          <w:rFonts w:ascii="Times New Roman" w:hAnsi="Times New Roman" w:cs="Times New Roman"/>
        </w:rPr>
        <w:t xml:space="preserve"> December </w:t>
      </w:r>
      <w:r w:rsidR="008C533E">
        <w:rPr>
          <w:rFonts w:ascii="Times New Roman" w:hAnsi="Times New Roman" w:cs="Times New Roman"/>
        </w:rPr>
        <w:t>1</w:t>
      </w:r>
      <w:r w:rsidR="0028725C" w:rsidRPr="002318C9">
        <w:rPr>
          <w:rFonts w:ascii="Times New Roman" w:hAnsi="Times New Roman" w:cs="Times New Roman"/>
        </w:rPr>
        <w:t>, 187</w:t>
      </w:r>
      <w:r w:rsidR="008C533E">
        <w:rPr>
          <w:rFonts w:ascii="Times New Roman" w:hAnsi="Times New Roman" w:cs="Times New Roman"/>
        </w:rPr>
        <w:t>3</w:t>
      </w:r>
      <w:r w:rsidR="0028725C">
        <w:rPr>
          <w:rFonts w:ascii="Times New Roman" w:hAnsi="Times New Roman" w:cs="Times New Roman"/>
        </w:rPr>
        <w:t xml:space="preserve">; </w:t>
      </w:r>
      <w:r w:rsidR="0028725C" w:rsidRPr="002318C9">
        <w:rPr>
          <w:rFonts w:ascii="Times New Roman" w:hAnsi="Times New Roman" w:cs="Times New Roman"/>
        </w:rPr>
        <w:t xml:space="preserve">Ulysses S. Grant, </w:t>
      </w:r>
      <w:r w:rsidR="002E7F67">
        <w:rPr>
          <w:rFonts w:ascii="Times New Roman" w:hAnsi="Times New Roman" w:cs="Times New Roman"/>
        </w:rPr>
        <w:t>“</w:t>
      </w:r>
      <w:r w:rsidR="008C533E" w:rsidRPr="002E7F67">
        <w:rPr>
          <w:rFonts w:ascii="Times New Roman" w:hAnsi="Times New Roman" w:cs="Times New Roman"/>
        </w:rPr>
        <w:t>Four</w:t>
      </w:r>
      <w:r w:rsidR="0028725C" w:rsidRPr="002E7F67">
        <w:rPr>
          <w:rFonts w:ascii="Times New Roman" w:hAnsi="Times New Roman" w:cs="Times New Roman"/>
        </w:rPr>
        <w:t>th Annual Message to Congress</w:t>
      </w:r>
      <w:r w:rsidR="0028725C" w:rsidRPr="002318C9">
        <w:rPr>
          <w:rFonts w:ascii="Times New Roman" w:hAnsi="Times New Roman" w:cs="Times New Roman"/>
        </w:rPr>
        <w:t>,</w:t>
      </w:r>
      <w:r w:rsidR="002E7F67">
        <w:rPr>
          <w:rFonts w:ascii="Times New Roman" w:hAnsi="Times New Roman" w:cs="Times New Roman"/>
        </w:rPr>
        <w:t>”</w:t>
      </w:r>
      <w:r w:rsidR="0028725C" w:rsidRPr="002318C9">
        <w:rPr>
          <w:rFonts w:ascii="Times New Roman" w:hAnsi="Times New Roman" w:cs="Times New Roman"/>
        </w:rPr>
        <w:t xml:space="preserve"> December </w:t>
      </w:r>
      <w:r w:rsidR="008C533E">
        <w:rPr>
          <w:rFonts w:ascii="Times New Roman" w:hAnsi="Times New Roman" w:cs="Times New Roman"/>
        </w:rPr>
        <w:t>2</w:t>
      </w:r>
      <w:r w:rsidR="0028725C" w:rsidRPr="002318C9">
        <w:rPr>
          <w:rFonts w:ascii="Times New Roman" w:hAnsi="Times New Roman" w:cs="Times New Roman"/>
        </w:rPr>
        <w:t>, 187</w:t>
      </w:r>
      <w:r w:rsidR="008C533E">
        <w:rPr>
          <w:rFonts w:ascii="Times New Roman" w:hAnsi="Times New Roman" w:cs="Times New Roman"/>
        </w:rPr>
        <w:t>2</w:t>
      </w:r>
      <w:r w:rsidR="0028725C">
        <w:rPr>
          <w:rFonts w:ascii="Times New Roman" w:hAnsi="Times New Roman" w:cs="Times New Roman"/>
        </w:rPr>
        <w:t xml:space="preserve">; </w:t>
      </w:r>
      <w:r w:rsidR="0028725C" w:rsidRPr="002318C9">
        <w:rPr>
          <w:rFonts w:ascii="Times New Roman" w:hAnsi="Times New Roman" w:cs="Times New Roman"/>
        </w:rPr>
        <w:t xml:space="preserve">Ulysses S. Grant, </w:t>
      </w:r>
      <w:r w:rsidR="002E7F67">
        <w:rPr>
          <w:rFonts w:ascii="Times New Roman" w:hAnsi="Times New Roman" w:cs="Times New Roman"/>
        </w:rPr>
        <w:t>“</w:t>
      </w:r>
      <w:r w:rsidR="008C533E" w:rsidRPr="002E7F67">
        <w:rPr>
          <w:rFonts w:ascii="Times New Roman" w:hAnsi="Times New Roman" w:cs="Times New Roman"/>
        </w:rPr>
        <w:t>Third</w:t>
      </w:r>
      <w:r w:rsidR="0028725C" w:rsidRPr="002E7F67">
        <w:rPr>
          <w:rFonts w:ascii="Times New Roman" w:hAnsi="Times New Roman" w:cs="Times New Roman"/>
        </w:rPr>
        <w:t xml:space="preserve"> Annual Message to Congress</w:t>
      </w:r>
      <w:r w:rsidR="0028725C" w:rsidRPr="002318C9">
        <w:rPr>
          <w:rFonts w:ascii="Times New Roman" w:hAnsi="Times New Roman" w:cs="Times New Roman"/>
        </w:rPr>
        <w:t>,</w:t>
      </w:r>
      <w:r w:rsidR="002E7F67">
        <w:rPr>
          <w:rFonts w:ascii="Times New Roman" w:hAnsi="Times New Roman" w:cs="Times New Roman"/>
        </w:rPr>
        <w:t>”</w:t>
      </w:r>
      <w:r w:rsidR="0028725C" w:rsidRPr="002318C9">
        <w:rPr>
          <w:rFonts w:ascii="Times New Roman" w:hAnsi="Times New Roman" w:cs="Times New Roman"/>
        </w:rPr>
        <w:t xml:space="preserve"> December </w:t>
      </w:r>
      <w:r w:rsidR="008C533E">
        <w:rPr>
          <w:rFonts w:ascii="Times New Roman" w:hAnsi="Times New Roman" w:cs="Times New Roman"/>
        </w:rPr>
        <w:t>4</w:t>
      </w:r>
      <w:r w:rsidR="0028725C" w:rsidRPr="002318C9">
        <w:rPr>
          <w:rFonts w:ascii="Times New Roman" w:hAnsi="Times New Roman" w:cs="Times New Roman"/>
        </w:rPr>
        <w:t>, 187</w:t>
      </w:r>
      <w:r w:rsidR="008C533E">
        <w:rPr>
          <w:rFonts w:ascii="Times New Roman" w:hAnsi="Times New Roman" w:cs="Times New Roman"/>
        </w:rPr>
        <w:t xml:space="preserve">1; </w:t>
      </w:r>
      <w:r w:rsidR="008C533E" w:rsidRPr="002318C9">
        <w:rPr>
          <w:rFonts w:ascii="Times New Roman" w:hAnsi="Times New Roman" w:cs="Times New Roman"/>
        </w:rPr>
        <w:t xml:space="preserve">Ulysses S. Grant, </w:t>
      </w:r>
      <w:r w:rsidR="002E7F67">
        <w:rPr>
          <w:rFonts w:ascii="Times New Roman" w:hAnsi="Times New Roman" w:cs="Times New Roman"/>
        </w:rPr>
        <w:t>“</w:t>
      </w:r>
      <w:r w:rsidR="008C533E" w:rsidRPr="002E7F67">
        <w:rPr>
          <w:rFonts w:ascii="Times New Roman" w:hAnsi="Times New Roman" w:cs="Times New Roman"/>
        </w:rPr>
        <w:t>Second Annual Message to Congre</w:t>
      </w:r>
      <w:r w:rsidR="002E7F67">
        <w:rPr>
          <w:rFonts w:ascii="Times New Roman" w:hAnsi="Times New Roman" w:cs="Times New Roman"/>
        </w:rPr>
        <w:t>s</w:t>
      </w:r>
      <w:r w:rsidR="008C533E" w:rsidRPr="002E7F67">
        <w:rPr>
          <w:rFonts w:ascii="Times New Roman" w:hAnsi="Times New Roman" w:cs="Times New Roman"/>
        </w:rPr>
        <w:t>s</w:t>
      </w:r>
      <w:r w:rsidR="008C533E" w:rsidRPr="002318C9">
        <w:rPr>
          <w:rFonts w:ascii="Times New Roman" w:hAnsi="Times New Roman" w:cs="Times New Roman"/>
        </w:rPr>
        <w:t>,</w:t>
      </w:r>
      <w:r w:rsidR="002E7F67">
        <w:rPr>
          <w:rFonts w:ascii="Times New Roman" w:hAnsi="Times New Roman" w:cs="Times New Roman"/>
        </w:rPr>
        <w:t>”</w:t>
      </w:r>
      <w:r w:rsidR="008C533E" w:rsidRPr="002318C9">
        <w:rPr>
          <w:rFonts w:ascii="Times New Roman" w:hAnsi="Times New Roman" w:cs="Times New Roman"/>
        </w:rPr>
        <w:t xml:space="preserve"> December 5, 187</w:t>
      </w:r>
      <w:r w:rsidR="008C533E">
        <w:rPr>
          <w:rFonts w:ascii="Times New Roman" w:hAnsi="Times New Roman" w:cs="Times New Roman"/>
        </w:rPr>
        <w:t xml:space="preserve">0; </w:t>
      </w:r>
      <w:r w:rsidR="008C533E" w:rsidRPr="002318C9">
        <w:rPr>
          <w:rFonts w:ascii="Times New Roman" w:hAnsi="Times New Roman" w:cs="Times New Roman"/>
        </w:rPr>
        <w:t xml:space="preserve">Ulysses S. Grant, </w:t>
      </w:r>
      <w:r w:rsidR="002E7F67">
        <w:rPr>
          <w:rFonts w:ascii="Times New Roman" w:hAnsi="Times New Roman" w:cs="Times New Roman"/>
        </w:rPr>
        <w:t>“</w:t>
      </w:r>
      <w:r w:rsidR="008C533E" w:rsidRPr="002E7F67">
        <w:rPr>
          <w:rFonts w:ascii="Times New Roman" w:hAnsi="Times New Roman" w:cs="Times New Roman"/>
        </w:rPr>
        <w:t>First Annual Message to Congress</w:t>
      </w:r>
      <w:r w:rsidR="008C533E" w:rsidRPr="002318C9">
        <w:rPr>
          <w:rFonts w:ascii="Times New Roman" w:hAnsi="Times New Roman" w:cs="Times New Roman"/>
        </w:rPr>
        <w:t>,</w:t>
      </w:r>
      <w:r w:rsidR="002E7F67">
        <w:rPr>
          <w:rFonts w:ascii="Times New Roman" w:hAnsi="Times New Roman" w:cs="Times New Roman"/>
        </w:rPr>
        <w:t>”</w:t>
      </w:r>
      <w:r w:rsidR="008C533E" w:rsidRPr="002318C9">
        <w:rPr>
          <w:rFonts w:ascii="Times New Roman" w:hAnsi="Times New Roman" w:cs="Times New Roman"/>
        </w:rPr>
        <w:t xml:space="preserve"> December </w:t>
      </w:r>
      <w:r w:rsidR="008C533E">
        <w:rPr>
          <w:rFonts w:ascii="Times New Roman" w:hAnsi="Times New Roman" w:cs="Times New Roman"/>
        </w:rPr>
        <w:t>6</w:t>
      </w:r>
      <w:r w:rsidR="008C533E" w:rsidRPr="002318C9">
        <w:rPr>
          <w:rFonts w:ascii="Times New Roman" w:hAnsi="Times New Roman" w:cs="Times New Roman"/>
        </w:rPr>
        <w:t>, 18</w:t>
      </w:r>
      <w:r w:rsidR="008C533E">
        <w:rPr>
          <w:rFonts w:ascii="Times New Roman" w:hAnsi="Times New Roman" w:cs="Times New Roman"/>
        </w:rPr>
        <w:t>69.</w:t>
      </w:r>
    </w:p>
  </w:footnote>
  <w:footnote w:id="1063">
    <w:p w14:paraId="523A4784" w14:textId="31EF8742" w:rsidR="00F06201" w:rsidRPr="002E7F67"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C533E">
        <w:rPr>
          <w:rFonts w:ascii="Times New Roman" w:hAnsi="Times New Roman" w:cs="Times New Roman"/>
        </w:rPr>
        <w:t xml:space="preserve">Grant, </w:t>
      </w:r>
      <w:r w:rsidR="002E7F67">
        <w:rPr>
          <w:rFonts w:ascii="Times New Roman" w:hAnsi="Times New Roman" w:cs="Times New Roman"/>
        </w:rPr>
        <w:t>“</w:t>
      </w:r>
      <w:r w:rsidR="008C533E" w:rsidRPr="002E7F67">
        <w:rPr>
          <w:rFonts w:ascii="Times New Roman" w:hAnsi="Times New Roman" w:cs="Times New Roman"/>
        </w:rPr>
        <w:t>Sixth Annual Message to Congress</w:t>
      </w:r>
      <w:r w:rsidR="002E7F67">
        <w:rPr>
          <w:rFonts w:ascii="Times New Roman" w:hAnsi="Times New Roman" w:cs="Times New Roman"/>
        </w:rPr>
        <w:t>”</w:t>
      </w:r>
    </w:p>
  </w:footnote>
  <w:footnote w:id="1064">
    <w:p w14:paraId="20D684FF" w14:textId="3795883A"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065">
    <w:p w14:paraId="60B8EFA5"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066">
    <w:p w14:paraId="31CE71F2" w14:textId="52DCA772"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C533E">
        <w:rPr>
          <w:rFonts w:ascii="Times New Roman" w:hAnsi="Times New Roman" w:cs="Times New Roman"/>
        </w:rPr>
        <w:t>Ibid</w:t>
      </w:r>
    </w:p>
  </w:footnote>
  <w:footnote w:id="1067">
    <w:p w14:paraId="57F6250F" w14:textId="78B9694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C533E">
        <w:rPr>
          <w:rFonts w:ascii="Times New Roman" w:hAnsi="Times New Roman" w:cs="Times New Roman"/>
        </w:rPr>
        <w:t>Ibid</w:t>
      </w:r>
    </w:p>
  </w:footnote>
  <w:footnote w:id="1068">
    <w:p w14:paraId="18F8899E" w14:textId="6E0603C1" w:rsidR="00F06201" w:rsidRPr="009A3135"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9A3135">
        <w:rPr>
          <w:rFonts w:ascii="Times New Roman" w:hAnsi="Times New Roman" w:cs="Times New Roman"/>
        </w:rPr>
        <w:t xml:space="preserve">harles Calhoun, </w:t>
      </w:r>
      <w:r w:rsidR="009A3135">
        <w:rPr>
          <w:rFonts w:ascii="Times New Roman" w:hAnsi="Times New Roman" w:cs="Times New Roman"/>
          <w:i/>
          <w:iCs/>
        </w:rPr>
        <w:t>The Presidency of Ulysses S. Grant</w:t>
      </w:r>
      <w:r w:rsidR="009A3135">
        <w:rPr>
          <w:rFonts w:ascii="Times New Roman" w:hAnsi="Times New Roman" w:cs="Times New Roman"/>
        </w:rPr>
        <w:t>. Lawrence, KS: University Press of Kansas, 2017.</w:t>
      </w:r>
    </w:p>
  </w:footnote>
  <w:footnote w:id="1069">
    <w:p w14:paraId="11C42BB9" w14:textId="1584751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076DB">
        <w:rPr>
          <w:rFonts w:ascii="Times New Roman" w:hAnsi="Times New Roman" w:cs="Times New Roman"/>
        </w:rPr>
        <w:t xml:space="preserve">Ulysses S. </w:t>
      </w:r>
      <w:r w:rsidRPr="002318C9">
        <w:rPr>
          <w:rFonts w:ascii="Times New Roman" w:hAnsi="Times New Roman" w:cs="Times New Roman"/>
        </w:rPr>
        <w:t>Grant,</w:t>
      </w:r>
      <w:r w:rsidR="005076DB">
        <w:rPr>
          <w:rFonts w:ascii="Times New Roman" w:hAnsi="Times New Roman" w:cs="Times New Roman"/>
        </w:rPr>
        <w:t xml:space="preserve"> </w:t>
      </w:r>
      <w:r w:rsidR="005076DB">
        <w:rPr>
          <w:rFonts w:ascii="Times New Roman" w:hAnsi="Times New Roman" w:cs="Times New Roman"/>
          <w:i/>
          <w:iCs/>
        </w:rPr>
        <w:t>Veto Message on Monetary Legislation</w:t>
      </w:r>
      <w:r w:rsidR="005076DB">
        <w:rPr>
          <w:rFonts w:ascii="Times New Roman" w:hAnsi="Times New Roman" w:cs="Times New Roman"/>
        </w:rPr>
        <w:t>,</w:t>
      </w:r>
      <w:r w:rsidRPr="002318C9">
        <w:rPr>
          <w:rFonts w:ascii="Times New Roman" w:hAnsi="Times New Roman" w:cs="Times New Roman"/>
        </w:rPr>
        <w:t xml:space="preserve"> April 22, 1874</w:t>
      </w:r>
      <w:r w:rsidR="005076DB">
        <w:rPr>
          <w:rFonts w:ascii="Times New Roman" w:hAnsi="Times New Roman" w:cs="Times New Roman"/>
        </w:rPr>
        <w:t>.</w:t>
      </w:r>
    </w:p>
  </w:footnote>
  <w:footnote w:id="1070">
    <w:p w14:paraId="2DCE09F6" w14:textId="7999F73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2F5910">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2F5910">
        <w:rPr>
          <w:rFonts w:ascii="Times New Roman" w:hAnsi="Times New Roman" w:cs="Times New Roman"/>
        </w:rPr>
        <w:t xml:space="preserve"> 481-482</w:t>
      </w:r>
    </w:p>
  </w:footnote>
  <w:footnote w:id="1071">
    <w:p w14:paraId="5460ED38" w14:textId="0F269CAA"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F5910">
        <w:rPr>
          <w:rFonts w:ascii="Times New Roman" w:hAnsi="Times New Roman" w:cs="Times New Roman"/>
        </w:rPr>
        <w:t>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2F5910">
        <w:rPr>
          <w:rFonts w:ascii="Times New Roman" w:hAnsi="Times New Roman" w:cs="Times New Roman"/>
        </w:rPr>
        <w:t xml:space="preserve"> 481-483</w:t>
      </w:r>
    </w:p>
  </w:footnote>
  <w:footnote w:id="1072">
    <w:p w14:paraId="257968CB" w14:textId="3E21C8F4" w:rsidR="00F06201" w:rsidRPr="006C0DFA"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C0DFA">
        <w:rPr>
          <w:rFonts w:ascii="Times New Roman" w:hAnsi="Times New Roman" w:cs="Times New Roman"/>
        </w:rPr>
        <w:t xml:space="preserve">Hamilton Fish Diary, January 11, 1875, Hamilton Fish Papers, Library of Congress; </w:t>
      </w:r>
      <w:r w:rsidR="006C0DFA">
        <w:rPr>
          <w:rFonts w:ascii="Times New Roman" w:hAnsi="Times New Roman" w:cs="Times New Roman"/>
          <w:i/>
          <w:iCs/>
        </w:rPr>
        <w:t>New York Times</w:t>
      </w:r>
      <w:r w:rsidR="006C0DFA">
        <w:rPr>
          <w:rFonts w:ascii="Times New Roman" w:hAnsi="Times New Roman" w:cs="Times New Roman"/>
        </w:rPr>
        <w:t>, January 20, 1875.</w:t>
      </w:r>
    </w:p>
  </w:footnote>
  <w:footnote w:id="1073">
    <w:p w14:paraId="3DB5F95B" w14:textId="2807FB2B" w:rsidR="00F06201" w:rsidRPr="006C0DFA"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C0DFA">
        <w:rPr>
          <w:rFonts w:ascii="Times New Roman" w:hAnsi="Times New Roman" w:cs="Times New Roman"/>
          <w:i/>
          <w:iCs/>
        </w:rPr>
        <w:t>Annual Report of the Secretary of the Treasury, 1874</w:t>
      </w:r>
      <w:r w:rsidR="006C0DFA">
        <w:rPr>
          <w:rFonts w:ascii="Times New Roman" w:hAnsi="Times New Roman" w:cs="Times New Roman"/>
        </w:rPr>
        <w:t>, xi-xvii.</w:t>
      </w:r>
    </w:p>
  </w:footnote>
  <w:footnote w:id="1074">
    <w:p w14:paraId="092BE816" w14:textId="7A5441A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4459A" w:rsidRPr="00E4459A">
        <w:rPr>
          <w:rFonts w:ascii="Times New Roman" w:hAnsi="Times New Roman" w:cs="Times New Roman"/>
        </w:rPr>
        <w:t>Hamilton Fish Diary, January 11, 1875; New York Times, January 20, 1875.</w:t>
      </w:r>
    </w:p>
  </w:footnote>
  <w:footnote w:id="1075">
    <w:p w14:paraId="7473472A" w14:textId="1AC038C0" w:rsidR="00F06201" w:rsidRPr="00873ABD"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r w:rsidR="00873ABD">
        <w:rPr>
          <w:rFonts w:ascii="Times New Roman" w:hAnsi="Times New Roman" w:cs="Times New Roman"/>
        </w:rPr>
        <w:t xml:space="preserve">; </w:t>
      </w:r>
      <w:r w:rsidR="00873ABD">
        <w:rPr>
          <w:rFonts w:ascii="Times New Roman" w:hAnsi="Times New Roman" w:cs="Times New Roman"/>
          <w:i/>
          <w:iCs/>
        </w:rPr>
        <w:t>Congressional Record</w:t>
      </w:r>
      <w:r w:rsidR="00873ABD">
        <w:rPr>
          <w:rFonts w:ascii="Times New Roman" w:hAnsi="Times New Roman" w:cs="Times New Roman"/>
        </w:rPr>
        <w:t>, 43</w:t>
      </w:r>
      <w:r w:rsidR="00873ABD" w:rsidRPr="00873ABD">
        <w:rPr>
          <w:rFonts w:ascii="Times New Roman" w:hAnsi="Times New Roman" w:cs="Times New Roman"/>
          <w:vertAlign w:val="superscript"/>
        </w:rPr>
        <w:t>rd</w:t>
      </w:r>
      <w:r w:rsidR="00873ABD">
        <w:rPr>
          <w:rFonts w:ascii="Times New Roman" w:hAnsi="Times New Roman" w:cs="Times New Roman"/>
        </w:rPr>
        <w:t xml:space="preserve"> Congress, 2</w:t>
      </w:r>
      <w:r w:rsidR="00873ABD" w:rsidRPr="00873ABD">
        <w:rPr>
          <w:rFonts w:ascii="Times New Roman" w:hAnsi="Times New Roman" w:cs="Times New Roman"/>
          <w:vertAlign w:val="superscript"/>
        </w:rPr>
        <w:t>nd</w:t>
      </w:r>
      <w:r w:rsidR="00873ABD">
        <w:rPr>
          <w:rFonts w:ascii="Times New Roman" w:hAnsi="Times New Roman" w:cs="Times New Roman"/>
        </w:rPr>
        <w:t xml:space="preserve"> session, 1984-2065; 18 Part 3 </w:t>
      </w:r>
      <w:r w:rsidR="00873ABD">
        <w:rPr>
          <w:rFonts w:ascii="Times New Roman" w:hAnsi="Times New Roman" w:cs="Times New Roman"/>
          <w:i/>
          <w:iCs/>
        </w:rPr>
        <w:t>United States Statutes at Large</w:t>
      </w:r>
      <w:r w:rsidR="00873ABD">
        <w:rPr>
          <w:rFonts w:ascii="Times New Roman" w:hAnsi="Times New Roman" w:cs="Times New Roman"/>
        </w:rPr>
        <w:t xml:space="preserve"> 339-340.</w:t>
      </w:r>
    </w:p>
  </w:footnote>
  <w:footnote w:id="1076">
    <w:p w14:paraId="057E18C9" w14:textId="3FBC210B"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868B3">
        <w:rPr>
          <w:rFonts w:ascii="Times New Roman" w:hAnsi="Times New Roman" w:cs="Times New Roman"/>
        </w:rPr>
        <w:t xml:space="preserve">Leland D. </w:t>
      </w:r>
      <w:r w:rsidR="006868B3" w:rsidRPr="006868B3">
        <w:rPr>
          <w:rFonts w:ascii="Times New Roman" w:hAnsi="Times New Roman" w:cs="Times New Roman"/>
        </w:rPr>
        <w:t xml:space="preserve">Baldwin, </w:t>
      </w:r>
      <w:r w:rsidR="006868B3" w:rsidRPr="006868B3">
        <w:rPr>
          <w:rFonts w:ascii="Times New Roman" w:hAnsi="Times New Roman" w:cs="Times New Roman"/>
          <w:i/>
          <w:iCs/>
        </w:rPr>
        <w:t>Whiskey Rebels: The Story of a Frontier Uprising</w:t>
      </w:r>
      <w:r w:rsidR="006868B3" w:rsidRPr="006868B3">
        <w:rPr>
          <w:rFonts w:ascii="Times New Roman" w:hAnsi="Times New Roman" w:cs="Times New Roman"/>
        </w:rPr>
        <w:t>. Pittsburgh: University of Pittsburgh Press, 1939.</w:t>
      </w:r>
      <w:r w:rsidR="00873ABD">
        <w:rPr>
          <w:rFonts w:ascii="Times New Roman" w:hAnsi="Times New Roman" w:cs="Times New Roman"/>
        </w:rPr>
        <w:t xml:space="preserve">; </w:t>
      </w:r>
      <w:r w:rsidR="006868B3">
        <w:rPr>
          <w:rFonts w:ascii="Times New Roman" w:hAnsi="Times New Roman" w:cs="Times New Roman"/>
        </w:rPr>
        <w:t xml:space="preserve">Steven R. </w:t>
      </w:r>
      <w:r w:rsidR="006868B3" w:rsidRPr="006868B3">
        <w:rPr>
          <w:rFonts w:ascii="Times New Roman" w:hAnsi="Times New Roman" w:cs="Times New Roman"/>
        </w:rPr>
        <w:t>Boyd</w:t>
      </w:r>
      <w:r w:rsidR="006868B3">
        <w:rPr>
          <w:rFonts w:ascii="Times New Roman" w:hAnsi="Times New Roman" w:cs="Times New Roman"/>
        </w:rPr>
        <w:t>,</w:t>
      </w:r>
      <w:r w:rsidR="006868B3" w:rsidRPr="006868B3">
        <w:rPr>
          <w:rFonts w:ascii="Times New Roman" w:hAnsi="Times New Roman" w:cs="Times New Roman"/>
        </w:rPr>
        <w:t xml:space="preserve"> ed. </w:t>
      </w:r>
      <w:r w:rsidR="006868B3" w:rsidRPr="006868B3">
        <w:rPr>
          <w:rFonts w:ascii="Times New Roman" w:hAnsi="Times New Roman" w:cs="Times New Roman"/>
          <w:i/>
          <w:iCs/>
        </w:rPr>
        <w:t>The Whiskey Rebellion: Past and Present Perspectives</w:t>
      </w:r>
      <w:r w:rsidR="006868B3" w:rsidRPr="006868B3">
        <w:rPr>
          <w:rFonts w:ascii="Times New Roman" w:hAnsi="Times New Roman" w:cs="Times New Roman"/>
        </w:rPr>
        <w:t>. Westport, CT: Greenwood Press, 1985</w:t>
      </w:r>
      <w:r w:rsidR="00873ABD">
        <w:rPr>
          <w:rFonts w:ascii="Times New Roman" w:hAnsi="Times New Roman" w:cs="Times New Roman"/>
        </w:rPr>
        <w:t xml:space="preserve">; </w:t>
      </w:r>
      <w:r w:rsidR="0039443A" w:rsidRPr="0039443A">
        <w:rPr>
          <w:rFonts w:ascii="Times New Roman" w:hAnsi="Times New Roman" w:cs="Times New Roman"/>
        </w:rPr>
        <w:t>William</w:t>
      </w:r>
      <w:r w:rsidR="0039443A">
        <w:rPr>
          <w:rFonts w:ascii="Times New Roman" w:hAnsi="Times New Roman" w:cs="Times New Roman"/>
        </w:rPr>
        <w:t xml:space="preserve"> Hogeland,</w:t>
      </w:r>
      <w:r w:rsidR="0039443A" w:rsidRPr="0039443A">
        <w:rPr>
          <w:rFonts w:ascii="Times New Roman" w:hAnsi="Times New Roman" w:cs="Times New Roman"/>
        </w:rPr>
        <w:t xml:space="preserve"> </w:t>
      </w:r>
      <w:r w:rsidR="0039443A" w:rsidRPr="006868B3">
        <w:rPr>
          <w:rFonts w:ascii="Times New Roman" w:hAnsi="Times New Roman" w:cs="Times New Roman"/>
          <w:i/>
          <w:iCs/>
        </w:rPr>
        <w:t>The Whiskey Rebellion: George Washington, Alexander Hamilton, and the Frontier Rebels Who Challenged America’s Newfound Sovereignty</w:t>
      </w:r>
      <w:r w:rsidR="0039443A" w:rsidRPr="0039443A">
        <w:rPr>
          <w:rFonts w:ascii="Times New Roman" w:hAnsi="Times New Roman" w:cs="Times New Roman"/>
        </w:rPr>
        <w:t>. New York: Scribner, 2006</w:t>
      </w:r>
      <w:r w:rsidR="0039443A">
        <w:rPr>
          <w:rFonts w:ascii="Times New Roman" w:hAnsi="Times New Roman" w:cs="Times New Roman"/>
        </w:rPr>
        <w:t xml:space="preserve">; Thomas P. </w:t>
      </w:r>
      <w:r w:rsidR="0039443A" w:rsidRPr="0039443A">
        <w:rPr>
          <w:rFonts w:ascii="Times New Roman" w:hAnsi="Times New Roman" w:cs="Times New Roman"/>
        </w:rPr>
        <w:t xml:space="preserve">Slaughter, </w:t>
      </w:r>
      <w:r w:rsidR="0039443A" w:rsidRPr="006868B3">
        <w:rPr>
          <w:rFonts w:ascii="Times New Roman" w:hAnsi="Times New Roman" w:cs="Times New Roman"/>
          <w:i/>
          <w:iCs/>
        </w:rPr>
        <w:t>The Whiskey Rebellion: Frontier Epilogue to the American Revolution</w:t>
      </w:r>
      <w:r w:rsidR="0039443A" w:rsidRPr="0039443A">
        <w:rPr>
          <w:rFonts w:ascii="Times New Roman" w:hAnsi="Times New Roman" w:cs="Times New Roman"/>
        </w:rPr>
        <w:t>. New York: Oxford University Press, 1986.</w:t>
      </w:r>
    </w:p>
  </w:footnote>
  <w:footnote w:id="1077">
    <w:p w14:paraId="51899AA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078">
    <w:p w14:paraId="26FFDFE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079">
    <w:p w14:paraId="413C65F9" w14:textId="58FE6D92"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E1CC8">
        <w:rPr>
          <w:rFonts w:ascii="Times New Roman" w:hAnsi="Times New Roman" w:cs="Times New Roman"/>
        </w:rPr>
        <w:t xml:space="preserve">Edward S. </w:t>
      </w:r>
      <w:r w:rsidR="000E1CC8" w:rsidRPr="000E1CC8">
        <w:rPr>
          <w:rFonts w:ascii="Times New Roman" w:hAnsi="Times New Roman" w:cs="Times New Roman"/>
        </w:rPr>
        <w:t xml:space="preserve">Cooper, </w:t>
      </w:r>
      <w:r w:rsidR="000E1CC8" w:rsidRPr="000E1CC8">
        <w:rPr>
          <w:rFonts w:ascii="Times New Roman" w:hAnsi="Times New Roman" w:cs="Times New Roman"/>
          <w:i/>
          <w:iCs/>
        </w:rPr>
        <w:t>John McDonald and the Whiskey Ring: From Thug to Grants Inner Circle</w:t>
      </w:r>
      <w:r w:rsidR="000E1CC8" w:rsidRPr="000E1CC8">
        <w:rPr>
          <w:rFonts w:ascii="Times New Roman" w:hAnsi="Times New Roman" w:cs="Times New Roman"/>
        </w:rPr>
        <w:t>. Madison: Fairleigh Dickinson University Press, 2016</w:t>
      </w:r>
      <w:r w:rsidR="000E1CC8">
        <w:rPr>
          <w:rFonts w:ascii="Times New Roman" w:hAnsi="Times New Roman" w:cs="Times New Roman"/>
        </w:rPr>
        <w:t xml:space="preserve">; Gerald </w:t>
      </w:r>
      <w:r w:rsidR="000E1CC8" w:rsidRPr="000E1CC8">
        <w:rPr>
          <w:rFonts w:ascii="Times New Roman" w:hAnsi="Times New Roman" w:cs="Times New Roman"/>
        </w:rPr>
        <w:t>Carson and Mike Veach</w:t>
      </w:r>
      <w:r w:rsidR="000E1CC8">
        <w:rPr>
          <w:rFonts w:ascii="Times New Roman" w:hAnsi="Times New Roman" w:cs="Times New Roman"/>
        </w:rPr>
        <w:t>,</w:t>
      </w:r>
      <w:r w:rsidR="000E1CC8" w:rsidRPr="000E1CC8">
        <w:rPr>
          <w:rFonts w:ascii="Times New Roman" w:hAnsi="Times New Roman" w:cs="Times New Roman"/>
        </w:rPr>
        <w:t xml:space="preserve"> "The Great Whiskey Steal." In </w:t>
      </w:r>
      <w:r w:rsidR="000E1CC8" w:rsidRPr="000E1CC8">
        <w:rPr>
          <w:rFonts w:ascii="Times New Roman" w:hAnsi="Times New Roman" w:cs="Times New Roman"/>
          <w:i/>
          <w:iCs/>
        </w:rPr>
        <w:t>The Social History of Bourbon</w:t>
      </w:r>
      <w:r w:rsidR="000E1CC8" w:rsidRPr="000E1CC8">
        <w:rPr>
          <w:rFonts w:ascii="Times New Roman" w:hAnsi="Times New Roman" w:cs="Times New Roman"/>
        </w:rPr>
        <w:t>. University Press of Kentucky, 1963</w:t>
      </w:r>
      <w:r w:rsidR="00FB1EA7">
        <w:rPr>
          <w:rFonts w:ascii="Times New Roman" w:hAnsi="Times New Roman" w:cs="Times New Roman"/>
        </w:rPr>
        <w:t>. 114-127.</w:t>
      </w:r>
    </w:p>
  </w:footnote>
  <w:footnote w:id="1080">
    <w:p w14:paraId="4520D3E1" w14:textId="17B4D33B"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Recent scholarship shows that President Grant </w:t>
      </w:r>
      <w:r w:rsidR="0074750A">
        <w:rPr>
          <w:rFonts w:ascii="Times New Roman" w:hAnsi="Times New Roman" w:cs="Times New Roman"/>
        </w:rPr>
        <w:t xml:space="preserve">may have been an alcoholic, but he refrained from public drunkenness and favored binge drinking in isolation. These same scholars assert that it is unlikely Grant ever allowed his drinking to affect his capacities during the Civil War or his presidency in large part because of his prewar drinking issues. For more, consider: Joan </w:t>
      </w:r>
      <w:r w:rsidR="0074750A" w:rsidRPr="0074750A">
        <w:rPr>
          <w:rFonts w:ascii="Times New Roman" w:hAnsi="Times New Roman" w:cs="Times New Roman"/>
        </w:rPr>
        <w:t xml:space="preserve">Waugh, </w:t>
      </w:r>
      <w:r w:rsidR="0074750A" w:rsidRPr="0074750A">
        <w:rPr>
          <w:rFonts w:ascii="Times New Roman" w:hAnsi="Times New Roman" w:cs="Times New Roman"/>
          <w:i/>
          <w:iCs/>
        </w:rPr>
        <w:t>U.S. Grant: American Hero, American Myth.</w:t>
      </w:r>
      <w:r w:rsidR="0074750A">
        <w:rPr>
          <w:rFonts w:ascii="Times New Roman" w:hAnsi="Times New Roman" w:cs="Times New Roman"/>
        </w:rPr>
        <w:t xml:space="preserve"> Chapel Hill: </w:t>
      </w:r>
      <w:r w:rsidR="0074750A" w:rsidRPr="0074750A">
        <w:rPr>
          <w:rFonts w:ascii="Times New Roman" w:hAnsi="Times New Roman" w:cs="Times New Roman"/>
        </w:rPr>
        <w:t>The University of North Carolina Press</w:t>
      </w:r>
      <w:r w:rsidR="0074750A">
        <w:rPr>
          <w:rFonts w:ascii="Times New Roman" w:hAnsi="Times New Roman" w:cs="Times New Roman"/>
        </w:rPr>
        <w:t xml:space="preserve">, 2009; </w:t>
      </w:r>
      <w:r w:rsidR="003B43B4">
        <w:rPr>
          <w:rFonts w:ascii="Times New Roman" w:hAnsi="Times New Roman" w:cs="Times New Roman"/>
        </w:rPr>
        <w:t xml:space="preserve">William S. </w:t>
      </w:r>
      <w:r w:rsidR="003B43B4" w:rsidRPr="003B43B4">
        <w:rPr>
          <w:rFonts w:ascii="Times New Roman" w:hAnsi="Times New Roman" w:cs="Times New Roman"/>
        </w:rPr>
        <w:t xml:space="preserve">McFeely, </w:t>
      </w:r>
      <w:r w:rsidR="003B43B4" w:rsidRPr="003B43B4">
        <w:rPr>
          <w:rFonts w:ascii="Times New Roman" w:hAnsi="Times New Roman" w:cs="Times New Roman"/>
          <w:i/>
          <w:iCs/>
        </w:rPr>
        <w:t>Grant: A Biography</w:t>
      </w:r>
      <w:r w:rsidR="003B43B4" w:rsidRPr="003B43B4">
        <w:rPr>
          <w:rFonts w:ascii="Times New Roman" w:hAnsi="Times New Roman" w:cs="Times New Roman"/>
        </w:rPr>
        <w:t xml:space="preserve">. </w:t>
      </w:r>
      <w:r w:rsidR="003B43B4">
        <w:rPr>
          <w:rFonts w:ascii="Times New Roman" w:hAnsi="Times New Roman" w:cs="Times New Roman"/>
        </w:rPr>
        <w:t xml:space="preserve">New York: W.W. </w:t>
      </w:r>
      <w:r w:rsidR="003B43B4" w:rsidRPr="003B43B4">
        <w:rPr>
          <w:rFonts w:ascii="Times New Roman" w:hAnsi="Times New Roman" w:cs="Times New Roman"/>
        </w:rPr>
        <w:t>Norton</w:t>
      </w:r>
      <w:r w:rsidR="003B43B4">
        <w:rPr>
          <w:rFonts w:ascii="Times New Roman" w:hAnsi="Times New Roman" w:cs="Times New Roman"/>
        </w:rPr>
        <w:t>, 1981</w:t>
      </w:r>
      <w:r w:rsidR="0074750A">
        <w:rPr>
          <w:rFonts w:ascii="Times New Roman" w:hAnsi="Times New Roman" w:cs="Times New Roman"/>
        </w:rPr>
        <w:t xml:space="preserve">; Edward G. </w:t>
      </w:r>
      <w:r w:rsidR="0074750A" w:rsidRPr="0074750A">
        <w:rPr>
          <w:rFonts w:ascii="Times New Roman" w:hAnsi="Times New Roman" w:cs="Times New Roman"/>
        </w:rPr>
        <w:t xml:space="preserve">Longacre, </w:t>
      </w:r>
      <w:r w:rsidR="0074750A" w:rsidRPr="0074750A">
        <w:rPr>
          <w:rFonts w:ascii="Times New Roman" w:hAnsi="Times New Roman" w:cs="Times New Roman"/>
          <w:i/>
          <w:iCs/>
        </w:rPr>
        <w:t>General Ulysses S. Grant: The Soldier and the Man</w:t>
      </w:r>
      <w:r w:rsidR="0074750A" w:rsidRPr="0074750A">
        <w:rPr>
          <w:rFonts w:ascii="Times New Roman" w:hAnsi="Times New Roman" w:cs="Times New Roman"/>
        </w:rPr>
        <w:t xml:space="preserve">. Cambridge, </w:t>
      </w:r>
      <w:r w:rsidR="0074750A">
        <w:rPr>
          <w:rFonts w:ascii="Times New Roman" w:hAnsi="Times New Roman" w:cs="Times New Roman"/>
        </w:rPr>
        <w:t>MA</w:t>
      </w:r>
      <w:r w:rsidR="0074750A" w:rsidRPr="0074750A">
        <w:rPr>
          <w:rFonts w:ascii="Times New Roman" w:hAnsi="Times New Roman" w:cs="Times New Roman"/>
        </w:rPr>
        <w:t>: Da Capo Press</w:t>
      </w:r>
      <w:r w:rsidR="0074750A">
        <w:rPr>
          <w:rFonts w:ascii="Times New Roman" w:hAnsi="Times New Roman" w:cs="Times New Roman"/>
        </w:rPr>
        <w:t>, 2006; Ronald White</w:t>
      </w:r>
      <w:r w:rsidR="003B43B4">
        <w:t>,</w:t>
      </w:r>
      <w:r w:rsidR="003B43B4" w:rsidRPr="003B43B4">
        <w:rPr>
          <w:rFonts w:ascii="Times New Roman" w:hAnsi="Times New Roman" w:cs="Times New Roman"/>
        </w:rPr>
        <w:t xml:space="preserve"> </w:t>
      </w:r>
      <w:r w:rsidR="003B43B4" w:rsidRPr="003B43B4">
        <w:rPr>
          <w:rFonts w:ascii="Times New Roman" w:hAnsi="Times New Roman" w:cs="Times New Roman"/>
          <w:i/>
          <w:iCs/>
        </w:rPr>
        <w:t>American Ulysses: A Life of Ulysses S. Grant</w:t>
      </w:r>
      <w:r w:rsidR="003B43B4" w:rsidRPr="003B43B4">
        <w:rPr>
          <w:rFonts w:ascii="Times New Roman" w:hAnsi="Times New Roman" w:cs="Times New Roman"/>
        </w:rPr>
        <w:t>. New York, NY: Random House, 2016</w:t>
      </w:r>
      <w:r w:rsidR="0074750A">
        <w:rPr>
          <w:rFonts w:ascii="Times New Roman" w:hAnsi="Times New Roman" w:cs="Times New Roman"/>
        </w:rPr>
        <w:t>;</w:t>
      </w:r>
      <w:r w:rsidR="00C35F0B">
        <w:rPr>
          <w:rFonts w:ascii="Times New Roman" w:hAnsi="Times New Roman" w:cs="Times New Roman"/>
        </w:rPr>
        <w:t xml:space="preserve"> Jean Edward </w:t>
      </w:r>
      <w:r w:rsidR="00C35F0B" w:rsidRPr="00C35F0B">
        <w:rPr>
          <w:rFonts w:ascii="Times New Roman" w:hAnsi="Times New Roman" w:cs="Times New Roman"/>
        </w:rPr>
        <w:t xml:space="preserve">Smith, </w:t>
      </w:r>
      <w:r w:rsidR="00C35F0B" w:rsidRPr="00C35F0B">
        <w:rPr>
          <w:rFonts w:ascii="Times New Roman" w:hAnsi="Times New Roman" w:cs="Times New Roman"/>
          <w:i/>
          <w:iCs/>
        </w:rPr>
        <w:t>Grant</w:t>
      </w:r>
      <w:r w:rsidR="00C35F0B" w:rsidRPr="00C35F0B">
        <w:rPr>
          <w:rFonts w:ascii="Times New Roman" w:hAnsi="Times New Roman" w:cs="Times New Roman"/>
        </w:rPr>
        <w:t>. New York, NY: Simon &amp; Schuster, 2001</w:t>
      </w:r>
    </w:p>
  </w:footnote>
  <w:footnote w:id="1081">
    <w:p w14:paraId="078F706D" w14:textId="77777777" w:rsidR="005A25DB" w:rsidRPr="002318C9" w:rsidRDefault="005A25DB" w:rsidP="005A25D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8725C">
        <w:rPr>
          <w:rFonts w:ascii="Times New Roman" w:hAnsi="Times New Roman" w:cs="Times New Roman"/>
          <w:i/>
          <w:iCs/>
        </w:rPr>
        <w:t>Harper’s Weekly</w:t>
      </w:r>
      <w:r>
        <w:rPr>
          <w:rFonts w:ascii="Times New Roman" w:hAnsi="Times New Roman" w:cs="Times New Roman"/>
          <w:i/>
          <w:iCs/>
        </w:rPr>
        <w:t>,</w:t>
      </w:r>
      <w:r w:rsidRPr="002318C9">
        <w:rPr>
          <w:rFonts w:ascii="Times New Roman" w:hAnsi="Times New Roman" w:cs="Times New Roman"/>
        </w:rPr>
        <w:t xml:space="preserve"> March 4, 1876</w:t>
      </w:r>
      <w:r>
        <w:rPr>
          <w:rFonts w:ascii="Times New Roman" w:hAnsi="Times New Roman" w:cs="Times New Roman"/>
        </w:rPr>
        <w:t>.</w:t>
      </w:r>
    </w:p>
  </w:footnote>
  <w:footnote w:id="1082">
    <w:p w14:paraId="176D3116" w14:textId="6B15F47E"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56B0F">
        <w:rPr>
          <w:rFonts w:ascii="Times New Roman" w:hAnsi="Times New Roman" w:cs="Times New Roman"/>
        </w:rPr>
        <w:t xml:space="preserve">Marshall Jewell to Elihu B. Washburne, October 17, 1874, Elihu B. Washburne Papers, Library of Congress; James D. Richardson, </w:t>
      </w:r>
      <w:r w:rsidR="00056B0F">
        <w:rPr>
          <w:rFonts w:ascii="Times New Roman" w:hAnsi="Times New Roman" w:cs="Times New Roman"/>
          <w:i/>
          <w:iCs/>
        </w:rPr>
        <w:t xml:space="preserve">Compilation of the Messages and Papers of the </w:t>
      </w:r>
      <w:r w:rsidR="00056B0F" w:rsidRPr="00056B0F">
        <w:rPr>
          <w:rFonts w:ascii="Times New Roman" w:hAnsi="Times New Roman" w:cs="Times New Roman"/>
        </w:rPr>
        <w:t>Presidents</w:t>
      </w:r>
      <w:r w:rsidR="00056B0F">
        <w:rPr>
          <w:rFonts w:ascii="Times New Roman" w:hAnsi="Times New Roman" w:cs="Times New Roman"/>
        </w:rPr>
        <w:t>. Washington DC: Bureau of National Literature and Art, 1903. 7:300-301</w:t>
      </w:r>
    </w:p>
  </w:footnote>
  <w:footnote w:id="1083">
    <w:p w14:paraId="5300E45F" w14:textId="1506F71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761272">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761272">
        <w:rPr>
          <w:rFonts w:ascii="Times New Roman" w:hAnsi="Times New Roman" w:cs="Times New Roman"/>
        </w:rPr>
        <w:t xml:space="preserve"> </w:t>
      </w:r>
      <w:r w:rsidRPr="002318C9">
        <w:rPr>
          <w:rFonts w:ascii="Times New Roman" w:hAnsi="Times New Roman" w:cs="Times New Roman"/>
        </w:rPr>
        <w:t>488-</w:t>
      </w:r>
      <w:r w:rsidR="00761272">
        <w:rPr>
          <w:rFonts w:ascii="Times New Roman" w:hAnsi="Times New Roman" w:cs="Times New Roman"/>
        </w:rPr>
        <w:t>48</w:t>
      </w:r>
      <w:r w:rsidRPr="002318C9">
        <w:rPr>
          <w:rFonts w:ascii="Times New Roman" w:hAnsi="Times New Roman" w:cs="Times New Roman"/>
        </w:rPr>
        <w:t>9</w:t>
      </w:r>
    </w:p>
  </w:footnote>
  <w:footnote w:id="1084">
    <w:p w14:paraId="6445E002" w14:textId="000E597A"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761272">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761272">
        <w:rPr>
          <w:rFonts w:ascii="Times New Roman" w:hAnsi="Times New Roman" w:cs="Times New Roman"/>
        </w:rPr>
        <w:t xml:space="preserve"> </w:t>
      </w:r>
      <w:r w:rsidRPr="002318C9">
        <w:rPr>
          <w:rFonts w:ascii="Times New Roman" w:hAnsi="Times New Roman" w:cs="Times New Roman"/>
        </w:rPr>
        <w:t>488-490</w:t>
      </w:r>
    </w:p>
  </w:footnote>
  <w:footnote w:id="1085">
    <w:p w14:paraId="67AFA236" w14:textId="67936D8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6174D">
        <w:rPr>
          <w:rFonts w:ascii="Times New Roman" w:hAnsi="Times New Roman" w:cs="Times New Roman"/>
        </w:rPr>
        <w:t xml:space="preserve">Ross L. </w:t>
      </w:r>
      <w:r w:rsidR="0076174D" w:rsidRPr="0076174D">
        <w:rPr>
          <w:rFonts w:ascii="Times New Roman" w:hAnsi="Times New Roman" w:cs="Times New Roman"/>
        </w:rPr>
        <w:t xml:space="preserve">Webb, </w:t>
      </w:r>
      <w:r w:rsidR="0076174D" w:rsidRPr="0076174D">
        <w:rPr>
          <w:rFonts w:ascii="Times New Roman" w:hAnsi="Times New Roman" w:cs="Times New Roman"/>
          <w:i/>
          <w:iCs/>
        </w:rPr>
        <w:t>Benjamin Helm Bristow: Border State Politician</w:t>
      </w:r>
      <w:r w:rsidR="0076174D" w:rsidRPr="0076174D">
        <w:rPr>
          <w:rFonts w:ascii="Times New Roman" w:hAnsi="Times New Roman" w:cs="Times New Roman"/>
        </w:rPr>
        <w:t>. Lexington, Ky: The University Press of Kentucky, 1969.</w:t>
      </w:r>
    </w:p>
  </w:footnote>
  <w:footnote w:id="1086">
    <w:p w14:paraId="57EEEAA0" w14:textId="0A35F037" w:rsidR="00F06201" w:rsidRPr="00C47440" w:rsidRDefault="00F06201" w:rsidP="00F06201">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6174D">
        <w:rPr>
          <w:rFonts w:ascii="Times New Roman" w:hAnsi="Times New Roman" w:cs="Times New Roman"/>
        </w:rPr>
        <w:t>Webb</w:t>
      </w:r>
      <w:r w:rsidR="00C47440">
        <w:rPr>
          <w:rFonts w:ascii="Times New Roman" w:hAnsi="Times New Roman" w:cs="Times New Roman"/>
        </w:rPr>
        <w:t xml:space="preserve">, </w:t>
      </w:r>
      <w:r w:rsidR="00C47440">
        <w:rPr>
          <w:rFonts w:ascii="Times New Roman" w:hAnsi="Times New Roman" w:cs="Times New Roman"/>
          <w:i/>
          <w:iCs/>
        </w:rPr>
        <w:t>Benjamin Helm Bristow</w:t>
      </w:r>
    </w:p>
  </w:footnote>
  <w:footnote w:id="1087">
    <w:p w14:paraId="03ABE361" w14:textId="6B754539"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6174D">
        <w:rPr>
          <w:rFonts w:ascii="Times New Roman" w:hAnsi="Times New Roman" w:cs="Times New Roman"/>
        </w:rPr>
        <w:t>Webb</w:t>
      </w:r>
      <w:r w:rsidR="00C47440">
        <w:rPr>
          <w:rFonts w:ascii="Times New Roman" w:hAnsi="Times New Roman" w:cs="Times New Roman"/>
        </w:rPr>
        <w:t xml:space="preserve">, </w:t>
      </w:r>
      <w:r w:rsidR="00C47440">
        <w:rPr>
          <w:rFonts w:ascii="Times New Roman" w:hAnsi="Times New Roman" w:cs="Times New Roman"/>
          <w:i/>
          <w:iCs/>
        </w:rPr>
        <w:t>Benjamin Helm Bristow</w:t>
      </w:r>
    </w:p>
  </w:footnote>
  <w:footnote w:id="1088">
    <w:p w14:paraId="743EBF40" w14:textId="037B644B"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6174D">
        <w:rPr>
          <w:rFonts w:ascii="Times New Roman" w:hAnsi="Times New Roman" w:cs="Times New Roman"/>
        </w:rPr>
        <w:t>Webb</w:t>
      </w:r>
      <w:r w:rsidR="00C47440">
        <w:rPr>
          <w:rFonts w:ascii="Times New Roman" w:hAnsi="Times New Roman" w:cs="Times New Roman"/>
        </w:rPr>
        <w:t xml:space="preserve">, </w:t>
      </w:r>
      <w:r w:rsidR="00C47440">
        <w:rPr>
          <w:rFonts w:ascii="Times New Roman" w:hAnsi="Times New Roman" w:cs="Times New Roman"/>
          <w:i/>
          <w:iCs/>
        </w:rPr>
        <w:t>Benjamin Helm Bristow</w:t>
      </w:r>
    </w:p>
  </w:footnote>
  <w:footnote w:id="1089">
    <w:p w14:paraId="263BF13D" w14:textId="229C945C"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B69F9">
        <w:rPr>
          <w:rFonts w:ascii="Times New Roman" w:hAnsi="Times New Roman" w:cs="Times New Roman"/>
        </w:rPr>
        <w:t>Benjamin Bristow to John Marshall Harlan, September 10, 1875, John Marshall Harlan Papers, Library of Congress; Benjamin Bristow to James Harrison Wilson, July 27, 1875, Ulysses S. Grant Papers, Ulysses S Grant Presidential Library</w:t>
      </w:r>
    </w:p>
  </w:footnote>
  <w:footnote w:id="1090">
    <w:p w14:paraId="64A275B8" w14:textId="70778DC9"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6174D">
        <w:rPr>
          <w:rFonts w:ascii="Times New Roman" w:hAnsi="Times New Roman" w:cs="Times New Roman"/>
        </w:rPr>
        <w:t>Webb</w:t>
      </w:r>
      <w:r w:rsidR="00C47440">
        <w:rPr>
          <w:rFonts w:ascii="Times New Roman" w:hAnsi="Times New Roman" w:cs="Times New Roman"/>
        </w:rPr>
        <w:t xml:space="preserve">, </w:t>
      </w:r>
      <w:r w:rsidR="00C47440">
        <w:rPr>
          <w:rFonts w:ascii="Times New Roman" w:hAnsi="Times New Roman" w:cs="Times New Roman"/>
          <w:i/>
          <w:iCs/>
        </w:rPr>
        <w:t>Benjamin Helm Bristow</w:t>
      </w:r>
      <w:r w:rsidRPr="002318C9">
        <w:rPr>
          <w:rFonts w:ascii="Times New Roman" w:hAnsi="Times New Roman" w:cs="Times New Roman"/>
        </w:rPr>
        <w:t>; C</w:t>
      </w:r>
      <w:r w:rsidR="0076174D">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76174D">
        <w:rPr>
          <w:rFonts w:ascii="Times New Roman" w:hAnsi="Times New Roman" w:cs="Times New Roman"/>
        </w:rPr>
        <w:t xml:space="preserve"> </w:t>
      </w:r>
      <w:r w:rsidRPr="002318C9">
        <w:rPr>
          <w:rFonts w:ascii="Times New Roman" w:hAnsi="Times New Roman" w:cs="Times New Roman"/>
        </w:rPr>
        <w:t>490-</w:t>
      </w:r>
      <w:r w:rsidR="0076174D">
        <w:rPr>
          <w:rFonts w:ascii="Times New Roman" w:hAnsi="Times New Roman" w:cs="Times New Roman"/>
        </w:rPr>
        <w:t>491</w:t>
      </w:r>
    </w:p>
  </w:footnote>
  <w:footnote w:id="1091">
    <w:p w14:paraId="478AF566" w14:textId="195D9CA0"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B69F9">
        <w:rPr>
          <w:rFonts w:ascii="Times New Roman" w:hAnsi="Times New Roman" w:cs="Times New Roman"/>
        </w:rPr>
        <w:t>Webb</w:t>
      </w:r>
      <w:r w:rsidR="00C47440">
        <w:rPr>
          <w:rFonts w:ascii="Times New Roman" w:hAnsi="Times New Roman" w:cs="Times New Roman"/>
        </w:rPr>
        <w:t xml:space="preserve">, </w:t>
      </w:r>
      <w:r w:rsidR="00C47440">
        <w:rPr>
          <w:rFonts w:ascii="Times New Roman" w:hAnsi="Times New Roman" w:cs="Times New Roman"/>
          <w:i/>
          <w:iCs/>
        </w:rPr>
        <w:t>Benjamin Helm Bristow</w:t>
      </w:r>
      <w:r w:rsidRPr="002318C9">
        <w:rPr>
          <w:rFonts w:ascii="Times New Roman" w:hAnsi="Times New Roman" w:cs="Times New Roman"/>
        </w:rPr>
        <w:t xml:space="preserve">; </w:t>
      </w:r>
      <w:r w:rsidR="00A938CC">
        <w:rPr>
          <w:rFonts w:ascii="Times New Roman" w:hAnsi="Times New Roman" w:cs="Times New Roman"/>
        </w:rPr>
        <w:t>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A938CC">
        <w:rPr>
          <w:rFonts w:ascii="Times New Roman" w:hAnsi="Times New Roman" w:cs="Times New Roman"/>
        </w:rPr>
        <w:t xml:space="preserve"> 446-462</w:t>
      </w:r>
    </w:p>
  </w:footnote>
  <w:footnote w:id="1092">
    <w:p w14:paraId="38F536ED" w14:textId="6CAC1B19"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DB69F9">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DB69F9">
        <w:rPr>
          <w:rFonts w:ascii="Times New Roman" w:hAnsi="Times New Roman" w:cs="Times New Roman"/>
        </w:rPr>
        <w:t xml:space="preserve"> </w:t>
      </w:r>
      <w:r w:rsidRPr="002318C9">
        <w:rPr>
          <w:rFonts w:ascii="Times New Roman" w:hAnsi="Times New Roman" w:cs="Times New Roman"/>
        </w:rPr>
        <w:t>320-326</w:t>
      </w:r>
    </w:p>
  </w:footnote>
  <w:footnote w:id="1093">
    <w:p w14:paraId="3248F904" w14:textId="7072B261"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DB69F9">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DB69F9">
        <w:rPr>
          <w:rFonts w:ascii="Times New Roman" w:hAnsi="Times New Roman" w:cs="Times New Roman"/>
        </w:rPr>
        <w:t xml:space="preserve"> </w:t>
      </w:r>
      <w:r w:rsidRPr="002318C9">
        <w:rPr>
          <w:rFonts w:ascii="Times New Roman" w:hAnsi="Times New Roman" w:cs="Times New Roman"/>
        </w:rPr>
        <w:t>493</w:t>
      </w:r>
      <w:r w:rsidR="00DB69F9">
        <w:rPr>
          <w:rFonts w:ascii="Times New Roman" w:hAnsi="Times New Roman" w:cs="Times New Roman"/>
        </w:rPr>
        <w:t>; Webb</w:t>
      </w:r>
      <w:r w:rsidR="00C47440">
        <w:rPr>
          <w:rFonts w:ascii="Times New Roman" w:hAnsi="Times New Roman" w:cs="Times New Roman"/>
        </w:rPr>
        <w:t xml:space="preserve">, </w:t>
      </w:r>
      <w:r w:rsidR="00C47440">
        <w:rPr>
          <w:rFonts w:ascii="Times New Roman" w:hAnsi="Times New Roman" w:cs="Times New Roman"/>
          <w:i/>
          <w:iCs/>
        </w:rPr>
        <w:t>Benjamin Helm Bristow</w:t>
      </w:r>
    </w:p>
  </w:footnote>
  <w:footnote w:id="1094">
    <w:p w14:paraId="3485DCE7" w14:textId="48AFE91B"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DB69F9">
        <w:rPr>
          <w:rFonts w:ascii="Times New Roman" w:hAnsi="Times New Roman" w:cs="Times New Roman"/>
        </w:rPr>
        <w:t>alhoun</w:t>
      </w:r>
      <w:r w:rsidR="00D0398F">
        <w:rPr>
          <w:rFonts w:ascii="Times New Roman" w:hAnsi="Times New Roman" w:cs="Times New Roman"/>
        </w:rPr>
        <w:t>,</w:t>
      </w:r>
      <w:r w:rsidR="00D0398F" w:rsidRPr="00D0398F">
        <w:rPr>
          <w:rFonts w:ascii="Times New Roman" w:hAnsi="Times New Roman" w:cs="Times New Roman"/>
          <w:i/>
          <w:iCs/>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DB69F9">
        <w:rPr>
          <w:rFonts w:ascii="Times New Roman" w:hAnsi="Times New Roman" w:cs="Times New Roman"/>
        </w:rPr>
        <w:t xml:space="preserve"> </w:t>
      </w:r>
      <w:r w:rsidRPr="002318C9">
        <w:rPr>
          <w:rFonts w:ascii="Times New Roman" w:hAnsi="Times New Roman" w:cs="Times New Roman"/>
        </w:rPr>
        <w:t>492-3</w:t>
      </w:r>
    </w:p>
  </w:footnote>
  <w:footnote w:id="1095">
    <w:p w14:paraId="0E786A94"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096">
    <w:p w14:paraId="3C9D6F61" w14:textId="53991C9C"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265E9">
        <w:rPr>
          <w:rFonts w:ascii="Times New Roman" w:hAnsi="Times New Roman" w:cs="Times New Roman"/>
        </w:rPr>
        <w:t>Ronald White</w:t>
      </w:r>
      <w:r w:rsidR="009A68A0">
        <w:rPr>
          <w:rFonts w:ascii="Times New Roman" w:hAnsi="Times New Roman" w:cs="Times New Roman"/>
        </w:rPr>
        <w:t xml:space="preserve">, </w:t>
      </w:r>
      <w:r w:rsidR="009A68A0" w:rsidRPr="002318C9">
        <w:rPr>
          <w:rFonts w:ascii="Times New Roman" w:hAnsi="Times New Roman" w:cs="Times New Roman"/>
          <w:i/>
          <w:iCs/>
        </w:rPr>
        <w:t>American Ulysses</w:t>
      </w:r>
      <w:r w:rsidR="009A68A0">
        <w:rPr>
          <w:rFonts w:ascii="Times New Roman" w:hAnsi="Times New Roman" w:cs="Times New Roman"/>
          <w:i/>
          <w:iCs/>
        </w:rPr>
        <w:t>,</w:t>
      </w:r>
      <w:r w:rsidR="004265E9">
        <w:rPr>
          <w:rFonts w:ascii="Times New Roman" w:hAnsi="Times New Roman" w:cs="Times New Roman"/>
        </w:rPr>
        <w:t xml:space="preserve"> 563; McFeely</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004265E9">
        <w:rPr>
          <w:rFonts w:ascii="Times New Roman" w:hAnsi="Times New Roman" w:cs="Times New Roman"/>
        </w:rPr>
        <w:t xml:space="preserve"> 410; Henry W. </w:t>
      </w:r>
      <w:r w:rsidR="004265E9" w:rsidRPr="004265E9">
        <w:rPr>
          <w:rFonts w:ascii="Times New Roman" w:hAnsi="Times New Roman" w:cs="Times New Roman"/>
        </w:rPr>
        <w:t xml:space="preserve">Brands, </w:t>
      </w:r>
      <w:r w:rsidR="004265E9" w:rsidRPr="004265E9">
        <w:rPr>
          <w:rFonts w:ascii="Times New Roman" w:hAnsi="Times New Roman" w:cs="Times New Roman"/>
          <w:i/>
          <w:iCs/>
        </w:rPr>
        <w:t>The Man Who Saved The Union: Ulysses Grant in War and Peace.</w:t>
      </w:r>
      <w:r w:rsidR="004265E9" w:rsidRPr="004265E9">
        <w:rPr>
          <w:rFonts w:ascii="Times New Roman" w:hAnsi="Times New Roman" w:cs="Times New Roman"/>
        </w:rPr>
        <w:t xml:space="preserve"> New York, NY: Random House, 2012.</w:t>
      </w:r>
      <w:r w:rsidR="004265E9">
        <w:rPr>
          <w:rFonts w:ascii="Times New Roman" w:hAnsi="Times New Roman" w:cs="Times New Roman"/>
        </w:rPr>
        <w:t xml:space="preserve"> 557</w:t>
      </w:r>
      <w:r w:rsidR="00CA6556">
        <w:rPr>
          <w:rFonts w:ascii="Times New Roman" w:hAnsi="Times New Roman" w:cs="Times New Roman"/>
        </w:rPr>
        <w:t>.</w:t>
      </w:r>
    </w:p>
  </w:footnote>
  <w:footnote w:id="1097">
    <w:p w14:paraId="43EDF3A5" w14:textId="77777777" w:rsidR="00291222" w:rsidRPr="00397065" w:rsidRDefault="00291222" w:rsidP="00291222">
      <w:pPr>
        <w:pStyle w:val="FootnoteText"/>
        <w:rPr>
          <w:rFonts w:ascii="Times New Roman" w:hAnsi="Times New Roman" w:cs="Times New Roman"/>
        </w:rPr>
      </w:pPr>
      <w:r w:rsidRPr="00291222">
        <w:rPr>
          <w:rStyle w:val="FootnoteReference"/>
          <w:rFonts w:ascii="Times New Roman" w:hAnsi="Times New Roman" w:cs="Times New Roman"/>
        </w:rPr>
        <w:footnoteRef/>
      </w:r>
      <w:r w:rsidRPr="00291222">
        <w:rPr>
          <w:rFonts w:ascii="Times New Roman" w:hAnsi="Times New Roman" w:cs="Times New Roman"/>
        </w:rPr>
        <w:t xml:space="preserve"> Some who consider this as a defining moment in Reconstruction include: </w:t>
      </w:r>
      <w:r w:rsidRPr="00FB3392">
        <w:rPr>
          <w:rFonts w:ascii="Times New Roman" w:hAnsi="Times New Roman" w:cs="Times New Roman"/>
        </w:rPr>
        <w:t>William Archibald</w:t>
      </w:r>
      <w:r>
        <w:rPr>
          <w:rFonts w:ascii="Times New Roman" w:hAnsi="Times New Roman" w:cs="Times New Roman"/>
        </w:rPr>
        <w:t xml:space="preserve"> Dunning,</w:t>
      </w:r>
      <w:r w:rsidRPr="00FB3392">
        <w:rPr>
          <w:rFonts w:ascii="Times New Roman" w:hAnsi="Times New Roman" w:cs="Times New Roman"/>
        </w:rPr>
        <w:t xml:space="preserve"> </w:t>
      </w:r>
      <w:r w:rsidRPr="00FB3392">
        <w:rPr>
          <w:rFonts w:ascii="Times New Roman" w:hAnsi="Times New Roman" w:cs="Times New Roman"/>
          <w:i/>
          <w:iCs/>
        </w:rPr>
        <w:t>Reconstruction: Political &amp; Economic, 1865–1877.</w:t>
      </w:r>
      <w:r w:rsidRPr="00FB3392">
        <w:rPr>
          <w:rFonts w:ascii="Times New Roman" w:hAnsi="Times New Roman" w:cs="Times New Roman"/>
        </w:rPr>
        <w:t xml:space="preserve"> New York: Harper and Brothers, 1907; </w:t>
      </w:r>
      <w:r>
        <w:rPr>
          <w:rFonts w:ascii="Times New Roman" w:hAnsi="Times New Roman" w:cs="Times New Roman"/>
        </w:rPr>
        <w:t xml:space="preserve">Claude G. </w:t>
      </w:r>
      <w:r w:rsidRPr="00807A6C">
        <w:rPr>
          <w:rFonts w:ascii="Times New Roman" w:hAnsi="Times New Roman" w:cs="Times New Roman"/>
        </w:rPr>
        <w:t xml:space="preserve">Bowers, </w:t>
      </w:r>
      <w:r w:rsidRPr="00807A6C">
        <w:rPr>
          <w:rFonts w:ascii="Times New Roman" w:hAnsi="Times New Roman" w:cs="Times New Roman"/>
          <w:i/>
          <w:iCs/>
        </w:rPr>
        <w:t>The Tragic Era: The Revolution after Lincoln</w:t>
      </w:r>
      <w:r w:rsidRPr="00807A6C">
        <w:rPr>
          <w:rFonts w:ascii="Times New Roman" w:hAnsi="Times New Roman" w:cs="Times New Roman"/>
        </w:rPr>
        <w:t xml:space="preserve">. Cambridge, MA: Riverside Press, 1929; </w:t>
      </w:r>
      <w:r>
        <w:rPr>
          <w:rFonts w:ascii="Times New Roman" w:hAnsi="Times New Roman" w:cs="Times New Roman"/>
        </w:rPr>
        <w:t xml:space="preserve">John W. </w:t>
      </w:r>
      <w:r w:rsidRPr="005F5E8E">
        <w:rPr>
          <w:rFonts w:ascii="Times New Roman" w:hAnsi="Times New Roman" w:cs="Times New Roman"/>
        </w:rPr>
        <w:t xml:space="preserve">Burgess, </w:t>
      </w:r>
      <w:r w:rsidRPr="005F5E8E">
        <w:rPr>
          <w:rFonts w:ascii="Times New Roman" w:hAnsi="Times New Roman" w:cs="Times New Roman"/>
          <w:i/>
          <w:iCs/>
        </w:rPr>
        <w:t>Reconstruction and the Constitution, 1866-1876.</w:t>
      </w:r>
      <w:r w:rsidRPr="005F5E8E">
        <w:rPr>
          <w:rFonts w:ascii="Times New Roman" w:hAnsi="Times New Roman" w:cs="Times New Roman"/>
        </w:rPr>
        <w:t xml:space="preserve"> New York: Charles Scribner’s Sons, 1902; </w:t>
      </w:r>
      <w:r>
        <w:rPr>
          <w:rFonts w:ascii="Times New Roman" w:hAnsi="Times New Roman" w:cs="Times New Roman"/>
        </w:rPr>
        <w:t xml:space="preserve">E. Merton </w:t>
      </w:r>
      <w:r w:rsidRPr="00397065">
        <w:rPr>
          <w:rFonts w:ascii="Times New Roman" w:hAnsi="Times New Roman" w:cs="Times New Roman"/>
        </w:rPr>
        <w:t xml:space="preserve">Coulter, </w:t>
      </w:r>
      <w:r w:rsidRPr="00397065">
        <w:rPr>
          <w:rFonts w:ascii="Times New Roman" w:hAnsi="Times New Roman" w:cs="Times New Roman"/>
          <w:i/>
          <w:iCs/>
        </w:rPr>
        <w:t>The South During Reconstruction, 1865-1877</w:t>
      </w:r>
      <w:r w:rsidRPr="00397065">
        <w:rPr>
          <w:rFonts w:ascii="Times New Roman" w:hAnsi="Times New Roman" w:cs="Times New Roman"/>
        </w:rPr>
        <w:t>. Baton Rouge: LSU Press, 1948.</w:t>
      </w:r>
    </w:p>
    <w:p w14:paraId="181D85BD" w14:textId="1AA8E0A1" w:rsidR="00291222" w:rsidRPr="00291222" w:rsidRDefault="00291222">
      <w:pPr>
        <w:pStyle w:val="FootnoteText"/>
        <w:rPr>
          <w:rFonts w:ascii="Times New Roman" w:hAnsi="Times New Roman" w:cs="Times New Roman"/>
        </w:rPr>
      </w:pPr>
    </w:p>
  </w:footnote>
  <w:footnote w:id="1098">
    <w:p w14:paraId="7EC6BE3E" w14:textId="700C3119" w:rsidR="00F06201" w:rsidRPr="00CA655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A6556">
        <w:rPr>
          <w:rFonts w:ascii="Times New Roman" w:hAnsi="Times New Roman" w:cs="Times New Roman"/>
        </w:rPr>
        <w:t>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CA6556">
        <w:rPr>
          <w:rFonts w:ascii="Times New Roman" w:hAnsi="Times New Roman" w:cs="Times New Roman"/>
        </w:rPr>
        <w:t xml:space="preserve"> 494; Paul Kahan, </w:t>
      </w:r>
      <w:r w:rsidR="00CA6556">
        <w:rPr>
          <w:rFonts w:ascii="Times New Roman" w:hAnsi="Times New Roman" w:cs="Times New Roman"/>
          <w:i/>
          <w:iCs/>
        </w:rPr>
        <w:t>The Presidency of Ulysses S Grant: Preserving the Civil War’s Legacy</w:t>
      </w:r>
      <w:r w:rsidR="00CA6556">
        <w:rPr>
          <w:rFonts w:ascii="Times New Roman" w:hAnsi="Times New Roman" w:cs="Times New Roman"/>
        </w:rPr>
        <w:t>. Yardley, PA: Westholme Publishing, 2018.</w:t>
      </w:r>
    </w:p>
  </w:footnote>
  <w:footnote w:id="1099">
    <w:p w14:paraId="297D40D8" w14:textId="08EDB51F"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A6556">
        <w:rPr>
          <w:rFonts w:ascii="Times New Roman" w:hAnsi="Times New Roman" w:cs="Times New Roman"/>
        </w:rPr>
        <w:t xml:space="preserve">Timothy </w:t>
      </w:r>
      <w:r w:rsidR="00CA6556" w:rsidRPr="00CA6556">
        <w:rPr>
          <w:rFonts w:ascii="Times New Roman" w:hAnsi="Times New Roman" w:cs="Times New Roman"/>
        </w:rPr>
        <w:t xml:space="preserve">Rives, "Grant, Babcock, and the Whiskey Ring." </w:t>
      </w:r>
      <w:r w:rsidR="00CA6556" w:rsidRPr="00CA6556">
        <w:rPr>
          <w:rFonts w:ascii="Times New Roman" w:hAnsi="Times New Roman" w:cs="Times New Roman"/>
          <w:i/>
          <w:iCs/>
        </w:rPr>
        <w:t>Prologue Magazine</w:t>
      </w:r>
      <w:r w:rsidR="00CA6556" w:rsidRPr="00CA6556">
        <w:rPr>
          <w:rFonts w:ascii="Times New Roman" w:hAnsi="Times New Roman" w:cs="Times New Roman"/>
        </w:rPr>
        <w:t xml:space="preserve"> 32, no. 3</w:t>
      </w:r>
      <w:r w:rsidR="00CA6556">
        <w:rPr>
          <w:rFonts w:ascii="Times New Roman" w:hAnsi="Times New Roman" w:cs="Times New Roman"/>
        </w:rPr>
        <w:t>,</w:t>
      </w:r>
      <w:r w:rsidR="00CA6556" w:rsidRPr="00CA6556">
        <w:rPr>
          <w:rFonts w:ascii="Times New Roman" w:hAnsi="Times New Roman" w:cs="Times New Roman"/>
        </w:rPr>
        <w:t xml:space="preserve"> Fall 2000.</w:t>
      </w:r>
    </w:p>
  </w:footnote>
  <w:footnote w:id="1100">
    <w:p w14:paraId="452D5CBC" w14:textId="28238A14" w:rsidR="00F06201" w:rsidRPr="008C150C"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86" w:name="_Hlk197013539"/>
      <w:r w:rsidR="008C150C">
        <w:rPr>
          <w:rFonts w:ascii="Times New Roman" w:hAnsi="Times New Roman" w:cs="Times New Roman"/>
        </w:rPr>
        <w:t>44</w:t>
      </w:r>
      <w:r w:rsidR="008C150C" w:rsidRPr="008C150C">
        <w:rPr>
          <w:rFonts w:ascii="Times New Roman" w:hAnsi="Times New Roman" w:cs="Times New Roman"/>
          <w:vertAlign w:val="superscript"/>
        </w:rPr>
        <w:t>th</w:t>
      </w:r>
      <w:r w:rsidR="008C150C">
        <w:rPr>
          <w:rFonts w:ascii="Times New Roman" w:hAnsi="Times New Roman" w:cs="Times New Roman"/>
        </w:rPr>
        <w:t xml:space="preserve"> Congress, 1</w:t>
      </w:r>
      <w:r w:rsidR="008C150C" w:rsidRPr="008C150C">
        <w:rPr>
          <w:rFonts w:ascii="Times New Roman" w:hAnsi="Times New Roman" w:cs="Times New Roman"/>
          <w:vertAlign w:val="superscript"/>
        </w:rPr>
        <w:t>st</w:t>
      </w:r>
      <w:r w:rsidR="008C150C">
        <w:rPr>
          <w:rFonts w:ascii="Times New Roman" w:hAnsi="Times New Roman" w:cs="Times New Roman"/>
        </w:rPr>
        <w:t xml:space="preserve"> sess., Executive Document No. 4. </w:t>
      </w:r>
      <w:r w:rsidR="008C150C">
        <w:rPr>
          <w:rFonts w:ascii="Times New Roman" w:hAnsi="Times New Roman" w:cs="Times New Roman"/>
          <w:i/>
          <w:iCs/>
        </w:rPr>
        <w:t>Report of the Commissioner of Internal Revenue for the Fiscal Year ended June 30, 1875</w:t>
      </w:r>
      <w:r w:rsidR="008C150C">
        <w:rPr>
          <w:rFonts w:ascii="Times New Roman" w:hAnsi="Times New Roman" w:cs="Times New Roman"/>
        </w:rPr>
        <w:t>. Washington DC: Government Publishing Office, 1875. xv-xvi.</w:t>
      </w:r>
    </w:p>
    <w:bookmarkEnd w:id="86"/>
  </w:footnote>
  <w:footnote w:id="1101">
    <w:p w14:paraId="784B6FF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02">
    <w:p w14:paraId="01131E24"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03">
    <w:p w14:paraId="5578029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04">
    <w:p w14:paraId="7808984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05">
    <w:p w14:paraId="7CC6A1EC"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06">
    <w:p w14:paraId="6B3EDB89" w14:textId="05E5B2E7" w:rsidR="00F06201" w:rsidRPr="00406DFB" w:rsidRDefault="00F06201" w:rsidP="00F06201">
      <w:pPr>
        <w:pStyle w:val="FootnoteText"/>
        <w:tabs>
          <w:tab w:val="left" w:pos="6030"/>
        </w:tabs>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06DFB">
        <w:rPr>
          <w:rFonts w:ascii="Times New Roman" w:hAnsi="Times New Roman" w:cs="Times New Roman"/>
        </w:rPr>
        <w:t xml:space="preserve">Howard Louis Conard, ed. </w:t>
      </w:r>
      <w:r w:rsidR="00406DFB">
        <w:rPr>
          <w:rFonts w:ascii="Times New Roman" w:hAnsi="Times New Roman" w:cs="Times New Roman"/>
          <w:i/>
          <w:iCs/>
        </w:rPr>
        <w:t>Encyclopedia of the History of Missouri</w:t>
      </w:r>
      <w:r w:rsidR="00406DFB">
        <w:rPr>
          <w:rFonts w:ascii="Times New Roman" w:hAnsi="Times New Roman" w:cs="Times New Roman"/>
        </w:rPr>
        <w:t>, vol. 6. St. Louis, MO: Southern History Co., 1901. 178.</w:t>
      </w:r>
    </w:p>
  </w:footnote>
  <w:footnote w:id="1107">
    <w:p w14:paraId="6578F9E6" w14:textId="1D6AEAC8" w:rsidR="00F06201" w:rsidRPr="00AE416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E4166">
        <w:rPr>
          <w:rFonts w:ascii="Times New Roman" w:hAnsi="Times New Roman" w:cs="Times New Roman"/>
          <w:i/>
          <w:iCs/>
        </w:rPr>
        <w:t>Oshkosh Daily Northwestern</w:t>
      </w:r>
      <w:r w:rsidR="00AE4166">
        <w:rPr>
          <w:rFonts w:ascii="Times New Roman" w:hAnsi="Times New Roman" w:cs="Times New Roman"/>
        </w:rPr>
        <w:t xml:space="preserve">, June 8, 1878; </w:t>
      </w:r>
      <w:r w:rsidR="00AE4166">
        <w:rPr>
          <w:rFonts w:ascii="Times New Roman" w:hAnsi="Times New Roman" w:cs="Times New Roman"/>
          <w:i/>
          <w:iCs/>
        </w:rPr>
        <w:t>Chicago Daily Tribune</w:t>
      </w:r>
      <w:r w:rsidR="00AE4166">
        <w:rPr>
          <w:rFonts w:ascii="Times New Roman" w:hAnsi="Times New Roman" w:cs="Times New Roman"/>
        </w:rPr>
        <w:t xml:space="preserve">, November 20, 1875; Lawrence O. Christensen, ed. </w:t>
      </w:r>
      <w:r w:rsidR="00AE4166">
        <w:rPr>
          <w:rFonts w:ascii="Times New Roman" w:hAnsi="Times New Roman" w:cs="Times New Roman"/>
          <w:i/>
          <w:iCs/>
        </w:rPr>
        <w:t>Dictionary of Missouri Biography</w:t>
      </w:r>
      <w:r w:rsidR="00AE4166">
        <w:rPr>
          <w:rFonts w:ascii="Times New Roman" w:hAnsi="Times New Roman" w:cs="Times New Roman"/>
        </w:rPr>
        <w:t>. Columbia, MO: University of Missouri Press, 1999. 534.</w:t>
      </w:r>
    </w:p>
  </w:footnote>
  <w:footnote w:id="1108">
    <w:p w14:paraId="6D17D261"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09">
    <w:p w14:paraId="45EECDAC" w14:textId="64EBF580"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C6AA9">
        <w:rPr>
          <w:rFonts w:ascii="Times New Roman" w:hAnsi="Times New Roman" w:cs="Times New Roman"/>
        </w:rPr>
        <w:t>Cooper</w:t>
      </w:r>
      <w:r w:rsidR="00347C58">
        <w:rPr>
          <w:rFonts w:ascii="Times New Roman" w:hAnsi="Times New Roman" w:cs="Times New Roman"/>
        </w:rPr>
        <w:t xml:space="preserve">, </w:t>
      </w:r>
      <w:r w:rsidR="00347C58" w:rsidRPr="00597954">
        <w:rPr>
          <w:rFonts w:ascii="Times New Roman" w:hAnsi="Times New Roman" w:cs="Times New Roman"/>
          <w:i/>
          <w:iCs/>
        </w:rPr>
        <w:t>McDonald and the Whiskey Ring</w:t>
      </w:r>
      <w:r w:rsidR="00347C58">
        <w:rPr>
          <w:rFonts w:ascii="Times New Roman" w:hAnsi="Times New Roman" w:cs="Times New Roman"/>
          <w:i/>
          <w:iCs/>
        </w:rPr>
        <w:t>,</w:t>
      </w:r>
      <w:r w:rsidR="001C6AA9">
        <w:rPr>
          <w:rFonts w:ascii="Times New Roman" w:hAnsi="Times New Roman" w:cs="Times New Roman"/>
        </w:rPr>
        <w:t xml:space="preserve"> </w:t>
      </w:r>
      <w:r w:rsidRPr="002318C9">
        <w:rPr>
          <w:rFonts w:ascii="Times New Roman" w:hAnsi="Times New Roman" w:cs="Times New Roman"/>
        </w:rPr>
        <w:t>9-10</w:t>
      </w:r>
    </w:p>
  </w:footnote>
  <w:footnote w:id="1110">
    <w:p w14:paraId="39C35920" w14:textId="40EE0BC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B2ED5" w:rsidRPr="00AB2ED5">
        <w:rPr>
          <w:rFonts w:ascii="Times New Roman" w:hAnsi="Times New Roman" w:cs="Times New Roman"/>
        </w:rPr>
        <w:t>Gen. John</w:t>
      </w:r>
      <w:r w:rsidR="00AB2ED5">
        <w:rPr>
          <w:rFonts w:ascii="Times New Roman" w:hAnsi="Times New Roman" w:cs="Times New Roman"/>
        </w:rPr>
        <w:t xml:space="preserve"> McDonald</w:t>
      </w:r>
      <w:r w:rsidR="00AB2ED5" w:rsidRPr="00AB2ED5">
        <w:rPr>
          <w:rFonts w:ascii="Times New Roman" w:hAnsi="Times New Roman" w:cs="Times New Roman"/>
        </w:rPr>
        <w:t xml:space="preserve">, </w:t>
      </w:r>
      <w:r w:rsidR="00AB2ED5" w:rsidRPr="00AB2ED5">
        <w:rPr>
          <w:rFonts w:ascii="Times New Roman" w:hAnsi="Times New Roman" w:cs="Times New Roman"/>
          <w:i/>
          <w:iCs/>
        </w:rPr>
        <w:t>Secrets of the Great Whiskey Ring: And Eighteen Months in the Penitentiary. Containing a Complete Exposure of the Illicit Whiskey Frauds Culminating in 1875, with Documentary Proofs. to which is Added the Author's Remarkable Experiences while a Convict in the Missouri Penitentiary, at Jefferson City</w:t>
      </w:r>
      <w:r w:rsidR="00AB2ED5" w:rsidRPr="00AB2ED5">
        <w:rPr>
          <w:rFonts w:ascii="Times New Roman" w:hAnsi="Times New Roman" w:cs="Times New Roman"/>
        </w:rPr>
        <w:t>. St. Louis, Mo: W. S. Bryan, 1880.</w:t>
      </w:r>
    </w:p>
  </w:footnote>
  <w:footnote w:id="1111">
    <w:p w14:paraId="2BEFA0E1" w14:textId="77777777" w:rsidR="006054F1" w:rsidRPr="002318C9" w:rsidRDefault="006054F1" w:rsidP="006054F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 xml:space="preserve">Cooper, </w:t>
      </w:r>
      <w:r w:rsidRPr="00597954">
        <w:rPr>
          <w:rFonts w:ascii="Times New Roman" w:hAnsi="Times New Roman" w:cs="Times New Roman"/>
          <w:i/>
          <w:iCs/>
        </w:rPr>
        <w:t>McDonald and the Whiskey Ring</w:t>
      </w:r>
      <w:r>
        <w:rPr>
          <w:rFonts w:ascii="Times New Roman" w:hAnsi="Times New Roman" w:cs="Times New Roman"/>
          <w:i/>
          <w:iCs/>
        </w:rPr>
        <w:t>,</w:t>
      </w:r>
      <w:r>
        <w:rPr>
          <w:rFonts w:ascii="Times New Roman" w:hAnsi="Times New Roman" w:cs="Times New Roman"/>
        </w:rPr>
        <w:t xml:space="preserve"> </w:t>
      </w:r>
      <w:r w:rsidRPr="002318C9">
        <w:rPr>
          <w:rFonts w:ascii="Times New Roman" w:hAnsi="Times New Roman" w:cs="Times New Roman"/>
        </w:rPr>
        <w:t>12-13</w:t>
      </w:r>
    </w:p>
  </w:footnote>
  <w:footnote w:id="1112">
    <w:p w14:paraId="22FB8FF0" w14:textId="77777777" w:rsidR="006054F1" w:rsidRPr="002318C9" w:rsidRDefault="006054F1" w:rsidP="006054F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 xml:space="preserve">Cooper, </w:t>
      </w:r>
      <w:r w:rsidRPr="00597954">
        <w:rPr>
          <w:rFonts w:ascii="Times New Roman" w:hAnsi="Times New Roman" w:cs="Times New Roman"/>
          <w:i/>
          <w:iCs/>
        </w:rPr>
        <w:t>McDonald and the Whiskey Ring</w:t>
      </w:r>
      <w:r>
        <w:rPr>
          <w:rFonts w:ascii="Times New Roman" w:hAnsi="Times New Roman" w:cs="Times New Roman"/>
          <w:i/>
          <w:iCs/>
        </w:rPr>
        <w:t>,</w:t>
      </w:r>
      <w:r w:rsidRPr="002318C9">
        <w:rPr>
          <w:rFonts w:ascii="Times New Roman" w:hAnsi="Times New Roman" w:cs="Times New Roman"/>
        </w:rPr>
        <w:t xml:space="preserve"> </w:t>
      </w:r>
      <w:r>
        <w:rPr>
          <w:rFonts w:ascii="Times New Roman" w:hAnsi="Times New Roman" w:cs="Times New Roman"/>
        </w:rPr>
        <w:t>25-32</w:t>
      </w:r>
    </w:p>
  </w:footnote>
  <w:footnote w:id="1113">
    <w:p w14:paraId="163EFDB0" w14:textId="3EB5B4F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B2ED5">
        <w:rPr>
          <w:rFonts w:ascii="Times New Roman" w:hAnsi="Times New Roman" w:cs="Times New Roman"/>
        </w:rPr>
        <w:t>Cooper</w:t>
      </w:r>
      <w:r w:rsidR="00347C58">
        <w:rPr>
          <w:rFonts w:ascii="Times New Roman" w:hAnsi="Times New Roman" w:cs="Times New Roman"/>
        </w:rPr>
        <w:t xml:space="preserve">, </w:t>
      </w:r>
      <w:r w:rsidR="00347C58" w:rsidRPr="00597954">
        <w:rPr>
          <w:rFonts w:ascii="Times New Roman" w:hAnsi="Times New Roman" w:cs="Times New Roman"/>
          <w:i/>
          <w:iCs/>
        </w:rPr>
        <w:t>McDonald and the Whiskey Ring</w:t>
      </w:r>
      <w:r w:rsidR="00347C58">
        <w:rPr>
          <w:rFonts w:ascii="Times New Roman" w:hAnsi="Times New Roman" w:cs="Times New Roman"/>
          <w:i/>
          <w:iCs/>
        </w:rPr>
        <w:t>,</w:t>
      </w:r>
      <w:r w:rsidR="00AB2ED5">
        <w:rPr>
          <w:rFonts w:ascii="Times New Roman" w:hAnsi="Times New Roman" w:cs="Times New Roman"/>
        </w:rPr>
        <w:t xml:space="preserve"> 33-44</w:t>
      </w:r>
    </w:p>
  </w:footnote>
  <w:footnote w:id="1114">
    <w:p w14:paraId="09971358" w14:textId="59737303" w:rsidR="00F06201" w:rsidRPr="006B37F7"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B37F7">
        <w:rPr>
          <w:rFonts w:ascii="Times New Roman" w:hAnsi="Times New Roman" w:cs="Times New Roman"/>
        </w:rPr>
        <w:t xml:space="preserve">National Archives, Form 86, Military Service Records, John McDonald; Thomas P. Lowry, </w:t>
      </w:r>
      <w:r w:rsidR="006B37F7">
        <w:rPr>
          <w:rFonts w:ascii="Times New Roman" w:hAnsi="Times New Roman" w:cs="Times New Roman"/>
          <w:i/>
          <w:iCs/>
        </w:rPr>
        <w:t>Tarnished Eagles: The Courts-Martial of Fifty Union Colonels and Lieutenant Colonels</w:t>
      </w:r>
      <w:r w:rsidR="006B37F7">
        <w:rPr>
          <w:rFonts w:ascii="Times New Roman" w:hAnsi="Times New Roman" w:cs="Times New Roman"/>
        </w:rPr>
        <w:t>. Mechanicsburg, PA: Stackpole Books, 1997. 108-110.</w:t>
      </w:r>
    </w:p>
  </w:footnote>
  <w:footnote w:id="1115">
    <w:p w14:paraId="03CDD89C" w14:textId="24AA459C"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B37F7">
        <w:rPr>
          <w:rFonts w:ascii="Times New Roman" w:hAnsi="Times New Roman" w:cs="Times New Roman"/>
        </w:rPr>
        <w:t>Ibid</w:t>
      </w:r>
    </w:p>
  </w:footnote>
  <w:footnote w:id="1116">
    <w:p w14:paraId="0AFB90A6" w14:textId="522155F5"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B37F7">
        <w:rPr>
          <w:rFonts w:ascii="Times New Roman" w:hAnsi="Times New Roman" w:cs="Times New Roman"/>
        </w:rPr>
        <w:t>Cooper</w:t>
      </w:r>
      <w:r w:rsidR="00347C58">
        <w:rPr>
          <w:rFonts w:ascii="Times New Roman" w:hAnsi="Times New Roman" w:cs="Times New Roman"/>
        </w:rPr>
        <w:t xml:space="preserve">, </w:t>
      </w:r>
      <w:r w:rsidR="00347C58" w:rsidRPr="00597954">
        <w:rPr>
          <w:rFonts w:ascii="Times New Roman" w:hAnsi="Times New Roman" w:cs="Times New Roman"/>
          <w:i/>
          <w:iCs/>
        </w:rPr>
        <w:t>McDonald and the Whiskey Ring</w:t>
      </w:r>
      <w:r w:rsidR="00347C58">
        <w:rPr>
          <w:rFonts w:ascii="Times New Roman" w:hAnsi="Times New Roman" w:cs="Times New Roman"/>
          <w:i/>
          <w:iCs/>
        </w:rPr>
        <w:t>,</w:t>
      </w:r>
      <w:r w:rsidR="006B37F7">
        <w:rPr>
          <w:rFonts w:ascii="Times New Roman" w:hAnsi="Times New Roman" w:cs="Times New Roman"/>
        </w:rPr>
        <w:t xml:space="preserve"> </w:t>
      </w:r>
      <w:r w:rsidRPr="002318C9">
        <w:rPr>
          <w:rFonts w:ascii="Times New Roman" w:hAnsi="Times New Roman" w:cs="Times New Roman"/>
        </w:rPr>
        <w:t>35-</w:t>
      </w:r>
      <w:r w:rsidR="006B37F7">
        <w:rPr>
          <w:rFonts w:ascii="Times New Roman" w:hAnsi="Times New Roman" w:cs="Times New Roman"/>
        </w:rPr>
        <w:t>3</w:t>
      </w:r>
      <w:r w:rsidRPr="002318C9">
        <w:rPr>
          <w:rFonts w:ascii="Times New Roman" w:hAnsi="Times New Roman" w:cs="Times New Roman"/>
        </w:rPr>
        <w:t>6</w:t>
      </w:r>
    </w:p>
  </w:footnote>
  <w:footnote w:id="1117">
    <w:p w14:paraId="6FE8D7B7" w14:textId="438EC0B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B37F7">
        <w:rPr>
          <w:rFonts w:ascii="Times New Roman" w:hAnsi="Times New Roman" w:cs="Times New Roman"/>
        </w:rPr>
        <w:t xml:space="preserve">Cooper </w:t>
      </w:r>
      <w:r w:rsidRPr="002318C9">
        <w:rPr>
          <w:rFonts w:ascii="Times New Roman" w:hAnsi="Times New Roman" w:cs="Times New Roman"/>
        </w:rPr>
        <w:t>36-9</w:t>
      </w:r>
      <w:r w:rsidR="006B37F7">
        <w:rPr>
          <w:rFonts w:ascii="Times New Roman" w:hAnsi="Times New Roman" w:cs="Times New Roman"/>
        </w:rPr>
        <w:t xml:space="preserve">; John Hallum, </w:t>
      </w:r>
      <w:r w:rsidR="006B37F7">
        <w:rPr>
          <w:rFonts w:ascii="Times New Roman" w:hAnsi="Times New Roman" w:cs="Times New Roman"/>
          <w:i/>
          <w:iCs/>
        </w:rPr>
        <w:t>The Diary of an Old Lawyer</w:t>
      </w:r>
      <w:r w:rsidR="006B37F7">
        <w:rPr>
          <w:rFonts w:ascii="Times New Roman" w:hAnsi="Times New Roman" w:cs="Times New Roman"/>
        </w:rPr>
        <w:t>. Nashville: Southwestern Publishing House, 1895. 288-314.</w:t>
      </w:r>
    </w:p>
  </w:footnote>
  <w:footnote w:id="1118">
    <w:p w14:paraId="52A87626" w14:textId="3BFCB892" w:rsidR="00F06201" w:rsidRPr="006B37F7"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B37F7">
        <w:rPr>
          <w:rFonts w:ascii="Times New Roman" w:hAnsi="Times New Roman" w:cs="Times New Roman"/>
        </w:rPr>
        <w:t>Cooper</w:t>
      </w:r>
      <w:r w:rsidR="00347C58">
        <w:rPr>
          <w:rFonts w:ascii="Times New Roman" w:hAnsi="Times New Roman" w:cs="Times New Roman"/>
        </w:rPr>
        <w:t xml:space="preserve">, </w:t>
      </w:r>
      <w:r w:rsidR="00347C58" w:rsidRPr="00597954">
        <w:rPr>
          <w:rFonts w:ascii="Times New Roman" w:hAnsi="Times New Roman" w:cs="Times New Roman"/>
          <w:i/>
          <w:iCs/>
        </w:rPr>
        <w:t>McDonald and the Whiskey Ring</w:t>
      </w:r>
      <w:r w:rsidR="00347C58">
        <w:rPr>
          <w:rFonts w:ascii="Times New Roman" w:hAnsi="Times New Roman" w:cs="Times New Roman"/>
          <w:i/>
          <w:iCs/>
        </w:rPr>
        <w:t>,</w:t>
      </w:r>
      <w:r w:rsidR="006B37F7">
        <w:rPr>
          <w:rFonts w:ascii="Times New Roman" w:hAnsi="Times New Roman" w:cs="Times New Roman"/>
        </w:rPr>
        <w:t xml:space="preserve"> </w:t>
      </w:r>
      <w:r w:rsidRPr="002318C9">
        <w:rPr>
          <w:rFonts w:ascii="Times New Roman" w:hAnsi="Times New Roman" w:cs="Times New Roman"/>
        </w:rPr>
        <w:t>39-40</w:t>
      </w:r>
      <w:r w:rsidR="006B37F7">
        <w:rPr>
          <w:rFonts w:ascii="Times New Roman" w:hAnsi="Times New Roman" w:cs="Times New Roman"/>
        </w:rPr>
        <w:t xml:space="preserve">; </w:t>
      </w:r>
      <w:r w:rsidR="006B37F7">
        <w:rPr>
          <w:rFonts w:ascii="Times New Roman" w:hAnsi="Times New Roman" w:cs="Times New Roman"/>
          <w:i/>
          <w:iCs/>
        </w:rPr>
        <w:t>New York Times</w:t>
      </w:r>
      <w:r w:rsidR="006B37F7">
        <w:rPr>
          <w:rFonts w:ascii="Times New Roman" w:hAnsi="Times New Roman" w:cs="Times New Roman"/>
        </w:rPr>
        <w:t>, August 25-28, 1864.</w:t>
      </w:r>
    </w:p>
  </w:footnote>
  <w:footnote w:id="1119">
    <w:p w14:paraId="23C97496" w14:textId="1FB3BA50"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B37F7">
        <w:rPr>
          <w:rFonts w:ascii="Times New Roman" w:hAnsi="Times New Roman" w:cs="Times New Roman"/>
        </w:rPr>
        <w:t>Cooper</w:t>
      </w:r>
      <w:r w:rsidR="00347C58">
        <w:rPr>
          <w:rFonts w:ascii="Times New Roman" w:hAnsi="Times New Roman" w:cs="Times New Roman"/>
        </w:rPr>
        <w:t xml:space="preserve">, </w:t>
      </w:r>
      <w:r w:rsidR="00347C58" w:rsidRPr="00597954">
        <w:rPr>
          <w:rFonts w:ascii="Times New Roman" w:hAnsi="Times New Roman" w:cs="Times New Roman"/>
          <w:i/>
          <w:iCs/>
        </w:rPr>
        <w:t>McDonald and the Whiskey Ring</w:t>
      </w:r>
      <w:r w:rsidR="0031064E">
        <w:rPr>
          <w:rFonts w:ascii="Times New Roman" w:hAnsi="Times New Roman" w:cs="Times New Roman"/>
          <w:i/>
          <w:iCs/>
        </w:rPr>
        <w:t>,</w:t>
      </w:r>
      <w:r w:rsidR="006B37F7">
        <w:rPr>
          <w:rFonts w:ascii="Times New Roman" w:hAnsi="Times New Roman" w:cs="Times New Roman"/>
        </w:rPr>
        <w:t xml:space="preserve"> </w:t>
      </w:r>
      <w:r w:rsidRPr="002318C9">
        <w:rPr>
          <w:rFonts w:ascii="Times New Roman" w:hAnsi="Times New Roman" w:cs="Times New Roman"/>
        </w:rPr>
        <w:t>40-48</w:t>
      </w:r>
    </w:p>
  </w:footnote>
  <w:footnote w:id="1120">
    <w:p w14:paraId="028A5DBC" w14:textId="1B5CA06D"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B37F7">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6B37F7">
        <w:rPr>
          <w:rFonts w:ascii="Times New Roman" w:hAnsi="Times New Roman" w:cs="Times New Roman"/>
        </w:rPr>
        <w:t xml:space="preserve"> </w:t>
      </w:r>
      <w:r w:rsidRPr="002318C9">
        <w:rPr>
          <w:rFonts w:ascii="Times New Roman" w:hAnsi="Times New Roman" w:cs="Times New Roman"/>
        </w:rPr>
        <w:t>48-52</w:t>
      </w:r>
    </w:p>
  </w:footnote>
  <w:footnote w:id="1121">
    <w:p w14:paraId="113AB477" w14:textId="65A26A7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E775B">
        <w:rPr>
          <w:rFonts w:ascii="Times New Roman" w:hAnsi="Times New Roman" w:cs="Times New Roman"/>
        </w:rPr>
        <w:t>Rives</w:t>
      </w:r>
    </w:p>
  </w:footnote>
  <w:footnote w:id="1122">
    <w:p w14:paraId="1429F16F" w14:textId="21E9C71F" w:rsidR="00F06201" w:rsidRPr="005E775B"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E775B">
        <w:rPr>
          <w:rFonts w:ascii="Times New Roman" w:hAnsi="Times New Roman" w:cs="Times New Roman"/>
        </w:rPr>
        <w:t xml:space="preserve">McDonald, </w:t>
      </w:r>
      <w:r w:rsidR="005E775B">
        <w:rPr>
          <w:rFonts w:ascii="Times New Roman" w:hAnsi="Times New Roman" w:cs="Times New Roman"/>
          <w:i/>
          <w:iCs/>
        </w:rPr>
        <w:t>Secrets</w:t>
      </w:r>
      <w:r w:rsidR="005E775B">
        <w:rPr>
          <w:rFonts w:ascii="Times New Roman" w:hAnsi="Times New Roman" w:cs="Times New Roman"/>
        </w:rPr>
        <w:t>, 27; Kahan</w:t>
      </w:r>
      <w:r w:rsidR="0098522E">
        <w:rPr>
          <w:rFonts w:ascii="Times New Roman" w:hAnsi="Times New Roman" w:cs="Times New Roman"/>
        </w:rPr>
        <w:t xml:space="preserve">, </w:t>
      </w:r>
      <w:r w:rsidR="0098522E">
        <w:rPr>
          <w:rFonts w:ascii="Times New Roman" w:hAnsi="Times New Roman" w:cs="Times New Roman"/>
          <w:i/>
          <w:iCs/>
        </w:rPr>
        <w:t>Presidency of Ulysses S. Grant,</w:t>
      </w:r>
      <w:r w:rsidR="005E775B">
        <w:rPr>
          <w:rFonts w:ascii="Times New Roman" w:hAnsi="Times New Roman" w:cs="Times New Roman"/>
        </w:rPr>
        <w:t xml:space="preserve"> 117</w:t>
      </w:r>
    </w:p>
  </w:footnote>
  <w:footnote w:id="1123">
    <w:p w14:paraId="281FDC48" w14:textId="2470FF2F" w:rsidR="00F06201" w:rsidRPr="0098522E" w:rsidRDefault="00F06201" w:rsidP="00F06201">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E775B">
        <w:rPr>
          <w:rFonts w:ascii="Times New Roman" w:hAnsi="Times New Roman" w:cs="Times New Roman"/>
        </w:rPr>
        <w:t>Rives</w:t>
      </w:r>
      <w:r w:rsidR="0098522E">
        <w:rPr>
          <w:rFonts w:ascii="Times New Roman" w:hAnsi="Times New Roman" w:cs="Times New Roman"/>
        </w:rPr>
        <w:t>, “Grant, Babcock, and the Whiskey Ring”</w:t>
      </w:r>
      <w:r w:rsidR="005E775B">
        <w:rPr>
          <w:rFonts w:ascii="Times New Roman" w:hAnsi="Times New Roman" w:cs="Times New Roman"/>
        </w:rPr>
        <w:t>; Hoogenboom</w:t>
      </w:r>
      <w:r w:rsidR="0098522E">
        <w:rPr>
          <w:rFonts w:ascii="Times New Roman" w:hAnsi="Times New Roman" w:cs="Times New Roman"/>
        </w:rPr>
        <w:t xml:space="preserve">, </w:t>
      </w:r>
      <w:r w:rsidR="0098522E">
        <w:rPr>
          <w:rFonts w:ascii="Times New Roman" w:hAnsi="Times New Roman" w:cs="Times New Roman"/>
          <w:i/>
          <w:iCs/>
        </w:rPr>
        <w:t>Outlawing the Spoils</w:t>
      </w:r>
      <w:r w:rsidR="005E775B">
        <w:rPr>
          <w:rFonts w:ascii="Times New Roman" w:hAnsi="Times New Roman" w:cs="Times New Roman"/>
        </w:rPr>
        <w:t>; Kahan</w:t>
      </w:r>
      <w:r w:rsidR="0098522E">
        <w:rPr>
          <w:rFonts w:ascii="Times New Roman" w:hAnsi="Times New Roman" w:cs="Times New Roman"/>
        </w:rPr>
        <w:t xml:space="preserve">, </w:t>
      </w:r>
      <w:r w:rsidR="0098522E">
        <w:rPr>
          <w:rFonts w:ascii="Times New Roman" w:hAnsi="Times New Roman" w:cs="Times New Roman"/>
          <w:i/>
          <w:iCs/>
        </w:rPr>
        <w:t>Presidency of Ulysses S. Grant</w:t>
      </w:r>
    </w:p>
  </w:footnote>
  <w:footnote w:id="1124">
    <w:p w14:paraId="69528F65" w14:textId="3EF56A51" w:rsidR="00F06201" w:rsidRPr="005E775B" w:rsidRDefault="00F06201" w:rsidP="00F06201">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McDonald</w:t>
      </w:r>
      <w:r w:rsidR="005E775B">
        <w:rPr>
          <w:rFonts w:ascii="Times New Roman" w:hAnsi="Times New Roman" w:cs="Times New Roman"/>
        </w:rPr>
        <w:t xml:space="preserve">, </w:t>
      </w:r>
      <w:r w:rsidR="005E775B">
        <w:rPr>
          <w:rFonts w:ascii="Times New Roman" w:hAnsi="Times New Roman" w:cs="Times New Roman"/>
          <w:i/>
          <w:iCs/>
        </w:rPr>
        <w:t>Secrets</w:t>
      </w:r>
    </w:p>
  </w:footnote>
  <w:footnote w:id="1125">
    <w:p w14:paraId="1F53FC58" w14:textId="2E73F3C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E775B" w:rsidRPr="005E775B">
        <w:rPr>
          <w:rFonts w:ascii="Times New Roman" w:hAnsi="Times New Roman" w:cs="Times New Roman"/>
        </w:rPr>
        <w:t>44th Congress, 1st sess., Executive Document No. 4. Report of the Commissioner of Internal Revenue for the Fiscal Year ended June 30, 1875. Washington DC: Government Publishing Office, 1875. xv-xvi</w:t>
      </w:r>
      <w:r w:rsidR="005E775B">
        <w:rPr>
          <w:rFonts w:ascii="Times New Roman" w:hAnsi="Times New Roman" w:cs="Times New Roman"/>
        </w:rPr>
        <w:t>i.</w:t>
      </w:r>
    </w:p>
  </w:footnote>
  <w:footnote w:id="1126">
    <w:p w14:paraId="74048FF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27">
    <w:p w14:paraId="6E13C1F5" w14:textId="760174BE"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today</w:t>
      </w:r>
      <w:r w:rsidR="004866E2">
        <w:rPr>
          <w:rFonts w:ascii="Times New Roman" w:hAnsi="Times New Roman" w:cs="Times New Roman"/>
        </w:rPr>
        <w:t xml:space="preserve"> this would equate to roughly $68,000.</w:t>
      </w:r>
    </w:p>
  </w:footnote>
  <w:footnote w:id="1128">
    <w:p w14:paraId="0704BBEF"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29">
    <w:p w14:paraId="5BAA70E7" w14:textId="66D5E72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today</w:t>
      </w:r>
      <w:r w:rsidR="004866E2">
        <w:rPr>
          <w:rFonts w:ascii="Times New Roman" w:hAnsi="Times New Roman" w:cs="Times New Roman"/>
        </w:rPr>
        <w:t xml:space="preserve"> this would equate to roughly $136,000.</w:t>
      </w:r>
    </w:p>
  </w:footnote>
  <w:footnote w:id="1130">
    <w:p w14:paraId="34BA26C9" w14:textId="1B1D3AF8" w:rsidR="00F06201" w:rsidRPr="00544585"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44585">
        <w:rPr>
          <w:rFonts w:ascii="Times New Roman" w:hAnsi="Times New Roman" w:cs="Times New Roman"/>
        </w:rPr>
        <w:t>Lucien Eaton in 44</w:t>
      </w:r>
      <w:r w:rsidR="00544585" w:rsidRPr="00544585">
        <w:rPr>
          <w:rFonts w:ascii="Times New Roman" w:hAnsi="Times New Roman" w:cs="Times New Roman"/>
          <w:vertAlign w:val="superscript"/>
        </w:rPr>
        <w:t>th</w:t>
      </w:r>
      <w:r w:rsidR="00544585">
        <w:rPr>
          <w:rFonts w:ascii="Times New Roman" w:hAnsi="Times New Roman" w:cs="Times New Roman"/>
        </w:rPr>
        <w:t xml:space="preserve"> Congress, 1</w:t>
      </w:r>
      <w:r w:rsidR="00544585" w:rsidRPr="00544585">
        <w:rPr>
          <w:rFonts w:ascii="Times New Roman" w:hAnsi="Times New Roman" w:cs="Times New Roman"/>
          <w:vertAlign w:val="superscript"/>
        </w:rPr>
        <w:t>st</w:t>
      </w:r>
      <w:r w:rsidR="00544585">
        <w:rPr>
          <w:rFonts w:ascii="Times New Roman" w:hAnsi="Times New Roman" w:cs="Times New Roman"/>
        </w:rPr>
        <w:t xml:space="preserve"> sess. Index to the Miscellaneous Documents of the House of Representatives, Misc. Doc. 186, </w:t>
      </w:r>
      <w:r w:rsidR="00544585">
        <w:rPr>
          <w:rFonts w:ascii="Times New Roman" w:hAnsi="Times New Roman" w:cs="Times New Roman"/>
          <w:i/>
          <w:iCs/>
        </w:rPr>
        <w:t>Whiskey Frauds Testimony</w:t>
      </w:r>
      <w:r w:rsidR="00544585">
        <w:rPr>
          <w:rFonts w:ascii="Times New Roman" w:hAnsi="Times New Roman" w:cs="Times New Roman"/>
        </w:rPr>
        <w:t>. Washington DC; Government Printing Office, 1873. 100.</w:t>
      </w:r>
    </w:p>
  </w:footnote>
  <w:footnote w:id="1131">
    <w:p w14:paraId="646EB0D4" w14:textId="33B29A94" w:rsidR="00F06201" w:rsidRPr="001358EC"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358EC">
        <w:rPr>
          <w:rFonts w:ascii="Times New Roman" w:hAnsi="Times New Roman" w:cs="Times New Roman"/>
        </w:rPr>
        <w:t xml:space="preserve">McDonald, </w:t>
      </w:r>
      <w:r w:rsidR="001358EC">
        <w:rPr>
          <w:rFonts w:ascii="Times New Roman" w:hAnsi="Times New Roman" w:cs="Times New Roman"/>
          <w:i/>
          <w:iCs/>
        </w:rPr>
        <w:t>Secrets</w:t>
      </w:r>
      <w:r w:rsidR="001358EC">
        <w:rPr>
          <w:rFonts w:ascii="Times New Roman" w:hAnsi="Times New Roman" w:cs="Times New Roman"/>
        </w:rPr>
        <w:t xml:space="preserve">, 58-60; </w:t>
      </w:r>
      <w:r w:rsidR="001358EC">
        <w:rPr>
          <w:rFonts w:ascii="Times New Roman" w:hAnsi="Times New Roman" w:cs="Times New Roman"/>
          <w:i/>
          <w:iCs/>
        </w:rPr>
        <w:t>St. Louis Daily Globe Democrat</w:t>
      </w:r>
      <w:r w:rsidR="001358EC">
        <w:rPr>
          <w:rFonts w:ascii="Times New Roman" w:hAnsi="Times New Roman" w:cs="Times New Roman"/>
        </w:rPr>
        <w:t>, Nov. 16-17, 1875</w:t>
      </w:r>
      <w:r w:rsidR="00D663F3">
        <w:rPr>
          <w:rFonts w:ascii="Times New Roman" w:hAnsi="Times New Roman" w:cs="Times New Roman"/>
        </w:rPr>
        <w:t>; 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D663F3">
        <w:rPr>
          <w:rFonts w:ascii="Times New Roman" w:hAnsi="Times New Roman" w:cs="Times New Roman"/>
        </w:rPr>
        <w:t xml:space="preserve"> 54-56</w:t>
      </w:r>
    </w:p>
  </w:footnote>
  <w:footnote w:id="1132">
    <w:p w14:paraId="05829D9F" w14:textId="4EB8541A"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358EC">
        <w:rPr>
          <w:rFonts w:ascii="Times New Roman" w:hAnsi="Times New Roman" w:cs="Times New Roman"/>
        </w:rPr>
        <w:t>Ibid</w:t>
      </w:r>
    </w:p>
  </w:footnote>
  <w:footnote w:id="1133">
    <w:p w14:paraId="7EE57FC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34">
    <w:p w14:paraId="4562E24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35">
    <w:p w14:paraId="7D8FD5F8"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36">
    <w:p w14:paraId="121087E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37">
    <w:p w14:paraId="1F3B5A41" w14:textId="045ABF2F" w:rsidR="00F06201" w:rsidRPr="00646CFB"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46CFB">
        <w:rPr>
          <w:rFonts w:ascii="Times New Roman" w:hAnsi="Times New Roman" w:cs="Times New Roman"/>
        </w:rPr>
        <w:t xml:space="preserve">John Joyce, </w:t>
      </w:r>
      <w:r w:rsidR="00646CFB">
        <w:rPr>
          <w:rFonts w:ascii="Times New Roman" w:hAnsi="Times New Roman" w:cs="Times New Roman"/>
          <w:i/>
          <w:iCs/>
        </w:rPr>
        <w:t>A Checkered Life</w:t>
      </w:r>
      <w:r w:rsidR="00646CFB">
        <w:rPr>
          <w:rFonts w:ascii="Times New Roman" w:hAnsi="Times New Roman" w:cs="Times New Roman"/>
        </w:rPr>
        <w:t xml:space="preserve">. Chicago: S.P. Rounds, 1883. 165-168; </w:t>
      </w:r>
      <w:r w:rsidR="00646CFB">
        <w:rPr>
          <w:rFonts w:ascii="Times New Roman" w:hAnsi="Times New Roman" w:cs="Times New Roman"/>
          <w:i/>
          <w:iCs/>
        </w:rPr>
        <w:t>New York Times</w:t>
      </w:r>
      <w:r w:rsidR="00646CFB">
        <w:rPr>
          <w:rFonts w:ascii="Times New Roman" w:hAnsi="Times New Roman" w:cs="Times New Roman"/>
        </w:rPr>
        <w:t>, February 23, 1872.</w:t>
      </w:r>
    </w:p>
  </w:footnote>
  <w:footnote w:id="1138">
    <w:p w14:paraId="43022A35" w14:textId="50888E2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0929">
        <w:rPr>
          <w:rFonts w:ascii="Times New Roman" w:hAnsi="Times New Roman" w:cs="Times New Roman"/>
        </w:rPr>
        <w:t xml:space="preserve">Benjamin Perley Poore, </w:t>
      </w:r>
      <w:r w:rsidR="00520929">
        <w:rPr>
          <w:rFonts w:ascii="Times New Roman" w:hAnsi="Times New Roman" w:cs="Times New Roman"/>
          <w:i/>
          <w:iCs/>
        </w:rPr>
        <w:t>Perley’s Reminiscences of Sixty Years in the National Metropolis</w:t>
      </w:r>
      <w:r w:rsidR="00520929">
        <w:rPr>
          <w:rFonts w:ascii="Times New Roman" w:hAnsi="Times New Roman" w:cs="Times New Roman"/>
        </w:rPr>
        <w:t>. Philadelphia: Hubbard Brothers, 1886</w:t>
      </w:r>
      <w:r w:rsidRPr="002318C9">
        <w:rPr>
          <w:rFonts w:ascii="Times New Roman" w:hAnsi="Times New Roman" w:cs="Times New Roman"/>
        </w:rPr>
        <w:t>; It is unclear at this point if Babcock was approached by McDonald for the purpose of serving as a member of the Whiskey Ring. Based on the existing evidence, we cannot say for certain whether this was a partnership that was established from the outset or if it grew over the course of continued meetings and correspondence between Babcock, McDonald, and Joyce. What we do know is that these men developed a friendship over the years that was strengthened through greased palms, but we cannot state definitively who propositioned who to engage in this criminal partnership.</w:t>
      </w:r>
    </w:p>
  </w:footnote>
  <w:footnote w:id="1139">
    <w:p w14:paraId="451A0EBE" w14:textId="397DBB0D" w:rsidR="00F06201" w:rsidRPr="002B07BC" w:rsidRDefault="00F06201" w:rsidP="00F06201">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McDonald</w:t>
      </w:r>
      <w:r w:rsidR="002B07BC">
        <w:rPr>
          <w:rFonts w:ascii="Times New Roman" w:hAnsi="Times New Roman" w:cs="Times New Roman"/>
        </w:rPr>
        <w:t xml:space="preserve">, </w:t>
      </w:r>
      <w:r w:rsidR="002B07BC">
        <w:rPr>
          <w:rFonts w:ascii="Times New Roman" w:hAnsi="Times New Roman" w:cs="Times New Roman"/>
          <w:i/>
          <w:iCs/>
        </w:rPr>
        <w:t>Secrets</w:t>
      </w:r>
    </w:p>
  </w:footnote>
  <w:footnote w:id="1140">
    <w:p w14:paraId="13B4608C" w14:textId="38117E6F" w:rsidR="00F06201" w:rsidRPr="00FE506B"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E506B">
        <w:rPr>
          <w:rFonts w:ascii="Times New Roman" w:hAnsi="Times New Roman" w:cs="Times New Roman"/>
        </w:rPr>
        <w:t xml:space="preserve">McDonald </w:t>
      </w:r>
      <w:r w:rsidR="00FE506B">
        <w:rPr>
          <w:rFonts w:ascii="Times New Roman" w:hAnsi="Times New Roman" w:cs="Times New Roman"/>
          <w:i/>
          <w:iCs/>
        </w:rPr>
        <w:t>Secrets</w:t>
      </w:r>
      <w:r w:rsidR="00FE506B">
        <w:rPr>
          <w:rFonts w:ascii="Times New Roman" w:hAnsi="Times New Roman" w:cs="Times New Roman"/>
        </w:rPr>
        <w:t xml:space="preserve"> 58-60; </w:t>
      </w:r>
      <w:r w:rsidR="00FE506B">
        <w:rPr>
          <w:rFonts w:ascii="Times New Roman" w:hAnsi="Times New Roman" w:cs="Times New Roman"/>
          <w:i/>
          <w:iCs/>
        </w:rPr>
        <w:t xml:space="preserve">New York Times </w:t>
      </w:r>
      <w:r w:rsidR="00FE506B">
        <w:rPr>
          <w:rFonts w:ascii="Times New Roman" w:hAnsi="Times New Roman" w:cs="Times New Roman"/>
        </w:rPr>
        <w:t>February 12, 1876.</w:t>
      </w:r>
    </w:p>
  </w:footnote>
  <w:footnote w:id="1141">
    <w:p w14:paraId="09E8A651"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42">
    <w:p w14:paraId="3D412188"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43">
    <w:p w14:paraId="06B0296A" w14:textId="2E23689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E506B">
        <w:rPr>
          <w:rFonts w:ascii="Times New Roman" w:hAnsi="Times New Roman" w:cs="Times New Roman"/>
        </w:rPr>
        <w:t xml:space="preserve">William Avery in </w:t>
      </w:r>
      <w:r w:rsidR="00FE506B">
        <w:rPr>
          <w:rFonts w:ascii="Times New Roman" w:hAnsi="Times New Roman" w:cs="Times New Roman"/>
          <w:i/>
          <w:iCs/>
        </w:rPr>
        <w:t>Whiskey Fraud Testimony</w:t>
      </w:r>
      <w:r w:rsidR="00FE506B">
        <w:rPr>
          <w:rFonts w:ascii="Times New Roman" w:hAnsi="Times New Roman" w:cs="Times New Roman"/>
        </w:rPr>
        <w:t>, 81-83.</w:t>
      </w:r>
    </w:p>
  </w:footnote>
  <w:footnote w:id="1144">
    <w:p w14:paraId="2F31742B" w14:textId="5904250C"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E506B">
        <w:rPr>
          <w:rFonts w:ascii="Times New Roman" w:hAnsi="Times New Roman" w:cs="Times New Roman"/>
        </w:rPr>
        <w:t>Ibid</w:t>
      </w:r>
    </w:p>
  </w:footnote>
  <w:footnote w:id="1145">
    <w:p w14:paraId="174252F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46">
    <w:p w14:paraId="667684AE" w14:textId="51C3B98C" w:rsidR="00F06201" w:rsidRPr="00F9147D"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r w:rsidR="00F9147D">
        <w:rPr>
          <w:rFonts w:ascii="Times New Roman" w:hAnsi="Times New Roman" w:cs="Times New Roman"/>
          <w:i/>
          <w:iCs/>
        </w:rPr>
        <w:t>Chicago Tribune</w:t>
      </w:r>
      <w:r w:rsidR="00F9147D">
        <w:rPr>
          <w:rFonts w:ascii="Times New Roman" w:hAnsi="Times New Roman" w:cs="Times New Roman"/>
        </w:rPr>
        <w:t>, November 17, 1875.</w:t>
      </w:r>
    </w:p>
  </w:footnote>
  <w:footnote w:id="1147">
    <w:p w14:paraId="6BCD0011" w14:textId="423C4CBC"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9147D">
        <w:rPr>
          <w:rFonts w:ascii="Times New Roman" w:hAnsi="Times New Roman" w:cs="Times New Roman"/>
          <w:i/>
          <w:iCs/>
        </w:rPr>
        <w:t>Chicago Tribune</w:t>
      </w:r>
      <w:r w:rsidR="00F9147D">
        <w:rPr>
          <w:rFonts w:ascii="Times New Roman" w:hAnsi="Times New Roman" w:cs="Times New Roman"/>
        </w:rPr>
        <w:t>, November 17, 1875.</w:t>
      </w:r>
    </w:p>
  </w:footnote>
  <w:footnote w:id="1148">
    <w:p w14:paraId="32888BDB" w14:textId="09199C0E"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9147D">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F9147D">
        <w:rPr>
          <w:rFonts w:ascii="Times New Roman" w:hAnsi="Times New Roman" w:cs="Times New Roman"/>
        </w:rPr>
        <w:t xml:space="preserve"> 61-66</w:t>
      </w:r>
    </w:p>
  </w:footnote>
  <w:footnote w:id="1149">
    <w:p w14:paraId="3B6A17D1" w14:textId="40D212FE" w:rsidR="00F06201" w:rsidRPr="003C3D5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C3D59">
        <w:rPr>
          <w:rFonts w:ascii="Times New Roman" w:hAnsi="Times New Roman" w:cs="Times New Roman"/>
        </w:rPr>
        <w:t xml:space="preserve">McDonald, </w:t>
      </w:r>
      <w:r w:rsidR="003C3D59">
        <w:rPr>
          <w:rFonts w:ascii="Times New Roman" w:hAnsi="Times New Roman" w:cs="Times New Roman"/>
          <w:i/>
          <w:iCs/>
        </w:rPr>
        <w:t>Secrets</w:t>
      </w:r>
      <w:r w:rsidR="003C3D59">
        <w:rPr>
          <w:rFonts w:ascii="Times New Roman" w:hAnsi="Times New Roman" w:cs="Times New Roman"/>
        </w:rPr>
        <w:t>, 73-74.</w:t>
      </w:r>
    </w:p>
  </w:footnote>
  <w:footnote w:id="1150">
    <w:p w14:paraId="70207CCC" w14:textId="207C745A"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C3D59">
        <w:rPr>
          <w:rFonts w:ascii="Times New Roman" w:hAnsi="Times New Roman" w:cs="Times New Roman"/>
        </w:rPr>
        <w:t>Ibid</w:t>
      </w:r>
    </w:p>
  </w:footnote>
  <w:footnote w:id="1151">
    <w:p w14:paraId="29609014" w14:textId="79C7479B" w:rsidR="00F06201" w:rsidRPr="003C3D5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C3D59">
        <w:rPr>
          <w:rFonts w:ascii="Times New Roman" w:hAnsi="Times New Roman" w:cs="Times New Roman"/>
        </w:rPr>
        <w:t xml:space="preserve">McDonald, </w:t>
      </w:r>
      <w:r w:rsidR="003C3D59">
        <w:rPr>
          <w:rFonts w:ascii="Times New Roman" w:hAnsi="Times New Roman" w:cs="Times New Roman"/>
          <w:i/>
          <w:iCs/>
        </w:rPr>
        <w:t>Secrets</w:t>
      </w:r>
      <w:r w:rsidR="003C3D59">
        <w:rPr>
          <w:rFonts w:ascii="Times New Roman" w:hAnsi="Times New Roman" w:cs="Times New Roman"/>
        </w:rPr>
        <w:t xml:space="preserve">, 76; </w:t>
      </w:r>
      <w:bookmarkStart w:id="87" w:name="_Hlk197166281"/>
      <w:r w:rsidR="003C3D59">
        <w:rPr>
          <w:rFonts w:ascii="Times New Roman" w:hAnsi="Times New Roman" w:cs="Times New Roman"/>
        </w:rPr>
        <w:t xml:space="preserve">John Simon, ed., </w:t>
      </w:r>
      <w:r w:rsidR="003C3D59">
        <w:rPr>
          <w:rFonts w:ascii="Times New Roman" w:hAnsi="Times New Roman" w:cs="Times New Roman"/>
          <w:i/>
          <w:iCs/>
        </w:rPr>
        <w:t>The Papers of Ulysses S. Grant, vol. 23, February 1-December 31, 1872</w:t>
      </w:r>
      <w:r w:rsidR="003C3D59">
        <w:rPr>
          <w:rFonts w:ascii="Times New Roman" w:hAnsi="Times New Roman" w:cs="Times New Roman"/>
        </w:rPr>
        <w:t xml:space="preserve">. Carbondale: Southern Illinois University Press, 1997. </w:t>
      </w:r>
      <w:bookmarkEnd w:id="87"/>
      <w:r w:rsidR="003C3D59">
        <w:rPr>
          <w:rFonts w:ascii="Times New Roman" w:hAnsi="Times New Roman" w:cs="Times New Roman"/>
        </w:rPr>
        <w:t>218-219.</w:t>
      </w:r>
    </w:p>
  </w:footnote>
  <w:footnote w:id="1152">
    <w:p w14:paraId="78840D61"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53">
    <w:p w14:paraId="7D023254" w14:textId="428A425B" w:rsidR="00F06201" w:rsidRPr="00210E82"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C3D59" w:rsidRPr="003C3D59">
        <w:rPr>
          <w:rFonts w:ascii="Times New Roman" w:hAnsi="Times New Roman" w:cs="Times New Roman"/>
          <w:i/>
          <w:iCs/>
        </w:rPr>
        <w:t>Chicago Daily Tribune</w:t>
      </w:r>
      <w:r w:rsidR="003C3D59">
        <w:rPr>
          <w:rFonts w:ascii="Times New Roman" w:hAnsi="Times New Roman" w:cs="Times New Roman"/>
        </w:rPr>
        <w:t xml:space="preserve">, November 17, 1875 &amp; February 18, 19, 1876; </w:t>
      </w:r>
      <w:r w:rsidR="003C3D59">
        <w:rPr>
          <w:rFonts w:ascii="Times New Roman" w:hAnsi="Times New Roman" w:cs="Times New Roman"/>
          <w:i/>
          <w:iCs/>
        </w:rPr>
        <w:t>New York Times</w:t>
      </w:r>
      <w:r w:rsidR="003C3D59">
        <w:rPr>
          <w:rFonts w:ascii="Times New Roman" w:hAnsi="Times New Roman" w:cs="Times New Roman"/>
        </w:rPr>
        <w:t xml:space="preserve">, November 17, 1875 &amp; February 18, 1876; </w:t>
      </w:r>
      <w:r w:rsidR="00210E82">
        <w:rPr>
          <w:rFonts w:ascii="Times New Roman" w:hAnsi="Times New Roman" w:cs="Times New Roman"/>
        </w:rPr>
        <w:t xml:space="preserve">David Dyer in </w:t>
      </w:r>
      <w:r w:rsidR="00210E82">
        <w:rPr>
          <w:rFonts w:ascii="Times New Roman" w:hAnsi="Times New Roman" w:cs="Times New Roman"/>
          <w:i/>
          <w:iCs/>
        </w:rPr>
        <w:t>Whiskey Fraud Testimony</w:t>
      </w:r>
      <w:r w:rsidR="00210E82">
        <w:rPr>
          <w:rFonts w:ascii="Times New Roman" w:hAnsi="Times New Roman" w:cs="Times New Roman"/>
        </w:rPr>
        <w:t>, 31-32.</w:t>
      </w:r>
    </w:p>
  </w:footnote>
  <w:footnote w:id="1154">
    <w:p w14:paraId="5851B68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55">
    <w:p w14:paraId="51D4362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56">
    <w:p w14:paraId="552F5415" w14:textId="424E0A4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D0004">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BD0004">
        <w:rPr>
          <w:rFonts w:ascii="Times New Roman" w:hAnsi="Times New Roman" w:cs="Times New Roman"/>
        </w:rPr>
        <w:t xml:space="preserve"> 69</w:t>
      </w:r>
    </w:p>
  </w:footnote>
  <w:footnote w:id="1157">
    <w:p w14:paraId="13B98D8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58">
    <w:p w14:paraId="507692EF" w14:textId="0376E471"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F62AD">
        <w:rPr>
          <w:rFonts w:ascii="Times New Roman" w:hAnsi="Times New Roman" w:cs="Times New Roman"/>
        </w:rPr>
        <w:t>Ibid</w:t>
      </w:r>
    </w:p>
  </w:footnote>
  <w:footnote w:id="1159">
    <w:p w14:paraId="6FEFCB70" w14:textId="7EED9510"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C05D6" w:rsidRPr="00BC05D6">
        <w:rPr>
          <w:rFonts w:ascii="Times New Roman" w:hAnsi="Times New Roman" w:cs="Times New Roman"/>
        </w:rPr>
        <w:t xml:space="preserve">Special Dispatch to The Chicago Tribune. "GIGANTIC FRAUD." </w:t>
      </w:r>
      <w:r w:rsidR="00BC05D6" w:rsidRPr="00BC05D6">
        <w:rPr>
          <w:rFonts w:ascii="Times New Roman" w:hAnsi="Times New Roman" w:cs="Times New Roman"/>
          <w:i/>
          <w:iCs/>
        </w:rPr>
        <w:t>Chicago Daily Tribune,</w:t>
      </w:r>
      <w:r w:rsidR="00BC05D6" w:rsidRPr="00BC05D6">
        <w:rPr>
          <w:rFonts w:ascii="Times New Roman" w:hAnsi="Times New Roman" w:cs="Times New Roman"/>
        </w:rPr>
        <w:t xml:space="preserve"> May 11, 1875</w:t>
      </w:r>
      <w:r w:rsidR="00BC05D6">
        <w:rPr>
          <w:rFonts w:ascii="Times New Roman" w:hAnsi="Times New Roman" w:cs="Times New Roman"/>
        </w:rPr>
        <w:t xml:space="preserve">; </w:t>
      </w:r>
      <w:r w:rsidR="00BC05D6" w:rsidRPr="00BC05D6">
        <w:rPr>
          <w:rFonts w:ascii="Times New Roman" w:hAnsi="Times New Roman" w:cs="Times New Roman"/>
        </w:rPr>
        <w:t xml:space="preserve">"THE WESTERN WHISKY RING." </w:t>
      </w:r>
      <w:r w:rsidR="00BC05D6" w:rsidRPr="00BC05D6">
        <w:rPr>
          <w:rFonts w:ascii="Times New Roman" w:hAnsi="Times New Roman" w:cs="Times New Roman"/>
          <w:i/>
          <w:iCs/>
        </w:rPr>
        <w:t>New York Times,</w:t>
      </w:r>
      <w:r w:rsidR="00BC05D6" w:rsidRPr="00BC05D6">
        <w:rPr>
          <w:rFonts w:ascii="Times New Roman" w:hAnsi="Times New Roman" w:cs="Times New Roman"/>
        </w:rPr>
        <w:t xml:space="preserve"> Feb 05, 1876</w:t>
      </w:r>
    </w:p>
  </w:footnote>
  <w:footnote w:id="1160">
    <w:p w14:paraId="5D5C881D" w14:textId="0D43F49E"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CF62AD">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CF62AD">
        <w:rPr>
          <w:rFonts w:ascii="Times New Roman" w:hAnsi="Times New Roman" w:cs="Times New Roman"/>
        </w:rPr>
        <w:t xml:space="preserve"> </w:t>
      </w:r>
      <w:r w:rsidRPr="002318C9">
        <w:rPr>
          <w:rFonts w:ascii="Times New Roman" w:hAnsi="Times New Roman" w:cs="Times New Roman"/>
        </w:rPr>
        <w:t>494-497</w:t>
      </w:r>
    </w:p>
  </w:footnote>
  <w:footnote w:id="1161">
    <w:p w14:paraId="41DEA743" w14:textId="1732C017" w:rsidR="00F06201" w:rsidRPr="00CF62AD"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F62AD">
        <w:rPr>
          <w:rFonts w:ascii="Times New Roman" w:hAnsi="Times New Roman" w:cs="Times New Roman"/>
          <w:i/>
          <w:iCs/>
        </w:rPr>
        <w:t>Whiskey Fraud Testimony</w:t>
      </w:r>
      <w:r w:rsidR="00CF62AD">
        <w:rPr>
          <w:rFonts w:ascii="Times New Roman" w:hAnsi="Times New Roman" w:cs="Times New Roman"/>
        </w:rPr>
        <w:t>; 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CF62AD">
        <w:rPr>
          <w:rFonts w:ascii="Times New Roman" w:hAnsi="Times New Roman" w:cs="Times New Roman"/>
        </w:rPr>
        <w:t xml:space="preserve"> 495-496</w:t>
      </w:r>
    </w:p>
  </w:footnote>
  <w:footnote w:id="1162">
    <w:p w14:paraId="15C3904E" w14:textId="6D6B86D5"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F62AD">
        <w:rPr>
          <w:rFonts w:ascii="Times New Roman" w:hAnsi="Times New Roman" w:cs="Times New Roman"/>
        </w:rPr>
        <w:t>Ibid</w:t>
      </w:r>
    </w:p>
  </w:footnote>
  <w:footnote w:id="1163">
    <w:p w14:paraId="0A83C772" w14:textId="7FD5BC7F" w:rsidR="00F06201" w:rsidRPr="00DB046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B046F">
        <w:rPr>
          <w:rFonts w:ascii="Times New Roman" w:hAnsi="Times New Roman" w:cs="Times New Roman"/>
          <w:i/>
          <w:iCs/>
        </w:rPr>
        <w:t>New York Times</w:t>
      </w:r>
      <w:r w:rsidR="00DB046F">
        <w:rPr>
          <w:rFonts w:ascii="Times New Roman" w:hAnsi="Times New Roman" w:cs="Times New Roman"/>
        </w:rPr>
        <w:t>, February 10, 1876</w:t>
      </w:r>
    </w:p>
  </w:footnote>
  <w:footnote w:id="1164">
    <w:p w14:paraId="7C87225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65">
    <w:p w14:paraId="673DAA8A" w14:textId="6D589678" w:rsidR="00F06201" w:rsidRPr="00FA104E"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A104E">
        <w:rPr>
          <w:rFonts w:ascii="Times New Roman" w:hAnsi="Times New Roman" w:cs="Times New Roman"/>
        </w:rPr>
        <w:t xml:space="preserve">William Gavett in </w:t>
      </w:r>
      <w:r w:rsidR="00FA104E">
        <w:rPr>
          <w:rFonts w:ascii="Times New Roman" w:hAnsi="Times New Roman" w:cs="Times New Roman"/>
          <w:i/>
          <w:iCs/>
        </w:rPr>
        <w:t>Whiskey Fraud Testimony</w:t>
      </w:r>
      <w:r w:rsidR="00FA104E">
        <w:rPr>
          <w:rFonts w:ascii="Times New Roman" w:hAnsi="Times New Roman" w:cs="Times New Roman"/>
        </w:rPr>
        <w:t>, 378</w:t>
      </w:r>
      <w:r w:rsidR="00A60DBE">
        <w:rPr>
          <w:rFonts w:ascii="Times New Roman" w:hAnsi="Times New Roman" w:cs="Times New Roman"/>
        </w:rPr>
        <w:t>-380</w:t>
      </w:r>
      <w:r w:rsidR="00FA104E">
        <w:rPr>
          <w:rFonts w:ascii="Times New Roman" w:hAnsi="Times New Roman" w:cs="Times New Roman"/>
        </w:rPr>
        <w:t>.</w:t>
      </w:r>
    </w:p>
  </w:footnote>
  <w:footnote w:id="1166">
    <w:p w14:paraId="43C453D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67">
    <w:p w14:paraId="5DD2160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68">
    <w:p w14:paraId="5FA50FF2" w14:textId="484E860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60DBE">
        <w:rPr>
          <w:rFonts w:ascii="Times New Roman" w:hAnsi="Times New Roman" w:cs="Times New Roman"/>
        </w:rPr>
        <w:t>Ibid</w:t>
      </w:r>
    </w:p>
  </w:footnote>
  <w:footnote w:id="1169">
    <w:p w14:paraId="5A61903A"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70">
    <w:p w14:paraId="6BE6EEB0" w14:textId="310D641C" w:rsidR="00F06201" w:rsidRPr="0015437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54371">
        <w:rPr>
          <w:rFonts w:ascii="Times New Roman" w:hAnsi="Times New Roman" w:cs="Times New Roman"/>
          <w:i/>
          <w:iCs/>
        </w:rPr>
        <w:t>St Louis Daily Globe Democrat</w:t>
      </w:r>
      <w:r w:rsidR="00154371">
        <w:rPr>
          <w:rFonts w:ascii="Times New Roman" w:hAnsi="Times New Roman" w:cs="Times New Roman"/>
        </w:rPr>
        <w:t xml:space="preserve">, November 16, 17, 1875; </w:t>
      </w:r>
      <w:r w:rsidR="00154371">
        <w:rPr>
          <w:rFonts w:ascii="Times New Roman" w:hAnsi="Times New Roman" w:cs="Times New Roman"/>
          <w:i/>
          <w:iCs/>
        </w:rPr>
        <w:t>New York Times</w:t>
      </w:r>
      <w:r w:rsidR="00154371">
        <w:rPr>
          <w:rFonts w:ascii="Times New Roman" w:hAnsi="Times New Roman" w:cs="Times New Roman"/>
        </w:rPr>
        <w:t xml:space="preserve">, November 17, 1875; Homer Yaryan in </w:t>
      </w:r>
      <w:r w:rsidR="00154371">
        <w:rPr>
          <w:rFonts w:ascii="Times New Roman" w:hAnsi="Times New Roman" w:cs="Times New Roman"/>
          <w:i/>
          <w:iCs/>
        </w:rPr>
        <w:t>Whiskey Fraud Testimony</w:t>
      </w:r>
      <w:r w:rsidR="00154371">
        <w:rPr>
          <w:rFonts w:ascii="Times New Roman" w:hAnsi="Times New Roman" w:cs="Times New Roman"/>
        </w:rPr>
        <w:t>, 328.</w:t>
      </w:r>
    </w:p>
  </w:footnote>
  <w:footnote w:id="1171">
    <w:p w14:paraId="155FCC2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72">
    <w:p w14:paraId="1728A61A" w14:textId="53A1534E" w:rsidR="00F06201" w:rsidRPr="00F456A8"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456A8">
        <w:rPr>
          <w:rFonts w:ascii="Times New Roman" w:hAnsi="Times New Roman" w:cs="Times New Roman"/>
          <w:i/>
          <w:iCs/>
        </w:rPr>
        <w:t>New York Times</w:t>
      </w:r>
      <w:r w:rsidR="00F456A8">
        <w:rPr>
          <w:rFonts w:ascii="Times New Roman" w:hAnsi="Times New Roman" w:cs="Times New Roman"/>
        </w:rPr>
        <w:t xml:space="preserve">, February 10, 1876; </w:t>
      </w:r>
      <w:r w:rsidR="00F456A8">
        <w:rPr>
          <w:rFonts w:ascii="Times New Roman" w:hAnsi="Times New Roman" w:cs="Times New Roman"/>
          <w:i/>
          <w:iCs/>
        </w:rPr>
        <w:t>St. Louis Daily Globe Democrat</w:t>
      </w:r>
      <w:r w:rsidR="00F456A8">
        <w:rPr>
          <w:rFonts w:ascii="Times New Roman" w:hAnsi="Times New Roman" w:cs="Times New Roman"/>
        </w:rPr>
        <w:t>, November 19, 1875</w:t>
      </w:r>
    </w:p>
  </w:footnote>
  <w:footnote w:id="1173">
    <w:p w14:paraId="0D78FF6D" w14:textId="322A00DB"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456A8">
        <w:rPr>
          <w:rFonts w:ascii="Times New Roman" w:hAnsi="Times New Roman" w:cs="Times New Roman"/>
        </w:rPr>
        <w:t>Ibid</w:t>
      </w:r>
    </w:p>
  </w:footnote>
  <w:footnote w:id="1174">
    <w:p w14:paraId="75EBB31D" w14:textId="781B9D56" w:rsidR="00F06201" w:rsidRPr="004E5248"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E5248">
        <w:rPr>
          <w:rFonts w:ascii="Times New Roman" w:hAnsi="Times New Roman" w:cs="Times New Roman"/>
          <w:i/>
          <w:iCs/>
        </w:rPr>
        <w:t>New York Times</w:t>
      </w:r>
      <w:r w:rsidR="004E5248">
        <w:rPr>
          <w:rFonts w:ascii="Times New Roman" w:hAnsi="Times New Roman" w:cs="Times New Roman"/>
        </w:rPr>
        <w:t xml:space="preserve">, October 16, 1873; L.M. Dayton, </w:t>
      </w:r>
      <w:r w:rsidR="004E5248">
        <w:rPr>
          <w:rFonts w:ascii="Times New Roman" w:hAnsi="Times New Roman" w:cs="Times New Roman"/>
          <w:i/>
          <w:iCs/>
        </w:rPr>
        <w:t>Report of the Proceedings of the Society of the Army of Tennessee at the Seventh Annual Meeting Held at Toledo, Ohio. October 15</w:t>
      </w:r>
      <w:r w:rsidR="004E5248" w:rsidRPr="004E5248">
        <w:rPr>
          <w:rFonts w:ascii="Times New Roman" w:hAnsi="Times New Roman" w:cs="Times New Roman"/>
          <w:i/>
          <w:iCs/>
          <w:vertAlign w:val="superscript"/>
        </w:rPr>
        <w:t>th</w:t>
      </w:r>
      <w:r w:rsidR="004E5248">
        <w:rPr>
          <w:rFonts w:ascii="Times New Roman" w:hAnsi="Times New Roman" w:cs="Times New Roman"/>
          <w:i/>
          <w:iCs/>
        </w:rPr>
        <w:t xml:space="preserve"> and 16</w:t>
      </w:r>
      <w:r w:rsidR="004E5248" w:rsidRPr="004E5248">
        <w:rPr>
          <w:rFonts w:ascii="Times New Roman" w:hAnsi="Times New Roman" w:cs="Times New Roman"/>
          <w:i/>
          <w:iCs/>
          <w:vertAlign w:val="superscript"/>
        </w:rPr>
        <w:t>th</w:t>
      </w:r>
      <w:r w:rsidR="004E5248">
        <w:rPr>
          <w:rFonts w:ascii="Times New Roman" w:hAnsi="Times New Roman" w:cs="Times New Roman"/>
        </w:rPr>
        <w:t>. Cincinnati: Published by the Society, 1877. 109-179</w:t>
      </w:r>
    </w:p>
  </w:footnote>
  <w:footnote w:id="1175">
    <w:p w14:paraId="6E435A6A" w14:textId="565FF0D2" w:rsidR="00F06201" w:rsidRPr="004E5248"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E5248">
        <w:rPr>
          <w:rFonts w:ascii="Times New Roman" w:hAnsi="Times New Roman" w:cs="Times New Roman"/>
        </w:rPr>
        <w:t xml:space="preserve">Dayton, </w:t>
      </w:r>
      <w:r w:rsidR="004E5248">
        <w:rPr>
          <w:rFonts w:ascii="Times New Roman" w:hAnsi="Times New Roman" w:cs="Times New Roman"/>
          <w:i/>
          <w:iCs/>
        </w:rPr>
        <w:t>Proceedings of the Society of the Army of Tennessee and the Seventh Annul Meeting</w:t>
      </w:r>
      <w:r w:rsidR="004E5248">
        <w:rPr>
          <w:rFonts w:ascii="Times New Roman" w:hAnsi="Times New Roman" w:cs="Times New Roman"/>
        </w:rPr>
        <w:t xml:space="preserve">, 120-180; Joyce, </w:t>
      </w:r>
      <w:r w:rsidR="004E5248">
        <w:rPr>
          <w:rFonts w:ascii="Times New Roman" w:hAnsi="Times New Roman" w:cs="Times New Roman"/>
          <w:i/>
          <w:iCs/>
        </w:rPr>
        <w:t>A Checkered Life</w:t>
      </w:r>
      <w:r w:rsidR="004E5248">
        <w:rPr>
          <w:rFonts w:ascii="Times New Roman" w:hAnsi="Times New Roman" w:cs="Times New Roman"/>
        </w:rPr>
        <w:t xml:space="preserve">, 180; Simon, </w:t>
      </w:r>
      <w:r w:rsidR="004E5248">
        <w:rPr>
          <w:rFonts w:ascii="Times New Roman" w:hAnsi="Times New Roman" w:cs="Times New Roman"/>
          <w:i/>
          <w:iCs/>
        </w:rPr>
        <w:t>Papers of Ulysses S Grant, vol 23, 1873</w:t>
      </w:r>
      <w:r w:rsidR="004E5248">
        <w:rPr>
          <w:rFonts w:ascii="Times New Roman" w:hAnsi="Times New Roman" w:cs="Times New Roman"/>
        </w:rPr>
        <w:t>, 232</w:t>
      </w:r>
    </w:p>
  </w:footnote>
  <w:footnote w:id="1176">
    <w:p w14:paraId="28F09084" w14:textId="3922C93D" w:rsidR="00F06201" w:rsidRPr="00D04990"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04990">
        <w:rPr>
          <w:rFonts w:ascii="Times New Roman" w:hAnsi="Times New Roman" w:cs="Times New Roman"/>
        </w:rPr>
        <w:t xml:space="preserve">Joyce, </w:t>
      </w:r>
      <w:r w:rsidR="00D04990">
        <w:rPr>
          <w:rFonts w:ascii="Times New Roman" w:hAnsi="Times New Roman" w:cs="Times New Roman"/>
          <w:i/>
          <w:iCs/>
        </w:rPr>
        <w:t>A Checkered Life</w:t>
      </w:r>
      <w:r w:rsidR="00D04990">
        <w:rPr>
          <w:rFonts w:ascii="Times New Roman" w:hAnsi="Times New Roman" w:cs="Times New Roman"/>
        </w:rPr>
        <w:t xml:space="preserve">, 180; Simon, </w:t>
      </w:r>
      <w:r w:rsidR="00D04990">
        <w:rPr>
          <w:rFonts w:ascii="Times New Roman" w:hAnsi="Times New Roman" w:cs="Times New Roman"/>
          <w:i/>
          <w:iCs/>
        </w:rPr>
        <w:t>Papers of Ulysses S Grant, vol 23, 1873</w:t>
      </w:r>
      <w:r w:rsidR="00D04990">
        <w:rPr>
          <w:rFonts w:ascii="Times New Roman" w:hAnsi="Times New Roman" w:cs="Times New Roman"/>
        </w:rPr>
        <w:t>, 232</w:t>
      </w:r>
    </w:p>
  </w:footnote>
  <w:footnote w:id="1177">
    <w:p w14:paraId="2FE4E31C" w14:textId="22802759" w:rsidR="00F06201" w:rsidRPr="004E5248"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E5248">
        <w:rPr>
          <w:rFonts w:ascii="Times New Roman" w:hAnsi="Times New Roman" w:cs="Times New Roman"/>
        </w:rPr>
        <w:t xml:space="preserve">Edwards Pierrepont in </w:t>
      </w:r>
      <w:r w:rsidR="004E5248">
        <w:rPr>
          <w:rFonts w:ascii="Times New Roman" w:hAnsi="Times New Roman" w:cs="Times New Roman"/>
          <w:i/>
          <w:iCs/>
        </w:rPr>
        <w:t>Whiskey Frauds Testimony,</w:t>
      </w:r>
      <w:r w:rsidR="004E5248">
        <w:rPr>
          <w:rFonts w:ascii="Times New Roman" w:hAnsi="Times New Roman" w:cs="Times New Roman"/>
        </w:rPr>
        <w:t xml:space="preserve"> 12: McDonald, </w:t>
      </w:r>
      <w:r w:rsidR="004E5248">
        <w:rPr>
          <w:rFonts w:ascii="Times New Roman" w:hAnsi="Times New Roman" w:cs="Times New Roman"/>
          <w:i/>
          <w:iCs/>
        </w:rPr>
        <w:t>Secrets</w:t>
      </w:r>
      <w:r w:rsidR="004E5248">
        <w:rPr>
          <w:rFonts w:ascii="Times New Roman" w:hAnsi="Times New Roman" w:cs="Times New Roman"/>
        </w:rPr>
        <w:t>, 81</w:t>
      </w:r>
    </w:p>
  </w:footnote>
  <w:footnote w:id="1178">
    <w:p w14:paraId="7AE963C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79">
    <w:p w14:paraId="66A531B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80">
    <w:p w14:paraId="6A7024E5" w14:textId="7F6B4F67" w:rsidR="00F06201" w:rsidRPr="004E5248"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E5248">
        <w:rPr>
          <w:rFonts w:ascii="Times New Roman" w:hAnsi="Times New Roman" w:cs="Times New Roman"/>
          <w:i/>
          <w:iCs/>
        </w:rPr>
        <w:t>New York Times</w:t>
      </w:r>
      <w:r w:rsidR="004E5248">
        <w:rPr>
          <w:rFonts w:ascii="Times New Roman" w:hAnsi="Times New Roman" w:cs="Times New Roman"/>
        </w:rPr>
        <w:t>, January 22, 1876</w:t>
      </w:r>
    </w:p>
  </w:footnote>
  <w:footnote w:id="1181">
    <w:p w14:paraId="6B445DF9" w14:textId="6DC9EEF6" w:rsidR="00F06201" w:rsidRPr="004E5248"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E5248">
        <w:rPr>
          <w:rFonts w:ascii="Times New Roman" w:hAnsi="Times New Roman" w:cs="Times New Roman"/>
        </w:rPr>
        <w:t xml:space="preserve">McDonald, </w:t>
      </w:r>
      <w:r w:rsidR="004E5248">
        <w:rPr>
          <w:rFonts w:ascii="Times New Roman" w:hAnsi="Times New Roman" w:cs="Times New Roman"/>
          <w:i/>
          <w:iCs/>
        </w:rPr>
        <w:t>Secrets</w:t>
      </w:r>
      <w:r w:rsidR="004E5248">
        <w:rPr>
          <w:rFonts w:ascii="Times New Roman" w:hAnsi="Times New Roman" w:cs="Times New Roman"/>
        </w:rPr>
        <w:t xml:space="preserve">, 104; Joyce, </w:t>
      </w:r>
      <w:r w:rsidR="004E5248">
        <w:rPr>
          <w:rFonts w:ascii="Times New Roman" w:hAnsi="Times New Roman" w:cs="Times New Roman"/>
          <w:i/>
          <w:iCs/>
        </w:rPr>
        <w:t>A Checkered Life</w:t>
      </w:r>
      <w:r w:rsidR="004E5248">
        <w:rPr>
          <w:rFonts w:ascii="Times New Roman" w:hAnsi="Times New Roman" w:cs="Times New Roman"/>
        </w:rPr>
        <w:t>, 164</w:t>
      </w:r>
    </w:p>
  </w:footnote>
  <w:footnote w:id="1182">
    <w:p w14:paraId="38D6122B" w14:textId="4013B0C6" w:rsidR="00F06201" w:rsidRPr="004E5248"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E5248">
        <w:rPr>
          <w:rFonts w:ascii="Times New Roman" w:hAnsi="Times New Roman" w:cs="Times New Roman"/>
        </w:rPr>
        <w:t xml:space="preserve">Simon, </w:t>
      </w:r>
      <w:r w:rsidR="004E5248">
        <w:rPr>
          <w:rFonts w:ascii="Times New Roman" w:hAnsi="Times New Roman" w:cs="Times New Roman"/>
          <w:i/>
          <w:iCs/>
        </w:rPr>
        <w:t>Papers of Ulysses S. Grant, 25, 1874</w:t>
      </w:r>
      <w:r w:rsidR="004E5248">
        <w:rPr>
          <w:rFonts w:ascii="Times New Roman" w:hAnsi="Times New Roman" w:cs="Times New Roman"/>
        </w:rPr>
        <w:t>, 333-334</w:t>
      </w:r>
    </w:p>
  </w:footnote>
  <w:footnote w:id="1183">
    <w:p w14:paraId="0783C714" w14:textId="45E2A32C" w:rsidR="00F06201" w:rsidRPr="004E5248"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E5248">
        <w:rPr>
          <w:rFonts w:ascii="Times New Roman" w:hAnsi="Times New Roman" w:cs="Times New Roman"/>
          <w:i/>
          <w:iCs/>
        </w:rPr>
        <w:t>New York Times</w:t>
      </w:r>
      <w:r w:rsidR="004E5248">
        <w:rPr>
          <w:rFonts w:ascii="Times New Roman" w:hAnsi="Times New Roman" w:cs="Times New Roman"/>
        </w:rPr>
        <w:t xml:space="preserve">, November 30, 1875; John Forrest Dillon, </w:t>
      </w:r>
      <w:r w:rsidR="004E5248">
        <w:rPr>
          <w:rFonts w:ascii="Times New Roman" w:hAnsi="Times New Roman" w:cs="Times New Roman"/>
          <w:i/>
          <w:iCs/>
        </w:rPr>
        <w:t>Cases Determined in the United States Circuit Courts for the Eighth Circuit</w:t>
      </w:r>
      <w:r w:rsidR="004E5248">
        <w:rPr>
          <w:rFonts w:ascii="Times New Roman" w:hAnsi="Times New Roman" w:cs="Times New Roman"/>
        </w:rPr>
        <w:t xml:space="preserve">. Davenport, IA: Day, Egbert, &amp; Fidlar, 1876. 3:599-602; </w:t>
      </w:r>
      <w:r w:rsidR="004E5248">
        <w:rPr>
          <w:rFonts w:ascii="Times New Roman" w:hAnsi="Times New Roman" w:cs="Times New Roman"/>
          <w:i/>
          <w:iCs/>
        </w:rPr>
        <w:t>The Federal Cases: Cases Argued in the Circuit and District Courts of the United States</w:t>
      </w:r>
      <w:r w:rsidR="004E5248">
        <w:rPr>
          <w:rFonts w:ascii="Times New Roman" w:hAnsi="Times New Roman" w:cs="Times New Roman"/>
        </w:rPr>
        <w:t>. St. Paul, MN: West Publishing</w:t>
      </w:r>
      <w:r w:rsidR="000C0699">
        <w:rPr>
          <w:rFonts w:ascii="Times New Roman" w:hAnsi="Times New Roman" w:cs="Times New Roman"/>
        </w:rPr>
        <w:t>, 1896. 24:920.</w:t>
      </w:r>
    </w:p>
  </w:footnote>
  <w:footnote w:id="1184">
    <w:p w14:paraId="6578FA5E" w14:textId="057907CA"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E5248">
        <w:rPr>
          <w:rFonts w:ascii="Times New Roman" w:hAnsi="Times New Roman" w:cs="Times New Roman"/>
        </w:rPr>
        <w:t>Ibid</w:t>
      </w:r>
    </w:p>
  </w:footnote>
  <w:footnote w:id="1185">
    <w:p w14:paraId="6D29D98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86">
    <w:p w14:paraId="798A6FF8" w14:textId="1E2C56C3" w:rsidR="00F06201" w:rsidRPr="000C069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C0699">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0C0699">
        <w:rPr>
          <w:rFonts w:ascii="Times New Roman" w:hAnsi="Times New Roman" w:cs="Times New Roman"/>
        </w:rPr>
        <w:t xml:space="preserve"> 72-74; Simon, </w:t>
      </w:r>
      <w:r w:rsidR="000C0699">
        <w:rPr>
          <w:rFonts w:ascii="Times New Roman" w:hAnsi="Times New Roman" w:cs="Times New Roman"/>
          <w:i/>
          <w:iCs/>
        </w:rPr>
        <w:t>Papers of Ulysses S. Grant, 24, 1873</w:t>
      </w:r>
      <w:r w:rsidR="000C0699">
        <w:rPr>
          <w:rFonts w:ascii="Times New Roman" w:hAnsi="Times New Roman" w:cs="Times New Roman"/>
        </w:rPr>
        <w:t>. 232</w:t>
      </w:r>
    </w:p>
  </w:footnote>
  <w:footnote w:id="1187">
    <w:p w14:paraId="4EF6873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88">
    <w:p w14:paraId="62AD0D4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89">
    <w:p w14:paraId="23E382FC" w14:textId="641F97A8" w:rsidR="00F06201" w:rsidRPr="000C069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C0699">
        <w:rPr>
          <w:rFonts w:ascii="Times New Roman" w:hAnsi="Times New Roman" w:cs="Times New Roman"/>
          <w:i/>
          <w:iCs/>
        </w:rPr>
        <w:t>New York Times</w:t>
      </w:r>
      <w:r w:rsidR="000C0699">
        <w:rPr>
          <w:rFonts w:ascii="Times New Roman" w:hAnsi="Times New Roman" w:cs="Times New Roman"/>
        </w:rPr>
        <w:t xml:space="preserve">, February 15, 1876; </w:t>
      </w:r>
      <w:r w:rsidR="000C0699">
        <w:rPr>
          <w:rFonts w:ascii="Times New Roman" w:hAnsi="Times New Roman" w:cs="Times New Roman"/>
          <w:i/>
          <w:iCs/>
        </w:rPr>
        <w:t>The Federal Cases</w:t>
      </w:r>
      <w:r w:rsidR="000C0699">
        <w:rPr>
          <w:rFonts w:ascii="Times New Roman" w:hAnsi="Times New Roman" w:cs="Times New Roman"/>
        </w:rPr>
        <w:t xml:space="preserve"> 920; Edwards Pierrepont in </w:t>
      </w:r>
      <w:r w:rsidR="000C0699">
        <w:rPr>
          <w:rFonts w:ascii="Times New Roman" w:hAnsi="Times New Roman" w:cs="Times New Roman"/>
          <w:i/>
          <w:iCs/>
        </w:rPr>
        <w:t>Whiskey Frauds Testimony</w:t>
      </w:r>
      <w:r w:rsidR="000C0699">
        <w:rPr>
          <w:rFonts w:ascii="Times New Roman" w:hAnsi="Times New Roman" w:cs="Times New Roman"/>
        </w:rPr>
        <w:t>, 31.</w:t>
      </w:r>
    </w:p>
  </w:footnote>
  <w:footnote w:id="1190">
    <w:p w14:paraId="6A24D2B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91">
    <w:p w14:paraId="21B58AA8"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92">
    <w:p w14:paraId="4C951B62" w14:textId="1A887D1E" w:rsidR="00F06201" w:rsidRPr="007708A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708A3">
        <w:rPr>
          <w:rFonts w:ascii="Times New Roman" w:hAnsi="Times New Roman" w:cs="Times New Roman"/>
        </w:rPr>
        <w:t xml:space="preserve">McDonald, </w:t>
      </w:r>
      <w:r w:rsidR="007708A3">
        <w:rPr>
          <w:rFonts w:ascii="Times New Roman" w:hAnsi="Times New Roman" w:cs="Times New Roman"/>
          <w:i/>
          <w:iCs/>
        </w:rPr>
        <w:t>Secrets</w:t>
      </w:r>
      <w:r w:rsidR="007708A3">
        <w:rPr>
          <w:rFonts w:ascii="Times New Roman" w:hAnsi="Times New Roman" w:cs="Times New Roman"/>
        </w:rPr>
        <w:t>, 64-</w:t>
      </w:r>
      <w:r w:rsidR="00614241">
        <w:rPr>
          <w:rFonts w:ascii="Times New Roman" w:hAnsi="Times New Roman" w:cs="Times New Roman"/>
        </w:rPr>
        <w:t>70</w:t>
      </w:r>
      <w:r w:rsidR="007708A3">
        <w:rPr>
          <w:rFonts w:ascii="Times New Roman" w:hAnsi="Times New Roman" w:cs="Times New Roman"/>
        </w:rPr>
        <w:t xml:space="preserve">; Simon, </w:t>
      </w:r>
      <w:r w:rsidR="007708A3">
        <w:rPr>
          <w:rFonts w:ascii="Times New Roman" w:hAnsi="Times New Roman" w:cs="Times New Roman"/>
          <w:i/>
          <w:iCs/>
        </w:rPr>
        <w:t>Papers of Ulysses S. Grant, 26, 1875</w:t>
      </w:r>
      <w:r w:rsidR="007708A3">
        <w:rPr>
          <w:rFonts w:ascii="Times New Roman" w:hAnsi="Times New Roman" w:cs="Times New Roman"/>
        </w:rPr>
        <w:t>, 116-117</w:t>
      </w:r>
    </w:p>
  </w:footnote>
  <w:footnote w:id="1193">
    <w:p w14:paraId="0F485BF7" w14:textId="21BE5733" w:rsidR="00F06201" w:rsidRPr="0061424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14241">
        <w:rPr>
          <w:rFonts w:ascii="Times New Roman" w:hAnsi="Times New Roman" w:cs="Times New Roman"/>
        </w:rPr>
        <w:t xml:space="preserve">Ibid; </w:t>
      </w:r>
      <w:r w:rsidR="00705436">
        <w:rPr>
          <w:rFonts w:ascii="Times New Roman" w:hAnsi="Times New Roman" w:cs="Times New Roman"/>
        </w:rPr>
        <w:t>Elverton</w:t>
      </w:r>
      <w:r w:rsidR="00614241">
        <w:rPr>
          <w:rFonts w:ascii="Times New Roman" w:hAnsi="Times New Roman" w:cs="Times New Roman"/>
        </w:rPr>
        <w:t xml:space="preserve"> Chapman in </w:t>
      </w:r>
      <w:r w:rsidR="00614241">
        <w:rPr>
          <w:rFonts w:ascii="Times New Roman" w:hAnsi="Times New Roman" w:cs="Times New Roman"/>
          <w:i/>
          <w:iCs/>
        </w:rPr>
        <w:t>Whiskey Frauds Testimony</w:t>
      </w:r>
      <w:r w:rsidR="00614241">
        <w:rPr>
          <w:rFonts w:ascii="Times New Roman" w:hAnsi="Times New Roman" w:cs="Times New Roman"/>
        </w:rPr>
        <w:t>, 395</w:t>
      </w:r>
    </w:p>
  </w:footnote>
  <w:footnote w:id="1194">
    <w:p w14:paraId="65FCD2A4" w14:textId="149891A4" w:rsidR="00F06201" w:rsidRPr="0070543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05436">
        <w:rPr>
          <w:rFonts w:ascii="Times New Roman" w:hAnsi="Times New Roman" w:cs="Times New Roman"/>
          <w:i/>
          <w:iCs/>
        </w:rPr>
        <w:t>St. Louis Daily Globe Democrat</w:t>
      </w:r>
      <w:r w:rsidR="00705436">
        <w:rPr>
          <w:rFonts w:ascii="Times New Roman" w:hAnsi="Times New Roman" w:cs="Times New Roman"/>
        </w:rPr>
        <w:t>, November 19, 1875</w:t>
      </w:r>
    </w:p>
  </w:footnote>
  <w:footnote w:id="1195">
    <w:p w14:paraId="2F29DB7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196">
    <w:p w14:paraId="73D4F756" w14:textId="65EE15D6" w:rsidR="00F06201" w:rsidRPr="00464D3A"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64D3A">
        <w:rPr>
          <w:rFonts w:ascii="Times New Roman" w:hAnsi="Times New Roman" w:cs="Times New Roman"/>
        </w:rPr>
        <w:t xml:space="preserve">McDonald, </w:t>
      </w:r>
      <w:r w:rsidR="00464D3A">
        <w:rPr>
          <w:rFonts w:ascii="Times New Roman" w:hAnsi="Times New Roman" w:cs="Times New Roman"/>
          <w:i/>
          <w:iCs/>
        </w:rPr>
        <w:t>Secrets</w:t>
      </w:r>
      <w:r w:rsidR="00464D3A">
        <w:rPr>
          <w:rFonts w:ascii="Times New Roman" w:hAnsi="Times New Roman" w:cs="Times New Roman"/>
        </w:rPr>
        <w:t xml:space="preserve">, 95-101; Simon, </w:t>
      </w:r>
      <w:r w:rsidR="00464D3A">
        <w:rPr>
          <w:rFonts w:ascii="Times New Roman" w:hAnsi="Times New Roman" w:cs="Times New Roman"/>
          <w:i/>
          <w:iCs/>
        </w:rPr>
        <w:t>Papers of Ulysses S. Grant, 25, 1874</w:t>
      </w:r>
      <w:r w:rsidR="00464D3A">
        <w:rPr>
          <w:rFonts w:ascii="Times New Roman" w:hAnsi="Times New Roman" w:cs="Times New Roman"/>
        </w:rPr>
        <w:t>, 207-208</w:t>
      </w:r>
    </w:p>
  </w:footnote>
  <w:footnote w:id="1197">
    <w:p w14:paraId="4C21844B" w14:textId="025F83AA" w:rsidR="00F06201" w:rsidRPr="00464D3A"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64D3A">
        <w:rPr>
          <w:rFonts w:ascii="Times New Roman" w:hAnsi="Times New Roman" w:cs="Times New Roman"/>
        </w:rPr>
        <w:t xml:space="preserve">Ibid </w:t>
      </w:r>
    </w:p>
  </w:footnote>
  <w:footnote w:id="1198">
    <w:p w14:paraId="3CDD1A5F" w14:textId="48D888BA" w:rsidR="00F06201" w:rsidRPr="00E869A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0098522E">
        <w:rPr>
          <w:rFonts w:ascii="Times New Roman" w:hAnsi="Times New Roman" w:cs="Times New Roman"/>
        </w:rPr>
        <w:t xml:space="preserve"> </w:t>
      </w:r>
      <w:r w:rsidR="00E869A3">
        <w:rPr>
          <w:rFonts w:ascii="Times New Roman" w:hAnsi="Times New Roman" w:cs="Times New Roman"/>
        </w:rPr>
        <w:t xml:space="preserve">Walter B. Stevens, </w:t>
      </w:r>
      <w:r w:rsidR="00E869A3">
        <w:rPr>
          <w:rFonts w:ascii="Times New Roman" w:hAnsi="Times New Roman" w:cs="Times New Roman"/>
          <w:i/>
          <w:iCs/>
        </w:rPr>
        <w:t>Grant in St. Louis</w:t>
      </w:r>
      <w:r w:rsidR="00E869A3">
        <w:rPr>
          <w:rFonts w:ascii="Times New Roman" w:hAnsi="Times New Roman" w:cs="Times New Roman"/>
        </w:rPr>
        <w:t>. St. Louis: Franklin Club, 1916. 110-114</w:t>
      </w:r>
    </w:p>
  </w:footnote>
  <w:footnote w:id="1199">
    <w:p w14:paraId="09498249" w14:textId="4448D233"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869A3">
        <w:rPr>
          <w:rFonts w:ascii="Times New Roman" w:hAnsi="Times New Roman" w:cs="Times New Roman"/>
        </w:rPr>
        <w:t>Ibid</w:t>
      </w:r>
    </w:p>
  </w:footnote>
  <w:footnote w:id="1200">
    <w:p w14:paraId="6417E0D7" w14:textId="3A4B0A72" w:rsidR="00F06201" w:rsidRPr="00915FB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15FB6">
        <w:rPr>
          <w:rFonts w:ascii="Times New Roman" w:hAnsi="Times New Roman" w:cs="Times New Roman"/>
        </w:rPr>
        <w:t xml:space="preserve">McDonald, </w:t>
      </w:r>
      <w:r w:rsidR="00915FB6">
        <w:rPr>
          <w:rFonts w:ascii="Times New Roman" w:hAnsi="Times New Roman" w:cs="Times New Roman"/>
          <w:i/>
          <w:iCs/>
        </w:rPr>
        <w:t>Secrets</w:t>
      </w:r>
      <w:r w:rsidR="00915FB6">
        <w:rPr>
          <w:rFonts w:ascii="Times New Roman" w:hAnsi="Times New Roman" w:cs="Times New Roman"/>
        </w:rPr>
        <w:t>, 95-102; 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915FB6">
        <w:rPr>
          <w:rFonts w:ascii="Times New Roman" w:hAnsi="Times New Roman" w:cs="Times New Roman"/>
        </w:rPr>
        <w:t xml:space="preserve"> 79; </w:t>
      </w:r>
      <w:r w:rsidR="00915FB6">
        <w:rPr>
          <w:rFonts w:ascii="Times New Roman" w:hAnsi="Times New Roman" w:cs="Times New Roman"/>
          <w:i/>
          <w:iCs/>
        </w:rPr>
        <w:t>New York Times</w:t>
      </w:r>
      <w:r w:rsidR="00915FB6">
        <w:rPr>
          <w:rFonts w:ascii="Times New Roman" w:hAnsi="Times New Roman" w:cs="Times New Roman"/>
        </w:rPr>
        <w:t>, October 11, 1874</w:t>
      </w:r>
    </w:p>
  </w:footnote>
  <w:footnote w:id="1201">
    <w:p w14:paraId="03198C6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02">
    <w:p w14:paraId="062BD4F0" w14:textId="14075B0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03">
    <w:p w14:paraId="5A94B149" w14:textId="264A5336" w:rsidR="00F06201" w:rsidRPr="00915FB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15FB6">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915FB6">
        <w:rPr>
          <w:rFonts w:ascii="Times New Roman" w:hAnsi="Times New Roman" w:cs="Times New Roman"/>
        </w:rPr>
        <w:t xml:space="preserve"> 80; McDonald, </w:t>
      </w:r>
      <w:r w:rsidR="00915FB6">
        <w:rPr>
          <w:rFonts w:ascii="Times New Roman" w:hAnsi="Times New Roman" w:cs="Times New Roman"/>
          <w:i/>
          <w:iCs/>
        </w:rPr>
        <w:t>Secrets</w:t>
      </w:r>
      <w:r w:rsidR="00915FB6">
        <w:rPr>
          <w:rFonts w:ascii="Times New Roman" w:hAnsi="Times New Roman" w:cs="Times New Roman"/>
        </w:rPr>
        <w:t>, 105-108</w:t>
      </w:r>
    </w:p>
  </w:footnote>
  <w:footnote w:id="1204">
    <w:p w14:paraId="156233E6" w14:textId="7B17709E" w:rsidR="00F06201" w:rsidRPr="00915FB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15FB6">
        <w:rPr>
          <w:rFonts w:ascii="Times New Roman" w:hAnsi="Times New Roman" w:cs="Times New Roman"/>
        </w:rPr>
        <w:t xml:space="preserve">McDonald, </w:t>
      </w:r>
      <w:r w:rsidR="00915FB6">
        <w:rPr>
          <w:rFonts w:ascii="Times New Roman" w:hAnsi="Times New Roman" w:cs="Times New Roman"/>
          <w:i/>
          <w:iCs/>
        </w:rPr>
        <w:t>Secrets</w:t>
      </w:r>
      <w:r w:rsidR="00915FB6">
        <w:rPr>
          <w:rFonts w:ascii="Times New Roman" w:hAnsi="Times New Roman" w:cs="Times New Roman"/>
        </w:rPr>
        <w:t xml:space="preserve">, 110-115; </w:t>
      </w:r>
      <w:r w:rsidR="00915FB6">
        <w:rPr>
          <w:rFonts w:ascii="Times New Roman" w:hAnsi="Times New Roman" w:cs="Times New Roman"/>
          <w:i/>
          <w:iCs/>
        </w:rPr>
        <w:t>New York Times</w:t>
      </w:r>
      <w:r w:rsidR="00915FB6">
        <w:rPr>
          <w:rFonts w:ascii="Times New Roman" w:hAnsi="Times New Roman" w:cs="Times New Roman"/>
        </w:rPr>
        <w:t>, February 18, 1876</w:t>
      </w:r>
    </w:p>
  </w:footnote>
  <w:footnote w:id="1205">
    <w:p w14:paraId="736DC8C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06">
    <w:p w14:paraId="55BD8743" w14:textId="7A38994C" w:rsidR="00F06201" w:rsidRPr="00915FB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0031064E">
        <w:rPr>
          <w:rFonts w:ascii="Times New Roman" w:hAnsi="Times New Roman" w:cs="Times New Roman"/>
        </w:rPr>
        <w:t xml:space="preserve"> </w:t>
      </w:r>
      <w:r w:rsidR="00915FB6">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915FB6">
        <w:rPr>
          <w:rFonts w:ascii="Times New Roman" w:hAnsi="Times New Roman" w:cs="Times New Roman"/>
        </w:rPr>
        <w:t xml:space="preserve"> 16; </w:t>
      </w:r>
      <w:r w:rsidR="00915FB6">
        <w:rPr>
          <w:rFonts w:ascii="Times New Roman" w:hAnsi="Times New Roman" w:cs="Times New Roman"/>
          <w:i/>
          <w:iCs/>
        </w:rPr>
        <w:t>New York Times</w:t>
      </w:r>
      <w:r w:rsidR="00915FB6">
        <w:rPr>
          <w:rFonts w:ascii="Times New Roman" w:hAnsi="Times New Roman" w:cs="Times New Roman"/>
        </w:rPr>
        <w:t>, February 18, 1876</w:t>
      </w:r>
    </w:p>
  </w:footnote>
  <w:footnote w:id="1207">
    <w:p w14:paraId="62FAFC11"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08">
    <w:p w14:paraId="51A4F32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09">
    <w:p w14:paraId="4010732F" w14:textId="4365653F" w:rsidR="00F06201" w:rsidRPr="001D100C"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D100C">
        <w:rPr>
          <w:rFonts w:ascii="Times New Roman" w:hAnsi="Times New Roman" w:cs="Times New Roman"/>
        </w:rPr>
        <w:t xml:space="preserve">David Patterson Dyer, </w:t>
      </w:r>
      <w:r w:rsidR="001D100C">
        <w:rPr>
          <w:rFonts w:ascii="Times New Roman" w:hAnsi="Times New Roman" w:cs="Times New Roman"/>
          <w:i/>
          <w:iCs/>
        </w:rPr>
        <w:t>Autobiography and Reminiscences</w:t>
      </w:r>
      <w:r w:rsidR="001D100C">
        <w:rPr>
          <w:rFonts w:ascii="Times New Roman" w:hAnsi="Times New Roman" w:cs="Times New Roman"/>
        </w:rPr>
        <w:t>. St. Louis: Willim Harvey Miner, 1922. 167.</w:t>
      </w:r>
    </w:p>
  </w:footnote>
  <w:footnote w:id="1210">
    <w:p w14:paraId="521FBA6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11">
    <w:p w14:paraId="263DC8B9" w14:textId="137E5448" w:rsidR="00F06201" w:rsidRPr="001D100C"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D100C">
        <w:rPr>
          <w:rFonts w:ascii="Times New Roman" w:hAnsi="Times New Roman" w:cs="Times New Roman"/>
        </w:rPr>
        <w:t xml:space="preserve">McDonald, </w:t>
      </w:r>
      <w:r w:rsidR="001D100C">
        <w:rPr>
          <w:rFonts w:ascii="Times New Roman" w:hAnsi="Times New Roman" w:cs="Times New Roman"/>
          <w:i/>
          <w:iCs/>
        </w:rPr>
        <w:t>Secrets</w:t>
      </w:r>
      <w:r w:rsidR="001D100C">
        <w:rPr>
          <w:rFonts w:ascii="Times New Roman" w:hAnsi="Times New Roman" w:cs="Times New Roman"/>
        </w:rPr>
        <w:t>, 119-122</w:t>
      </w:r>
    </w:p>
  </w:footnote>
  <w:footnote w:id="1212">
    <w:p w14:paraId="2B4A1E8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13">
    <w:p w14:paraId="5580DE4E" w14:textId="3F75B8F3" w:rsidR="00F06201" w:rsidRPr="001D100C"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D100C">
        <w:rPr>
          <w:rFonts w:ascii="Times New Roman" w:hAnsi="Times New Roman" w:cs="Times New Roman"/>
        </w:rPr>
        <w:t xml:space="preserve">Dillon, </w:t>
      </w:r>
      <w:r w:rsidR="001D100C">
        <w:rPr>
          <w:rFonts w:ascii="Times New Roman" w:hAnsi="Times New Roman" w:cs="Times New Roman"/>
          <w:i/>
          <w:iCs/>
        </w:rPr>
        <w:t>Cases for the Eighth Circuit</w:t>
      </w:r>
      <w:r w:rsidR="001D100C">
        <w:rPr>
          <w:rFonts w:ascii="Times New Roman" w:hAnsi="Times New Roman" w:cs="Times New Roman"/>
        </w:rPr>
        <w:t>, 3:609-61</w:t>
      </w:r>
      <w:r w:rsidR="00113011">
        <w:rPr>
          <w:rFonts w:ascii="Times New Roman" w:hAnsi="Times New Roman" w:cs="Times New Roman"/>
        </w:rPr>
        <w:t>3</w:t>
      </w:r>
      <w:r w:rsidR="001D100C">
        <w:rPr>
          <w:rFonts w:ascii="Times New Roman" w:hAnsi="Times New Roman" w:cs="Times New Roman"/>
        </w:rPr>
        <w:t xml:space="preserve">: John Henderson in </w:t>
      </w:r>
      <w:r w:rsidR="001D100C">
        <w:rPr>
          <w:rFonts w:ascii="Times New Roman" w:hAnsi="Times New Roman" w:cs="Times New Roman"/>
          <w:i/>
          <w:iCs/>
        </w:rPr>
        <w:t>Whiskey Frauds Testimony</w:t>
      </w:r>
      <w:r w:rsidR="001D100C">
        <w:rPr>
          <w:rFonts w:ascii="Times New Roman" w:hAnsi="Times New Roman" w:cs="Times New Roman"/>
        </w:rPr>
        <w:t xml:space="preserve">, 70-71; </w:t>
      </w:r>
      <w:r w:rsidR="00BC359D">
        <w:rPr>
          <w:rFonts w:ascii="Times New Roman" w:hAnsi="Times New Roman" w:cs="Times New Roman"/>
        </w:rPr>
        <w:t xml:space="preserve">Supervisor </w:t>
      </w:r>
      <w:r w:rsidR="001D100C">
        <w:rPr>
          <w:rFonts w:ascii="Times New Roman" w:hAnsi="Times New Roman" w:cs="Times New Roman"/>
        </w:rPr>
        <w:t xml:space="preserve">Tutton in </w:t>
      </w:r>
      <w:r w:rsidR="001D100C">
        <w:rPr>
          <w:rFonts w:ascii="Times New Roman" w:hAnsi="Times New Roman" w:cs="Times New Roman"/>
          <w:i/>
          <w:iCs/>
        </w:rPr>
        <w:t>Whiskey Frauds Testimony</w:t>
      </w:r>
      <w:r w:rsidR="001D100C">
        <w:rPr>
          <w:rFonts w:ascii="Times New Roman" w:hAnsi="Times New Roman" w:cs="Times New Roman"/>
        </w:rPr>
        <w:t xml:space="preserve">, 438; </w:t>
      </w:r>
      <w:r w:rsidR="001D100C">
        <w:rPr>
          <w:rFonts w:ascii="Times New Roman" w:hAnsi="Times New Roman" w:cs="Times New Roman"/>
          <w:i/>
          <w:iCs/>
        </w:rPr>
        <w:t>Chicago Daily Tribune</w:t>
      </w:r>
      <w:r w:rsidR="001D100C">
        <w:rPr>
          <w:rFonts w:ascii="Times New Roman" w:hAnsi="Times New Roman" w:cs="Times New Roman"/>
        </w:rPr>
        <w:t xml:space="preserve">, February 2, 1875; </w:t>
      </w:r>
      <w:r w:rsidR="001D100C">
        <w:rPr>
          <w:rFonts w:ascii="Times New Roman" w:hAnsi="Times New Roman" w:cs="Times New Roman"/>
          <w:i/>
          <w:iCs/>
        </w:rPr>
        <w:t>New York Tribune</w:t>
      </w:r>
      <w:r w:rsidR="001D100C">
        <w:rPr>
          <w:rFonts w:ascii="Times New Roman" w:hAnsi="Times New Roman" w:cs="Times New Roman"/>
        </w:rPr>
        <w:t xml:space="preserve">, April 2, 3, 1874; </w:t>
      </w:r>
      <w:r w:rsidR="001D100C">
        <w:rPr>
          <w:rFonts w:ascii="Times New Roman" w:hAnsi="Times New Roman" w:cs="Times New Roman"/>
          <w:i/>
          <w:iCs/>
        </w:rPr>
        <w:t>Washington Evening Star</w:t>
      </w:r>
      <w:r w:rsidR="001D100C">
        <w:rPr>
          <w:rFonts w:ascii="Times New Roman" w:hAnsi="Times New Roman" w:cs="Times New Roman"/>
        </w:rPr>
        <w:t>, May 5, 1874</w:t>
      </w:r>
    </w:p>
  </w:footnote>
  <w:footnote w:id="1214">
    <w:p w14:paraId="4BDD2CF4" w14:textId="2DB25C13"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D100C">
        <w:rPr>
          <w:rFonts w:ascii="Times New Roman" w:hAnsi="Times New Roman" w:cs="Times New Roman"/>
        </w:rPr>
        <w:t>Ibid</w:t>
      </w:r>
    </w:p>
  </w:footnote>
  <w:footnote w:id="1215">
    <w:p w14:paraId="7F126594" w14:textId="2C1E438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D100C">
        <w:rPr>
          <w:rFonts w:ascii="Times New Roman" w:hAnsi="Times New Roman" w:cs="Times New Roman"/>
        </w:rPr>
        <w:t>Ibid</w:t>
      </w:r>
    </w:p>
  </w:footnote>
  <w:footnote w:id="1216">
    <w:p w14:paraId="7FCFCFE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17">
    <w:p w14:paraId="6267DBE8" w14:textId="6FB60B12"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18">
    <w:p w14:paraId="456C5163" w14:textId="489CBDE8" w:rsidR="00F06201" w:rsidRPr="0011301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3011">
        <w:rPr>
          <w:rFonts w:ascii="Times New Roman" w:hAnsi="Times New Roman" w:cs="Times New Roman"/>
          <w:i/>
          <w:iCs/>
        </w:rPr>
        <w:t>St. Louis Daily Globe Democrat</w:t>
      </w:r>
      <w:r w:rsidR="00113011">
        <w:rPr>
          <w:rFonts w:ascii="Times New Roman" w:hAnsi="Times New Roman" w:cs="Times New Roman"/>
        </w:rPr>
        <w:t xml:space="preserve">, November 18, 1875; </w:t>
      </w:r>
      <w:r w:rsidR="00113011">
        <w:rPr>
          <w:rFonts w:ascii="Times New Roman" w:hAnsi="Times New Roman" w:cs="Times New Roman"/>
          <w:i/>
          <w:iCs/>
        </w:rPr>
        <w:t>New York Times</w:t>
      </w:r>
      <w:r w:rsidR="00113011">
        <w:rPr>
          <w:rFonts w:ascii="Times New Roman" w:hAnsi="Times New Roman" w:cs="Times New Roman"/>
        </w:rPr>
        <w:t>, February 11, 1876</w:t>
      </w:r>
    </w:p>
  </w:footnote>
  <w:footnote w:id="1219">
    <w:p w14:paraId="677B115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20">
    <w:p w14:paraId="7755104B"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21">
    <w:p w14:paraId="155EF759" w14:textId="54D1B41B"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3011">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113011">
        <w:rPr>
          <w:rFonts w:ascii="Times New Roman" w:hAnsi="Times New Roman" w:cs="Times New Roman"/>
        </w:rPr>
        <w:t xml:space="preserve"> 85-87</w:t>
      </w:r>
    </w:p>
  </w:footnote>
  <w:footnote w:id="1222">
    <w:p w14:paraId="7743CC9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23">
    <w:p w14:paraId="7F0CFD6B"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24">
    <w:p w14:paraId="3062EB2E" w14:textId="2D64455B" w:rsidR="00F06201" w:rsidRPr="0011301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r w:rsidR="00113011">
        <w:rPr>
          <w:rFonts w:ascii="Times New Roman" w:hAnsi="Times New Roman" w:cs="Times New Roman"/>
        </w:rPr>
        <w:t xml:space="preserve">; McDonald, </w:t>
      </w:r>
      <w:r w:rsidR="00113011">
        <w:rPr>
          <w:rFonts w:ascii="Times New Roman" w:hAnsi="Times New Roman" w:cs="Times New Roman"/>
          <w:i/>
          <w:iCs/>
        </w:rPr>
        <w:t>Secrets</w:t>
      </w:r>
      <w:r w:rsidR="00113011">
        <w:rPr>
          <w:rFonts w:ascii="Times New Roman" w:hAnsi="Times New Roman" w:cs="Times New Roman"/>
        </w:rPr>
        <w:t>, 125-126</w:t>
      </w:r>
    </w:p>
  </w:footnote>
  <w:footnote w:id="1225">
    <w:p w14:paraId="5DE5208C" w14:textId="169004E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3011">
        <w:rPr>
          <w:rFonts w:ascii="Times New Roman" w:hAnsi="Times New Roman" w:cs="Times New Roman"/>
        </w:rPr>
        <w:t xml:space="preserve">McDonald, </w:t>
      </w:r>
      <w:r w:rsidR="00113011">
        <w:rPr>
          <w:rFonts w:ascii="Times New Roman" w:hAnsi="Times New Roman" w:cs="Times New Roman"/>
          <w:i/>
          <w:iCs/>
        </w:rPr>
        <w:t>Secrets</w:t>
      </w:r>
      <w:r w:rsidR="00113011">
        <w:rPr>
          <w:rFonts w:ascii="Times New Roman" w:hAnsi="Times New Roman" w:cs="Times New Roman"/>
        </w:rPr>
        <w:t>, 125-126</w:t>
      </w:r>
    </w:p>
  </w:footnote>
  <w:footnote w:id="1226">
    <w:p w14:paraId="3A1E76B9" w14:textId="1D57E4BE" w:rsidR="00F06201" w:rsidRPr="0011301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3011">
        <w:rPr>
          <w:rFonts w:ascii="Times New Roman" w:hAnsi="Times New Roman" w:cs="Times New Roman"/>
        </w:rPr>
        <w:t xml:space="preserve">Bluford Wilson in </w:t>
      </w:r>
      <w:r w:rsidR="00113011">
        <w:rPr>
          <w:rFonts w:ascii="Times New Roman" w:hAnsi="Times New Roman" w:cs="Times New Roman"/>
          <w:i/>
          <w:iCs/>
        </w:rPr>
        <w:t>Whiskey Frauds Testimony</w:t>
      </w:r>
      <w:r w:rsidR="00113011">
        <w:rPr>
          <w:rFonts w:ascii="Times New Roman" w:hAnsi="Times New Roman" w:cs="Times New Roman"/>
        </w:rPr>
        <w:t xml:space="preserve">, 353; Edith Wharton, “The Whiskey Ring,” </w:t>
      </w:r>
      <w:r w:rsidR="00113011">
        <w:rPr>
          <w:rFonts w:ascii="Times New Roman" w:hAnsi="Times New Roman" w:cs="Times New Roman"/>
          <w:i/>
          <w:iCs/>
        </w:rPr>
        <w:t>North American Review</w:t>
      </w:r>
      <w:r w:rsidR="00113011">
        <w:rPr>
          <w:rFonts w:ascii="Times New Roman" w:hAnsi="Times New Roman" w:cs="Times New Roman"/>
        </w:rPr>
        <w:t xml:space="preserve"> 12 (1876) 282-283</w:t>
      </w:r>
    </w:p>
  </w:footnote>
  <w:footnote w:id="1227">
    <w:p w14:paraId="3DBD6535"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28">
    <w:p w14:paraId="25E07F7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29">
    <w:p w14:paraId="3086D092"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30">
    <w:p w14:paraId="70B48131" w14:textId="3F7A293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8522E">
        <w:rPr>
          <w:rFonts w:ascii="Times New Roman" w:hAnsi="Times New Roman" w:cs="Times New Roman"/>
        </w:rPr>
        <w:t xml:space="preserve">Matthew Brady, </w:t>
      </w:r>
      <w:r w:rsidR="0098522E">
        <w:rPr>
          <w:rFonts w:ascii="Times New Roman" w:hAnsi="Times New Roman" w:cs="Times New Roman"/>
          <w:i/>
          <w:iCs/>
        </w:rPr>
        <w:t xml:space="preserve">Benjamin Helm Bristow. </w:t>
      </w:r>
      <w:r w:rsidR="0098522E">
        <w:rPr>
          <w:rFonts w:ascii="Times New Roman" w:hAnsi="Times New Roman" w:cs="Times New Roman"/>
        </w:rPr>
        <w:t xml:space="preserve">Photograph. </w:t>
      </w:r>
      <w:r w:rsidR="00967A16" w:rsidRPr="0098522E">
        <w:rPr>
          <w:rFonts w:ascii="Times New Roman" w:hAnsi="Times New Roman" w:cs="Times New Roman"/>
        </w:rPr>
        <w:t>Photo</w:t>
      </w:r>
      <w:r w:rsidR="00967A16">
        <w:rPr>
          <w:rFonts w:ascii="Times New Roman" w:hAnsi="Times New Roman" w:cs="Times New Roman"/>
        </w:rPr>
        <w:t xml:space="preserve"> Courtesy of the </w:t>
      </w:r>
      <w:r w:rsidRPr="002318C9">
        <w:rPr>
          <w:rFonts w:ascii="Times New Roman" w:hAnsi="Times New Roman" w:cs="Times New Roman"/>
        </w:rPr>
        <w:t>Library of Congress</w:t>
      </w:r>
    </w:p>
  </w:footnote>
  <w:footnote w:id="1231">
    <w:p w14:paraId="2AF817C8" w14:textId="77777777" w:rsidR="00FC6E97" w:rsidRPr="00967A16" w:rsidRDefault="00FC6E97" w:rsidP="00FC6E97">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 xml:space="preserve">McDonald, </w:t>
      </w:r>
      <w:r>
        <w:rPr>
          <w:rFonts w:ascii="Times New Roman" w:hAnsi="Times New Roman" w:cs="Times New Roman"/>
          <w:i/>
          <w:iCs/>
        </w:rPr>
        <w:t>Secrets</w:t>
      </w:r>
      <w:r>
        <w:rPr>
          <w:rFonts w:ascii="Times New Roman" w:hAnsi="Times New Roman" w:cs="Times New Roman"/>
        </w:rPr>
        <w:t>, 127</w:t>
      </w:r>
    </w:p>
  </w:footnote>
  <w:footnote w:id="1232">
    <w:p w14:paraId="57CD21E5" w14:textId="34A9B93B" w:rsidR="00F06201" w:rsidRPr="00AF5E3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F5E31">
        <w:rPr>
          <w:rFonts w:ascii="Times New Roman" w:hAnsi="Times New Roman" w:cs="Times New Roman"/>
        </w:rPr>
        <w:t xml:space="preserve">McDonald, </w:t>
      </w:r>
      <w:r w:rsidR="00AF5E31">
        <w:rPr>
          <w:rFonts w:ascii="Times New Roman" w:hAnsi="Times New Roman" w:cs="Times New Roman"/>
          <w:i/>
          <w:iCs/>
        </w:rPr>
        <w:t>Secrets</w:t>
      </w:r>
      <w:r w:rsidR="00AF5E31">
        <w:rPr>
          <w:rFonts w:ascii="Times New Roman" w:hAnsi="Times New Roman" w:cs="Times New Roman"/>
        </w:rPr>
        <w:t xml:space="preserve">, 128-129; Homer Yaryan in </w:t>
      </w:r>
      <w:r w:rsidR="00AF5E31">
        <w:rPr>
          <w:rFonts w:ascii="Times New Roman" w:hAnsi="Times New Roman" w:cs="Times New Roman"/>
          <w:i/>
          <w:iCs/>
        </w:rPr>
        <w:t>Whiskey Frauds Testimony</w:t>
      </w:r>
      <w:r w:rsidR="00AF5E31">
        <w:rPr>
          <w:rFonts w:ascii="Times New Roman" w:hAnsi="Times New Roman" w:cs="Times New Roman"/>
        </w:rPr>
        <w:t>, 333</w:t>
      </w:r>
    </w:p>
  </w:footnote>
  <w:footnote w:id="1233">
    <w:p w14:paraId="739A3A0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34">
    <w:p w14:paraId="7EB06D8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35">
    <w:p w14:paraId="5167291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36">
    <w:p w14:paraId="7D9F343C"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37">
    <w:p w14:paraId="5FA3D17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38">
    <w:p w14:paraId="2AA6A868" w14:textId="6A1235D0" w:rsidR="00F06201" w:rsidRPr="00A25592"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25592">
        <w:rPr>
          <w:rFonts w:ascii="Times New Roman" w:hAnsi="Times New Roman" w:cs="Times New Roman"/>
        </w:rPr>
        <w:t xml:space="preserve">Bluford Wilson in </w:t>
      </w:r>
      <w:r w:rsidR="00A25592">
        <w:rPr>
          <w:rFonts w:ascii="Times New Roman" w:hAnsi="Times New Roman" w:cs="Times New Roman"/>
          <w:i/>
          <w:iCs/>
        </w:rPr>
        <w:t>Whiskey Frauds Testimony</w:t>
      </w:r>
      <w:r w:rsidR="00A25592">
        <w:rPr>
          <w:rFonts w:ascii="Times New Roman" w:hAnsi="Times New Roman" w:cs="Times New Roman"/>
        </w:rPr>
        <w:t>, 354-355; 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A25592">
        <w:rPr>
          <w:rFonts w:ascii="Times New Roman" w:hAnsi="Times New Roman" w:cs="Times New Roman"/>
        </w:rPr>
        <w:t xml:space="preserve"> 86-87</w:t>
      </w:r>
    </w:p>
  </w:footnote>
  <w:footnote w:id="1239">
    <w:p w14:paraId="569754C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40">
    <w:p w14:paraId="069C3C93" w14:textId="7BAD3A3E" w:rsidR="00F06201" w:rsidRPr="00A25FD4"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25FD4">
        <w:rPr>
          <w:rFonts w:ascii="Times New Roman" w:hAnsi="Times New Roman" w:cs="Times New Roman"/>
        </w:rPr>
        <w:t xml:space="preserve">Bluford Wilson in </w:t>
      </w:r>
      <w:r w:rsidR="00A25FD4">
        <w:rPr>
          <w:rFonts w:ascii="Times New Roman" w:hAnsi="Times New Roman" w:cs="Times New Roman"/>
          <w:i/>
          <w:iCs/>
        </w:rPr>
        <w:t>Whiskey Frauds Testimony</w:t>
      </w:r>
      <w:r w:rsidR="00A25FD4">
        <w:rPr>
          <w:rFonts w:ascii="Times New Roman" w:hAnsi="Times New Roman" w:cs="Times New Roman"/>
        </w:rPr>
        <w:t xml:space="preserve">, 354-356, 482; McDonald, </w:t>
      </w:r>
      <w:r w:rsidR="00A25FD4">
        <w:rPr>
          <w:rFonts w:ascii="Times New Roman" w:hAnsi="Times New Roman" w:cs="Times New Roman"/>
          <w:i/>
          <w:iCs/>
        </w:rPr>
        <w:t>Secrets</w:t>
      </w:r>
      <w:r w:rsidR="00A25FD4">
        <w:rPr>
          <w:rFonts w:ascii="Times New Roman" w:hAnsi="Times New Roman" w:cs="Times New Roman"/>
        </w:rPr>
        <w:t>, 158-160</w:t>
      </w:r>
    </w:p>
  </w:footnote>
  <w:footnote w:id="1241">
    <w:p w14:paraId="32CC848E" w14:textId="483505D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42">
    <w:p w14:paraId="6B061B6B" w14:textId="06E4B64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25FD4">
        <w:rPr>
          <w:rFonts w:ascii="Times New Roman" w:hAnsi="Times New Roman" w:cs="Times New Roman"/>
        </w:rPr>
        <w:t>Ibid</w:t>
      </w:r>
    </w:p>
  </w:footnote>
  <w:footnote w:id="1243">
    <w:p w14:paraId="6456BDEC"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44">
    <w:p w14:paraId="6EC0EFDB"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45">
    <w:p w14:paraId="7ABE9EB0" w14:textId="19CBFAA9" w:rsidR="00F06201" w:rsidRPr="00A25FD4"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25FD4">
        <w:rPr>
          <w:rFonts w:ascii="Times New Roman" w:hAnsi="Times New Roman" w:cs="Times New Roman"/>
        </w:rPr>
        <w:t xml:space="preserve">Ibid; </w:t>
      </w:r>
      <w:r w:rsidRPr="002318C9">
        <w:rPr>
          <w:rFonts w:ascii="Times New Roman" w:hAnsi="Times New Roman" w:cs="Times New Roman"/>
        </w:rPr>
        <w:t>C</w:t>
      </w:r>
      <w:r w:rsidR="00A25FD4">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A25FD4">
        <w:rPr>
          <w:rFonts w:ascii="Times New Roman" w:hAnsi="Times New Roman" w:cs="Times New Roman"/>
        </w:rPr>
        <w:t xml:space="preserve"> </w:t>
      </w:r>
      <w:r w:rsidRPr="002318C9">
        <w:rPr>
          <w:rFonts w:ascii="Times New Roman" w:hAnsi="Times New Roman" w:cs="Times New Roman"/>
        </w:rPr>
        <w:t>497</w:t>
      </w:r>
    </w:p>
  </w:footnote>
  <w:footnote w:id="1246">
    <w:p w14:paraId="7DDAC922" w14:textId="792DEC0A" w:rsidR="00F06201" w:rsidRPr="0071311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1311F">
        <w:rPr>
          <w:rFonts w:ascii="Times New Roman" w:hAnsi="Times New Roman" w:cs="Times New Roman"/>
        </w:rPr>
        <w:t xml:space="preserve">Elverton Chapman in </w:t>
      </w:r>
      <w:r w:rsidR="0071311F">
        <w:rPr>
          <w:rFonts w:ascii="Times New Roman" w:hAnsi="Times New Roman" w:cs="Times New Roman"/>
          <w:i/>
          <w:iCs/>
        </w:rPr>
        <w:t>Whiskey Frauds Testimony</w:t>
      </w:r>
      <w:r w:rsidR="0071311F">
        <w:rPr>
          <w:rFonts w:ascii="Times New Roman" w:hAnsi="Times New Roman" w:cs="Times New Roman"/>
        </w:rPr>
        <w:t xml:space="preserve">, 389-393; Simon, </w:t>
      </w:r>
      <w:r w:rsidR="0071311F">
        <w:rPr>
          <w:rFonts w:ascii="Times New Roman" w:hAnsi="Times New Roman" w:cs="Times New Roman"/>
          <w:i/>
          <w:iCs/>
        </w:rPr>
        <w:t>Papers of Ulysses S. Grant, 26, 1875</w:t>
      </w:r>
      <w:r w:rsidR="0071311F">
        <w:rPr>
          <w:rFonts w:ascii="Times New Roman" w:hAnsi="Times New Roman" w:cs="Times New Roman"/>
        </w:rPr>
        <w:t xml:space="preserve">, 284-285; Bluford Wilson in </w:t>
      </w:r>
      <w:r w:rsidR="0071311F">
        <w:rPr>
          <w:rFonts w:ascii="Times New Roman" w:hAnsi="Times New Roman" w:cs="Times New Roman"/>
          <w:i/>
          <w:iCs/>
        </w:rPr>
        <w:t>Whiskey Frauds Testimony</w:t>
      </w:r>
      <w:r w:rsidR="0071311F">
        <w:rPr>
          <w:rFonts w:ascii="Times New Roman" w:hAnsi="Times New Roman" w:cs="Times New Roman"/>
        </w:rPr>
        <w:t>, 482</w:t>
      </w:r>
    </w:p>
  </w:footnote>
  <w:footnote w:id="1247">
    <w:p w14:paraId="4D631FA7" w14:textId="48AE2243" w:rsidR="00F06201" w:rsidRPr="00CD37BB"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CD37BB">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CD37BB">
        <w:rPr>
          <w:rFonts w:ascii="Times New Roman" w:hAnsi="Times New Roman" w:cs="Times New Roman"/>
        </w:rPr>
        <w:t xml:space="preserve"> </w:t>
      </w:r>
      <w:r w:rsidRPr="002318C9">
        <w:rPr>
          <w:rFonts w:ascii="Times New Roman" w:hAnsi="Times New Roman" w:cs="Times New Roman"/>
        </w:rPr>
        <w:t>497-</w:t>
      </w:r>
      <w:r w:rsidR="00CD37BB">
        <w:rPr>
          <w:rFonts w:ascii="Times New Roman" w:hAnsi="Times New Roman" w:cs="Times New Roman"/>
        </w:rPr>
        <w:t xml:space="preserve">498; Dyer, </w:t>
      </w:r>
      <w:r w:rsidR="00CD37BB">
        <w:rPr>
          <w:rFonts w:ascii="Times New Roman" w:hAnsi="Times New Roman" w:cs="Times New Roman"/>
          <w:i/>
          <w:iCs/>
        </w:rPr>
        <w:t>Autobiography</w:t>
      </w:r>
      <w:r w:rsidR="00CD37BB">
        <w:rPr>
          <w:rFonts w:ascii="Times New Roman" w:hAnsi="Times New Roman" w:cs="Times New Roman"/>
        </w:rPr>
        <w:t xml:space="preserve">, 138-152; H.V. Boynton, “The Whiskey Ring,” </w:t>
      </w:r>
      <w:r w:rsidR="00CD37BB">
        <w:rPr>
          <w:rFonts w:ascii="Times New Roman" w:hAnsi="Times New Roman" w:cs="Times New Roman"/>
          <w:i/>
          <w:iCs/>
        </w:rPr>
        <w:t>North American Review</w:t>
      </w:r>
      <w:r w:rsidR="00CD37BB">
        <w:rPr>
          <w:rFonts w:ascii="Times New Roman" w:hAnsi="Times New Roman" w:cs="Times New Roman"/>
        </w:rPr>
        <w:t xml:space="preserve"> 123 (October 1876): 299-300.</w:t>
      </w:r>
    </w:p>
  </w:footnote>
  <w:footnote w:id="1248">
    <w:p w14:paraId="6EC21EB6" w14:textId="3FA0451B"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D37BB">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CD37BB">
        <w:rPr>
          <w:rFonts w:ascii="Times New Roman" w:hAnsi="Times New Roman" w:cs="Times New Roman"/>
        </w:rPr>
        <w:t xml:space="preserve"> </w:t>
      </w:r>
      <w:r w:rsidRPr="002318C9">
        <w:rPr>
          <w:rFonts w:ascii="Times New Roman" w:hAnsi="Times New Roman" w:cs="Times New Roman"/>
        </w:rPr>
        <w:t>88</w:t>
      </w:r>
    </w:p>
  </w:footnote>
  <w:footnote w:id="1249">
    <w:p w14:paraId="28210C2D" w14:textId="10AA020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D71094">
        <w:rPr>
          <w:rFonts w:ascii="Times New Roman" w:hAnsi="Times New Roman" w:cs="Times New Roman"/>
        </w:rPr>
        <w:t>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D71094">
        <w:rPr>
          <w:rFonts w:ascii="Times New Roman" w:hAnsi="Times New Roman" w:cs="Times New Roman"/>
        </w:rPr>
        <w:t xml:space="preserve"> </w:t>
      </w:r>
      <w:r w:rsidRPr="002318C9">
        <w:rPr>
          <w:rFonts w:ascii="Times New Roman" w:hAnsi="Times New Roman" w:cs="Times New Roman"/>
        </w:rPr>
        <w:t>89</w:t>
      </w:r>
      <w:r w:rsidR="00D71094">
        <w:rPr>
          <w:rFonts w:ascii="Times New Roman" w:hAnsi="Times New Roman" w:cs="Times New Roman"/>
        </w:rPr>
        <w:t xml:space="preserve">; McDonald, </w:t>
      </w:r>
      <w:r w:rsidR="00D71094" w:rsidRPr="0031064E">
        <w:rPr>
          <w:rFonts w:ascii="Times New Roman" w:hAnsi="Times New Roman" w:cs="Times New Roman"/>
          <w:i/>
          <w:iCs/>
        </w:rPr>
        <w:t>Secrets</w:t>
      </w:r>
      <w:r w:rsidR="00D71094">
        <w:rPr>
          <w:rFonts w:ascii="Times New Roman" w:hAnsi="Times New Roman" w:cs="Times New Roman"/>
        </w:rPr>
        <w:t>, 131-169</w:t>
      </w:r>
    </w:p>
  </w:footnote>
  <w:footnote w:id="1250">
    <w:p w14:paraId="16DCEF18" w14:textId="790B5EAF"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71094">
        <w:rPr>
          <w:rFonts w:ascii="Times New Roman" w:hAnsi="Times New Roman" w:cs="Times New Roman"/>
        </w:rPr>
        <w:t xml:space="preserve">Ibid; </w:t>
      </w:r>
      <w:r w:rsidR="00D71094">
        <w:rPr>
          <w:rFonts w:ascii="Times New Roman" w:hAnsi="Times New Roman" w:cs="Times New Roman"/>
          <w:i/>
          <w:iCs/>
        </w:rPr>
        <w:t>Whiskey Frauds Testimony</w:t>
      </w:r>
      <w:r w:rsidR="00D71094">
        <w:rPr>
          <w:rFonts w:ascii="Times New Roman" w:hAnsi="Times New Roman" w:cs="Times New Roman"/>
        </w:rPr>
        <w:t>, 354-482</w:t>
      </w:r>
    </w:p>
  </w:footnote>
  <w:footnote w:id="1251">
    <w:p w14:paraId="34CD2FE8" w14:textId="1937FAC2" w:rsidR="00F06201" w:rsidRPr="005F484E"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F484E" w:rsidRPr="002318C9">
        <w:rPr>
          <w:rFonts w:ascii="Times New Roman" w:hAnsi="Times New Roman" w:cs="Times New Roman"/>
        </w:rPr>
        <w:t>C</w:t>
      </w:r>
      <w:r w:rsidR="005F484E">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5F484E">
        <w:rPr>
          <w:rFonts w:ascii="Times New Roman" w:hAnsi="Times New Roman" w:cs="Times New Roman"/>
        </w:rPr>
        <w:t xml:space="preserve"> </w:t>
      </w:r>
      <w:r w:rsidR="005F484E" w:rsidRPr="002318C9">
        <w:rPr>
          <w:rFonts w:ascii="Times New Roman" w:hAnsi="Times New Roman" w:cs="Times New Roman"/>
        </w:rPr>
        <w:t>497-</w:t>
      </w:r>
      <w:r w:rsidR="005F484E">
        <w:rPr>
          <w:rFonts w:ascii="Times New Roman" w:hAnsi="Times New Roman" w:cs="Times New Roman"/>
        </w:rPr>
        <w:t xml:space="preserve">498; Dyer, </w:t>
      </w:r>
      <w:r w:rsidR="005F484E">
        <w:rPr>
          <w:rFonts w:ascii="Times New Roman" w:hAnsi="Times New Roman" w:cs="Times New Roman"/>
          <w:i/>
          <w:iCs/>
        </w:rPr>
        <w:t>Autobiography</w:t>
      </w:r>
      <w:r w:rsidR="005F484E">
        <w:rPr>
          <w:rFonts w:ascii="Times New Roman" w:hAnsi="Times New Roman" w:cs="Times New Roman"/>
        </w:rPr>
        <w:t xml:space="preserve">, 138-152; H.V. Boynton, “The Whiskey Ring,” </w:t>
      </w:r>
      <w:r w:rsidR="005F484E">
        <w:rPr>
          <w:rFonts w:ascii="Times New Roman" w:hAnsi="Times New Roman" w:cs="Times New Roman"/>
          <w:i/>
          <w:iCs/>
        </w:rPr>
        <w:t>North American Review</w:t>
      </w:r>
      <w:r w:rsidR="005F484E">
        <w:rPr>
          <w:rFonts w:ascii="Times New Roman" w:hAnsi="Times New Roman" w:cs="Times New Roman"/>
        </w:rPr>
        <w:t xml:space="preserve"> 123 (October 1876): 299-300; “Sylph” [Orville Babcock] to John McDonald, December 13, 1874, telegram; Elverton Chapman in </w:t>
      </w:r>
      <w:r w:rsidR="005F484E">
        <w:rPr>
          <w:rFonts w:ascii="Times New Roman" w:hAnsi="Times New Roman" w:cs="Times New Roman"/>
          <w:i/>
          <w:iCs/>
        </w:rPr>
        <w:t>Whiskey Frauds Testimony</w:t>
      </w:r>
      <w:r w:rsidR="005F484E">
        <w:rPr>
          <w:rFonts w:ascii="Times New Roman" w:hAnsi="Times New Roman" w:cs="Times New Roman"/>
        </w:rPr>
        <w:t>, 390-392</w:t>
      </w:r>
    </w:p>
  </w:footnote>
  <w:footnote w:id="1252">
    <w:p w14:paraId="3EB395FF" w14:textId="3C89D4FF" w:rsidR="00F06201" w:rsidRPr="002318C9" w:rsidRDefault="00F06201" w:rsidP="00807BC3">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07BC3" w:rsidRPr="002318C9">
        <w:rPr>
          <w:rFonts w:ascii="Times New Roman" w:hAnsi="Times New Roman" w:cs="Times New Roman"/>
        </w:rPr>
        <w:t>C</w:t>
      </w:r>
      <w:r w:rsidR="00807BC3">
        <w:rPr>
          <w:rFonts w:ascii="Times New Roman" w:hAnsi="Times New Roman" w:cs="Times New Roman"/>
        </w:rPr>
        <w:t>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807BC3">
        <w:rPr>
          <w:rFonts w:ascii="Times New Roman" w:hAnsi="Times New Roman" w:cs="Times New Roman"/>
        </w:rPr>
        <w:t xml:space="preserve"> </w:t>
      </w:r>
      <w:r w:rsidR="00807BC3" w:rsidRPr="002318C9">
        <w:rPr>
          <w:rFonts w:ascii="Times New Roman" w:hAnsi="Times New Roman" w:cs="Times New Roman"/>
        </w:rPr>
        <w:t>89</w:t>
      </w:r>
      <w:r w:rsidR="00807BC3">
        <w:rPr>
          <w:rFonts w:ascii="Times New Roman" w:hAnsi="Times New Roman" w:cs="Times New Roman"/>
        </w:rPr>
        <w:t xml:space="preserve">; McDonald, </w:t>
      </w:r>
      <w:r w:rsidR="00807BC3" w:rsidRPr="00D71094">
        <w:rPr>
          <w:rFonts w:ascii="Times New Roman" w:hAnsi="Times New Roman" w:cs="Times New Roman"/>
        </w:rPr>
        <w:t>Secrets</w:t>
      </w:r>
      <w:r w:rsidR="00807BC3">
        <w:rPr>
          <w:rFonts w:ascii="Times New Roman" w:hAnsi="Times New Roman" w:cs="Times New Roman"/>
        </w:rPr>
        <w:t xml:space="preserve">, 131-169; </w:t>
      </w:r>
      <w:r w:rsidR="00807BC3">
        <w:rPr>
          <w:rFonts w:ascii="Times New Roman" w:hAnsi="Times New Roman" w:cs="Times New Roman"/>
          <w:i/>
          <w:iCs/>
        </w:rPr>
        <w:t>Whiskey Frauds Testimony</w:t>
      </w:r>
      <w:r w:rsidR="00807BC3">
        <w:rPr>
          <w:rFonts w:ascii="Times New Roman" w:hAnsi="Times New Roman" w:cs="Times New Roman"/>
        </w:rPr>
        <w:t>, 354-482; Hamilton Fish Diary, April 13-21, 1875</w:t>
      </w:r>
    </w:p>
  </w:footnote>
  <w:footnote w:id="1253">
    <w:p w14:paraId="0A8E32C1" w14:textId="15636110" w:rsidR="00F06201" w:rsidRPr="00307D8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07D8F">
        <w:rPr>
          <w:rFonts w:ascii="Times New Roman" w:hAnsi="Times New Roman" w:cs="Times New Roman"/>
        </w:rPr>
        <w:t xml:space="preserve">McDonald, </w:t>
      </w:r>
      <w:r w:rsidR="00307D8F">
        <w:rPr>
          <w:rFonts w:ascii="Times New Roman" w:hAnsi="Times New Roman" w:cs="Times New Roman"/>
          <w:i/>
          <w:iCs/>
        </w:rPr>
        <w:t>Secrets</w:t>
      </w:r>
      <w:r w:rsidR="00307D8F">
        <w:rPr>
          <w:rFonts w:ascii="Times New Roman" w:hAnsi="Times New Roman" w:cs="Times New Roman"/>
        </w:rPr>
        <w:t>, 154-169</w:t>
      </w:r>
    </w:p>
  </w:footnote>
  <w:footnote w:id="1254">
    <w:p w14:paraId="0C3DC4CC"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55">
    <w:p w14:paraId="38B37FCE" w14:textId="510A357A" w:rsidR="00F06201" w:rsidRPr="00307D8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07D8F">
        <w:rPr>
          <w:rFonts w:ascii="Times New Roman" w:hAnsi="Times New Roman" w:cs="Times New Roman"/>
        </w:rPr>
        <w:t xml:space="preserve">Elverton Chapman in </w:t>
      </w:r>
      <w:r w:rsidR="00307D8F">
        <w:rPr>
          <w:rFonts w:ascii="Times New Roman" w:hAnsi="Times New Roman" w:cs="Times New Roman"/>
          <w:i/>
          <w:iCs/>
        </w:rPr>
        <w:t>Whiskey Frauds Testimony</w:t>
      </w:r>
      <w:r w:rsidR="00307D8F">
        <w:rPr>
          <w:rFonts w:ascii="Times New Roman" w:hAnsi="Times New Roman" w:cs="Times New Roman"/>
        </w:rPr>
        <w:t>, 390-392</w:t>
      </w:r>
    </w:p>
  </w:footnote>
  <w:footnote w:id="1256">
    <w:p w14:paraId="593AD66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57">
    <w:p w14:paraId="41411693" w14:textId="12A783D4" w:rsidR="00F06201" w:rsidRPr="00307D8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307D8F">
        <w:rPr>
          <w:rFonts w:ascii="Times New Roman" w:hAnsi="Times New Roman" w:cs="Times New Roman"/>
        </w:rPr>
        <w:t>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307D8F">
        <w:rPr>
          <w:rFonts w:ascii="Times New Roman" w:hAnsi="Times New Roman" w:cs="Times New Roman"/>
        </w:rPr>
        <w:t xml:space="preserve"> </w:t>
      </w:r>
      <w:r w:rsidRPr="002318C9">
        <w:rPr>
          <w:rFonts w:ascii="Times New Roman" w:hAnsi="Times New Roman" w:cs="Times New Roman"/>
        </w:rPr>
        <w:t>89-90</w:t>
      </w:r>
      <w:r w:rsidR="00307D8F">
        <w:rPr>
          <w:rFonts w:ascii="Times New Roman" w:hAnsi="Times New Roman" w:cs="Times New Roman"/>
        </w:rPr>
        <w:t xml:space="preserve">; McDonald, </w:t>
      </w:r>
      <w:r w:rsidR="00307D8F">
        <w:rPr>
          <w:rFonts w:ascii="Times New Roman" w:hAnsi="Times New Roman" w:cs="Times New Roman"/>
          <w:i/>
          <w:iCs/>
        </w:rPr>
        <w:t>Secrets</w:t>
      </w:r>
      <w:r w:rsidR="00307D8F">
        <w:rPr>
          <w:rFonts w:ascii="Times New Roman" w:hAnsi="Times New Roman" w:cs="Times New Roman"/>
        </w:rPr>
        <w:t>, 170-179</w:t>
      </w:r>
    </w:p>
  </w:footnote>
  <w:footnote w:id="1258">
    <w:p w14:paraId="790BCC5B"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p>
  </w:footnote>
  <w:footnote w:id="1259">
    <w:p w14:paraId="54ABBFC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60">
    <w:p w14:paraId="5BE95E41" w14:textId="5AACBCCD" w:rsidR="00F06201" w:rsidRPr="000A226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A2266">
        <w:rPr>
          <w:rFonts w:ascii="Times New Roman" w:hAnsi="Times New Roman" w:cs="Times New Roman"/>
        </w:rPr>
        <w:t>Simon</w:t>
      </w:r>
      <w:r w:rsidR="000A2266">
        <w:rPr>
          <w:rFonts w:ascii="Times New Roman" w:hAnsi="Times New Roman" w:cs="Times New Roman"/>
          <w:i/>
          <w:iCs/>
        </w:rPr>
        <w:t>, Papers of Ulysses S. Grant, 26, 1875</w:t>
      </w:r>
      <w:r w:rsidR="000A2266">
        <w:rPr>
          <w:rFonts w:ascii="Times New Roman" w:hAnsi="Times New Roman" w:cs="Times New Roman"/>
        </w:rPr>
        <w:t xml:space="preserve">, 238, 284-285; Elverton Chapman in </w:t>
      </w:r>
      <w:r w:rsidR="000A2266">
        <w:rPr>
          <w:rFonts w:ascii="Times New Roman" w:hAnsi="Times New Roman" w:cs="Times New Roman"/>
          <w:i/>
          <w:iCs/>
        </w:rPr>
        <w:t>Whiskey Frauds Testimony</w:t>
      </w:r>
      <w:r w:rsidR="000A2266">
        <w:rPr>
          <w:rFonts w:ascii="Times New Roman" w:hAnsi="Times New Roman" w:cs="Times New Roman"/>
        </w:rPr>
        <w:t xml:space="preserve">, 391; Dyer, </w:t>
      </w:r>
      <w:r w:rsidR="000A2266">
        <w:rPr>
          <w:rFonts w:ascii="Times New Roman" w:hAnsi="Times New Roman" w:cs="Times New Roman"/>
          <w:i/>
          <w:iCs/>
        </w:rPr>
        <w:t>Autobiography</w:t>
      </w:r>
      <w:r w:rsidR="000A2266">
        <w:rPr>
          <w:rFonts w:ascii="Times New Roman" w:hAnsi="Times New Roman" w:cs="Times New Roman"/>
        </w:rPr>
        <w:t xml:space="preserve">, 151-163; </w:t>
      </w:r>
      <w:r w:rsidR="000A2266">
        <w:rPr>
          <w:rFonts w:ascii="Times New Roman" w:hAnsi="Times New Roman" w:cs="Times New Roman"/>
          <w:i/>
          <w:iCs/>
        </w:rPr>
        <w:t>New York Times</w:t>
      </w:r>
      <w:r w:rsidR="000A2266">
        <w:rPr>
          <w:rFonts w:ascii="Times New Roman" w:hAnsi="Times New Roman" w:cs="Times New Roman"/>
        </w:rPr>
        <w:t>, May 23, 1875</w:t>
      </w:r>
    </w:p>
  </w:footnote>
  <w:footnote w:id="1261">
    <w:p w14:paraId="22D1D475" w14:textId="72C52C8C" w:rsidR="00F06201" w:rsidRPr="000A226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A2266">
        <w:rPr>
          <w:rFonts w:ascii="Times New Roman" w:hAnsi="Times New Roman" w:cs="Times New Roman"/>
        </w:rPr>
        <w:t xml:space="preserve">Simon, </w:t>
      </w:r>
      <w:r w:rsidR="000A2266">
        <w:rPr>
          <w:rFonts w:ascii="Times New Roman" w:hAnsi="Times New Roman" w:cs="Times New Roman"/>
          <w:i/>
          <w:iCs/>
        </w:rPr>
        <w:t>Papers of Ulysses S. Grant, 26, 1875</w:t>
      </w:r>
      <w:r w:rsidR="000A2266">
        <w:rPr>
          <w:rFonts w:ascii="Times New Roman" w:hAnsi="Times New Roman" w:cs="Times New Roman"/>
        </w:rPr>
        <w:t xml:space="preserve">, 118; </w:t>
      </w:r>
      <w:r w:rsidR="000A2266">
        <w:rPr>
          <w:rFonts w:ascii="Times New Roman" w:hAnsi="Times New Roman" w:cs="Times New Roman"/>
          <w:i/>
          <w:iCs/>
        </w:rPr>
        <w:t>New York Times</w:t>
      </w:r>
      <w:r w:rsidR="000A2266">
        <w:rPr>
          <w:rFonts w:ascii="Times New Roman" w:hAnsi="Times New Roman" w:cs="Times New Roman"/>
        </w:rPr>
        <w:t>, February 11, 1876</w:t>
      </w:r>
    </w:p>
  </w:footnote>
  <w:footnote w:id="1262">
    <w:p w14:paraId="66D0551B"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63">
    <w:p w14:paraId="615DED62"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64">
    <w:p w14:paraId="6B68BD1D" w14:textId="2ACF4A3E" w:rsidR="00F06201" w:rsidRPr="000A226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A2266">
        <w:rPr>
          <w:rFonts w:ascii="Times New Roman" w:hAnsi="Times New Roman" w:cs="Times New Roman"/>
        </w:rPr>
        <w:t xml:space="preserve">Joyce, </w:t>
      </w:r>
      <w:r w:rsidR="000A2266">
        <w:rPr>
          <w:rFonts w:ascii="Times New Roman" w:hAnsi="Times New Roman" w:cs="Times New Roman"/>
          <w:i/>
          <w:iCs/>
        </w:rPr>
        <w:t>A Checkered Life</w:t>
      </w:r>
      <w:r w:rsidR="000A2266">
        <w:rPr>
          <w:rFonts w:ascii="Times New Roman" w:hAnsi="Times New Roman" w:cs="Times New Roman"/>
        </w:rPr>
        <w:t xml:space="preserve">, 242; </w:t>
      </w:r>
      <w:r w:rsidR="000A2266">
        <w:rPr>
          <w:rFonts w:ascii="Times New Roman" w:hAnsi="Times New Roman" w:cs="Times New Roman"/>
          <w:i/>
          <w:iCs/>
        </w:rPr>
        <w:t>Highland Weekly News</w:t>
      </w:r>
      <w:r w:rsidR="000A2266">
        <w:rPr>
          <w:rFonts w:ascii="Times New Roman" w:hAnsi="Times New Roman" w:cs="Times New Roman"/>
        </w:rPr>
        <w:t xml:space="preserve"> (Hillsboro, OH), December 9, 1875</w:t>
      </w:r>
    </w:p>
  </w:footnote>
  <w:footnote w:id="1265">
    <w:p w14:paraId="2C2BECAF" w14:textId="62805B75"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A2266">
        <w:rPr>
          <w:rFonts w:ascii="Times New Roman" w:hAnsi="Times New Roman" w:cs="Times New Roman"/>
        </w:rPr>
        <w:t xml:space="preserve">Joyce, </w:t>
      </w:r>
      <w:r w:rsidR="000A2266">
        <w:rPr>
          <w:rFonts w:ascii="Times New Roman" w:hAnsi="Times New Roman" w:cs="Times New Roman"/>
          <w:i/>
          <w:iCs/>
        </w:rPr>
        <w:t>A Checkered Life</w:t>
      </w:r>
      <w:r w:rsidR="000A2266">
        <w:rPr>
          <w:rFonts w:ascii="Times New Roman" w:hAnsi="Times New Roman" w:cs="Times New Roman"/>
        </w:rPr>
        <w:t>, 242</w:t>
      </w:r>
    </w:p>
  </w:footnote>
  <w:footnote w:id="1266">
    <w:p w14:paraId="2C23C5D3" w14:textId="185BD1F2"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A2266">
        <w:rPr>
          <w:rFonts w:ascii="Times New Roman" w:hAnsi="Times New Roman" w:cs="Times New Roman"/>
          <w:i/>
          <w:iCs/>
        </w:rPr>
        <w:t>Highland Weekly News</w:t>
      </w:r>
      <w:r w:rsidR="000A2266">
        <w:rPr>
          <w:rFonts w:ascii="Times New Roman" w:hAnsi="Times New Roman" w:cs="Times New Roman"/>
        </w:rPr>
        <w:t xml:space="preserve"> (Hillsboro, OH), December 9, 1875</w:t>
      </w:r>
    </w:p>
  </w:footnote>
  <w:footnote w:id="1267">
    <w:p w14:paraId="7368F7BB" w14:textId="789237FC" w:rsidR="00F06201" w:rsidRPr="006D72F7"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D72F7">
        <w:rPr>
          <w:rFonts w:ascii="Times New Roman" w:hAnsi="Times New Roman" w:cs="Times New Roman"/>
        </w:rPr>
        <w:t xml:space="preserve">Edwards Pierrepont in </w:t>
      </w:r>
      <w:r w:rsidR="006D72F7">
        <w:rPr>
          <w:rFonts w:ascii="Times New Roman" w:hAnsi="Times New Roman" w:cs="Times New Roman"/>
          <w:i/>
          <w:iCs/>
        </w:rPr>
        <w:t>Whiskey Frauds Testimony</w:t>
      </w:r>
      <w:r w:rsidR="006D72F7">
        <w:rPr>
          <w:rFonts w:ascii="Times New Roman" w:hAnsi="Times New Roman" w:cs="Times New Roman"/>
        </w:rPr>
        <w:t xml:space="preserve">, 6; McDonald, </w:t>
      </w:r>
      <w:r w:rsidR="006D72F7">
        <w:rPr>
          <w:rFonts w:ascii="Times New Roman" w:hAnsi="Times New Roman" w:cs="Times New Roman"/>
          <w:i/>
          <w:iCs/>
        </w:rPr>
        <w:t>Secrets</w:t>
      </w:r>
      <w:r w:rsidR="006D72F7">
        <w:rPr>
          <w:rFonts w:ascii="Times New Roman" w:hAnsi="Times New Roman" w:cs="Times New Roman"/>
        </w:rPr>
        <w:t>, 182-184</w:t>
      </w:r>
    </w:p>
  </w:footnote>
  <w:footnote w:id="1268">
    <w:p w14:paraId="1CF4B71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69">
    <w:p w14:paraId="7320FECA"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70">
    <w:p w14:paraId="53DB7AE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71">
    <w:p w14:paraId="2605C801" w14:textId="2441982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1553B">
        <w:rPr>
          <w:rFonts w:ascii="Times New Roman" w:hAnsi="Times New Roman" w:cs="Times New Roman"/>
        </w:rPr>
        <w:t>Ibid</w:t>
      </w:r>
    </w:p>
  </w:footnote>
  <w:footnote w:id="1272">
    <w:p w14:paraId="46D6A60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73">
    <w:p w14:paraId="33AC485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74">
    <w:p w14:paraId="735F02DF" w14:textId="2A50D471" w:rsidR="00F06201" w:rsidRPr="00685B7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85B7F">
        <w:rPr>
          <w:rFonts w:ascii="Times New Roman" w:hAnsi="Times New Roman" w:cs="Times New Roman"/>
          <w:i/>
          <w:iCs/>
        </w:rPr>
        <w:t xml:space="preserve">New York </w:t>
      </w:r>
      <w:r w:rsidR="00685B7F" w:rsidRPr="00685B7F">
        <w:rPr>
          <w:rFonts w:ascii="Times New Roman" w:hAnsi="Times New Roman" w:cs="Times New Roman"/>
        </w:rPr>
        <w:t>Times</w:t>
      </w:r>
      <w:r w:rsidR="00685B7F">
        <w:rPr>
          <w:rFonts w:ascii="Times New Roman" w:hAnsi="Times New Roman" w:cs="Times New Roman"/>
        </w:rPr>
        <w:t xml:space="preserve">, July 29, 1875; </w:t>
      </w:r>
      <w:r w:rsidR="00685B7F" w:rsidRPr="00685B7F">
        <w:rPr>
          <w:rFonts w:ascii="Times New Roman" w:hAnsi="Times New Roman" w:cs="Times New Roman"/>
        </w:rPr>
        <w:t>David</w:t>
      </w:r>
      <w:r w:rsidR="00685B7F">
        <w:rPr>
          <w:rFonts w:ascii="Times New Roman" w:hAnsi="Times New Roman" w:cs="Times New Roman"/>
        </w:rPr>
        <w:t xml:space="preserve"> Dyer in </w:t>
      </w:r>
      <w:r w:rsidR="00685B7F">
        <w:rPr>
          <w:rFonts w:ascii="Times New Roman" w:hAnsi="Times New Roman" w:cs="Times New Roman"/>
          <w:i/>
          <w:iCs/>
        </w:rPr>
        <w:t>Whiskey Frauds Testimony</w:t>
      </w:r>
      <w:r w:rsidR="00685B7F">
        <w:rPr>
          <w:rFonts w:ascii="Times New Roman" w:hAnsi="Times New Roman" w:cs="Times New Roman"/>
        </w:rPr>
        <w:t>, 32</w:t>
      </w:r>
    </w:p>
  </w:footnote>
  <w:footnote w:id="1275">
    <w:p w14:paraId="1EFE0EB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76">
    <w:p w14:paraId="1388278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77">
    <w:p w14:paraId="696128BA" w14:textId="29B10456" w:rsidR="00F06201" w:rsidRPr="00F544E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544E3">
        <w:rPr>
          <w:rFonts w:ascii="Times New Roman" w:hAnsi="Times New Roman" w:cs="Times New Roman"/>
        </w:rPr>
        <w:t xml:space="preserve">Joyce, </w:t>
      </w:r>
      <w:r w:rsidR="00F544E3">
        <w:rPr>
          <w:rFonts w:ascii="Times New Roman" w:hAnsi="Times New Roman" w:cs="Times New Roman"/>
          <w:i/>
          <w:iCs/>
        </w:rPr>
        <w:t>A Checkered Life</w:t>
      </w:r>
      <w:r w:rsidR="00F544E3">
        <w:rPr>
          <w:rFonts w:ascii="Times New Roman" w:hAnsi="Times New Roman" w:cs="Times New Roman"/>
        </w:rPr>
        <w:t>, 242</w:t>
      </w:r>
    </w:p>
  </w:footnote>
  <w:footnote w:id="1278">
    <w:p w14:paraId="4F645ABC" w14:textId="375F5949"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544E3">
        <w:rPr>
          <w:rFonts w:ascii="Times New Roman" w:hAnsi="Times New Roman" w:cs="Times New Roman"/>
        </w:rPr>
        <w:t xml:space="preserve">McDonald, </w:t>
      </w:r>
      <w:r w:rsidR="00F544E3">
        <w:rPr>
          <w:rFonts w:ascii="Times New Roman" w:hAnsi="Times New Roman" w:cs="Times New Roman"/>
          <w:i/>
          <w:iCs/>
        </w:rPr>
        <w:t>Secrets</w:t>
      </w:r>
      <w:r w:rsidR="00F544E3">
        <w:rPr>
          <w:rFonts w:ascii="Times New Roman" w:hAnsi="Times New Roman" w:cs="Times New Roman"/>
        </w:rPr>
        <w:t>, 73-74</w:t>
      </w:r>
    </w:p>
  </w:footnote>
  <w:footnote w:id="1279">
    <w:p w14:paraId="57F9BF1A" w14:textId="2459CC8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544E3">
        <w:rPr>
          <w:rFonts w:ascii="Times New Roman" w:hAnsi="Times New Roman" w:cs="Times New Roman"/>
        </w:rPr>
        <w:t xml:space="preserve">Joyce, </w:t>
      </w:r>
      <w:r w:rsidR="00F544E3">
        <w:rPr>
          <w:rFonts w:ascii="Times New Roman" w:hAnsi="Times New Roman" w:cs="Times New Roman"/>
          <w:i/>
          <w:iCs/>
        </w:rPr>
        <w:t>A Checkered Life</w:t>
      </w:r>
      <w:r w:rsidR="00F544E3">
        <w:rPr>
          <w:rFonts w:ascii="Times New Roman" w:hAnsi="Times New Roman" w:cs="Times New Roman"/>
        </w:rPr>
        <w:t>, 242</w:t>
      </w:r>
    </w:p>
  </w:footnote>
  <w:footnote w:id="1280">
    <w:p w14:paraId="23253C5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81">
    <w:p w14:paraId="66896F2F" w14:textId="70266855" w:rsidR="00F06201" w:rsidRPr="00154E7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54E71">
        <w:rPr>
          <w:rFonts w:ascii="Times New Roman" w:hAnsi="Times New Roman" w:cs="Times New Roman"/>
        </w:rPr>
        <w:t xml:space="preserve">Simon, </w:t>
      </w:r>
      <w:r w:rsidR="00154E71">
        <w:rPr>
          <w:rFonts w:ascii="Times New Roman" w:hAnsi="Times New Roman" w:cs="Times New Roman"/>
          <w:i/>
          <w:iCs/>
        </w:rPr>
        <w:t>Papers of Ulysses S. Grant, 26, 1875</w:t>
      </w:r>
      <w:r w:rsidR="00154E71">
        <w:rPr>
          <w:rFonts w:ascii="Times New Roman" w:hAnsi="Times New Roman" w:cs="Times New Roman"/>
        </w:rPr>
        <w:t>, 240</w:t>
      </w:r>
    </w:p>
  </w:footnote>
  <w:footnote w:id="1282">
    <w:p w14:paraId="417B4F24" w14:textId="49FE57BA" w:rsidR="00F06201" w:rsidRPr="00154E7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54E71">
        <w:rPr>
          <w:rFonts w:ascii="Times New Roman" w:hAnsi="Times New Roman" w:cs="Times New Roman"/>
          <w:i/>
          <w:iCs/>
        </w:rPr>
        <w:t>New York Sun</w:t>
      </w:r>
      <w:r w:rsidR="00154E71">
        <w:rPr>
          <w:rFonts w:ascii="Times New Roman" w:hAnsi="Times New Roman" w:cs="Times New Roman"/>
        </w:rPr>
        <w:t>, November 22, 1876</w:t>
      </w:r>
    </w:p>
  </w:footnote>
  <w:footnote w:id="1283">
    <w:p w14:paraId="3297F59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84">
    <w:p w14:paraId="0AB56FB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85">
    <w:p w14:paraId="6D8B4207" w14:textId="0F46D1D6" w:rsidR="00F06201" w:rsidRPr="00154E7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54E71">
        <w:rPr>
          <w:rFonts w:ascii="Times New Roman" w:hAnsi="Times New Roman" w:cs="Times New Roman"/>
        </w:rPr>
        <w:t xml:space="preserve">McDonald, </w:t>
      </w:r>
      <w:r w:rsidR="00154E71">
        <w:rPr>
          <w:rFonts w:ascii="Times New Roman" w:hAnsi="Times New Roman" w:cs="Times New Roman"/>
          <w:i/>
          <w:iCs/>
        </w:rPr>
        <w:t>Secrets</w:t>
      </w:r>
      <w:r w:rsidR="00154E71">
        <w:rPr>
          <w:rFonts w:ascii="Times New Roman" w:hAnsi="Times New Roman" w:cs="Times New Roman"/>
        </w:rPr>
        <w:t>, 201</w:t>
      </w:r>
    </w:p>
  </w:footnote>
  <w:footnote w:id="1286">
    <w:p w14:paraId="1270E721" w14:textId="4D180F74" w:rsidR="00F06201" w:rsidRPr="00154E7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54E71">
        <w:rPr>
          <w:rFonts w:ascii="Times New Roman" w:hAnsi="Times New Roman" w:cs="Times New Roman"/>
        </w:rPr>
        <w:t xml:space="preserve">McDonald, </w:t>
      </w:r>
      <w:r w:rsidR="00154E71">
        <w:rPr>
          <w:rFonts w:ascii="Times New Roman" w:hAnsi="Times New Roman" w:cs="Times New Roman"/>
          <w:i/>
          <w:iCs/>
        </w:rPr>
        <w:t>Secrets</w:t>
      </w:r>
      <w:r w:rsidR="00154E71">
        <w:rPr>
          <w:rFonts w:ascii="Times New Roman" w:hAnsi="Times New Roman" w:cs="Times New Roman"/>
        </w:rPr>
        <w:t>, 201-204</w:t>
      </w:r>
    </w:p>
  </w:footnote>
  <w:footnote w:id="1287">
    <w:p w14:paraId="105F95B6" w14:textId="580A86CD" w:rsidR="00F06201" w:rsidRPr="00154E7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54E71">
        <w:rPr>
          <w:rFonts w:ascii="Times New Roman" w:hAnsi="Times New Roman" w:cs="Times New Roman"/>
        </w:rPr>
        <w:t xml:space="preserve">Simon, </w:t>
      </w:r>
      <w:r w:rsidR="00154E71">
        <w:rPr>
          <w:rFonts w:ascii="Times New Roman" w:hAnsi="Times New Roman" w:cs="Times New Roman"/>
          <w:i/>
          <w:iCs/>
        </w:rPr>
        <w:t>Papers of Ulysses S. Grant, 26</w:t>
      </w:r>
      <w:r w:rsidR="00154E71">
        <w:rPr>
          <w:rFonts w:ascii="Times New Roman" w:hAnsi="Times New Roman" w:cs="Times New Roman"/>
        </w:rPr>
        <w:t xml:space="preserve">, 382; Bluford Wilson in </w:t>
      </w:r>
      <w:r w:rsidR="00154E71">
        <w:rPr>
          <w:rFonts w:ascii="Times New Roman" w:hAnsi="Times New Roman" w:cs="Times New Roman"/>
          <w:i/>
          <w:iCs/>
        </w:rPr>
        <w:t>Whiskey Frauds Testimony</w:t>
      </w:r>
      <w:r w:rsidR="00154E71">
        <w:rPr>
          <w:rFonts w:ascii="Times New Roman" w:hAnsi="Times New Roman" w:cs="Times New Roman"/>
        </w:rPr>
        <w:t>, 358-359, 488</w:t>
      </w:r>
    </w:p>
  </w:footnote>
  <w:footnote w:id="1288">
    <w:p w14:paraId="3DFF2DDA" w14:textId="32499A5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54E71">
        <w:rPr>
          <w:rFonts w:ascii="Times New Roman" w:hAnsi="Times New Roman" w:cs="Times New Roman"/>
        </w:rPr>
        <w:t xml:space="preserve">McDonald, </w:t>
      </w:r>
      <w:r w:rsidR="00154E71">
        <w:rPr>
          <w:rFonts w:ascii="Times New Roman" w:hAnsi="Times New Roman" w:cs="Times New Roman"/>
          <w:i/>
          <w:iCs/>
        </w:rPr>
        <w:t>Secrets</w:t>
      </w:r>
      <w:r w:rsidR="00154E71">
        <w:rPr>
          <w:rFonts w:ascii="Times New Roman" w:hAnsi="Times New Roman" w:cs="Times New Roman"/>
        </w:rPr>
        <w:t>, 201-204</w:t>
      </w:r>
    </w:p>
  </w:footnote>
  <w:footnote w:id="1289">
    <w:p w14:paraId="018EC9A8" w14:textId="5A4464EE"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54E71">
        <w:rPr>
          <w:rFonts w:ascii="Times New Roman" w:hAnsi="Times New Roman" w:cs="Times New Roman"/>
        </w:rPr>
        <w:t>Ibid</w:t>
      </w:r>
    </w:p>
  </w:footnote>
  <w:footnote w:id="1290">
    <w:p w14:paraId="5DDAF41E" w14:textId="665165DF"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95A35">
        <w:rPr>
          <w:rFonts w:ascii="Times New Roman" w:hAnsi="Times New Roman" w:cs="Times New Roman"/>
        </w:rPr>
        <w:t>Ibid</w:t>
      </w:r>
    </w:p>
  </w:footnote>
  <w:footnote w:id="1291">
    <w:p w14:paraId="33D404AF"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92">
    <w:p w14:paraId="67C46E16" w14:textId="14F406E1"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95A35">
        <w:rPr>
          <w:rFonts w:ascii="Times New Roman" w:hAnsi="Times New Roman" w:cs="Times New Roman"/>
        </w:rPr>
        <w:t>Ibid</w:t>
      </w:r>
    </w:p>
  </w:footnote>
  <w:footnote w:id="1293">
    <w:p w14:paraId="75C02AE4" w14:textId="5CF65B18" w:rsidR="00F06201" w:rsidRPr="00895A35"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95A35">
        <w:rPr>
          <w:rFonts w:ascii="Times New Roman" w:hAnsi="Times New Roman" w:cs="Times New Roman"/>
        </w:rPr>
        <w:t xml:space="preserve">Bluford Wilson in </w:t>
      </w:r>
      <w:r w:rsidR="00895A35">
        <w:rPr>
          <w:rFonts w:ascii="Times New Roman" w:hAnsi="Times New Roman" w:cs="Times New Roman"/>
          <w:i/>
          <w:iCs/>
        </w:rPr>
        <w:t>Whiskey Frauds Testimony</w:t>
      </w:r>
      <w:r w:rsidR="00895A35">
        <w:rPr>
          <w:rFonts w:ascii="Times New Roman" w:hAnsi="Times New Roman" w:cs="Times New Roman"/>
        </w:rPr>
        <w:t>, 488</w:t>
      </w:r>
    </w:p>
  </w:footnote>
  <w:footnote w:id="1294">
    <w:p w14:paraId="683A520E" w14:textId="651A1A8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4396F">
        <w:rPr>
          <w:rFonts w:ascii="Times New Roman" w:hAnsi="Times New Roman" w:cs="Times New Roman"/>
        </w:rPr>
        <w:t>Ibid</w:t>
      </w:r>
    </w:p>
  </w:footnote>
  <w:footnote w:id="1295">
    <w:p w14:paraId="206ACC3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96">
    <w:p w14:paraId="3C290763" w14:textId="10D58A1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4396F">
        <w:rPr>
          <w:rFonts w:ascii="Times New Roman" w:hAnsi="Times New Roman" w:cs="Times New Roman"/>
        </w:rPr>
        <w:t xml:space="preserve">Bluford Wilson in </w:t>
      </w:r>
      <w:r w:rsidR="00F4396F">
        <w:rPr>
          <w:rFonts w:ascii="Times New Roman" w:hAnsi="Times New Roman" w:cs="Times New Roman"/>
          <w:i/>
          <w:iCs/>
        </w:rPr>
        <w:t>Whiskey Frauds Testimony</w:t>
      </w:r>
      <w:r w:rsidR="00F4396F">
        <w:rPr>
          <w:rFonts w:ascii="Times New Roman" w:hAnsi="Times New Roman" w:cs="Times New Roman"/>
        </w:rPr>
        <w:t>, 359, 488</w:t>
      </w:r>
    </w:p>
  </w:footnote>
  <w:footnote w:id="1297">
    <w:p w14:paraId="0D0D3DA8" w14:textId="1A0A7437" w:rsidR="00F06201" w:rsidRPr="00F4396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4396F">
        <w:rPr>
          <w:rFonts w:ascii="Times New Roman" w:hAnsi="Times New Roman" w:cs="Times New Roman"/>
        </w:rPr>
        <w:t xml:space="preserve">Simon, </w:t>
      </w:r>
      <w:r w:rsidR="00F4396F">
        <w:rPr>
          <w:rFonts w:ascii="Times New Roman" w:hAnsi="Times New Roman" w:cs="Times New Roman"/>
          <w:i/>
          <w:iCs/>
        </w:rPr>
        <w:t>The Papers of Ulysses S. Grant, 26</w:t>
      </w:r>
      <w:r w:rsidR="00F4396F">
        <w:rPr>
          <w:rFonts w:ascii="Times New Roman" w:hAnsi="Times New Roman" w:cs="Times New Roman"/>
        </w:rPr>
        <w:t>, 381-383</w:t>
      </w:r>
    </w:p>
  </w:footnote>
  <w:footnote w:id="1298">
    <w:p w14:paraId="5002FD98"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299">
    <w:p w14:paraId="1DC7867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00">
    <w:p w14:paraId="0A7E3955"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01">
    <w:p w14:paraId="276A2AE7" w14:textId="644A02DF" w:rsidR="00F06201" w:rsidRPr="00F4396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4396F">
        <w:rPr>
          <w:rFonts w:ascii="Times New Roman" w:hAnsi="Times New Roman" w:cs="Times New Roman"/>
        </w:rPr>
        <w:t xml:space="preserve">Joyce, </w:t>
      </w:r>
      <w:r w:rsidR="00F4396F">
        <w:rPr>
          <w:rFonts w:ascii="Times New Roman" w:hAnsi="Times New Roman" w:cs="Times New Roman"/>
          <w:i/>
          <w:iCs/>
        </w:rPr>
        <w:t xml:space="preserve">A Checkered Life, </w:t>
      </w:r>
      <w:r w:rsidR="00F4396F">
        <w:rPr>
          <w:rFonts w:ascii="Times New Roman" w:hAnsi="Times New Roman" w:cs="Times New Roman"/>
        </w:rPr>
        <w:t>253-254</w:t>
      </w:r>
    </w:p>
  </w:footnote>
  <w:footnote w:id="1302">
    <w:p w14:paraId="2EFC9C2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03">
    <w:p w14:paraId="2BFFAC3C" w14:textId="1B3049C9" w:rsidR="00F06201" w:rsidRPr="00A87C71"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87C71">
        <w:rPr>
          <w:rFonts w:ascii="Times New Roman" w:hAnsi="Times New Roman" w:cs="Times New Roman"/>
        </w:rPr>
        <w:t xml:space="preserve">Joyce, </w:t>
      </w:r>
      <w:r w:rsidR="00A87C71">
        <w:rPr>
          <w:rFonts w:ascii="Times New Roman" w:hAnsi="Times New Roman" w:cs="Times New Roman"/>
          <w:i/>
          <w:iCs/>
        </w:rPr>
        <w:t>A Checkered Life</w:t>
      </w:r>
      <w:r w:rsidR="00A87C71">
        <w:rPr>
          <w:rFonts w:ascii="Times New Roman" w:hAnsi="Times New Roman" w:cs="Times New Roman"/>
        </w:rPr>
        <w:t>, 237-260</w:t>
      </w:r>
    </w:p>
  </w:footnote>
  <w:footnote w:id="1304">
    <w:p w14:paraId="0A7F3D6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05">
    <w:p w14:paraId="4E62AC4C" w14:textId="12DA1D1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87C71">
        <w:rPr>
          <w:rFonts w:ascii="Times New Roman" w:hAnsi="Times New Roman" w:cs="Times New Roman"/>
        </w:rPr>
        <w:t>Ibid</w:t>
      </w:r>
    </w:p>
  </w:footnote>
  <w:footnote w:id="1306">
    <w:p w14:paraId="3A78B554"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07">
    <w:p w14:paraId="43D1299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08">
    <w:p w14:paraId="4A344F2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09">
    <w:p w14:paraId="53CE77B1" w14:textId="5838395F" w:rsidR="00F06201" w:rsidRPr="008B0C40"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B0C40">
        <w:rPr>
          <w:rFonts w:ascii="Times New Roman" w:hAnsi="Times New Roman" w:cs="Times New Roman"/>
        </w:rPr>
        <w:t xml:space="preserve">Joyce, </w:t>
      </w:r>
      <w:r w:rsidR="008B0C40">
        <w:rPr>
          <w:rFonts w:ascii="Times New Roman" w:hAnsi="Times New Roman" w:cs="Times New Roman"/>
          <w:i/>
          <w:iCs/>
        </w:rPr>
        <w:t>A Checkered Life</w:t>
      </w:r>
      <w:r w:rsidR="008B0C40">
        <w:rPr>
          <w:rFonts w:ascii="Times New Roman" w:hAnsi="Times New Roman" w:cs="Times New Roman"/>
        </w:rPr>
        <w:t xml:space="preserve">, 253-254; </w:t>
      </w:r>
      <w:r w:rsidR="008B0C40">
        <w:rPr>
          <w:rFonts w:ascii="Times New Roman" w:hAnsi="Times New Roman" w:cs="Times New Roman"/>
          <w:i/>
          <w:iCs/>
        </w:rPr>
        <w:t>New York Times</w:t>
      </w:r>
      <w:r w:rsidR="008B0C40">
        <w:rPr>
          <w:rFonts w:ascii="Times New Roman" w:hAnsi="Times New Roman" w:cs="Times New Roman"/>
        </w:rPr>
        <w:t xml:space="preserve">, October 24, 1875; </w:t>
      </w:r>
      <w:r w:rsidR="008B0C40">
        <w:rPr>
          <w:rFonts w:ascii="Times New Roman" w:hAnsi="Times New Roman" w:cs="Times New Roman"/>
          <w:i/>
          <w:iCs/>
        </w:rPr>
        <w:t>St. Louis Globe-Democrat</w:t>
      </w:r>
      <w:r w:rsidR="008B0C40">
        <w:rPr>
          <w:rFonts w:ascii="Times New Roman" w:hAnsi="Times New Roman" w:cs="Times New Roman"/>
        </w:rPr>
        <w:t>, October 21-25, 1875</w:t>
      </w:r>
    </w:p>
  </w:footnote>
  <w:footnote w:id="1310">
    <w:p w14:paraId="32D2B54A"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11">
    <w:p w14:paraId="5881B89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12">
    <w:p w14:paraId="03944BFC" w14:textId="23C87ED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B0C40">
        <w:rPr>
          <w:rFonts w:ascii="Times New Roman" w:hAnsi="Times New Roman" w:cs="Times New Roman"/>
        </w:rPr>
        <w:t>I</w:t>
      </w:r>
      <w:r w:rsidRPr="002318C9">
        <w:rPr>
          <w:rFonts w:ascii="Times New Roman" w:hAnsi="Times New Roman" w:cs="Times New Roman"/>
        </w:rPr>
        <w:t>bid</w:t>
      </w:r>
    </w:p>
  </w:footnote>
  <w:footnote w:id="1313">
    <w:p w14:paraId="6B33BA11" w14:textId="72BD2B09" w:rsidR="00F06201" w:rsidRPr="008B0C40"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B0C40">
        <w:rPr>
          <w:rFonts w:ascii="Times New Roman" w:hAnsi="Times New Roman" w:cs="Times New Roman"/>
          <w:i/>
          <w:iCs/>
        </w:rPr>
        <w:t>New York Times</w:t>
      </w:r>
      <w:r w:rsidR="008B0C40">
        <w:rPr>
          <w:rFonts w:ascii="Times New Roman" w:hAnsi="Times New Roman" w:cs="Times New Roman"/>
        </w:rPr>
        <w:t>, November 13, 14, 1875</w:t>
      </w:r>
    </w:p>
  </w:footnote>
  <w:footnote w:id="1314">
    <w:p w14:paraId="3A760ED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15">
    <w:p w14:paraId="5E253BAE" w14:textId="7D27F2A5" w:rsidR="00F06201" w:rsidRPr="008B0C40" w:rsidRDefault="00F06201" w:rsidP="00F06201">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Joyce was convicted of a federal offense but there were no federal penitentiaries, so he served his time in the Missouri State Penitentiary.</w:t>
      </w:r>
      <w:r w:rsidR="008B0C40">
        <w:rPr>
          <w:rFonts w:ascii="Times New Roman" w:hAnsi="Times New Roman" w:cs="Times New Roman"/>
        </w:rPr>
        <w:t xml:space="preserve"> Ibid; 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8B0C40">
        <w:rPr>
          <w:rFonts w:ascii="Times New Roman" w:hAnsi="Times New Roman" w:cs="Times New Roman"/>
        </w:rPr>
        <w:t xml:space="preserve"> 100</w:t>
      </w:r>
    </w:p>
  </w:footnote>
  <w:footnote w:id="1316">
    <w:p w14:paraId="556F64AA" w14:textId="146E1441"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A30040">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A30040">
        <w:rPr>
          <w:rFonts w:ascii="Times New Roman" w:hAnsi="Times New Roman" w:cs="Times New Roman"/>
        </w:rPr>
        <w:t xml:space="preserve"> </w:t>
      </w:r>
      <w:r w:rsidRPr="002318C9">
        <w:rPr>
          <w:rFonts w:ascii="Times New Roman" w:hAnsi="Times New Roman" w:cs="Times New Roman"/>
        </w:rPr>
        <w:t>511</w:t>
      </w:r>
    </w:p>
  </w:footnote>
  <w:footnote w:id="1317">
    <w:p w14:paraId="2D75C186" w14:textId="0B50A043"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r w:rsidR="00A30040">
        <w:rPr>
          <w:rFonts w:ascii="Times New Roman" w:hAnsi="Times New Roman" w:cs="Times New Roman"/>
        </w:rPr>
        <w:t>; 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A30040">
        <w:rPr>
          <w:rFonts w:ascii="Times New Roman" w:hAnsi="Times New Roman" w:cs="Times New Roman"/>
        </w:rPr>
        <w:t xml:space="preserve"> </w:t>
      </w:r>
      <w:r w:rsidRPr="002318C9">
        <w:rPr>
          <w:rFonts w:ascii="Times New Roman" w:hAnsi="Times New Roman" w:cs="Times New Roman"/>
        </w:rPr>
        <w:t>91</w:t>
      </w:r>
    </w:p>
  </w:footnote>
  <w:footnote w:id="1318">
    <w:p w14:paraId="198DFD83" w14:textId="5B3017D0" w:rsidR="00F06201" w:rsidRPr="00B32A9D"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B32A9D">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B32A9D">
        <w:rPr>
          <w:rFonts w:ascii="Times New Roman" w:hAnsi="Times New Roman" w:cs="Times New Roman"/>
        </w:rPr>
        <w:t xml:space="preserve"> </w:t>
      </w:r>
      <w:r w:rsidRPr="002318C9">
        <w:rPr>
          <w:rFonts w:ascii="Times New Roman" w:hAnsi="Times New Roman" w:cs="Times New Roman"/>
        </w:rPr>
        <w:t>513-</w:t>
      </w:r>
      <w:r w:rsidR="00B32A9D">
        <w:rPr>
          <w:rFonts w:ascii="Times New Roman" w:hAnsi="Times New Roman" w:cs="Times New Roman"/>
        </w:rPr>
        <w:t>51</w:t>
      </w:r>
      <w:r w:rsidRPr="002318C9">
        <w:rPr>
          <w:rFonts w:ascii="Times New Roman" w:hAnsi="Times New Roman" w:cs="Times New Roman"/>
        </w:rPr>
        <w:t>4</w:t>
      </w:r>
      <w:r w:rsidR="00B32A9D">
        <w:rPr>
          <w:rFonts w:ascii="Times New Roman" w:hAnsi="Times New Roman" w:cs="Times New Roman"/>
        </w:rPr>
        <w:t xml:space="preserve">; </w:t>
      </w:r>
      <w:r w:rsidR="00B32A9D">
        <w:rPr>
          <w:rFonts w:ascii="Times New Roman" w:hAnsi="Times New Roman" w:cs="Times New Roman"/>
          <w:i/>
          <w:iCs/>
        </w:rPr>
        <w:t>New York Times</w:t>
      </w:r>
      <w:r w:rsidR="00B32A9D">
        <w:rPr>
          <w:rFonts w:ascii="Times New Roman" w:hAnsi="Times New Roman" w:cs="Times New Roman"/>
        </w:rPr>
        <w:t>, November 5, 6, 1875</w:t>
      </w:r>
    </w:p>
  </w:footnote>
  <w:footnote w:id="1319">
    <w:p w14:paraId="7743372B"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20">
    <w:p w14:paraId="68A86FB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21">
    <w:p w14:paraId="20D3C76F" w14:textId="1C5D4B25"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Pr="002318C9">
        <w:rPr>
          <w:rFonts w:ascii="Times New Roman" w:hAnsi="Times New Roman" w:cs="Times New Roman"/>
        </w:rPr>
        <w:t xml:space="preserve"> 511</w:t>
      </w:r>
    </w:p>
  </w:footnote>
  <w:footnote w:id="1322">
    <w:p w14:paraId="7796A704" w14:textId="0B2D69E2" w:rsidR="00F06201" w:rsidRPr="00B32A9D"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32A9D">
        <w:rPr>
          <w:rFonts w:ascii="Times New Roman" w:hAnsi="Times New Roman" w:cs="Times New Roman"/>
        </w:rPr>
        <w:t xml:space="preserve">David Dyer in </w:t>
      </w:r>
      <w:r w:rsidR="00B32A9D">
        <w:rPr>
          <w:rFonts w:ascii="Times New Roman" w:hAnsi="Times New Roman" w:cs="Times New Roman"/>
          <w:i/>
          <w:iCs/>
        </w:rPr>
        <w:t>Whiskey Frauds Testimony</w:t>
      </w:r>
      <w:r w:rsidR="00B32A9D">
        <w:rPr>
          <w:rFonts w:ascii="Times New Roman" w:hAnsi="Times New Roman" w:cs="Times New Roman"/>
        </w:rPr>
        <w:t xml:space="preserve">, 32; John Henderson in </w:t>
      </w:r>
      <w:r w:rsidR="00B32A9D">
        <w:rPr>
          <w:rFonts w:ascii="Times New Roman" w:hAnsi="Times New Roman" w:cs="Times New Roman"/>
          <w:i/>
          <w:iCs/>
        </w:rPr>
        <w:t xml:space="preserve">Whiskey Frauds Testimony, </w:t>
      </w:r>
      <w:r w:rsidR="00B32A9D" w:rsidRPr="00B32A9D">
        <w:rPr>
          <w:rFonts w:ascii="Times New Roman" w:hAnsi="Times New Roman" w:cs="Times New Roman"/>
        </w:rPr>
        <w:t>60</w:t>
      </w:r>
      <w:r w:rsidR="00B32A9D">
        <w:rPr>
          <w:rFonts w:ascii="Times New Roman" w:hAnsi="Times New Roman" w:cs="Times New Roman"/>
          <w:i/>
          <w:iCs/>
        </w:rPr>
        <w:t xml:space="preserve">; </w:t>
      </w:r>
      <w:r w:rsidR="00B32A9D" w:rsidRPr="00B32A9D">
        <w:rPr>
          <w:rFonts w:ascii="Times New Roman" w:hAnsi="Times New Roman" w:cs="Times New Roman"/>
          <w:i/>
          <w:iCs/>
        </w:rPr>
        <w:t>St. Louis Daily Globe-Democrat</w:t>
      </w:r>
      <w:r w:rsidR="00B32A9D">
        <w:rPr>
          <w:rFonts w:ascii="Times New Roman" w:hAnsi="Times New Roman" w:cs="Times New Roman"/>
        </w:rPr>
        <w:t xml:space="preserve">, November 16, 1875; Simon, </w:t>
      </w:r>
      <w:r w:rsidR="00B32A9D">
        <w:rPr>
          <w:rFonts w:ascii="Times New Roman" w:hAnsi="Times New Roman" w:cs="Times New Roman"/>
          <w:i/>
          <w:iCs/>
        </w:rPr>
        <w:t>Papers of Ulysses S. Grant, 26, 1875</w:t>
      </w:r>
      <w:r w:rsidR="00B32A9D">
        <w:rPr>
          <w:rFonts w:ascii="Times New Roman" w:hAnsi="Times New Roman" w:cs="Times New Roman"/>
        </w:rPr>
        <w:t>, 239-240</w:t>
      </w:r>
    </w:p>
  </w:footnote>
  <w:footnote w:id="1323">
    <w:p w14:paraId="69923F6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24">
    <w:p w14:paraId="2A977BD5"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25">
    <w:p w14:paraId="1076684F" w14:textId="232E5D5F" w:rsidR="00F06201" w:rsidRPr="00F0116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01163">
        <w:rPr>
          <w:rFonts w:ascii="Times New Roman" w:hAnsi="Times New Roman" w:cs="Times New Roman"/>
          <w:i/>
          <w:iCs/>
        </w:rPr>
        <w:t>New York Times</w:t>
      </w:r>
      <w:r w:rsidR="00F01163">
        <w:rPr>
          <w:rFonts w:ascii="Times New Roman" w:hAnsi="Times New Roman" w:cs="Times New Roman"/>
        </w:rPr>
        <w:t xml:space="preserve">, November 16, 1875; </w:t>
      </w:r>
      <w:r w:rsidR="00F01163">
        <w:rPr>
          <w:rFonts w:ascii="Times New Roman" w:hAnsi="Times New Roman" w:cs="Times New Roman"/>
          <w:i/>
          <w:iCs/>
        </w:rPr>
        <w:t>Chicago Daily Tribune</w:t>
      </w:r>
      <w:r w:rsidR="00F01163">
        <w:rPr>
          <w:rFonts w:ascii="Times New Roman" w:hAnsi="Times New Roman" w:cs="Times New Roman"/>
        </w:rPr>
        <w:t>, November 19, 1875</w:t>
      </w:r>
    </w:p>
  </w:footnote>
  <w:footnote w:id="1326">
    <w:p w14:paraId="298C4E95" w14:textId="1490D27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B32A9D">
        <w:rPr>
          <w:rFonts w:ascii="Times New Roman" w:hAnsi="Times New Roman" w:cs="Times New Roman"/>
        </w:rPr>
        <w:t xml:space="preserve">David Dyer in </w:t>
      </w:r>
      <w:r w:rsidR="00B32A9D">
        <w:rPr>
          <w:rFonts w:ascii="Times New Roman" w:hAnsi="Times New Roman" w:cs="Times New Roman"/>
          <w:i/>
          <w:iCs/>
        </w:rPr>
        <w:t>Whiskey Frauds Testimony</w:t>
      </w:r>
      <w:r w:rsidR="00B32A9D">
        <w:rPr>
          <w:rFonts w:ascii="Times New Roman" w:hAnsi="Times New Roman" w:cs="Times New Roman"/>
        </w:rPr>
        <w:t xml:space="preserve">, 32; John Henderson in </w:t>
      </w:r>
      <w:r w:rsidR="00B32A9D">
        <w:rPr>
          <w:rFonts w:ascii="Times New Roman" w:hAnsi="Times New Roman" w:cs="Times New Roman"/>
          <w:i/>
          <w:iCs/>
        </w:rPr>
        <w:t xml:space="preserve">Whiskey Frauds Testimony, </w:t>
      </w:r>
      <w:r w:rsidR="00B32A9D" w:rsidRPr="00B32A9D">
        <w:rPr>
          <w:rFonts w:ascii="Times New Roman" w:hAnsi="Times New Roman" w:cs="Times New Roman"/>
        </w:rPr>
        <w:t>60</w:t>
      </w:r>
      <w:r w:rsidR="00B32A9D">
        <w:rPr>
          <w:rFonts w:ascii="Times New Roman" w:hAnsi="Times New Roman" w:cs="Times New Roman"/>
          <w:i/>
          <w:iCs/>
        </w:rPr>
        <w:t xml:space="preserve">; </w:t>
      </w:r>
      <w:r w:rsidR="00B32A9D" w:rsidRPr="00B32A9D">
        <w:rPr>
          <w:rFonts w:ascii="Times New Roman" w:hAnsi="Times New Roman" w:cs="Times New Roman"/>
          <w:i/>
          <w:iCs/>
        </w:rPr>
        <w:t>St. Louis Daily Globe-Democrat</w:t>
      </w:r>
      <w:r w:rsidR="00B32A9D">
        <w:rPr>
          <w:rFonts w:ascii="Times New Roman" w:hAnsi="Times New Roman" w:cs="Times New Roman"/>
        </w:rPr>
        <w:t xml:space="preserve">, November 16, 1875; Simon, </w:t>
      </w:r>
      <w:r w:rsidR="00B32A9D">
        <w:rPr>
          <w:rFonts w:ascii="Times New Roman" w:hAnsi="Times New Roman" w:cs="Times New Roman"/>
          <w:i/>
          <w:iCs/>
        </w:rPr>
        <w:t>Papers of Ulysses S. Grant, 26, 1875</w:t>
      </w:r>
      <w:r w:rsidR="00B32A9D">
        <w:rPr>
          <w:rFonts w:ascii="Times New Roman" w:hAnsi="Times New Roman" w:cs="Times New Roman"/>
        </w:rPr>
        <w:t>, 239-240</w:t>
      </w:r>
    </w:p>
  </w:footnote>
  <w:footnote w:id="1327">
    <w:p w14:paraId="06AF603B" w14:textId="007590F1" w:rsidR="00F06201" w:rsidRPr="00F0116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01163">
        <w:rPr>
          <w:rFonts w:ascii="Times New Roman" w:hAnsi="Times New Roman" w:cs="Times New Roman"/>
          <w:i/>
          <w:iCs/>
        </w:rPr>
        <w:t>Chicago Tribune</w:t>
      </w:r>
      <w:r w:rsidR="00F01163">
        <w:rPr>
          <w:rFonts w:ascii="Times New Roman" w:hAnsi="Times New Roman" w:cs="Times New Roman"/>
        </w:rPr>
        <w:t xml:space="preserve">, November 17, 1875; </w:t>
      </w:r>
      <w:r w:rsidR="00F01163">
        <w:rPr>
          <w:rFonts w:ascii="Times New Roman" w:hAnsi="Times New Roman" w:cs="Times New Roman"/>
          <w:i/>
          <w:iCs/>
        </w:rPr>
        <w:t>St. Louis Globe-Democrat</w:t>
      </w:r>
      <w:r w:rsidR="00F01163">
        <w:rPr>
          <w:rFonts w:ascii="Times New Roman" w:hAnsi="Times New Roman" w:cs="Times New Roman"/>
        </w:rPr>
        <w:t>, November 16, 1875</w:t>
      </w:r>
    </w:p>
  </w:footnote>
  <w:footnote w:id="1328">
    <w:p w14:paraId="110B7075" w14:textId="3A031A9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01163">
        <w:rPr>
          <w:rFonts w:ascii="Times New Roman" w:hAnsi="Times New Roman" w:cs="Times New Roman"/>
        </w:rPr>
        <w:t>Ibid</w:t>
      </w:r>
    </w:p>
  </w:footnote>
  <w:footnote w:id="1329">
    <w:p w14:paraId="7EE5F4B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30">
    <w:p w14:paraId="56EB1EB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31">
    <w:p w14:paraId="1506893C" w14:textId="65624C64" w:rsidR="00F06201" w:rsidRPr="00F0116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01163">
        <w:rPr>
          <w:rFonts w:ascii="Times New Roman" w:hAnsi="Times New Roman" w:cs="Times New Roman"/>
          <w:i/>
          <w:iCs/>
        </w:rPr>
        <w:t>St. Louis Daily Globe-Democrat</w:t>
      </w:r>
      <w:r w:rsidR="00F01163">
        <w:rPr>
          <w:rFonts w:ascii="Times New Roman" w:hAnsi="Times New Roman" w:cs="Times New Roman"/>
        </w:rPr>
        <w:t>, November 17, 1875</w:t>
      </w:r>
    </w:p>
  </w:footnote>
  <w:footnote w:id="1332">
    <w:p w14:paraId="36CB771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33">
    <w:p w14:paraId="36A4CBAE" w14:textId="1C71EBE9"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34">
    <w:p w14:paraId="6B26A4A1" w14:textId="5D848B6E" w:rsidR="00F06201" w:rsidRPr="003B5B6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88" w:name="_Hlk197088277"/>
      <w:r w:rsidR="003B5B66">
        <w:rPr>
          <w:rFonts w:ascii="Times New Roman" w:hAnsi="Times New Roman" w:cs="Times New Roman"/>
          <w:i/>
          <w:iCs/>
        </w:rPr>
        <w:t>St. Louis Daily Globe-Democrat</w:t>
      </w:r>
      <w:r w:rsidR="003B5B66">
        <w:rPr>
          <w:rFonts w:ascii="Times New Roman" w:hAnsi="Times New Roman" w:cs="Times New Roman"/>
        </w:rPr>
        <w:t xml:space="preserve">, November 17-20, 1875; </w:t>
      </w:r>
      <w:r w:rsidR="003B5B66">
        <w:rPr>
          <w:rFonts w:ascii="Times New Roman" w:hAnsi="Times New Roman" w:cs="Times New Roman"/>
          <w:i/>
          <w:iCs/>
        </w:rPr>
        <w:t>New York Times</w:t>
      </w:r>
      <w:r w:rsidR="003B5B66">
        <w:rPr>
          <w:rFonts w:ascii="Times New Roman" w:hAnsi="Times New Roman" w:cs="Times New Roman"/>
        </w:rPr>
        <w:t xml:space="preserve">, November 18-20, 1875; </w:t>
      </w:r>
      <w:r w:rsidR="003B5B66">
        <w:rPr>
          <w:rFonts w:ascii="Times New Roman" w:hAnsi="Times New Roman" w:cs="Times New Roman"/>
          <w:i/>
          <w:iCs/>
        </w:rPr>
        <w:t>Chicago Daily Tribune</w:t>
      </w:r>
      <w:r w:rsidR="003B5B66">
        <w:rPr>
          <w:rFonts w:ascii="Times New Roman" w:hAnsi="Times New Roman" w:cs="Times New Roman"/>
        </w:rPr>
        <w:t>, November 18, 1875</w:t>
      </w:r>
      <w:bookmarkEnd w:id="88"/>
    </w:p>
  </w:footnote>
  <w:footnote w:id="1335">
    <w:p w14:paraId="4486AD3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36">
    <w:p w14:paraId="7DAF48FA"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37">
    <w:p w14:paraId="488F9BA7" w14:textId="6CD7CF12"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38">
    <w:p w14:paraId="485320D2" w14:textId="58FAB450" w:rsidR="00F06201" w:rsidRPr="003B5B6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B5B66">
        <w:rPr>
          <w:rFonts w:ascii="Times New Roman" w:hAnsi="Times New Roman" w:cs="Times New Roman"/>
          <w:i/>
          <w:iCs/>
        </w:rPr>
        <w:t>St. Louis Daily Globe-Democrat</w:t>
      </w:r>
      <w:r w:rsidR="003B5B66">
        <w:rPr>
          <w:rFonts w:ascii="Times New Roman" w:hAnsi="Times New Roman" w:cs="Times New Roman"/>
        </w:rPr>
        <w:t>, November 17, 1875</w:t>
      </w:r>
    </w:p>
  </w:footnote>
  <w:footnote w:id="1339">
    <w:p w14:paraId="381EF93F" w14:textId="7FE40850"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B5B66">
        <w:rPr>
          <w:rFonts w:ascii="Times New Roman" w:hAnsi="Times New Roman" w:cs="Times New Roman"/>
          <w:i/>
          <w:iCs/>
        </w:rPr>
        <w:t>St. Louis Daily Globe-Democrat</w:t>
      </w:r>
      <w:r w:rsidR="003B5B66">
        <w:rPr>
          <w:rFonts w:ascii="Times New Roman" w:hAnsi="Times New Roman" w:cs="Times New Roman"/>
        </w:rPr>
        <w:t xml:space="preserve">, November 17-20, 1875; </w:t>
      </w:r>
      <w:r w:rsidR="003B5B66">
        <w:rPr>
          <w:rFonts w:ascii="Times New Roman" w:hAnsi="Times New Roman" w:cs="Times New Roman"/>
          <w:i/>
          <w:iCs/>
        </w:rPr>
        <w:t>New York Times</w:t>
      </w:r>
      <w:r w:rsidR="003B5B66">
        <w:rPr>
          <w:rFonts w:ascii="Times New Roman" w:hAnsi="Times New Roman" w:cs="Times New Roman"/>
        </w:rPr>
        <w:t xml:space="preserve">, November 18-20, 1875; </w:t>
      </w:r>
      <w:r w:rsidR="003B5B66">
        <w:rPr>
          <w:rFonts w:ascii="Times New Roman" w:hAnsi="Times New Roman" w:cs="Times New Roman"/>
          <w:i/>
          <w:iCs/>
        </w:rPr>
        <w:t>Chicago Daily Tribune</w:t>
      </w:r>
      <w:r w:rsidR="003B5B66">
        <w:rPr>
          <w:rFonts w:ascii="Times New Roman" w:hAnsi="Times New Roman" w:cs="Times New Roman"/>
        </w:rPr>
        <w:t>, November 18, 1875</w:t>
      </w:r>
    </w:p>
  </w:footnote>
  <w:footnote w:id="1340">
    <w:p w14:paraId="174CC161"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41">
    <w:p w14:paraId="76A35165" w14:textId="2BED7F19" w:rsidR="00F06201" w:rsidRPr="003B5B6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B5B66">
        <w:rPr>
          <w:rFonts w:ascii="Times New Roman" w:hAnsi="Times New Roman" w:cs="Times New Roman"/>
        </w:rPr>
        <w:t xml:space="preserve">McDonald, </w:t>
      </w:r>
      <w:r w:rsidR="003B5B66">
        <w:rPr>
          <w:rFonts w:ascii="Times New Roman" w:hAnsi="Times New Roman" w:cs="Times New Roman"/>
          <w:i/>
          <w:iCs/>
        </w:rPr>
        <w:t>Secrets</w:t>
      </w:r>
      <w:r w:rsidR="003B5B66">
        <w:rPr>
          <w:rFonts w:ascii="Times New Roman" w:hAnsi="Times New Roman" w:cs="Times New Roman"/>
        </w:rPr>
        <w:t>, 212-213</w:t>
      </w:r>
    </w:p>
  </w:footnote>
  <w:footnote w:id="1342">
    <w:p w14:paraId="72768181"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43">
    <w:p w14:paraId="47532EC5" w14:textId="63BF64B6" w:rsidR="00F06201" w:rsidRPr="003B5B66"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B5B66">
        <w:rPr>
          <w:rFonts w:ascii="Times New Roman" w:hAnsi="Times New Roman" w:cs="Times New Roman"/>
          <w:i/>
          <w:iCs/>
        </w:rPr>
        <w:t>St. Louis Globe Daily-Democrat</w:t>
      </w:r>
      <w:r w:rsidR="003B5B66">
        <w:rPr>
          <w:rFonts w:ascii="Times New Roman" w:hAnsi="Times New Roman" w:cs="Times New Roman"/>
        </w:rPr>
        <w:t>, November 20, 1875</w:t>
      </w:r>
    </w:p>
  </w:footnote>
  <w:footnote w:id="1344">
    <w:p w14:paraId="5D360D9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45">
    <w:p w14:paraId="7DB515E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46">
    <w:p w14:paraId="27161EE7" w14:textId="64AE06E5" w:rsidR="00F06201" w:rsidRPr="007B71B0"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7B71B0">
        <w:rPr>
          <w:rFonts w:ascii="Times New Roman" w:hAnsi="Times New Roman" w:cs="Times New Roman"/>
          <w:i/>
          <w:iCs/>
        </w:rPr>
        <w:t>St. Louis Daily Globe-Democrat</w:t>
      </w:r>
      <w:r w:rsidR="007B71B0">
        <w:rPr>
          <w:rFonts w:ascii="Times New Roman" w:hAnsi="Times New Roman" w:cs="Times New Roman"/>
        </w:rPr>
        <w:t xml:space="preserve">, November 20-21, 1875; </w:t>
      </w:r>
      <w:r w:rsidR="007B71B0">
        <w:rPr>
          <w:rFonts w:ascii="Times New Roman" w:hAnsi="Times New Roman" w:cs="Times New Roman"/>
          <w:i/>
          <w:iCs/>
        </w:rPr>
        <w:t>Chicago Daily Tribune</w:t>
      </w:r>
      <w:r w:rsidR="007B71B0">
        <w:rPr>
          <w:rFonts w:ascii="Times New Roman" w:hAnsi="Times New Roman" w:cs="Times New Roman"/>
        </w:rPr>
        <w:t xml:space="preserve">, November 21, 1875; Simon, </w:t>
      </w:r>
      <w:r w:rsidR="007B71B0">
        <w:rPr>
          <w:rFonts w:ascii="Times New Roman" w:hAnsi="Times New Roman" w:cs="Times New Roman"/>
          <w:i/>
          <w:iCs/>
        </w:rPr>
        <w:t>Papers of Ulysses S. Grant, 26</w:t>
      </w:r>
      <w:r w:rsidR="007B71B0">
        <w:rPr>
          <w:rFonts w:ascii="Times New Roman" w:hAnsi="Times New Roman" w:cs="Times New Roman"/>
        </w:rPr>
        <w:t>, 233, 340-341</w:t>
      </w:r>
    </w:p>
  </w:footnote>
  <w:footnote w:id="1347">
    <w:p w14:paraId="16AC519F" w14:textId="118CD88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48">
    <w:p w14:paraId="6BC40219" w14:textId="6ACB4B62" w:rsidR="00F06201" w:rsidRPr="00CA279B"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A279B">
        <w:rPr>
          <w:rFonts w:ascii="Times New Roman" w:hAnsi="Times New Roman" w:cs="Times New Roman"/>
          <w:i/>
          <w:iCs/>
        </w:rPr>
        <w:t>New York Times</w:t>
      </w:r>
      <w:r w:rsidR="00CA279B">
        <w:rPr>
          <w:rFonts w:ascii="Times New Roman" w:hAnsi="Times New Roman" w:cs="Times New Roman"/>
        </w:rPr>
        <w:t>, November 23, 1875</w:t>
      </w:r>
    </w:p>
  </w:footnote>
  <w:footnote w:id="1349">
    <w:p w14:paraId="599161E8"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50">
    <w:p w14:paraId="3965DF9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51">
    <w:p w14:paraId="14407E2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52">
    <w:p w14:paraId="09354CA8" w14:textId="74F116A9" w:rsidR="00F06201" w:rsidRPr="00CA279B"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A279B">
        <w:rPr>
          <w:rFonts w:ascii="Times New Roman" w:hAnsi="Times New Roman" w:cs="Times New Roman"/>
        </w:rPr>
        <w:t xml:space="preserve">McDonald, </w:t>
      </w:r>
      <w:r w:rsidR="00CA279B">
        <w:rPr>
          <w:rFonts w:ascii="Times New Roman" w:hAnsi="Times New Roman" w:cs="Times New Roman"/>
          <w:i/>
          <w:iCs/>
        </w:rPr>
        <w:t>Secrets</w:t>
      </w:r>
      <w:r w:rsidR="00CA279B">
        <w:rPr>
          <w:rFonts w:ascii="Times New Roman" w:hAnsi="Times New Roman" w:cs="Times New Roman"/>
        </w:rPr>
        <w:t>, 213-215</w:t>
      </w:r>
    </w:p>
  </w:footnote>
  <w:footnote w:id="1353">
    <w:p w14:paraId="5CCA875F"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54">
    <w:p w14:paraId="60B82625"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55">
    <w:p w14:paraId="139C4318" w14:textId="5D80F34D"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5666A">
        <w:rPr>
          <w:rFonts w:ascii="Times New Roman" w:hAnsi="Times New Roman" w:cs="Times New Roman"/>
        </w:rPr>
        <w:t>Ibid</w:t>
      </w:r>
    </w:p>
  </w:footnote>
  <w:footnote w:id="1356">
    <w:p w14:paraId="6CC6A78A"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57">
    <w:p w14:paraId="1C163F5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58">
    <w:p w14:paraId="1C8896CB"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59">
    <w:p w14:paraId="3F0DA756" w14:textId="07C7384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5666A">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E5666A">
        <w:rPr>
          <w:rFonts w:ascii="Times New Roman" w:hAnsi="Times New Roman" w:cs="Times New Roman"/>
        </w:rPr>
        <w:t xml:space="preserve"> </w:t>
      </w:r>
      <w:r w:rsidRPr="002318C9">
        <w:rPr>
          <w:rFonts w:ascii="Times New Roman" w:hAnsi="Times New Roman" w:cs="Times New Roman"/>
        </w:rPr>
        <w:t>105</w:t>
      </w:r>
    </w:p>
  </w:footnote>
  <w:footnote w:id="1360">
    <w:p w14:paraId="09D973EC" w14:textId="2776902C"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5666A">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E5666A">
        <w:rPr>
          <w:rFonts w:ascii="Times New Roman" w:hAnsi="Times New Roman" w:cs="Times New Roman"/>
        </w:rPr>
        <w:t xml:space="preserve"> </w:t>
      </w:r>
      <w:r w:rsidRPr="002318C9">
        <w:rPr>
          <w:rFonts w:ascii="Times New Roman" w:hAnsi="Times New Roman" w:cs="Times New Roman"/>
        </w:rPr>
        <w:t>107</w:t>
      </w:r>
    </w:p>
  </w:footnote>
  <w:footnote w:id="1361">
    <w:p w14:paraId="7640EADD" w14:textId="681EB5B8" w:rsidR="00F06201" w:rsidRPr="0030172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01723">
        <w:rPr>
          <w:rFonts w:ascii="Times New Roman" w:hAnsi="Times New Roman" w:cs="Times New Roman"/>
        </w:rPr>
        <w:t xml:space="preserve">McDonald, </w:t>
      </w:r>
      <w:r w:rsidR="00301723">
        <w:rPr>
          <w:rFonts w:ascii="Times New Roman" w:hAnsi="Times New Roman" w:cs="Times New Roman"/>
          <w:i/>
          <w:iCs/>
        </w:rPr>
        <w:t>Secrets</w:t>
      </w:r>
      <w:r w:rsidR="00301723">
        <w:rPr>
          <w:rFonts w:ascii="Times New Roman" w:hAnsi="Times New Roman" w:cs="Times New Roman"/>
        </w:rPr>
        <w:t>, 6-7</w:t>
      </w:r>
    </w:p>
  </w:footnote>
  <w:footnote w:id="1362">
    <w:p w14:paraId="337F2117" w14:textId="667CAE02" w:rsidR="00F06201" w:rsidRPr="0030172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01723">
        <w:rPr>
          <w:rFonts w:ascii="Times New Roman" w:hAnsi="Times New Roman" w:cs="Times New Roman"/>
        </w:rPr>
        <w:t xml:space="preserve">McDonald, </w:t>
      </w:r>
      <w:r w:rsidR="00301723">
        <w:rPr>
          <w:rFonts w:ascii="Times New Roman" w:hAnsi="Times New Roman" w:cs="Times New Roman"/>
          <w:i/>
          <w:iCs/>
        </w:rPr>
        <w:t>Secrets</w:t>
      </w:r>
      <w:r w:rsidR="00301723">
        <w:rPr>
          <w:rFonts w:ascii="Times New Roman" w:hAnsi="Times New Roman" w:cs="Times New Roman"/>
        </w:rPr>
        <w:t>, 6-11</w:t>
      </w:r>
    </w:p>
  </w:footnote>
  <w:footnote w:id="1363">
    <w:p w14:paraId="2F252C20" w14:textId="5CE2FA5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01723">
        <w:rPr>
          <w:rFonts w:ascii="Times New Roman" w:hAnsi="Times New Roman" w:cs="Times New Roman"/>
        </w:rPr>
        <w:t>Ibid</w:t>
      </w:r>
    </w:p>
  </w:footnote>
  <w:footnote w:id="1364">
    <w:p w14:paraId="401A8704"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65">
    <w:p w14:paraId="54BA718E" w14:textId="66C5F30A" w:rsidR="00F06201" w:rsidRPr="0030172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r w:rsidR="00301723">
        <w:rPr>
          <w:rFonts w:ascii="Times New Roman" w:hAnsi="Times New Roman" w:cs="Times New Roman"/>
        </w:rPr>
        <w:t xml:space="preserve">; </w:t>
      </w:r>
      <w:r w:rsidR="00301723">
        <w:rPr>
          <w:rFonts w:ascii="Times New Roman" w:hAnsi="Times New Roman" w:cs="Times New Roman"/>
          <w:i/>
          <w:iCs/>
        </w:rPr>
        <w:t>Chicago Daily Tribune</w:t>
      </w:r>
      <w:r w:rsidR="00301723">
        <w:rPr>
          <w:rFonts w:ascii="Times New Roman" w:hAnsi="Times New Roman" w:cs="Times New Roman"/>
        </w:rPr>
        <w:t>, May 16, June 26, 1878</w:t>
      </w:r>
    </w:p>
  </w:footnote>
  <w:footnote w:id="1366">
    <w:p w14:paraId="0FA32AE8" w14:textId="76525BBE" w:rsidR="00F06201" w:rsidRPr="0030172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01723">
        <w:rPr>
          <w:rFonts w:ascii="Times New Roman" w:hAnsi="Times New Roman" w:cs="Times New Roman"/>
        </w:rPr>
        <w:t xml:space="preserve">Simon, </w:t>
      </w:r>
      <w:r w:rsidR="00301723">
        <w:rPr>
          <w:rFonts w:ascii="Times New Roman" w:hAnsi="Times New Roman" w:cs="Times New Roman"/>
          <w:i/>
          <w:iCs/>
        </w:rPr>
        <w:t>Papers of Ulysses S. Grant, 26, 1875</w:t>
      </w:r>
      <w:r w:rsidR="00301723">
        <w:rPr>
          <w:rFonts w:ascii="Times New Roman" w:hAnsi="Times New Roman" w:cs="Times New Roman"/>
        </w:rPr>
        <w:t xml:space="preserve">, 236; </w:t>
      </w:r>
      <w:r w:rsidR="00301723">
        <w:rPr>
          <w:rFonts w:ascii="Times New Roman" w:hAnsi="Times New Roman" w:cs="Times New Roman"/>
          <w:i/>
          <w:iCs/>
        </w:rPr>
        <w:t>New York Times</w:t>
      </w:r>
      <w:r w:rsidR="00301723">
        <w:rPr>
          <w:rFonts w:ascii="Times New Roman" w:hAnsi="Times New Roman" w:cs="Times New Roman"/>
        </w:rPr>
        <w:t xml:space="preserve">, November 24-27, December 3-4, 1875; </w:t>
      </w:r>
      <w:r w:rsidR="00301723">
        <w:rPr>
          <w:rFonts w:ascii="Times New Roman" w:hAnsi="Times New Roman" w:cs="Times New Roman"/>
          <w:i/>
          <w:iCs/>
        </w:rPr>
        <w:t>New York Sun</w:t>
      </w:r>
      <w:r w:rsidR="00301723">
        <w:rPr>
          <w:rFonts w:ascii="Times New Roman" w:hAnsi="Times New Roman" w:cs="Times New Roman"/>
        </w:rPr>
        <w:t>, November 22, 1876</w:t>
      </w:r>
    </w:p>
  </w:footnote>
  <w:footnote w:id="1367">
    <w:p w14:paraId="01B1C35A" w14:textId="6986A142" w:rsidR="00F06201" w:rsidRPr="00301723"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01723">
        <w:rPr>
          <w:rFonts w:ascii="Times New Roman" w:hAnsi="Times New Roman" w:cs="Times New Roman"/>
        </w:rPr>
        <w:t xml:space="preserve">Ibid; David Dyer in </w:t>
      </w:r>
      <w:r w:rsidR="00301723">
        <w:rPr>
          <w:rFonts w:ascii="Times New Roman" w:hAnsi="Times New Roman" w:cs="Times New Roman"/>
          <w:i/>
          <w:iCs/>
        </w:rPr>
        <w:t>Whiskey Frauds Testimony</w:t>
      </w:r>
      <w:r w:rsidR="00301723">
        <w:rPr>
          <w:rFonts w:ascii="Times New Roman" w:hAnsi="Times New Roman" w:cs="Times New Roman"/>
        </w:rPr>
        <w:t>, 37</w:t>
      </w:r>
    </w:p>
  </w:footnote>
  <w:footnote w:id="1368">
    <w:p w14:paraId="1BA0089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69">
    <w:p w14:paraId="6576923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70">
    <w:p w14:paraId="10D39D59" w14:textId="6206AD11" w:rsidR="00F06201" w:rsidRPr="005E48E7" w:rsidRDefault="00F06201" w:rsidP="00F06201">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A32DD">
        <w:rPr>
          <w:rFonts w:ascii="Times New Roman" w:hAnsi="Times New Roman" w:cs="Times New Roman"/>
        </w:rPr>
        <w:t>Webb</w:t>
      </w:r>
      <w:r w:rsidR="005E48E7">
        <w:rPr>
          <w:rFonts w:ascii="Times New Roman" w:hAnsi="Times New Roman" w:cs="Times New Roman"/>
        </w:rPr>
        <w:t xml:space="preserve">, </w:t>
      </w:r>
      <w:r w:rsidR="005E48E7">
        <w:rPr>
          <w:rFonts w:ascii="Times New Roman" w:hAnsi="Times New Roman" w:cs="Times New Roman"/>
          <w:i/>
          <w:iCs/>
        </w:rPr>
        <w:t>Benjamin Helm Bristow</w:t>
      </w:r>
    </w:p>
  </w:footnote>
  <w:footnote w:id="1371">
    <w:p w14:paraId="21482B9C" w14:textId="3088328E" w:rsidR="00F06201" w:rsidRPr="005A32DD"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A32DD">
        <w:rPr>
          <w:rFonts w:ascii="Times New Roman" w:hAnsi="Times New Roman" w:cs="Times New Roman"/>
        </w:rPr>
        <w:t>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5A32DD">
        <w:rPr>
          <w:rFonts w:ascii="Times New Roman" w:hAnsi="Times New Roman" w:cs="Times New Roman"/>
        </w:rPr>
        <w:t xml:space="preserve"> 513-514; Benjamin Bristow to John Marshall Harlan, November 7, 1875, John Marshall Harlan Papers, Library of Congress; </w:t>
      </w:r>
      <w:r w:rsidR="005A32DD">
        <w:rPr>
          <w:rFonts w:ascii="Times New Roman" w:hAnsi="Times New Roman" w:cs="Times New Roman"/>
          <w:i/>
          <w:iCs/>
        </w:rPr>
        <w:t>New York Times</w:t>
      </w:r>
      <w:r w:rsidR="005A32DD">
        <w:rPr>
          <w:rFonts w:ascii="Times New Roman" w:hAnsi="Times New Roman" w:cs="Times New Roman"/>
        </w:rPr>
        <w:t>, November 5-6, 1875</w:t>
      </w:r>
    </w:p>
  </w:footnote>
  <w:footnote w:id="1372">
    <w:p w14:paraId="68BDD61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73">
    <w:p w14:paraId="55CA0E36" w14:textId="79DA2CFB"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A32DD">
        <w:rPr>
          <w:rFonts w:ascii="Times New Roman" w:hAnsi="Times New Roman" w:cs="Times New Roman"/>
        </w:rPr>
        <w:t>Ibid; John Marshall Harlan to Benjamin Bristow, November 7, 1875, Benjamin Bristow Papers, Library of Congress</w:t>
      </w:r>
    </w:p>
  </w:footnote>
  <w:footnote w:id="1374">
    <w:p w14:paraId="439004C2" w14:textId="3D73F5A1" w:rsidR="00F06201" w:rsidRPr="005A32DD"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A32DD">
        <w:rPr>
          <w:rFonts w:ascii="Times New Roman" w:hAnsi="Times New Roman" w:cs="Times New Roman"/>
          <w:i/>
          <w:iCs/>
        </w:rPr>
        <w:t>Whiskey Frauds Testimony</w:t>
      </w:r>
      <w:r w:rsidR="005A32DD">
        <w:rPr>
          <w:rFonts w:ascii="Times New Roman" w:hAnsi="Times New Roman" w:cs="Times New Roman"/>
        </w:rPr>
        <w:t>, 361; Bluford Wilson to Benjamin Bristow, November 10, 1875</w:t>
      </w:r>
      <w:r w:rsidR="007E412F">
        <w:rPr>
          <w:rFonts w:ascii="Times New Roman" w:hAnsi="Times New Roman" w:cs="Times New Roman"/>
        </w:rPr>
        <w:t>;</w:t>
      </w:r>
      <w:r w:rsidR="005A32DD">
        <w:rPr>
          <w:rFonts w:ascii="Times New Roman" w:hAnsi="Times New Roman" w:cs="Times New Roman"/>
        </w:rPr>
        <w:t xml:space="preserve"> Bluford Wilson to Edwards Pierrepont, November 10-11, 1875 (telegrams)</w:t>
      </w:r>
      <w:r w:rsidR="007E412F">
        <w:rPr>
          <w:rFonts w:ascii="Times New Roman" w:hAnsi="Times New Roman" w:cs="Times New Roman"/>
        </w:rPr>
        <w:t>; David Dyer to Bluford Wilson, November 10, 1875, Benjamin Bristow Papers, Library of Congress</w:t>
      </w:r>
    </w:p>
  </w:footnote>
  <w:footnote w:id="1375">
    <w:p w14:paraId="071369D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76">
    <w:p w14:paraId="0ECFE4A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77">
    <w:p w14:paraId="58848196" w14:textId="3DD192D0"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866EB3">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866EB3">
        <w:rPr>
          <w:rFonts w:ascii="Times New Roman" w:hAnsi="Times New Roman" w:cs="Times New Roman"/>
        </w:rPr>
        <w:t xml:space="preserve"> </w:t>
      </w:r>
      <w:r w:rsidRPr="002318C9">
        <w:rPr>
          <w:rFonts w:ascii="Times New Roman" w:hAnsi="Times New Roman" w:cs="Times New Roman"/>
        </w:rPr>
        <w:t>514-</w:t>
      </w:r>
      <w:r w:rsidR="00866EB3">
        <w:rPr>
          <w:rFonts w:ascii="Times New Roman" w:hAnsi="Times New Roman" w:cs="Times New Roman"/>
        </w:rPr>
        <w:t>51</w:t>
      </w:r>
      <w:r w:rsidRPr="002318C9">
        <w:rPr>
          <w:rFonts w:ascii="Times New Roman" w:hAnsi="Times New Roman" w:cs="Times New Roman"/>
        </w:rPr>
        <w:t>5</w:t>
      </w:r>
      <w:r w:rsidR="00866EB3">
        <w:rPr>
          <w:rFonts w:ascii="Times New Roman" w:hAnsi="Times New Roman" w:cs="Times New Roman"/>
        </w:rPr>
        <w:t xml:space="preserve">; </w:t>
      </w:r>
      <w:r w:rsidR="00866EB3">
        <w:rPr>
          <w:rFonts w:ascii="Times New Roman" w:hAnsi="Times New Roman" w:cs="Times New Roman"/>
          <w:i/>
          <w:iCs/>
        </w:rPr>
        <w:t>Whiskey Frauds Testimony</w:t>
      </w:r>
      <w:r w:rsidR="00866EB3">
        <w:rPr>
          <w:rFonts w:ascii="Times New Roman" w:hAnsi="Times New Roman" w:cs="Times New Roman"/>
        </w:rPr>
        <w:t>, 358-362, 540-542</w:t>
      </w:r>
    </w:p>
  </w:footnote>
  <w:footnote w:id="1378">
    <w:p w14:paraId="6E6C2EE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79">
    <w:p w14:paraId="47515FB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80">
    <w:p w14:paraId="17D0CD4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81">
    <w:p w14:paraId="405F5383" w14:textId="09D9044E"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B6D4B">
        <w:rPr>
          <w:rFonts w:ascii="Times New Roman" w:hAnsi="Times New Roman" w:cs="Times New Roman"/>
        </w:rPr>
        <w:t>Bluford Wilson to James Harrison Wilson, November 18, 1875; Benjamin Bristow to James Harrison Wilson, November 20, 1875, Ulysses S. Grant Papers, Ulysses S. Grant Presidential Library; Bluford Wilson to Lucien Eaton, November 17, 1875, Orville Babcock to John Joyce, December 5, 1874, quoted in Eaton to Bluford Wilson, November 19, 1875 (telegram), “J” to Orville Babcock, December 3, 1874, quoted in Eaton to Bluford Wilson, November 29, 1875 (telegram), Benjamin Bristow Papers, Library of Congress</w:t>
      </w:r>
    </w:p>
  </w:footnote>
  <w:footnote w:id="1382">
    <w:p w14:paraId="2413B011"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83">
    <w:p w14:paraId="2256501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84">
    <w:p w14:paraId="644B9357" w14:textId="228BCB83"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B6D4B">
        <w:rPr>
          <w:rFonts w:ascii="Times New Roman" w:hAnsi="Times New Roman" w:cs="Times New Roman"/>
        </w:rPr>
        <w:t>Bluford Wilson to David Dyer, November 20, 1875, Benjamin Bristow Papers, Library of Congress</w:t>
      </w:r>
    </w:p>
  </w:footnote>
  <w:footnote w:id="1385">
    <w:p w14:paraId="42605CA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86">
    <w:p w14:paraId="05CF49AA" w14:textId="1DE1F139"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B6D4B">
        <w:rPr>
          <w:rFonts w:ascii="Times New Roman" w:hAnsi="Times New Roman" w:cs="Times New Roman"/>
        </w:rPr>
        <w:t xml:space="preserve">Dyer, </w:t>
      </w:r>
      <w:r w:rsidR="001B6D4B">
        <w:rPr>
          <w:rFonts w:ascii="Times New Roman" w:hAnsi="Times New Roman" w:cs="Times New Roman"/>
          <w:i/>
          <w:iCs/>
        </w:rPr>
        <w:t>Autobiography</w:t>
      </w:r>
      <w:r w:rsidR="001B6D4B">
        <w:rPr>
          <w:rFonts w:ascii="Times New Roman" w:hAnsi="Times New Roman" w:cs="Times New Roman"/>
        </w:rPr>
        <w:t xml:space="preserve">, 166-167; Edwards Pierrepont in </w:t>
      </w:r>
      <w:r w:rsidR="001B6D4B">
        <w:rPr>
          <w:rFonts w:ascii="Times New Roman" w:hAnsi="Times New Roman" w:cs="Times New Roman"/>
          <w:i/>
          <w:iCs/>
        </w:rPr>
        <w:t>Whiskey Frauds Testimony</w:t>
      </w:r>
      <w:r w:rsidR="001B6D4B">
        <w:rPr>
          <w:rFonts w:ascii="Times New Roman" w:hAnsi="Times New Roman" w:cs="Times New Roman"/>
        </w:rPr>
        <w:t>, 2</w:t>
      </w:r>
      <w:r w:rsidRPr="002318C9">
        <w:rPr>
          <w:rFonts w:ascii="Times New Roman" w:hAnsi="Times New Roman" w:cs="Times New Roman"/>
        </w:rPr>
        <w:t xml:space="preserve">; </w:t>
      </w:r>
      <w:r w:rsidR="00D66515">
        <w:rPr>
          <w:rFonts w:ascii="Times New Roman" w:hAnsi="Times New Roman" w:cs="Times New Roman"/>
        </w:rPr>
        <w:t xml:space="preserve">“Sylph” (Orville Babcock) to John McDonald, December 13, 1874 (telegram); </w:t>
      </w:r>
      <w:r w:rsidR="00D66515">
        <w:rPr>
          <w:rFonts w:ascii="Times New Roman" w:hAnsi="Times New Roman" w:cs="Times New Roman"/>
          <w:i/>
          <w:iCs/>
        </w:rPr>
        <w:t>Washington Evening Star</w:t>
      </w:r>
      <w:r w:rsidR="00D66515">
        <w:rPr>
          <w:rFonts w:ascii="Times New Roman" w:hAnsi="Times New Roman" w:cs="Times New Roman"/>
        </w:rPr>
        <w:t xml:space="preserve">, July 8, 1875; Simon, </w:t>
      </w:r>
      <w:r w:rsidR="00D66515">
        <w:rPr>
          <w:rFonts w:ascii="Times New Roman" w:hAnsi="Times New Roman" w:cs="Times New Roman"/>
          <w:i/>
          <w:iCs/>
        </w:rPr>
        <w:t>Papers of Ulysses S. Grant, 26</w:t>
      </w:r>
      <w:r w:rsidR="00D66515">
        <w:rPr>
          <w:rFonts w:ascii="Times New Roman" w:hAnsi="Times New Roman" w:cs="Times New Roman"/>
        </w:rPr>
        <w:t>, 118, 239, 285-286; 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D66515">
        <w:rPr>
          <w:rFonts w:ascii="Times New Roman" w:hAnsi="Times New Roman" w:cs="Times New Roman"/>
        </w:rPr>
        <w:t xml:space="preserve"> 498</w:t>
      </w:r>
    </w:p>
  </w:footnote>
  <w:footnote w:id="1387">
    <w:p w14:paraId="7C49ADCF"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88">
    <w:p w14:paraId="319DE11A"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89">
    <w:p w14:paraId="10D16283" w14:textId="579A31CA"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47B34">
        <w:rPr>
          <w:rFonts w:ascii="Times New Roman" w:hAnsi="Times New Roman" w:cs="Times New Roman"/>
        </w:rPr>
        <w:t>Ibid</w:t>
      </w:r>
    </w:p>
  </w:footnote>
  <w:footnote w:id="1390">
    <w:p w14:paraId="4BBCFAAE" w14:textId="6F8BEA60" w:rsidR="00F06201" w:rsidRPr="00197F32"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97F32">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197F32">
        <w:rPr>
          <w:rFonts w:ascii="Times New Roman" w:hAnsi="Times New Roman" w:cs="Times New Roman"/>
        </w:rPr>
        <w:t xml:space="preserve"> </w:t>
      </w:r>
      <w:r w:rsidRPr="002318C9">
        <w:rPr>
          <w:rFonts w:ascii="Times New Roman" w:hAnsi="Times New Roman" w:cs="Times New Roman"/>
        </w:rPr>
        <w:t>109</w:t>
      </w:r>
      <w:r w:rsidR="00197F32">
        <w:rPr>
          <w:rFonts w:ascii="Times New Roman" w:hAnsi="Times New Roman" w:cs="Times New Roman"/>
        </w:rPr>
        <w:t xml:space="preserve">; Jean Edward Smith, </w:t>
      </w:r>
      <w:r w:rsidR="00197F32">
        <w:rPr>
          <w:rFonts w:ascii="Times New Roman" w:hAnsi="Times New Roman" w:cs="Times New Roman"/>
          <w:i/>
          <w:iCs/>
        </w:rPr>
        <w:t>Grant</w:t>
      </w:r>
      <w:r w:rsidR="00197F32">
        <w:rPr>
          <w:rFonts w:ascii="Times New Roman" w:hAnsi="Times New Roman" w:cs="Times New Roman"/>
        </w:rPr>
        <w:t>, 591</w:t>
      </w:r>
    </w:p>
  </w:footnote>
  <w:footnote w:id="1391">
    <w:p w14:paraId="2BE9BCCE" w14:textId="66CA9D61" w:rsidR="00F06201" w:rsidRPr="00197F32"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97F32">
        <w:rPr>
          <w:rFonts w:ascii="Times New Roman" w:hAnsi="Times New Roman" w:cs="Times New Roman"/>
        </w:rPr>
        <w:t xml:space="preserve">Bluford Wilson in </w:t>
      </w:r>
      <w:r w:rsidR="00197F32">
        <w:rPr>
          <w:rFonts w:ascii="Times New Roman" w:hAnsi="Times New Roman" w:cs="Times New Roman"/>
          <w:i/>
          <w:iCs/>
        </w:rPr>
        <w:t>Whiskey Frauds Testimony</w:t>
      </w:r>
      <w:r w:rsidR="00197F32">
        <w:rPr>
          <w:rFonts w:ascii="Times New Roman" w:hAnsi="Times New Roman" w:cs="Times New Roman"/>
        </w:rPr>
        <w:t>, 359</w:t>
      </w:r>
    </w:p>
  </w:footnote>
  <w:footnote w:id="1392">
    <w:p w14:paraId="40FCEB46" w14:textId="5F651A79" w:rsidR="00F06201" w:rsidRPr="00197F32"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97F32">
        <w:rPr>
          <w:rFonts w:ascii="Times New Roman" w:hAnsi="Times New Roman" w:cs="Times New Roman"/>
        </w:rPr>
        <w:t xml:space="preserve">Joyce, </w:t>
      </w:r>
      <w:r w:rsidR="00197F32">
        <w:rPr>
          <w:rFonts w:ascii="Times New Roman" w:hAnsi="Times New Roman" w:cs="Times New Roman"/>
          <w:i/>
          <w:iCs/>
        </w:rPr>
        <w:t>A Checkered Life</w:t>
      </w:r>
      <w:r w:rsidR="00197F32">
        <w:rPr>
          <w:rFonts w:ascii="Times New Roman" w:hAnsi="Times New Roman" w:cs="Times New Roman"/>
        </w:rPr>
        <w:t>, 282</w:t>
      </w:r>
    </w:p>
  </w:footnote>
  <w:footnote w:id="1393">
    <w:p w14:paraId="41DABE5C" w14:textId="6A0C43DB" w:rsidR="00F06201" w:rsidRPr="00197F32"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97F32">
        <w:rPr>
          <w:rFonts w:ascii="Times New Roman" w:hAnsi="Times New Roman" w:cs="Times New Roman"/>
        </w:rPr>
        <w:t xml:space="preserve">McDonald, </w:t>
      </w:r>
      <w:r w:rsidR="00197F32">
        <w:rPr>
          <w:rFonts w:ascii="Times New Roman" w:hAnsi="Times New Roman" w:cs="Times New Roman"/>
          <w:i/>
          <w:iCs/>
        </w:rPr>
        <w:t>Secrets</w:t>
      </w:r>
      <w:r w:rsidR="00197F32">
        <w:rPr>
          <w:rFonts w:ascii="Times New Roman" w:hAnsi="Times New Roman" w:cs="Times New Roman"/>
        </w:rPr>
        <w:t>, 115-119</w:t>
      </w:r>
    </w:p>
  </w:footnote>
  <w:footnote w:id="1394">
    <w:p w14:paraId="7FC5B8C4"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95">
    <w:p w14:paraId="5F4E463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96">
    <w:p w14:paraId="58E988EC" w14:textId="31C5C42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E0425">
        <w:rPr>
          <w:rFonts w:ascii="Times New Roman" w:hAnsi="Times New Roman" w:cs="Times New Roman"/>
        </w:rPr>
        <w:t>Ibid</w:t>
      </w:r>
    </w:p>
  </w:footnote>
  <w:footnote w:id="1397">
    <w:p w14:paraId="12369BC1"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98">
    <w:p w14:paraId="540202AB"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399">
    <w:p w14:paraId="6C2D45DE" w14:textId="5A1368F0" w:rsidR="00F06201" w:rsidRPr="00AE0425"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E0425">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AE0425">
        <w:rPr>
          <w:rFonts w:ascii="Times New Roman" w:hAnsi="Times New Roman" w:cs="Times New Roman"/>
        </w:rPr>
        <w:t xml:space="preserve"> 110-111; David Dyer in </w:t>
      </w:r>
      <w:r w:rsidR="00AE0425">
        <w:rPr>
          <w:rFonts w:ascii="Times New Roman" w:hAnsi="Times New Roman" w:cs="Times New Roman"/>
          <w:i/>
          <w:iCs/>
        </w:rPr>
        <w:t>Whiskey Frauds Testimony</w:t>
      </w:r>
      <w:r w:rsidR="00AE0425">
        <w:rPr>
          <w:rFonts w:ascii="Times New Roman" w:hAnsi="Times New Roman" w:cs="Times New Roman"/>
        </w:rPr>
        <w:t>, 37</w:t>
      </w:r>
    </w:p>
  </w:footnote>
  <w:footnote w:id="1400">
    <w:p w14:paraId="1FDE3722"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01">
    <w:p w14:paraId="2AF5D2F8"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02">
    <w:p w14:paraId="33AB2FB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03">
    <w:p w14:paraId="49532F9D" w14:textId="2B4E3737" w:rsidR="00F06201" w:rsidRPr="00D64B65"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64B65">
        <w:rPr>
          <w:rFonts w:ascii="Times New Roman" w:hAnsi="Times New Roman" w:cs="Times New Roman"/>
        </w:rPr>
        <w:t xml:space="preserve">Simon, </w:t>
      </w:r>
      <w:r w:rsidR="00D64B65">
        <w:rPr>
          <w:rFonts w:ascii="Times New Roman" w:hAnsi="Times New Roman" w:cs="Times New Roman"/>
          <w:i/>
          <w:iCs/>
        </w:rPr>
        <w:t>Papers of Ulysses S. Grant, 26</w:t>
      </w:r>
      <w:r w:rsidR="00D64B65">
        <w:rPr>
          <w:rFonts w:ascii="Times New Roman" w:hAnsi="Times New Roman" w:cs="Times New Roman"/>
        </w:rPr>
        <w:t xml:space="preserve"> 375-379; </w:t>
      </w:r>
      <w:r w:rsidR="00D64B65">
        <w:rPr>
          <w:rFonts w:ascii="Times New Roman" w:hAnsi="Times New Roman" w:cs="Times New Roman"/>
          <w:i/>
          <w:iCs/>
        </w:rPr>
        <w:t>New York Times</w:t>
      </w:r>
      <w:r w:rsidR="00D64B65">
        <w:rPr>
          <w:rFonts w:ascii="Times New Roman" w:hAnsi="Times New Roman" w:cs="Times New Roman"/>
        </w:rPr>
        <w:t>, December 3, 11, 1875</w:t>
      </w:r>
    </w:p>
  </w:footnote>
  <w:footnote w:id="1404">
    <w:p w14:paraId="17567E9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05">
    <w:p w14:paraId="6C43378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06">
    <w:p w14:paraId="69B70E1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07">
    <w:p w14:paraId="2EA54BF9" w14:textId="3F4667CB" w:rsidR="00F06201" w:rsidRPr="00D64B65"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64B65">
        <w:rPr>
          <w:rFonts w:ascii="Times New Roman" w:hAnsi="Times New Roman" w:cs="Times New Roman"/>
        </w:rPr>
        <w:t xml:space="preserve">Allan Nevins, </w:t>
      </w:r>
      <w:r w:rsidR="00D64B65">
        <w:rPr>
          <w:rFonts w:ascii="Times New Roman" w:hAnsi="Times New Roman" w:cs="Times New Roman"/>
          <w:i/>
          <w:iCs/>
        </w:rPr>
        <w:t>Hamilton Fish: The Inner History of the Grant Administration</w:t>
      </w:r>
      <w:r w:rsidR="00D64B65">
        <w:rPr>
          <w:rFonts w:ascii="Times New Roman" w:hAnsi="Times New Roman" w:cs="Times New Roman"/>
        </w:rPr>
        <w:t xml:space="preserve">. New York: Dodd, Mead, 1936. 790-791; McFeely, </w:t>
      </w:r>
      <w:r w:rsidR="00D64B65">
        <w:rPr>
          <w:rFonts w:ascii="Times New Roman" w:hAnsi="Times New Roman" w:cs="Times New Roman"/>
          <w:i/>
          <w:iCs/>
        </w:rPr>
        <w:t>Grant</w:t>
      </w:r>
      <w:r w:rsidR="00D64B65">
        <w:rPr>
          <w:rFonts w:ascii="Times New Roman" w:hAnsi="Times New Roman" w:cs="Times New Roman"/>
        </w:rPr>
        <w:t xml:space="preserve">, 410-411; </w:t>
      </w:r>
      <w:r w:rsidR="00D64B65">
        <w:rPr>
          <w:rFonts w:ascii="Times New Roman" w:hAnsi="Times New Roman" w:cs="Times New Roman"/>
          <w:i/>
          <w:iCs/>
        </w:rPr>
        <w:t>New York Times</w:t>
      </w:r>
      <w:r w:rsidR="00D64B65">
        <w:rPr>
          <w:rFonts w:ascii="Times New Roman" w:hAnsi="Times New Roman" w:cs="Times New Roman"/>
        </w:rPr>
        <w:t>, December 5, 1875</w:t>
      </w:r>
    </w:p>
  </w:footnote>
  <w:footnote w:id="1408">
    <w:p w14:paraId="16605658"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09">
    <w:p w14:paraId="08DD1B01" w14:textId="33E6207F"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C</w:t>
      </w:r>
      <w:r w:rsidR="00D64B65">
        <w:rPr>
          <w:rFonts w:ascii="Times New Roman" w:hAnsi="Times New Roman" w:cs="Times New Roman"/>
        </w:rPr>
        <w:t>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D64B65">
        <w:rPr>
          <w:rFonts w:ascii="Times New Roman" w:hAnsi="Times New Roman" w:cs="Times New Roman"/>
        </w:rPr>
        <w:t xml:space="preserve"> </w:t>
      </w:r>
      <w:r w:rsidRPr="002318C9">
        <w:rPr>
          <w:rFonts w:ascii="Times New Roman" w:hAnsi="Times New Roman" w:cs="Times New Roman"/>
        </w:rPr>
        <w:t>516-</w:t>
      </w:r>
      <w:r w:rsidR="00D64B65">
        <w:rPr>
          <w:rFonts w:ascii="Times New Roman" w:hAnsi="Times New Roman" w:cs="Times New Roman"/>
        </w:rPr>
        <w:t>51</w:t>
      </w:r>
      <w:r w:rsidRPr="002318C9">
        <w:rPr>
          <w:rFonts w:ascii="Times New Roman" w:hAnsi="Times New Roman" w:cs="Times New Roman"/>
        </w:rPr>
        <w:t>7</w:t>
      </w:r>
    </w:p>
  </w:footnote>
  <w:footnote w:id="1410">
    <w:p w14:paraId="2561AF36" w14:textId="5DA39223"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64B65">
        <w:rPr>
          <w:rFonts w:ascii="Times New Roman" w:hAnsi="Times New Roman" w:cs="Times New Roman"/>
        </w:rPr>
        <w:t xml:space="preserve">Nevins, </w:t>
      </w:r>
      <w:r w:rsidR="00D64B65">
        <w:rPr>
          <w:rFonts w:ascii="Times New Roman" w:hAnsi="Times New Roman" w:cs="Times New Roman"/>
          <w:i/>
          <w:iCs/>
        </w:rPr>
        <w:t>Hamilton Fish</w:t>
      </w:r>
      <w:r w:rsidR="00D64B65">
        <w:rPr>
          <w:rFonts w:ascii="Times New Roman" w:hAnsi="Times New Roman" w:cs="Times New Roman"/>
        </w:rPr>
        <w:t xml:space="preserve">, 790-791; McFeely, </w:t>
      </w:r>
      <w:r w:rsidR="00D64B65">
        <w:rPr>
          <w:rFonts w:ascii="Times New Roman" w:hAnsi="Times New Roman" w:cs="Times New Roman"/>
          <w:i/>
          <w:iCs/>
        </w:rPr>
        <w:t>Grant</w:t>
      </w:r>
      <w:r w:rsidR="00D64B65">
        <w:rPr>
          <w:rFonts w:ascii="Times New Roman" w:hAnsi="Times New Roman" w:cs="Times New Roman"/>
        </w:rPr>
        <w:t xml:space="preserve">, 410-411; </w:t>
      </w:r>
      <w:r w:rsidR="00D64B65">
        <w:rPr>
          <w:rFonts w:ascii="Times New Roman" w:hAnsi="Times New Roman" w:cs="Times New Roman"/>
          <w:i/>
          <w:iCs/>
        </w:rPr>
        <w:t>New York Times</w:t>
      </w:r>
      <w:r w:rsidR="00D64B65">
        <w:rPr>
          <w:rFonts w:ascii="Times New Roman" w:hAnsi="Times New Roman" w:cs="Times New Roman"/>
        </w:rPr>
        <w:t>, December 5, 1875</w:t>
      </w:r>
    </w:p>
  </w:footnote>
  <w:footnote w:id="1411">
    <w:p w14:paraId="2F8B66C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12">
    <w:p w14:paraId="11F30164" w14:textId="393D0FC5" w:rsidR="00F06201" w:rsidRPr="00037680"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37680">
        <w:rPr>
          <w:rFonts w:ascii="Times New Roman" w:hAnsi="Times New Roman" w:cs="Times New Roman"/>
        </w:rPr>
        <w:t xml:space="preserve">Simon, </w:t>
      </w:r>
      <w:r w:rsidR="00037680">
        <w:rPr>
          <w:rFonts w:ascii="Times New Roman" w:hAnsi="Times New Roman" w:cs="Times New Roman"/>
          <w:i/>
          <w:iCs/>
        </w:rPr>
        <w:t>Papers of Ulysses S. Grant</w:t>
      </w:r>
      <w:r w:rsidR="00037680">
        <w:rPr>
          <w:rFonts w:ascii="Times New Roman" w:hAnsi="Times New Roman" w:cs="Times New Roman"/>
        </w:rPr>
        <w:t>,</w:t>
      </w:r>
      <w:r w:rsidR="00037680">
        <w:rPr>
          <w:rFonts w:ascii="Times New Roman" w:hAnsi="Times New Roman" w:cs="Times New Roman"/>
          <w:i/>
          <w:iCs/>
        </w:rPr>
        <w:t xml:space="preserve"> 26,</w:t>
      </w:r>
      <w:r w:rsidR="00037680">
        <w:rPr>
          <w:rFonts w:ascii="Times New Roman" w:hAnsi="Times New Roman" w:cs="Times New Roman"/>
        </w:rPr>
        <w:t xml:space="preserve"> 380-385; </w:t>
      </w:r>
      <w:r w:rsidR="00037680">
        <w:rPr>
          <w:rFonts w:ascii="Times New Roman" w:hAnsi="Times New Roman" w:cs="Times New Roman"/>
          <w:i/>
          <w:iCs/>
        </w:rPr>
        <w:t>Whiskey Frauds Testimony</w:t>
      </w:r>
      <w:r w:rsidR="00037680">
        <w:rPr>
          <w:rFonts w:ascii="Times New Roman" w:hAnsi="Times New Roman" w:cs="Times New Roman"/>
        </w:rPr>
        <w:t xml:space="preserve">, 40-41, 335-342; </w:t>
      </w:r>
      <w:r w:rsidR="00037680" w:rsidRPr="00037680">
        <w:rPr>
          <w:rFonts w:ascii="Times New Roman" w:hAnsi="Times New Roman" w:cs="Times New Roman"/>
        </w:rPr>
        <w:t>Lucien</w:t>
      </w:r>
      <w:r w:rsidR="00037680">
        <w:rPr>
          <w:rFonts w:ascii="Times New Roman" w:hAnsi="Times New Roman" w:cs="Times New Roman"/>
        </w:rPr>
        <w:t xml:space="preserve"> Eaton to Bluford Wilson, December 7, 9, 1875 (telegrams), Benjamin Bristow Papers, Library of Congress; David Dyer, </w:t>
      </w:r>
      <w:r w:rsidR="00037680">
        <w:rPr>
          <w:rFonts w:ascii="Times New Roman" w:hAnsi="Times New Roman" w:cs="Times New Roman"/>
          <w:i/>
          <w:iCs/>
        </w:rPr>
        <w:t>The Indictment</w:t>
      </w:r>
      <w:r w:rsidR="00037680">
        <w:rPr>
          <w:rFonts w:ascii="Times New Roman" w:hAnsi="Times New Roman" w:cs="Times New Roman"/>
        </w:rPr>
        <w:t xml:space="preserve"> (St. Louis: 1875), in Orville Babcock Papers, Newberry Library</w:t>
      </w:r>
    </w:p>
  </w:footnote>
  <w:footnote w:id="1413">
    <w:p w14:paraId="3289210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14">
    <w:p w14:paraId="51C5299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15">
    <w:p w14:paraId="13D95F1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16">
    <w:p w14:paraId="1522026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17">
    <w:p w14:paraId="54C1CA81" w14:textId="676A391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81399">
        <w:rPr>
          <w:rFonts w:ascii="Times New Roman" w:hAnsi="Times New Roman" w:cs="Times New Roman"/>
        </w:rPr>
        <w:t>Calhoun</w:t>
      </w:r>
      <w:r w:rsidR="00D0398F">
        <w:rPr>
          <w:rFonts w:ascii="Times New Roman" w:hAnsi="Times New Roman" w:cs="Times New Roman"/>
        </w:rPr>
        <w:t xml:space="preserve">, </w:t>
      </w:r>
      <w:r w:rsidR="00D0398F" w:rsidRPr="002318C9">
        <w:rPr>
          <w:rFonts w:ascii="Times New Roman" w:hAnsi="Times New Roman" w:cs="Times New Roman"/>
          <w:i/>
          <w:iCs/>
        </w:rPr>
        <w:t>The Presidency of Ulysses S. Grant</w:t>
      </w:r>
      <w:r w:rsidR="00D0398F">
        <w:rPr>
          <w:rFonts w:ascii="Times New Roman" w:hAnsi="Times New Roman" w:cs="Times New Roman"/>
          <w:i/>
          <w:iCs/>
        </w:rPr>
        <w:t>,</w:t>
      </w:r>
      <w:r w:rsidR="00581399">
        <w:rPr>
          <w:rFonts w:ascii="Times New Roman" w:hAnsi="Times New Roman" w:cs="Times New Roman"/>
        </w:rPr>
        <w:t xml:space="preserve"> 520-521</w:t>
      </w:r>
    </w:p>
  </w:footnote>
  <w:footnote w:id="1418">
    <w:p w14:paraId="2982A875" w14:textId="1F527850" w:rsidR="00F06201" w:rsidRPr="0058139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81399">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581399">
        <w:rPr>
          <w:rFonts w:ascii="Times New Roman" w:hAnsi="Times New Roman" w:cs="Times New Roman"/>
        </w:rPr>
        <w:t xml:space="preserve"> 113; Edward Bonekemper, </w:t>
      </w:r>
      <w:r w:rsidR="00B6021A" w:rsidRPr="002318C9">
        <w:rPr>
          <w:rFonts w:ascii="Times New Roman" w:hAnsi="Times New Roman" w:cs="Times New Roman"/>
          <w:i/>
          <w:iCs/>
        </w:rPr>
        <w:t>Ulysses S. Grant</w:t>
      </w:r>
      <w:r w:rsidR="00B6021A">
        <w:rPr>
          <w:rFonts w:ascii="Times New Roman" w:hAnsi="Times New Roman" w:cs="Times New Roman"/>
          <w:i/>
          <w:iCs/>
        </w:rPr>
        <w:t xml:space="preserve">: </w:t>
      </w:r>
      <w:r w:rsidR="00581399">
        <w:rPr>
          <w:rFonts w:ascii="Times New Roman" w:hAnsi="Times New Roman" w:cs="Times New Roman"/>
          <w:i/>
          <w:iCs/>
        </w:rPr>
        <w:t>A Victor Not a Butcher</w:t>
      </w:r>
      <w:r w:rsidR="00B6021A">
        <w:rPr>
          <w:rFonts w:ascii="Times New Roman" w:hAnsi="Times New Roman" w:cs="Times New Roman"/>
          <w:i/>
          <w:iCs/>
        </w:rPr>
        <w:t>.</w:t>
      </w:r>
      <w:r w:rsidR="00581399">
        <w:rPr>
          <w:rFonts w:ascii="Times New Roman" w:hAnsi="Times New Roman" w:cs="Times New Roman"/>
        </w:rPr>
        <w:t xml:space="preserve"> Washington, DC: Regency, 2004. 91.</w:t>
      </w:r>
    </w:p>
  </w:footnote>
  <w:footnote w:id="1419">
    <w:p w14:paraId="14855212" w14:textId="3E2AA747" w:rsidR="00F06201" w:rsidRPr="0058139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81399">
        <w:rPr>
          <w:rFonts w:ascii="Times New Roman" w:hAnsi="Times New Roman" w:cs="Times New Roman"/>
        </w:rPr>
        <w:t xml:space="preserve">Charles Bell in </w:t>
      </w:r>
      <w:r w:rsidR="00581399">
        <w:rPr>
          <w:rFonts w:ascii="Times New Roman" w:hAnsi="Times New Roman" w:cs="Times New Roman"/>
          <w:i/>
          <w:iCs/>
        </w:rPr>
        <w:t>Whiskey Frauds Testimony</w:t>
      </w:r>
      <w:r w:rsidR="00581399">
        <w:rPr>
          <w:rFonts w:ascii="Times New Roman" w:hAnsi="Times New Roman" w:cs="Times New Roman"/>
        </w:rPr>
        <w:t xml:space="preserve">, 111-130; </w:t>
      </w:r>
      <w:r w:rsidR="00581399">
        <w:rPr>
          <w:rFonts w:ascii="Times New Roman" w:hAnsi="Times New Roman" w:cs="Times New Roman"/>
          <w:i/>
          <w:iCs/>
        </w:rPr>
        <w:t xml:space="preserve">New York Times </w:t>
      </w:r>
      <w:r w:rsidR="00581399">
        <w:rPr>
          <w:rFonts w:ascii="Times New Roman" w:hAnsi="Times New Roman" w:cs="Times New Roman"/>
        </w:rPr>
        <w:t>April 6, 1876</w:t>
      </w:r>
    </w:p>
  </w:footnote>
  <w:footnote w:id="1420">
    <w:p w14:paraId="59AA2D8A" w14:textId="15B71926" w:rsidR="00F06201" w:rsidRPr="0058139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81399">
        <w:rPr>
          <w:rFonts w:ascii="Times New Roman" w:hAnsi="Times New Roman" w:cs="Times New Roman"/>
        </w:rPr>
        <w:t xml:space="preserve">David Dyer in </w:t>
      </w:r>
      <w:r w:rsidR="00581399">
        <w:rPr>
          <w:rFonts w:ascii="Times New Roman" w:hAnsi="Times New Roman" w:cs="Times New Roman"/>
          <w:i/>
          <w:iCs/>
        </w:rPr>
        <w:t>Whiskey Frauds Testimony</w:t>
      </w:r>
      <w:r w:rsidR="00581399">
        <w:rPr>
          <w:rFonts w:ascii="Times New Roman" w:hAnsi="Times New Roman" w:cs="Times New Roman"/>
        </w:rPr>
        <w:t xml:space="preserve">, 44-45; Bluford Wilson in </w:t>
      </w:r>
      <w:r w:rsidR="00581399">
        <w:rPr>
          <w:rFonts w:ascii="Times New Roman" w:hAnsi="Times New Roman" w:cs="Times New Roman"/>
          <w:i/>
          <w:iCs/>
        </w:rPr>
        <w:t>Whiskey Frauds Testimony</w:t>
      </w:r>
      <w:r w:rsidR="00581399">
        <w:rPr>
          <w:rFonts w:ascii="Times New Roman" w:hAnsi="Times New Roman" w:cs="Times New Roman"/>
        </w:rPr>
        <w:t>, 365</w:t>
      </w:r>
    </w:p>
  </w:footnote>
  <w:footnote w:id="1421">
    <w:p w14:paraId="70A1FF64"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22">
    <w:p w14:paraId="11CF8DA0" w14:textId="2A317F49" w:rsidR="00F06201" w:rsidRPr="0058139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81399">
        <w:rPr>
          <w:rFonts w:ascii="Times New Roman" w:hAnsi="Times New Roman" w:cs="Times New Roman"/>
        </w:rPr>
        <w:t xml:space="preserve">Ibid; </w:t>
      </w:r>
      <w:r w:rsidR="00581399">
        <w:rPr>
          <w:rFonts w:ascii="Times New Roman" w:hAnsi="Times New Roman" w:cs="Times New Roman"/>
          <w:i/>
          <w:iCs/>
        </w:rPr>
        <w:t>Whiskey Frauds Testimony</w:t>
      </w:r>
      <w:r w:rsidR="00581399">
        <w:rPr>
          <w:rFonts w:ascii="Times New Roman" w:hAnsi="Times New Roman" w:cs="Times New Roman"/>
        </w:rPr>
        <w:t xml:space="preserve">, 116-134; </w:t>
      </w:r>
      <w:r w:rsidR="00581399">
        <w:rPr>
          <w:rFonts w:ascii="Times New Roman" w:hAnsi="Times New Roman" w:cs="Times New Roman"/>
          <w:i/>
          <w:iCs/>
        </w:rPr>
        <w:t>New York Times</w:t>
      </w:r>
      <w:r w:rsidR="00581399">
        <w:rPr>
          <w:rFonts w:ascii="Times New Roman" w:hAnsi="Times New Roman" w:cs="Times New Roman"/>
        </w:rPr>
        <w:t>, April 11, 1876</w:t>
      </w:r>
    </w:p>
  </w:footnote>
  <w:footnote w:id="1423">
    <w:p w14:paraId="6278F4FC"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24">
    <w:p w14:paraId="555B5AC9" w14:textId="53AE219E"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47CD5">
        <w:rPr>
          <w:rFonts w:ascii="Times New Roman" w:hAnsi="Times New Roman" w:cs="Times New Roman"/>
        </w:rPr>
        <w:t>Ulysses S. Grant endorsement on a letter regarding the Whiskey Ring, received July 29, 1875</w:t>
      </w:r>
    </w:p>
  </w:footnote>
  <w:footnote w:id="1425">
    <w:p w14:paraId="2CB6B8CC" w14:textId="0112728D" w:rsidR="00F06201" w:rsidRPr="00147CD5"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47CD5">
        <w:rPr>
          <w:rFonts w:ascii="Times New Roman" w:hAnsi="Times New Roman" w:cs="Times New Roman"/>
        </w:rPr>
        <w:t xml:space="preserve">Simon, </w:t>
      </w:r>
      <w:r w:rsidR="00147CD5">
        <w:rPr>
          <w:rFonts w:ascii="Times New Roman" w:hAnsi="Times New Roman" w:cs="Times New Roman"/>
          <w:i/>
          <w:iCs/>
        </w:rPr>
        <w:t>Papers of Ulysses S. Grant, 26</w:t>
      </w:r>
      <w:r w:rsidR="00147CD5">
        <w:rPr>
          <w:rFonts w:ascii="Times New Roman" w:hAnsi="Times New Roman" w:cs="Times New Roman"/>
        </w:rPr>
        <w:t xml:space="preserve">, 430; </w:t>
      </w:r>
      <w:r w:rsidR="00147CD5">
        <w:rPr>
          <w:rFonts w:ascii="Times New Roman" w:hAnsi="Times New Roman" w:cs="Times New Roman"/>
          <w:i/>
          <w:iCs/>
        </w:rPr>
        <w:t>Whiskey Frauds Testimony</w:t>
      </w:r>
      <w:r w:rsidR="00147CD5">
        <w:rPr>
          <w:rFonts w:ascii="Times New Roman" w:hAnsi="Times New Roman" w:cs="Times New Roman"/>
        </w:rPr>
        <w:t>, 44-45, 53-54, 110-140, 363-365, 487</w:t>
      </w:r>
    </w:p>
  </w:footnote>
  <w:footnote w:id="1426">
    <w:p w14:paraId="78DC3389" w14:textId="5B32B8BF" w:rsidR="00F06201" w:rsidRPr="00147CD5"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47CD5">
        <w:rPr>
          <w:rFonts w:ascii="Times New Roman" w:hAnsi="Times New Roman" w:cs="Times New Roman"/>
        </w:rPr>
        <w:t xml:space="preserve">Simon, </w:t>
      </w:r>
      <w:r w:rsidR="00147CD5">
        <w:rPr>
          <w:rFonts w:ascii="Times New Roman" w:hAnsi="Times New Roman" w:cs="Times New Roman"/>
          <w:i/>
          <w:iCs/>
        </w:rPr>
        <w:t>Papers of Ulysses S. Grant, 27</w:t>
      </w:r>
      <w:r w:rsidR="00147CD5">
        <w:rPr>
          <w:rFonts w:ascii="Times New Roman" w:hAnsi="Times New Roman" w:cs="Times New Roman"/>
        </w:rPr>
        <w:t xml:space="preserve">, 219-220; </w:t>
      </w:r>
      <w:r w:rsidR="00147CD5">
        <w:rPr>
          <w:rFonts w:ascii="Times New Roman" w:hAnsi="Times New Roman" w:cs="Times New Roman"/>
          <w:i/>
          <w:iCs/>
        </w:rPr>
        <w:t>Whiskey Frauds Testimony</w:t>
      </w:r>
      <w:r w:rsidR="00147CD5">
        <w:rPr>
          <w:rFonts w:ascii="Times New Roman" w:hAnsi="Times New Roman" w:cs="Times New Roman"/>
        </w:rPr>
        <w:t>, 7-19, 38-43, 366-368, 445-463; Hamilton Fish diary, February 1, March 7, 1876</w:t>
      </w:r>
    </w:p>
  </w:footnote>
  <w:footnote w:id="1427">
    <w:p w14:paraId="32B20F46" w14:textId="64F22743"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3887">
        <w:rPr>
          <w:rFonts w:ascii="Times New Roman" w:hAnsi="Times New Roman" w:cs="Times New Roman"/>
          <w:i/>
          <w:iCs/>
        </w:rPr>
        <w:t>New York Times</w:t>
      </w:r>
      <w:r w:rsidR="00113887">
        <w:rPr>
          <w:rFonts w:ascii="Times New Roman" w:hAnsi="Times New Roman" w:cs="Times New Roman"/>
        </w:rPr>
        <w:t>, February 9-10, 1876</w:t>
      </w:r>
    </w:p>
  </w:footnote>
  <w:footnote w:id="1428">
    <w:p w14:paraId="7400B7AF" w14:textId="1C8FCD21" w:rsidR="00F06201" w:rsidRPr="00147CD5"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47CD5">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147CD5">
        <w:rPr>
          <w:rFonts w:ascii="Times New Roman" w:hAnsi="Times New Roman" w:cs="Times New Roman"/>
        </w:rPr>
        <w:t xml:space="preserve"> </w:t>
      </w:r>
      <w:r w:rsidRPr="002318C9">
        <w:rPr>
          <w:rFonts w:ascii="Times New Roman" w:hAnsi="Times New Roman" w:cs="Times New Roman"/>
        </w:rPr>
        <w:t>120; C</w:t>
      </w:r>
      <w:r w:rsidR="00147CD5">
        <w:rPr>
          <w:rFonts w:ascii="Times New Roman" w:hAnsi="Times New Roman" w:cs="Times New Roman"/>
        </w:rPr>
        <w:t>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147CD5">
        <w:rPr>
          <w:rFonts w:ascii="Times New Roman" w:hAnsi="Times New Roman" w:cs="Times New Roman"/>
        </w:rPr>
        <w:t xml:space="preserve"> </w:t>
      </w:r>
      <w:r w:rsidRPr="002318C9">
        <w:rPr>
          <w:rFonts w:ascii="Times New Roman" w:hAnsi="Times New Roman" w:cs="Times New Roman"/>
        </w:rPr>
        <w:t>522</w:t>
      </w:r>
      <w:r w:rsidR="00147CD5">
        <w:rPr>
          <w:rFonts w:ascii="Times New Roman" w:hAnsi="Times New Roman" w:cs="Times New Roman"/>
        </w:rPr>
        <w:t xml:space="preserve">; Simon, </w:t>
      </w:r>
      <w:r w:rsidR="00147CD5">
        <w:rPr>
          <w:rFonts w:ascii="Times New Roman" w:hAnsi="Times New Roman" w:cs="Times New Roman"/>
          <w:i/>
          <w:iCs/>
        </w:rPr>
        <w:t>Papers of Ulysses S. Grant</w:t>
      </w:r>
      <w:r w:rsidR="00147CD5">
        <w:rPr>
          <w:rFonts w:ascii="Times New Roman" w:hAnsi="Times New Roman" w:cs="Times New Roman"/>
        </w:rPr>
        <w:t xml:space="preserve">, </w:t>
      </w:r>
      <w:r w:rsidR="00147CD5">
        <w:rPr>
          <w:rFonts w:ascii="Times New Roman" w:hAnsi="Times New Roman" w:cs="Times New Roman"/>
          <w:i/>
          <w:iCs/>
        </w:rPr>
        <w:t>27</w:t>
      </w:r>
      <w:r w:rsidR="00147CD5">
        <w:rPr>
          <w:rFonts w:ascii="Times New Roman" w:hAnsi="Times New Roman" w:cs="Times New Roman"/>
        </w:rPr>
        <w:t>, 23; Horace Porter to Ulysses S. Grant, February 4, 1875 [1876], Ulysses S. Grant Papers, Library of Congress</w:t>
      </w:r>
    </w:p>
  </w:footnote>
  <w:footnote w:id="1429">
    <w:p w14:paraId="5A93AACF" w14:textId="11BE33E0" w:rsidR="00F06201" w:rsidRPr="00113887"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13887">
        <w:rPr>
          <w:rFonts w:ascii="Times New Roman" w:hAnsi="Times New Roman" w:cs="Times New Roman"/>
          <w:i/>
          <w:iCs/>
        </w:rPr>
        <w:t>New York Times</w:t>
      </w:r>
      <w:r w:rsidR="00113887">
        <w:rPr>
          <w:rFonts w:ascii="Times New Roman" w:hAnsi="Times New Roman" w:cs="Times New Roman"/>
        </w:rPr>
        <w:t>, February 9-10, 1876</w:t>
      </w:r>
    </w:p>
  </w:footnote>
  <w:footnote w:id="1430">
    <w:p w14:paraId="6E0CB950"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31">
    <w:p w14:paraId="12F05379" w14:textId="518E59CA" w:rsidR="005E48E7" w:rsidRPr="002318C9" w:rsidRDefault="005E48E7" w:rsidP="005E48E7">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5446FF">
        <w:rPr>
          <w:rFonts w:ascii="Times New Roman" w:hAnsi="Times New Roman" w:cs="Times New Roman"/>
          <w:i/>
          <w:iCs/>
        </w:rPr>
        <w:t>Harper’s Weekly</w:t>
      </w:r>
      <w:r w:rsidRPr="002318C9">
        <w:rPr>
          <w:rFonts w:ascii="Times New Roman" w:hAnsi="Times New Roman" w:cs="Times New Roman"/>
        </w:rPr>
        <w:t>, Feb</w:t>
      </w:r>
      <w:r w:rsidR="00E200E6">
        <w:rPr>
          <w:rFonts w:ascii="Times New Roman" w:hAnsi="Times New Roman" w:cs="Times New Roman"/>
        </w:rPr>
        <w:t>ruary</w:t>
      </w:r>
      <w:r w:rsidRPr="002318C9">
        <w:rPr>
          <w:rFonts w:ascii="Times New Roman" w:hAnsi="Times New Roman" w:cs="Times New Roman"/>
        </w:rPr>
        <w:t xml:space="preserve"> 26</w:t>
      </w:r>
      <w:r w:rsidR="00E200E6">
        <w:rPr>
          <w:rFonts w:ascii="Times New Roman" w:hAnsi="Times New Roman" w:cs="Times New Roman"/>
        </w:rPr>
        <w:t>,</w:t>
      </w:r>
      <w:r w:rsidRPr="002318C9">
        <w:rPr>
          <w:rFonts w:ascii="Times New Roman" w:hAnsi="Times New Roman" w:cs="Times New Roman"/>
        </w:rPr>
        <w:t xml:space="preserve"> 1876</w:t>
      </w:r>
    </w:p>
  </w:footnote>
  <w:footnote w:id="1432">
    <w:p w14:paraId="0A863B5B" w14:textId="77777777" w:rsidR="00F33255" w:rsidRPr="005446FF" w:rsidRDefault="00F33255" w:rsidP="00F3325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i/>
          <w:iCs/>
        </w:rPr>
        <w:t>New York Times</w:t>
      </w:r>
      <w:r>
        <w:rPr>
          <w:rFonts w:ascii="Times New Roman" w:hAnsi="Times New Roman" w:cs="Times New Roman"/>
        </w:rPr>
        <w:t xml:space="preserve">, February 11, 1876; James Broadhead in </w:t>
      </w:r>
      <w:r>
        <w:rPr>
          <w:rFonts w:ascii="Times New Roman" w:hAnsi="Times New Roman" w:cs="Times New Roman"/>
          <w:i/>
          <w:iCs/>
        </w:rPr>
        <w:t>Whiskey Frauds Testimony</w:t>
      </w:r>
      <w:r>
        <w:rPr>
          <w:rFonts w:ascii="Times New Roman" w:hAnsi="Times New Roman" w:cs="Times New Roman"/>
        </w:rPr>
        <w:t>, 90-91</w:t>
      </w:r>
    </w:p>
  </w:footnote>
  <w:footnote w:id="1433">
    <w:p w14:paraId="5A9FD977" w14:textId="77777777" w:rsidR="00F33255" w:rsidRPr="002318C9" w:rsidRDefault="00F33255" w:rsidP="00F3325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Ibid</w:t>
      </w:r>
    </w:p>
  </w:footnote>
  <w:footnote w:id="1434">
    <w:p w14:paraId="4166880A" w14:textId="77777777" w:rsidR="00F33255" w:rsidRPr="002318C9" w:rsidRDefault="00F33255" w:rsidP="00F3325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Ibid</w:t>
      </w:r>
    </w:p>
  </w:footnote>
  <w:footnote w:id="1435">
    <w:p w14:paraId="1A6AFB1E" w14:textId="30CDF96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446FF" w:rsidRPr="002318C9">
        <w:rPr>
          <w:rFonts w:ascii="Times New Roman" w:hAnsi="Times New Roman" w:cs="Times New Roman"/>
        </w:rPr>
        <w:t>C</w:t>
      </w:r>
      <w:r w:rsidR="005446FF">
        <w:rPr>
          <w:rFonts w:ascii="Times New Roman" w:hAnsi="Times New Roman" w:cs="Times New Roman"/>
        </w:rPr>
        <w:t>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5446FF">
        <w:rPr>
          <w:rFonts w:ascii="Times New Roman" w:hAnsi="Times New Roman" w:cs="Times New Roman"/>
        </w:rPr>
        <w:t xml:space="preserve"> </w:t>
      </w:r>
      <w:r w:rsidR="005446FF" w:rsidRPr="002318C9">
        <w:rPr>
          <w:rFonts w:ascii="Times New Roman" w:hAnsi="Times New Roman" w:cs="Times New Roman"/>
        </w:rPr>
        <w:t>522</w:t>
      </w:r>
      <w:r w:rsidR="005446FF">
        <w:rPr>
          <w:rFonts w:ascii="Times New Roman" w:hAnsi="Times New Roman" w:cs="Times New Roman"/>
        </w:rPr>
        <w:t xml:space="preserve">; Simon, </w:t>
      </w:r>
      <w:r w:rsidR="005446FF">
        <w:rPr>
          <w:rFonts w:ascii="Times New Roman" w:hAnsi="Times New Roman" w:cs="Times New Roman"/>
          <w:i/>
          <w:iCs/>
        </w:rPr>
        <w:t>Papers of Ulysses S. Grant</w:t>
      </w:r>
      <w:r w:rsidR="005446FF">
        <w:rPr>
          <w:rFonts w:ascii="Times New Roman" w:hAnsi="Times New Roman" w:cs="Times New Roman"/>
        </w:rPr>
        <w:t xml:space="preserve">, </w:t>
      </w:r>
      <w:r w:rsidR="005446FF">
        <w:rPr>
          <w:rFonts w:ascii="Times New Roman" w:hAnsi="Times New Roman" w:cs="Times New Roman"/>
          <w:i/>
          <w:iCs/>
        </w:rPr>
        <w:t>27</w:t>
      </w:r>
      <w:r w:rsidR="005446FF">
        <w:rPr>
          <w:rFonts w:ascii="Times New Roman" w:hAnsi="Times New Roman" w:cs="Times New Roman"/>
        </w:rPr>
        <w:t>, 23; Horace Porter to Ulysses S. Grant, February 4, 1875 [1876], Ulysses S. Grant Papers, Library of Congress</w:t>
      </w:r>
    </w:p>
  </w:footnote>
  <w:footnote w:id="1436">
    <w:p w14:paraId="15307D1A" w14:textId="16C1F61A"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446FF">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5446FF">
        <w:rPr>
          <w:rFonts w:ascii="Times New Roman" w:hAnsi="Times New Roman" w:cs="Times New Roman"/>
        </w:rPr>
        <w:t xml:space="preserve"> 120</w:t>
      </w:r>
    </w:p>
  </w:footnote>
  <w:footnote w:id="1437">
    <w:p w14:paraId="003C01B3" w14:textId="16DAF60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446FF">
        <w:rPr>
          <w:rFonts w:ascii="Times New Roman" w:hAnsi="Times New Roman" w:cs="Times New Roman"/>
        </w:rPr>
        <w:t>David Dyer to Bluford Wilson, February 1, 1876 (telegram), Bluford Wilson to David Dyer, February 1, 1876 (telegram), in Benjamin Bristow Papers; Hamilton Fish diary, February 8, 1876</w:t>
      </w:r>
    </w:p>
  </w:footnote>
  <w:footnote w:id="1438">
    <w:p w14:paraId="1919ECCC"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39">
    <w:p w14:paraId="129E0D81"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40">
    <w:p w14:paraId="5478C2F8" w14:textId="5C16E62C" w:rsidR="00F06201" w:rsidRPr="005446F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446FF">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5446FF">
        <w:rPr>
          <w:rFonts w:ascii="Times New Roman" w:hAnsi="Times New Roman" w:cs="Times New Roman"/>
        </w:rPr>
        <w:t xml:space="preserve"> </w:t>
      </w:r>
      <w:r w:rsidRPr="002318C9">
        <w:rPr>
          <w:rFonts w:ascii="Times New Roman" w:hAnsi="Times New Roman" w:cs="Times New Roman"/>
        </w:rPr>
        <w:t>121-</w:t>
      </w:r>
      <w:r w:rsidR="005446FF">
        <w:rPr>
          <w:rFonts w:ascii="Times New Roman" w:hAnsi="Times New Roman" w:cs="Times New Roman"/>
        </w:rPr>
        <w:t>12</w:t>
      </w:r>
      <w:r w:rsidRPr="002318C9">
        <w:rPr>
          <w:rFonts w:ascii="Times New Roman" w:hAnsi="Times New Roman" w:cs="Times New Roman"/>
        </w:rPr>
        <w:t>2</w:t>
      </w:r>
      <w:r w:rsidR="005446FF">
        <w:rPr>
          <w:rFonts w:ascii="Times New Roman" w:hAnsi="Times New Roman" w:cs="Times New Roman"/>
        </w:rPr>
        <w:t>;</w:t>
      </w:r>
      <w:r w:rsidR="0038267E">
        <w:rPr>
          <w:rFonts w:ascii="Times New Roman" w:hAnsi="Times New Roman" w:cs="Times New Roman"/>
        </w:rPr>
        <w:t xml:space="preserve"> </w:t>
      </w:r>
      <w:r w:rsidR="005446FF">
        <w:rPr>
          <w:rFonts w:ascii="Times New Roman" w:hAnsi="Times New Roman" w:cs="Times New Roman"/>
        </w:rPr>
        <w:t xml:space="preserve">Simon, </w:t>
      </w:r>
      <w:r w:rsidR="005446FF">
        <w:rPr>
          <w:rFonts w:ascii="Times New Roman" w:hAnsi="Times New Roman" w:cs="Times New Roman"/>
          <w:i/>
          <w:iCs/>
        </w:rPr>
        <w:t>Papers of Ulysses S. Grant, 27</w:t>
      </w:r>
      <w:r w:rsidR="005446FF">
        <w:rPr>
          <w:rFonts w:ascii="Times New Roman" w:hAnsi="Times New Roman" w:cs="Times New Roman"/>
        </w:rPr>
        <w:t xml:space="preserve">, 26; </w:t>
      </w:r>
      <w:r w:rsidR="005446FF">
        <w:rPr>
          <w:rFonts w:ascii="Times New Roman" w:hAnsi="Times New Roman" w:cs="Times New Roman"/>
          <w:i/>
          <w:iCs/>
        </w:rPr>
        <w:t>New York Times</w:t>
      </w:r>
      <w:r w:rsidR="005446FF">
        <w:rPr>
          <w:rFonts w:ascii="Times New Roman" w:hAnsi="Times New Roman" w:cs="Times New Roman"/>
        </w:rPr>
        <w:t>, February 18, 1876</w:t>
      </w:r>
    </w:p>
  </w:footnote>
  <w:footnote w:id="1441">
    <w:p w14:paraId="37DC7D77" w14:textId="28EF79EA" w:rsidR="00F06201" w:rsidRPr="0038267E"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38267E">
        <w:rPr>
          <w:rFonts w:ascii="Times New Roman" w:hAnsi="Times New Roman" w:cs="Times New Roman"/>
        </w:rPr>
        <w:t>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38267E">
        <w:rPr>
          <w:rFonts w:ascii="Times New Roman" w:hAnsi="Times New Roman" w:cs="Times New Roman"/>
        </w:rPr>
        <w:t xml:space="preserve"> </w:t>
      </w:r>
      <w:r w:rsidRPr="002318C9">
        <w:rPr>
          <w:rFonts w:ascii="Times New Roman" w:hAnsi="Times New Roman" w:cs="Times New Roman"/>
        </w:rPr>
        <w:t>523-</w:t>
      </w:r>
      <w:r w:rsidR="0038267E">
        <w:rPr>
          <w:rFonts w:ascii="Times New Roman" w:hAnsi="Times New Roman" w:cs="Times New Roman"/>
        </w:rPr>
        <w:t>52</w:t>
      </w:r>
      <w:r w:rsidRPr="002318C9">
        <w:rPr>
          <w:rFonts w:ascii="Times New Roman" w:hAnsi="Times New Roman" w:cs="Times New Roman"/>
        </w:rPr>
        <w:t>4</w:t>
      </w:r>
      <w:r w:rsidR="0038267E">
        <w:rPr>
          <w:rFonts w:ascii="Times New Roman" w:hAnsi="Times New Roman" w:cs="Times New Roman"/>
        </w:rPr>
        <w:t xml:space="preserve">; Simon, </w:t>
      </w:r>
      <w:r w:rsidR="0038267E">
        <w:rPr>
          <w:rFonts w:ascii="Times New Roman" w:hAnsi="Times New Roman" w:cs="Times New Roman"/>
          <w:i/>
          <w:iCs/>
        </w:rPr>
        <w:t>Papers of Ulysses S. Grant, 27</w:t>
      </w:r>
      <w:r w:rsidR="0038267E">
        <w:rPr>
          <w:rFonts w:ascii="Times New Roman" w:hAnsi="Times New Roman" w:cs="Times New Roman"/>
        </w:rPr>
        <w:t>, 35-50</w:t>
      </w:r>
    </w:p>
  </w:footnote>
  <w:footnote w:id="1442">
    <w:p w14:paraId="20C61453" w14:textId="5DF5714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8267E">
        <w:rPr>
          <w:rFonts w:ascii="Times New Roman" w:hAnsi="Times New Roman" w:cs="Times New Roman"/>
        </w:rPr>
        <w:t>Cooper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38267E">
        <w:rPr>
          <w:rFonts w:ascii="Times New Roman" w:hAnsi="Times New Roman" w:cs="Times New Roman"/>
        </w:rPr>
        <w:t xml:space="preserve"> </w:t>
      </w:r>
      <w:r w:rsidR="0038267E" w:rsidRPr="002318C9">
        <w:rPr>
          <w:rFonts w:ascii="Times New Roman" w:hAnsi="Times New Roman" w:cs="Times New Roman"/>
        </w:rPr>
        <w:t>121-</w:t>
      </w:r>
      <w:r w:rsidR="0038267E">
        <w:rPr>
          <w:rFonts w:ascii="Times New Roman" w:hAnsi="Times New Roman" w:cs="Times New Roman"/>
        </w:rPr>
        <w:t>12</w:t>
      </w:r>
      <w:r w:rsidR="0038267E" w:rsidRPr="002318C9">
        <w:rPr>
          <w:rFonts w:ascii="Times New Roman" w:hAnsi="Times New Roman" w:cs="Times New Roman"/>
        </w:rPr>
        <w:t>2</w:t>
      </w:r>
      <w:r w:rsidR="0038267E">
        <w:rPr>
          <w:rFonts w:ascii="Times New Roman" w:hAnsi="Times New Roman" w:cs="Times New Roman"/>
        </w:rPr>
        <w:t xml:space="preserve">; Simon, </w:t>
      </w:r>
      <w:r w:rsidR="0038267E">
        <w:rPr>
          <w:rFonts w:ascii="Times New Roman" w:hAnsi="Times New Roman" w:cs="Times New Roman"/>
          <w:i/>
          <w:iCs/>
        </w:rPr>
        <w:t>Papers of Ulysses S. Grant, 27</w:t>
      </w:r>
      <w:r w:rsidR="0038267E">
        <w:rPr>
          <w:rFonts w:ascii="Times New Roman" w:hAnsi="Times New Roman" w:cs="Times New Roman"/>
        </w:rPr>
        <w:t xml:space="preserve">, 26; </w:t>
      </w:r>
      <w:r w:rsidR="0038267E">
        <w:rPr>
          <w:rFonts w:ascii="Times New Roman" w:hAnsi="Times New Roman" w:cs="Times New Roman"/>
          <w:i/>
          <w:iCs/>
        </w:rPr>
        <w:t>New York Times</w:t>
      </w:r>
      <w:r w:rsidR="0038267E">
        <w:rPr>
          <w:rFonts w:ascii="Times New Roman" w:hAnsi="Times New Roman" w:cs="Times New Roman"/>
        </w:rPr>
        <w:t>, February 18, 1876</w:t>
      </w:r>
    </w:p>
  </w:footnote>
  <w:footnote w:id="1443">
    <w:p w14:paraId="6A0682AD"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44">
    <w:p w14:paraId="16D00E7A" w14:textId="4882D59B"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8267E" w:rsidRPr="002318C9">
        <w:rPr>
          <w:rFonts w:ascii="Times New Roman" w:hAnsi="Times New Roman" w:cs="Times New Roman"/>
        </w:rPr>
        <w:t>C</w:t>
      </w:r>
      <w:r w:rsidR="0038267E">
        <w:rPr>
          <w:rFonts w:ascii="Times New Roman" w:hAnsi="Times New Roman" w:cs="Times New Roman"/>
        </w:rPr>
        <w:t>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38267E">
        <w:rPr>
          <w:rFonts w:ascii="Times New Roman" w:hAnsi="Times New Roman" w:cs="Times New Roman"/>
        </w:rPr>
        <w:t xml:space="preserve"> </w:t>
      </w:r>
      <w:r w:rsidR="0038267E" w:rsidRPr="002318C9">
        <w:rPr>
          <w:rFonts w:ascii="Times New Roman" w:hAnsi="Times New Roman" w:cs="Times New Roman"/>
        </w:rPr>
        <w:t>523-</w:t>
      </w:r>
      <w:r w:rsidR="0038267E">
        <w:rPr>
          <w:rFonts w:ascii="Times New Roman" w:hAnsi="Times New Roman" w:cs="Times New Roman"/>
        </w:rPr>
        <w:t>52</w:t>
      </w:r>
      <w:r w:rsidR="0038267E" w:rsidRPr="002318C9">
        <w:rPr>
          <w:rFonts w:ascii="Times New Roman" w:hAnsi="Times New Roman" w:cs="Times New Roman"/>
        </w:rPr>
        <w:t>4</w:t>
      </w:r>
      <w:r w:rsidR="0038267E">
        <w:rPr>
          <w:rFonts w:ascii="Times New Roman" w:hAnsi="Times New Roman" w:cs="Times New Roman"/>
        </w:rPr>
        <w:t xml:space="preserve">; Simon, </w:t>
      </w:r>
      <w:r w:rsidR="0038267E">
        <w:rPr>
          <w:rFonts w:ascii="Times New Roman" w:hAnsi="Times New Roman" w:cs="Times New Roman"/>
          <w:i/>
          <w:iCs/>
        </w:rPr>
        <w:t>Papers of Ulysses S. Grant, 27</w:t>
      </w:r>
      <w:r w:rsidR="0038267E">
        <w:rPr>
          <w:rFonts w:ascii="Times New Roman" w:hAnsi="Times New Roman" w:cs="Times New Roman"/>
        </w:rPr>
        <w:t>, 35-50</w:t>
      </w:r>
    </w:p>
  </w:footnote>
  <w:footnote w:id="1445">
    <w:p w14:paraId="46C819D0" w14:textId="05DF2F39"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B35EF">
        <w:rPr>
          <w:rFonts w:ascii="Times New Roman" w:hAnsi="Times New Roman" w:cs="Times New Roman"/>
        </w:rPr>
        <w:t>Bluford Wilson to David Dyer, February 9, 1876, Benjamin Bristow Papers; Hamilton Fish diary, February 8, 1876</w:t>
      </w:r>
    </w:p>
  </w:footnote>
  <w:footnote w:id="1446">
    <w:p w14:paraId="059322F2"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47">
    <w:p w14:paraId="78B06458" w14:textId="7892B6A8" w:rsidR="00F06201" w:rsidRPr="00AB35E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B35EF">
        <w:rPr>
          <w:rFonts w:ascii="Times New Roman" w:hAnsi="Times New Roman" w:cs="Times New Roman"/>
          <w:i/>
          <w:iCs/>
        </w:rPr>
        <w:t>New York Times</w:t>
      </w:r>
      <w:r w:rsidR="00AB35EF">
        <w:rPr>
          <w:rFonts w:ascii="Times New Roman" w:hAnsi="Times New Roman" w:cs="Times New Roman"/>
        </w:rPr>
        <w:t xml:space="preserve">, February 18, 1876; </w:t>
      </w:r>
      <w:r w:rsidR="00AB35EF">
        <w:rPr>
          <w:rFonts w:ascii="Times New Roman" w:hAnsi="Times New Roman" w:cs="Times New Roman"/>
          <w:i/>
          <w:iCs/>
        </w:rPr>
        <w:t>Chicago Daily Tribune</w:t>
      </w:r>
      <w:r w:rsidR="00AB35EF">
        <w:rPr>
          <w:rFonts w:ascii="Times New Roman" w:hAnsi="Times New Roman" w:cs="Times New Roman"/>
        </w:rPr>
        <w:t>, February 18-19, 1876</w:t>
      </w:r>
    </w:p>
  </w:footnote>
  <w:footnote w:id="1448">
    <w:p w14:paraId="22067A48" w14:textId="1BBA78D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AB35EF">
        <w:rPr>
          <w:rFonts w:ascii="Times New Roman" w:hAnsi="Times New Roman" w:cs="Times New Roman"/>
        </w:rPr>
        <w:t>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AB35EF">
        <w:rPr>
          <w:rFonts w:ascii="Times New Roman" w:hAnsi="Times New Roman" w:cs="Times New Roman"/>
        </w:rPr>
        <w:t xml:space="preserve"> </w:t>
      </w:r>
      <w:r w:rsidRPr="002318C9">
        <w:rPr>
          <w:rFonts w:ascii="Times New Roman" w:hAnsi="Times New Roman" w:cs="Times New Roman"/>
        </w:rPr>
        <w:t>122</w:t>
      </w:r>
      <w:r w:rsidR="00AB35EF">
        <w:rPr>
          <w:rFonts w:ascii="Times New Roman" w:hAnsi="Times New Roman" w:cs="Times New Roman"/>
        </w:rPr>
        <w:t xml:space="preserve">; Joyce, </w:t>
      </w:r>
      <w:r w:rsidR="00AB35EF">
        <w:rPr>
          <w:rFonts w:ascii="Times New Roman" w:hAnsi="Times New Roman" w:cs="Times New Roman"/>
          <w:i/>
          <w:iCs/>
        </w:rPr>
        <w:t xml:space="preserve">A Checkered </w:t>
      </w:r>
      <w:r w:rsidR="00AB35EF" w:rsidRPr="00AB35EF">
        <w:rPr>
          <w:rFonts w:ascii="Times New Roman" w:hAnsi="Times New Roman" w:cs="Times New Roman"/>
          <w:i/>
          <w:iCs/>
        </w:rPr>
        <w:t>Life</w:t>
      </w:r>
      <w:r w:rsidR="00AB35EF">
        <w:rPr>
          <w:rFonts w:ascii="Times New Roman" w:hAnsi="Times New Roman" w:cs="Times New Roman"/>
          <w:i/>
          <w:iCs/>
        </w:rPr>
        <w:t xml:space="preserve">, </w:t>
      </w:r>
      <w:r w:rsidR="00AB35EF">
        <w:rPr>
          <w:rFonts w:ascii="Times New Roman" w:hAnsi="Times New Roman" w:cs="Times New Roman"/>
        </w:rPr>
        <w:t>278-279</w:t>
      </w:r>
    </w:p>
  </w:footnote>
  <w:footnote w:id="1449">
    <w:p w14:paraId="6D8DEECD" w14:textId="402C09E9" w:rsidR="00F06201" w:rsidRPr="00AB35EF"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B35EF">
        <w:rPr>
          <w:rFonts w:ascii="Times New Roman" w:hAnsi="Times New Roman" w:cs="Times New Roman"/>
        </w:rPr>
        <w:t xml:space="preserve">Simon, </w:t>
      </w:r>
      <w:r w:rsidR="00AB35EF">
        <w:rPr>
          <w:rFonts w:ascii="Times New Roman" w:hAnsi="Times New Roman" w:cs="Times New Roman"/>
          <w:i/>
          <w:iCs/>
        </w:rPr>
        <w:t>Papers of Ulysses S. Grant</w:t>
      </w:r>
      <w:r w:rsidR="00AB35EF" w:rsidRPr="00AB35EF">
        <w:rPr>
          <w:rFonts w:ascii="Times New Roman" w:hAnsi="Times New Roman" w:cs="Times New Roman"/>
          <w:i/>
          <w:iCs/>
        </w:rPr>
        <w:t>, 27,</w:t>
      </w:r>
      <w:r w:rsidR="00AB35EF">
        <w:rPr>
          <w:rFonts w:ascii="Times New Roman" w:hAnsi="Times New Roman" w:cs="Times New Roman"/>
        </w:rPr>
        <w:t xml:space="preserve"> 44; </w:t>
      </w:r>
      <w:r w:rsidRPr="00AB35EF">
        <w:rPr>
          <w:rFonts w:ascii="Times New Roman" w:hAnsi="Times New Roman" w:cs="Times New Roman"/>
        </w:rPr>
        <w:t>C</w:t>
      </w:r>
      <w:r w:rsidR="00AB35EF" w:rsidRPr="00AB35EF">
        <w:rPr>
          <w:rFonts w:ascii="Times New Roman" w:hAnsi="Times New Roman" w:cs="Times New Roman"/>
        </w:rPr>
        <w:t>alhoun</w:t>
      </w:r>
      <w:r w:rsidR="00AB35EF">
        <w:rPr>
          <w:rFonts w:ascii="Times New Roman" w:hAnsi="Times New Roman" w:cs="Times New Roman"/>
        </w:rPr>
        <w:t xml:space="preserve"> </w:t>
      </w:r>
      <w:r w:rsidRPr="002318C9">
        <w:rPr>
          <w:rFonts w:ascii="Times New Roman" w:hAnsi="Times New Roman" w:cs="Times New Roman"/>
        </w:rPr>
        <w:t>525</w:t>
      </w:r>
      <w:r w:rsidR="00AB35EF">
        <w:rPr>
          <w:rFonts w:ascii="Times New Roman" w:hAnsi="Times New Roman" w:cs="Times New Roman"/>
        </w:rPr>
        <w:t xml:space="preserve">; </w:t>
      </w:r>
      <w:r w:rsidR="00AB35EF">
        <w:rPr>
          <w:rFonts w:ascii="Times New Roman" w:hAnsi="Times New Roman" w:cs="Times New Roman"/>
          <w:i/>
          <w:iCs/>
        </w:rPr>
        <w:t>New York Times</w:t>
      </w:r>
      <w:r w:rsidR="00AB35EF">
        <w:rPr>
          <w:rFonts w:ascii="Times New Roman" w:hAnsi="Times New Roman" w:cs="Times New Roman"/>
        </w:rPr>
        <w:t>, February 18, 1876</w:t>
      </w:r>
    </w:p>
  </w:footnote>
  <w:footnote w:id="1450">
    <w:p w14:paraId="790F15B8" w14:textId="4A3A62C3" w:rsidR="00F06201" w:rsidRPr="00657D1B"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657D1B">
        <w:rPr>
          <w:rFonts w:ascii="Times New Roman" w:hAnsi="Times New Roman" w:cs="Times New Roman"/>
        </w:rPr>
        <w:t>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657D1B">
        <w:rPr>
          <w:rFonts w:ascii="Times New Roman" w:hAnsi="Times New Roman" w:cs="Times New Roman"/>
        </w:rPr>
        <w:t xml:space="preserve"> </w:t>
      </w:r>
      <w:r w:rsidRPr="002318C9">
        <w:rPr>
          <w:rFonts w:ascii="Times New Roman" w:hAnsi="Times New Roman" w:cs="Times New Roman"/>
        </w:rPr>
        <w:t>524-5</w:t>
      </w:r>
      <w:r w:rsidR="00657D1B">
        <w:rPr>
          <w:rFonts w:ascii="Times New Roman" w:hAnsi="Times New Roman" w:cs="Times New Roman"/>
        </w:rPr>
        <w:t xml:space="preserve">25; </w:t>
      </w:r>
      <w:r w:rsidR="00657D1B">
        <w:rPr>
          <w:rFonts w:ascii="Times New Roman" w:hAnsi="Times New Roman" w:cs="Times New Roman"/>
          <w:i/>
          <w:iCs/>
        </w:rPr>
        <w:t>St. Louis Globe-Democrat</w:t>
      </w:r>
      <w:r w:rsidR="00657D1B">
        <w:rPr>
          <w:rFonts w:ascii="Times New Roman" w:hAnsi="Times New Roman" w:cs="Times New Roman"/>
        </w:rPr>
        <w:t xml:space="preserve">, February 9-18, 1876; </w:t>
      </w:r>
      <w:r w:rsidR="00657D1B">
        <w:rPr>
          <w:rFonts w:ascii="Times New Roman" w:hAnsi="Times New Roman" w:cs="Times New Roman"/>
          <w:i/>
          <w:iCs/>
        </w:rPr>
        <w:t>New York Herald</w:t>
      </w:r>
      <w:r w:rsidR="00657D1B">
        <w:rPr>
          <w:rFonts w:ascii="Times New Roman" w:hAnsi="Times New Roman" w:cs="Times New Roman"/>
        </w:rPr>
        <w:t>, February 11, 1876</w:t>
      </w:r>
    </w:p>
  </w:footnote>
  <w:footnote w:id="1451">
    <w:p w14:paraId="52C13FBC"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52">
    <w:p w14:paraId="5AB6EDEE" w14:textId="06F35041" w:rsidR="00F06201" w:rsidRPr="00657D1B"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57D1B">
        <w:rPr>
          <w:rFonts w:ascii="Times New Roman" w:hAnsi="Times New Roman" w:cs="Times New Roman"/>
          <w:i/>
          <w:iCs/>
        </w:rPr>
        <w:t>Whiskey Frauds Testimony</w:t>
      </w:r>
      <w:r w:rsidR="00657D1B">
        <w:rPr>
          <w:rFonts w:ascii="Times New Roman" w:hAnsi="Times New Roman" w:cs="Times New Roman"/>
        </w:rPr>
        <w:t xml:space="preserve">, 90-91; </w:t>
      </w:r>
      <w:r w:rsidR="00657D1B">
        <w:rPr>
          <w:rFonts w:ascii="Times New Roman" w:hAnsi="Times New Roman" w:cs="Times New Roman"/>
          <w:i/>
          <w:iCs/>
        </w:rPr>
        <w:t>St. Louis Globe-Democrat</w:t>
      </w:r>
      <w:r w:rsidR="00657D1B">
        <w:rPr>
          <w:rFonts w:ascii="Times New Roman" w:hAnsi="Times New Roman" w:cs="Times New Roman"/>
        </w:rPr>
        <w:t>, February 17-19, 1876</w:t>
      </w:r>
    </w:p>
  </w:footnote>
  <w:footnote w:id="1453">
    <w:p w14:paraId="36D2AD1C" w14:textId="17D4D24D"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657D1B">
        <w:rPr>
          <w:rFonts w:ascii="Times New Roman" w:hAnsi="Times New Roman" w:cs="Times New Roman"/>
        </w:rPr>
        <w:t>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657D1B">
        <w:rPr>
          <w:rFonts w:ascii="Times New Roman" w:hAnsi="Times New Roman" w:cs="Times New Roman"/>
        </w:rPr>
        <w:t xml:space="preserve"> </w:t>
      </w:r>
      <w:r w:rsidRPr="002318C9">
        <w:rPr>
          <w:rFonts w:ascii="Times New Roman" w:hAnsi="Times New Roman" w:cs="Times New Roman"/>
        </w:rPr>
        <w:t>525-</w:t>
      </w:r>
      <w:r w:rsidR="00657D1B">
        <w:rPr>
          <w:rFonts w:ascii="Times New Roman" w:hAnsi="Times New Roman" w:cs="Times New Roman"/>
        </w:rPr>
        <w:t>52</w:t>
      </w:r>
      <w:r w:rsidRPr="002318C9">
        <w:rPr>
          <w:rFonts w:ascii="Times New Roman" w:hAnsi="Times New Roman" w:cs="Times New Roman"/>
        </w:rPr>
        <w:t>6</w:t>
      </w:r>
    </w:p>
  </w:footnote>
  <w:footnote w:id="1454">
    <w:p w14:paraId="4B47E95B"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55">
    <w:p w14:paraId="20D02E43" w14:textId="41AB0402"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57D1B">
        <w:rPr>
          <w:rFonts w:ascii="Times New Roman" w:hAnsi="Times New Roman" w:cs="Times New Roman"/>
        </w:rPr>
        <w:t>Orville Babcock to Annie Campbell Babcock, February 23, 1876, Orville Babcock Papers, Newberry Library</w:t>
      </w:r>
    </w:p>
  </w:footnote>
  <w:footnote w:id="1456">
    <w:p w14:paraId="6D8B90E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57">
    <w:p w14:paraId="1E42386C"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58">
    <w:p w14:paraId="6D7B46B2" w14:textId="56C35AE9" w:rsidR="00F06201" w:rsidRPr="004867EE"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4867EE">
        <w:rPr>
          <w:rFonts w:ascii="Times New Roman" w:hAnsi="Times New Roman" w:cs="Times New Roman"/>
          <w:i/>
          <w:iCs/>
        </w:rPr>
        <w:t>New York Times</w:t>
      </w:r>
      <w:r w:rsidR="004867EE">
        <w:rPr>
          <w:rFonts w:ascii="Times New Roman" w:hAnsi="Times New Roman" w:cs="Times New Roman"/>
        </w:rPr>
        <w:t xml:space="preserve">, February 25, 1876; </w:t>
      </w:r>
      <w:r w:rsidR="004867EE">
        <w:rPr>
          <w:rFonts w:ascii="Times New Roman" w:hAnsi="Times New Roman" w:cs="Times New Roman"/>
          <w:i/>
          <w:iCs/>
        </w:rPr>
        <w:t>St. Louis Globe-Democrat</w:t>
      </w:r>
      <w:r w:rsidR="004867EE">
        <w:rPr>
          <w:rFonts w:ascii="Times New Roman" w:hAnsi="Times New Roman" w:cs="Times New Roman"/>
        </w:rPr>
        <w:t>, February 25-26, 1876;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4867EE">
        <w:rPr>
          <w:rFonts w:ascii="Times New Roman" w:hAnsi="Times New Roman" w:cs="Times New Roman"/>
        </w:rPr>
        <w:t xml:space="preserve"> 526</w:t>
      </w:r>
    </w:p>
  </w:footnote>
  <w:footnote w:id="1459">
    <w:p w14:paraId="2D541519"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60">
    <w:p w14:paraId="0DBA326E"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61">
    <w:p w14:paraId="3B2D715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62">
    <w:p w14:paraId="5961E61A"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63">
    <w:p w14:paraId="1BC568EF"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64">
    <w:p w14:paraId="7F576B77"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65">
    <w:p w14:paraId="57C2C1D8" w14:textId="04B541ED" w:rsidR="00F06201" w:rsidRPr="00E902C5"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E902C5">
        <w:rPr>
          <w:rFonts w:ascii="Times New Roman" w:hAnsi="Times New Roman" w:cs="Times New Roman"/>
        </w:rPr>
        <w:t>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E902C5">
        <w:rPr>
          <w:rFonts w:ascii="Times New Roman" w:hAnsi="Times New Roman" w:cs="Times New Roman"/>
        </w:rPr>
        <w:t xml:space="preserve"> </w:t>
      </w:r>
      <w:r w:rsidRPr="002318C9">
        <w:rPr>
          <w:rFonts w:ascii="Times New Roman" w:hAnsi="Times New Roman" w:cs="Times New Roman"/>
        </w:rPr>
        <w:t>526-</w:t>
      </w:r>
      <w:r w:rsidR="00E902C5">
        <w:rPr>
          <w:rFonts w:ascii="Times New Roman" w:hAnsi="Times New Roman" w:cs="Times New Roman"/>
        </w:rPr>
        <w:t xml:space="preserve">527; </w:t>
      </w:r>
      <w:r w:rsidR="00E902C5">
        <w:rPr>
          <w:rFonts w:ascii="Times New Roman" w:hAnsi="Times New Roman" w:cs="Times New Roman"/>
          <w:i/>
          <w:iCs/>
        </w:rPr>
        <w:t>New York Tribune</w:t>
      </w:r>
      <w:r w:rsidR="00E902C5">
        <w:rPr>
          <w:rFonts w:ascii="Times New Roman" w:hAnsi="Times New Roman" w:cs="Times New Roman"/>
        </w:rPr>
        <w:t>, February 25, 1876</w:t>
      </w:r>
    </w:p>
  </w:footnote>
  <w:footnote w:id="1466">
    <w:p w14:paraId="659360FF" w14:textId="45E61D4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A514D2">
        <w:rPr>
          <w:rFonts w:ascii="Times New Roman" w:hAnsi="Times New Roman" w:cs="Times New Roman"/>
        </w:rPr>
        <w:t>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A514D2">
        <w:rPr>
          <w:rFonts w:ascii="Times New Roman" w:hAnsi="Times New Roman" w:cs="Times New Roman"/>
        </w:rPr>
        <w:t xml:space="preserve"> </w:t>
      </w:r>
      <w:r w:rsidRPr="002318C9">
        <w:rPr>
          <w:rFonts w:ascii="Times New Roman" w:hAnsi="Times New Roman" w:cs="Times New Roman"/>
        </w:rPr>
        <w:t>527</w:t>
      </w:r>
    </w:p>
  </w:footnote>
  <w:footnote w:id="1467">
    <w:p w14:paraId="61FCF532" w14:textId="469FE5B3"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514D2">
        <w:rPr>
          <w:rFonts w:ascii="Times New Roman" w:hAnsi="Times New Roman" w:cs="Times New Roman"/>
        </w:rPr>
        <w:t>Hamilton Fish diary, February 22, 1876</w:t>
      </w:r>
    </w:p>
  </w:footnote>
  <w:footnote w:id="1468">
    <w:p w14:paraId="405761D8" w14:textId="0F8FB58A"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A514D2">
        <w:rPr>
          <w:rFonts w:ascii="Times New Roman" w:hAnsi="Times New Roman" w:cs="Times New Roman"/>
        </w:rPr>
        <w:t>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A514D2">
        <w:rPr>
          <w:rFonts w:ascii="Times New Roman" w:hAnsi="Times New Roman" w:cs="Times New Roman"/>
        </w:rPr>
        <w:t xml:space="preserve"> 526-527</w:t>
      </w:r>
    </w:p>
  </w:footnote>
  <w:footnote w:id="1469">
    <w:p w14:paraId="73517DC6"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70">
    <w:p w14:paraId="1852FAC3" w14:textId="77777777"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71">
    <w:p w14:paraId="426AB89F" w14:textId="75432705"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030164">
        <w:rPr>
          <w:rFonts w:ascii="Times New Roman" w:hAnsi="Times New Roman" w:cs="Times New Roman"/>
        </w:rPr>
        <w:t>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030164">
        <w:rPr>
          <w:rFonts w:ascii="Times New Roman" w:hAnsi="Times New Roman" w:cs="Times New Roman"/>
        </w:rPr>
        <w:t xml:space="preserve"> </w:t>
      </w:r>
      <w:r w:rsidRPr="002318C9">
        <w:rPr>
          <w:rFonts w:ascii="Times New Roman" w:hAnsi="Times New Roman" w:cs="Times New Roman"/>
        </w:rPr>
        <w:t>125</w:t>
      </w:r>
    </w:p>
  </w:footnote>
  <w:footnote w:id="1472">
    <w:p w14:paraId="133984EE" w14:textId="633BE89B"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030164">
        <w:rPr>
          <w:rFonts w:ascii="Times New Roman" w:hAnsi="Times New Roman" w:cs="Times New Roman"/>
        </w:rPr>
        <w:t>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030164">
        <w:rPr>
          <w:rFonts w:ascii="Times New Roman" w:hAnsi="Times New Roman" w:cs="Times New Roman"/>
        </w:rPr>
        <w:t xml:space="preserve"> </w:t>
      </w:r>
      <w:r w:rsidRPr="002318C9">
        <w:rPr>
          <w:rFonts w:ascii="Times New Roman" w:hAnsi="Times New Roman" w:cs="Times New Roman"/>
        </w:rPr>
        <w:t>125-</w:t>
      </w:r>
      <w:r w:rsidR="00030164">
        <w:rPr>
          <w:rFonts w:ascii="Times New Roman" w:hAnsi="Times New Roman" w:cs="Times New Roman"/>
        </w:rPr>
        <w:t>12</w:t>
      </w:r>
      <w:r w:rsidRPr="002318C9">
        <w:rPr>
          <w:rFonts w:ascii="Times New Roman" w:hAnsi="Times New Roman" w:cs="Times New Roman"/>
        </w:rPr>
        <w:t>9</w:t>
      </w:r>
    </w:p>
  </w:footnote>
  <w:footnote w:id="1473">
    <w:p w14:paraId="20AD57C9" w14:textId="1B97889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030164">
        <w:rPr>
          <w:rFonts w:ascii="Times New Roman" w:hAnsi="Times New Roman" w:cs="Times New Roman"/>
        </w:rPr>
        <w:t>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030164">
        <w:rPr>
          <w:rFonts w:ascii="Times New Roman" w:hAnsi="Times New Roman" w:cs="Times New Roman"/>
        </w:rPr>
        <w:t xml:space="preserve"> </w:t>
      </w:r>
      <w:r w:rsidRPr="002318C9">
        <w:rPr>
          <w:rFonts w:ascii="Times New Roman" w:hAnsi="Times New Roman" w:cs="Times New Roman"/>
        </w:rPr>
        <w:t>128-131</w:t>
      </w:r>
    </w:p>
  </w:footnote>
  <w:footnote w:id="1474">
    <w:p w14:paraId="350D6BC6" w14:textId="14F7A6C4" w:rsidR="00F06201" w:rsidRPr="00030164"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30164">
        <w:rPr>
          <w:rFonts w:ascii="Times New Roman" w:hAnsi="Times New Roman" w:cs="Times New Roman"/>
        </w:rPr>
        <w:t xml:space="preserve">Simon, </w:t>
      </w:r>
      <w:r w:rsidR="00030164">
        <w:rPr>
          <w:rFonts w:ascii="Times New Roman" w:hAnsi="Times New Roman" w:cs="Times New Roman"/>
          <w:i/>
          <w:iCs/>
        </w:rPr>
        <w:t xml:space="preserve">Papers of Ulysses S. Grant, 28, </w:t>
      </w:r>
      <w:r w:rsidR="00030164">
        <w:rPr>
          <w:rFonts w:ascii="Times New Roman" w:hAnsi="Times New Roman" w:cs="Times New Roman"/>
        </w:rPr>
        <w:t xml:space="preserve">14; </w:t>
      </w:r>
      <w:r w:rsidR="00030164">
        <w:rPr>
          <w:rFonts w:ascii="Times New Roman" w:hAnsi="Times New Roman" w:cs="Times New Roman"/>
          <w:i/>
          <w:iCs/>
        </w:rPr>
        <w:t>New York Times</w:t>
      </w:r>
      <w:r w:rsidR="00030164">
        <w:rPr>
          <w:rFonts w:ascii="Times New Roman" w:hAnsi="Times New Roman" w:cs="Times New Roman"/>
        </w:rPr>
        <w:t>, October 15, 1876</w:t>
      </w:r>
    </w:p>
  </w:footnote>
  <w:footnote w:id="1475">
    <w:p w14:paraId="5EEC55C8" w14:textId="397F5B84"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030164">
        <w:rPr>
          <w:rFonts w:ascii="Times New Roman" w:hAnsi="Times New Roman" w:cs="Times New Roman"/>
        </w:rPr>
        <w:t>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030164">
        <w:rPr>
          <w:rFonts w:ascii="Times New Roman" w:hAnsi="Times New Roman" w:cs="Times New Roman"/>
        </w:rPr>
        <w:t xml:space="preserve"> </w:t>
      </w:r>
      <w:r w:rsidRPr="002318C9">
        <w:rPr>
          <w:rFonts w:ascii="Times New Roman" w:hAnsi="Times New Roman" w:cs="Times New Roman"/>
        </w:rPr>
        <w:t>133-</w:t>
      </w:r>
      <w:r w:rsidR="00030164">
        <w:rPr>
          <w:rFonts w:ascii="Times New Roman" w:hAnsi="Times New Roman" w:cs="Times New Roman"/>
        </w:rPr>
        <w:t>13</w:t>
      </w:r>
      <w:r w:rsidRPr="002318C9">
        <w:rPr>
          <w:rFonts w:ascii="Times New Roman" w:hAnsi="Times New Roman" w:cs="Times New Roman"/>
        </w:rPr>
        <w:t>4</w:t>
      </w:r>
    </w:p>
  </w:footnote>
  <w:footnote w:id="1476">
    <w:p w14:paraId="2BA3C51B" w14:textId="441C884D"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030164">
        <w:rPr>
          <w:rFonts w:ascii="Times New Roman" w:hAnsi="Times New Roman" w:cs="Times New Roman"/>
        </w:rPr>
        <w:t>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030164">
        <w:rPr>
          <w:rFonts w:ascii="Times New Roman" w:hAnsi="Times New Roman" w:cs="Times New Roman"/>
        </w:rPr>
        <w:t xml:space="preserve"> </w:t>
      </w:r>
      <w:r w:rsidRPr="002318C9">
        <w:rPr>
          <w:rFonts w:ascii="Times New Roman" w:hAnsi="Times New Roman" w:cs="Times New Roman"/>
        </w:rPr>
        <w:t>135-155</w:t>
      </w:r>
    </w:p>
  </w:footnote>
  <w:footnote w:id="1477">
    <w:p w14:paraId="44CD626B" w14:textId="0E0895C8"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 </w:t>
      </w:r>
      <w:r w:rsidR="00030164">
        <w:rPr>
          <w:rFonts w:ascii="Times New Roman" w:hAnsi="Times New Roman" w:cs="Times New Roman"/>
        </w:rPr>
        <w:t xml:space="preserve">McDonald, </w:t>
      </w:r>
      <w:r w:rsidR="00030164">
        <w:rPr>
          <w:rFonts w:ascii="Times New Roman" w:hAnsi="Times New Roman" w:cs="Times New Roman"/>
          <w:i/>
          <w:iCs/>
        </w:rPr>
        <w:t>Secrets</w:t>
      </w:r>
    </w:p>
  </w:footnote>
  <w:footnote w:id="1478">
    <w:p w14:paraId="164572E6" w14:textId="53D0930D"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030164">
        <w:rPr>
          <w:rFonts w:ascii="Times New Roman" w:hAnsi="Times New Roman" w:cs="Times New Roman"/>
        </w:rPr>
        <w:t>ooper</w:t>
      </w:r>
      <w:r w:rsidR="0031064E">
        <w:rPr>
          <w:rFonts w:ascii="Times New Roman" w:hAnsi="Times New Roman" w:cs="Times New Roman"/>
        </w:rPr>
        <w:t xml:space="preserve">, </w:t>
      </w:r>
      <w:r w:rsidR="0031064E" w:rsidRPr="00597954">
        <w:rPr>
          <w:rFonts w:ascii="Times New Roman" w:hAnsi="Times New Roman" w:cs="Times New Roman"/>
          <w:i/>
          <w:iCs/>
        </w:rPr>
        <w:t>McDonald and the Whiskey Ring</w:t>
      </w:r>
      <w:r w:rsidR="0031064E">
        <w:rPr>
          <w:rFonts w:ascii="Times New Roman" w:hAnsi="Times New Roman" w:cs="Times New Roman"/>
          <w:i/>
          <w:iCs/>
        </w:rPr>
        <w:t>,</w:t>
      </w:r>
      <w:r w:rsidR="00030164">
        <w:rPr>
          <w:rFonts w:ascii="Times New Roman" w:hAnsi="Times New Roman" w:cs="Times New Roman"/>
        </w:rPr>
        <w:t xml:space="preserve"> </w:t>
      </w:r>
      <w:r w:rsidRPr="002318C9">
        <w:rPr>
          <w:rFonts w:ascii="Times New Roman" w:hAnsi="Times New Roman" w:cs="Times New Roman"/>
        </w:rPr>
        <w:t>137-140</w:t>
      </w:r>
    </w:p>
  </w:footnote>
  <w:footnote w:id="1479">
    <w:p w14:paraId="015594BC" w14:textId="60D187E9"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w:t>
      </w:r>
      <w:r w:rsidR="002902FF">
        <w:rPr>
          <w:rFonts w:ascii="Times New Roman" w:hAnsi="Times New Roman" w:cs="Times New Roman"/>
        </w:rPr>
        <w:t>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2902FF">
        <w:rPr>
          <w:rFonts w:ascii="Times New Roman" w:hAnsi="Times New Roman" w:cs="Times New Roman"/>
        </w:rPr>
        <w:t xml:space="preserve"> </w:t>
      </w:r>
      <w:r w:rsidRPr="002318C9">
        <w:rPr>
          <w:rFonts w:ascii="Times New Roman" w:hAnsi="Times New Roman" w:cs="Times New Roman"/>
        </w:rPr>
        <w:t>527</w:t>
      </w:r>
    </w:p>
  </w:footnote>
  <w:footnote w:id="1480">
    <w:p w14:paraId="4B37A618" w14:textId="665BB596" w:rsidR="00F06201" w:rsidRPr="002318C9" w:rsidRDefault="00F06201" w:rsidP="00F062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66A53">
        <w:rPr>
          <w:rFonts w:ascii="Times New Roman" w:hAnsi="Times New Roman" w:cs="Times New Roman"/>
        </w:rPr>
        <w:t>This story is laid out in</w:t>
      </w:r>
      <w:r w:rsidRPr="002318C9">
        <w:rPr>
          <w:rFonts w:ascii="Times New Roman" w:hAnsi="Times New Roman" w:cs="Times New Roman"/>
        </w:rPr>
        <w:t xml:space="preserve"> Chapter Four</w:t>
      </w:r>
    </w:p>
  </w:footnote>
  <w:footnote w:id="1481">
    <w:p w14:paraId="30EBD098" w14:textId="4FADC791" w:rsidR="00F06201" w:rsidRPr="000F058D" w:rsidRDefault="00F06201" w:rsidP="00F06201">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66A53">
        <w:rPr>
          <w:rFonts w:ascii="Times New Roman" w:hAnsi="Times New Roman" w:cs="Times New Roman"/>
        </w:rPr>
        <w:t>Webb</w:t>
      </w:r>
      <w:r w:rsidR="000F058D">
        <w:rPr>
          <w:rFonts w:ascii="Times New Roman" w:hAnsi="Times New Roman" w:cs="Times New Roman"/>
        </w:rPr>
        <w:t xml:space="preserve">, </w:t>
      </w:r>
      <w:r w:rsidR="000F058D">
        <w:rPr>
          <w:rFonts w:ascii="Times New Roman" w:hAnsi="Times New Roman" w:cs="Times New Roman"/>
          <w:i/>
          <w:iCs/>
        </w:rPr>
        <w:t>Benjamin Helm Bristow</w:t>
      </w:r>
    </w:p>
  </w:footnote>
  <w:footnote w:id="1482">
    <w:p w14:paraId="6C92077C" w14:textId="66BD81D5" w:rsidR="00360BFB" w:rsidRPr="00C9366B" w:rsidRDefault="00360BFB" w:rsidP="00C9366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334415">
        <w:rPr>
          <w:rFonts w:ascii="Times New Roman" w:hAnsi="Times New Roman" w:cs="Times New Roman"/>
        </w:rPr>
        <w:t xml:space="preserve">Ron </w:t>
      </w:r>
      <w:r w:rsidR="00334415" w:rsidRPr="00334415">
        <w:rPr>
          <w:rFonts w:ascii="Times New Roman" w:hAnsi="Times New Roman" w:cs="Times New Roman"/>
        </w:rPr>
        <w:t>Chernow</w:t>
      </w:r>
      <w:r w:rsidR="00334415">
        <w:rPr>
          <w:rFonts w:ascii="Times New Roman" w:hAnsi="Times New Roman" w:cs="Times New Roman"/>
        </w:rPr>
        <w:t>,</w:t>
      </w:r>
      <w:r w:rsidR="008F50DA" w:rsidRPr="008F50DA">
        <w:rPr>
          <w:rFonts w:ascii="Times New Roman" w:hAnsi="Times New Roman" w:cs="Times New Roman"/>
          <w:sz w:val="24"/>
        </w:rPr>
        <w:t xml:space="preserve"> </w:t>
      </w:r>
      <w:r w:rsidR="008F50DA" w:rsidRPr="008F50DA">
        <w:rPr>
          <w:rFonts w:ascii="Times New Roman" w:hAnsi="Times New Roman" w:cs="Times New Roman"/>
          <w:i/>
          <w:iCs/>
        </w:rPr>
        <w:t>Grant</w:t>
      </w:r>
      <w:r w:rsidR="008F50DA" w:rsidRPr="008F50DA">
        <w:rPr>
          <w:rFonts w:ascii="Times New Roman" w:hAnsi="Times New Roman" w:cs="Times New Roman"/>
        </w:rPr>
        <w:t>. Waterville, ME: Thorndike Press, a Part of Gale, a Cengage Company, 2018.</w:t>
      </w:r>
      <w:r w:rsidR="008F50DA">
        <w:rPr>
          <w:rFonts w:ascii="Times New Roman" w:hAnsi="Times New Roman" w:cs="Times New Roman"/>
        </w:rPr>
        <w:t xml:space="preserve"> </w:t>
      </w:r>
      <w:r w:rsidR="00334415" w:rsidRPr="00334415">
        <w:rPr>
          <w:rFonts w:ascii="Times New Roman" w:hAnsi="Times New Roman" w:cs="Times New Roman"/>
        </w:rPr>
        <w:t>782</w:t>
      </w:r>
      <w:r w:rsidR="00334415">
        <w:rPr>
          <w:rFonts w:ascii="Times New Roman" w:hAnsi="Times New Roman" w:cs="Times New Roman"/>
        </w:rPr>
        <w:t>; McFeely</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34415">
        <w:rPr>
          <w:rFonts w:ascii="Times New Roman" w:hAnsi="Times New Roman" w:cs="Times New Roman"/>
        </w:rPr>
        <w:t xml:space="preserve"> 129-147</w:t>
      </w:r>
      <w:r w:rsidR="006946C2">
        <w:rPr>
          <w:rFonts w:ascii="Times New Roman" w:hAnsi="Times New Roman" w:cs="Times New Roman"/>
        </w:rPr>
        <w:t>, 432</w:t>
      </w:r>
      <w:r w:rsidR="00334415">
        <w:rPr>
          <w:rFonts w:ascii="Times New Roman" w:hAnsi="Times New Roman" w:cs="Times New Roman"/>
        </w:rPr>
        <w:t>; Jean Edward Smi</w:t>
      </w:r>
      <w:r w:rsidR="00C9366B">
        <w:rPr>
          <w:rFonts w:ascii="Times New Roman" w:hAnsi="Times New Roman" w:cs="Times New Roman"/>
        </w:rPr>
        <w:t>th,</w:t>
      </w:r>
      <w:r w:rsidR="00C9366B" w:rsidRPr="00C9366B">
        <w:rPr>
          <w:rFonts w:ascii="Times New Roman" w:hAnsi="Times New Roman" w:cs="Times New Roman"/>
        </w:rPr>
        <w:t xml:space="preserve"> </w:t>
      </w:r>
      <w:r w:rsidR="00C9366B" w:rsidRPr="00C9366B">
        <w:rPr>
          <w:rFonts w:ascii="Times New Roman" w:hAnsi="Times New Roman" w:cs="Times New Roman"/>
          <w:i/>
          <w:iCs/>
        </w:rPr>
        <w:t>Grant</w:t>
      </w:r>
      <w:r w:rsidR="00C9366B" w:rsidRPr="00C9366B">
        <w:rPr>
          <w:rFonts w:ascii="Times New Roman" w:hAnsi="Times New Roman" w:cs="Times New Roman"/>
        </w:rPr>
        <w:t>. New York, NY: Simon &amp; Schuster, 2001.</w:t>
      </w:r>
      <w:r w:rsidR="00C9366B">
        <w:rPr>
          <w:rFonts w:ascii="Times New Roman" w:hAnsi="Times New Roman" w:cs="Times New Roman"/>
        </w:rPr>
        <w:t xml:space="preserve"> </w:t>
      </w:r>
      <w:r w:rsidR="00334415" w:rsidRPr="00C9366B">
        <w:rPr>
          <w:rFonts w:ascii="Times New Roman" w:hAnsi="Times New Roman" w:cs="Times New Roman"/>
        </w:rPr>
        <w:t xml:space="preserve">578; </w:t>
      </w:r>
      <w:r w:rsidR="000B1ED2" w:rsidRPr="000B1ED2">
        <w:rPr>
          <w:rFonts w:ascii="Times New Roman" w:hAnsi="Times New Roman" w:cs="Times New Roman"/>
        </w:rPr>
        <w:t xml:space="preserve">John Simon, ed., </w:t>
      </w:r>
      <w:r w:rsidR="000B1ED2" w:rsidRPr="000B1ED2">
        <w:rPr>
          <w:rFonts w:ascii="Times New Roman" w:hAnsi="Times New Roman" w:cs="Times New Roman"/>
          <w:i/>
          <w:iCs/>
        </w:rPr>
        <w:t>The Papers of Ulysses S. Grant, vol. 2</w:t>
      </w:r>
      <w:r w:rsidR="000B1ED2">
        <w:rPr>
          <w:rFonts w:ascii="Times New Roman" w:hAnsi="Times New Roman" w:cs="Times New Roman"/>
          <w:i/>
          <w:iCs/>
        </w:rPr>
        <w:t>7</w:t>
      </w:r>
      <w:r w:rsidR="000B1ED2" w:rsidRPr="000B1ED2">
        <w:rPr>
          <w:rFonts w:ascii="Times New Roman" w:hAnsi="Times New Roman" w:cs="Times New Roman"/>
        </w:rPr>
        <w:t xml:space="preserve">. Carbondale: Southern Illinois University Press, 1997. </w:t>
      </w:r>
      <w:r w:rsidR="008F50DA" w:rsidRPr="00C9366B">
        <w:rPr>
          <w:rFonts w:ascii="Times New Roman" w:hAnsi="Times New Roman" w:cs="Times New Roman"/>
        </w:rPr>
        <w:t>27, 62-63; Leonard Alexander</w:t>
      </w:r>
      <w:r w:rsidR="00624D87">
        <w:rPr>
          <w:rFonts w:ascii="Times New Roman" w:hAnsi="Times New Roman" w:cs="Times New Roman"/>
        </w:rPr>
        <w:t xml:space="preserve"> Swann</w:t>
      </w:r>
      <w:r w:rsidR="004E2F88">
        <w:rPr>
          <w:rFonts w:ascii="Times New Roman" w:hAnsi="Times New Roman" w:cs="Times New Roman"/>
        </w:rPr>
        <w:t>,</w:t>
      </w:r>
      <w:r w:rsidR="008F50DA" w:rsidRPr="00C9366B">
        <w:rPr>
          <w:rFonts w:ascii="Times New Roman" w:hAnsi="Times New Roman" w:cs="Times New Roman"/>
        </w:rPr>
        <w:t xml:space="preserve"> </w:t>
      </w:r>
      <w:r w:rsidR="008F50DA" w:rsidRPr="004E2F88">
        <w:rPr>
          <w:rFonts w:ascii="Times New Roman" w:hAnsi="Times New Roman" w:cs="Times New Roman"/>
          <w:i/>
          <w:iCs/>
        </w:rPr>
        <w:t xml:space="preserve">John Roach, </w:t>
      </w:r>
      <w:r w:rsidR="004E2F88" w:rsidRPr="004E2F88">
        <w:rPr>
          <w:rFonts w:ascii="Times New Roman" w:hAnsi="Times New Roman" w:cs="Times New Roman"/>
          <w:i/>
          <w:iCs/>
        </w:rPr>
        <w:t>M</w:t>
      </w:r>
      <w:r w:rsidR="008F50DA" w:rsidRPr="004E2F88">
        <w:rPr>
          <w:rFonts w:ascii="Times New Roman" w:hAnsi="Times New Roman" w:cs="Times New Roman"/>
          <w:i/>
          <w:iCs/>
        </w:rPr>
        <w:t xml:space="preserve">aritime </w:t>
      </w:r>
      <w:r w:rsidR="004E2F88" w:rsidRPr="004E2F88">
        <w:rPr>
          <w:rFonts w:ascii="Times New Roman" w:hAnsi="Times New Roman" w:cs="Times New Roman"/>
          <w:i/>
          <w:iCs/>
        </w:rPr>
        <w:t>E</w:t>
      </w:r>
      <w:r w:rsidR="008F50DA" w:rsidRPr="004E2F88">
        <w:rPr>
          <w:rFonts w:ascii="Times New Roman" w:hAnsi="Times New Roman" w:cs="Times New Roman"/>
          <w:i/>
          <w:iCs/>
        </w:rPr>
        <w:t>ntrepreneur</w:t>
      </w:r>
      <w:r w:rsidR="004E2F88" w:rsidRPr="004E2F88">
        <w:rPr>
          <w:rFonts w:ascii="Times New Roman" w:hAnsi="Times New Roman" w:cs="Times New Roman"/>
          <w:i/>
          <w:iCs/>
        </w:rPr>
        <w:t>: The Years as Naval Contractor, 1862-1886</w:t>
      </w:r>
      <w:r w:rsidR="008F50DA" w:rsidRPr="00C9366B">
        <w:rPr>
          <w:rFonts w:ascii="Times New Roman" w:hAnsi="Times New Roman" w:cs="Times New Roman"/>
        </w:rPr>
        <w:t>. A</w:t>
      </w:r>
      <w:r w:rsidR="004E2F88">
        <w:rPr>
          <w:rFonts w:ascii="Times New Roman" w:hAnsi="Times New Roman" w:cs="Times New Roman"/>
        </w:rPr>
        <w:t>nnapolis, MD: United States Naval Institute, 1965.</w:t>
      </w:r>
      <w:r w:rsidR="008F50DA" w:rsidRPr="00C9366B">
        <w:rPr>
          <w:rFonts w:ascii="Times New Roman" w:hAnsi="Times New Roman" w:cs="Times New Roman"/>
        </w:rPr>
        <w:t xml:space="preserve"> 125-135; </w:t>
      </w:r>
      <w:r w:rsidR="00145DAC">
        <w:rPr>
          <w:rFonts w:ascii="Times New Roman" w:hAnsi="Times New Roman" w:cs="Times New Roman"/>
        </w:rPr>
        <w:t xml:space="preserve">Robert B. </w:t>
      </w:r>
      <w:r w:rsidR="008F50DA" w:rsidRPr="00C9366B">
        <w:rPr>
          <w:rFonts w:ascii="Times New Roman" w:hAnsi="Times New Roman" w:cs="Times New Roman"/>
        </w:rPr>
        <w:t xml:space="preserve">Mitchell, </w:t>
      </w:r>
      <w:r w:rsidR="008F50DA" w:rsidRPr="00C9366B">
        <w:rPr>
          <w:rFonts w:ascii="Times New Roman" w:hAnsi="Times New Roman" w:cs="Times New Roman"/>
          <w:i/>
          <w:iCs/>
        </w:rPr>
        <w:t>Congress and the King of Frauds: Corruption and the Credit Mobilier Scandal</w:t>
      </w:r>
      <w:r w:rsidR="00145DAC">
        <w:rPr>
          <w:rFonts w:ascii="Times New Roman" w:hAnsi="Times New Roman" w:cs="Times New Roman"/>
          <w:i/>
          <w:iCs/>
        </w:rPr>
        <w:t>.</w:t>
      </w:r>
      <w:r w:rsidR="008F50DA" w:rsidRPr="00C9366B">
        <w:rPr>
          <w:rFonts w:ascii="Times New Roman" w:hAnsi="Times New Roman" w:cs="Times New Roman"/>
        </w:rPr>
        <w:t xml:space="preserve"> </w:t>
      </w:r>
      <w:r w:rsidR="00145DAC">
        <w:rPr>
          <w:rFonts w:ascii="Times New Roman" w:hAnsi="Times New Roman" w:cs="Times New Roman"/>
        </w:rPr>
        <w:t xml:space="preserve">Roseville, MN: </w:t>
      </w:r>
      <w:r w:rsidR="008F50DA" w:rsidRPr="00C9366B">
        <w:rPr>
          <w:rFonts w:ascii="Times New Roman" w:hAnsi="Times New Roman" w:cs="Times New Roman"/>
        </w:rPr>
        <w:t>Edinborough Press, 2018</w:t>
      </w:r>
      <w:r w:rsidR="00145DAC">
        <w:rPr>
          <w:rFonts w:ascii="Times New Roman" w:hAnsi="Times New Roman" w:cs="Times New Roman"/>
        </w:rPr>
        <w:t>.</w:t>
      </w:r>
    </w:p>
  </w:footnote>
  <w:footnote w:id="1483">
    <w:p w14:paraId="393601FB" w14:textId="33AD476B"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E817F0">
        <w:rPr>
          <w:rFonts w:ascii="Times New Roman" w:hAnsi="Times New Roman" w:cs="Times New Roman"/>
        </w:rPr>
        <w:t xml:space="preserve">Charles </w:t>
      </w:r>
      <w:r w:rsidR="00E817F0" w:rsidRPr="00E817F0">
        <w:rPr>
          <w:rFonts w:ascii="Times New Roman" w:hAnsi="Times New Roman" w:cs="Times New Roman"/>
        </w:rPr>
        <w:t xml:space="preserve">Calhoun, </w:t>
      </w:r>
      <w:r w:rsidR="00E817F0" w:rsidRPr="00E817F0">
        <w:rPr>
          <w:rFonts w:ascii="Times New Roman" w:hAnsi="Times New Roman" w:cs="Times New Roman"/>
          <w:i/>
          <w:iCs/>
        </w:rPr>
        <w:t>The Presidency of Ulysses S. Grant</w:t>
      </w:r>
      <w:r w:rsidR="00E817F0" w:rsidRPr="00E817F0">
        <w:rPr>
          <w:rFonts w:ascii="Times New Roman" w:hAnsi="Times New Roman" w:cs="Times New Roman"/>
        </w:rPr>
        <w:t>. Lawrence, KS: University Press of Kansas, 2017.</w:t>
      </w:r>
      <w:r w:rsidR="00E817F0">
        <w:rPr>
          <w:rFonts w:ascii="Times New Roman" w:hAnsi="Times New Roman" w:cs="Times New Roman"/>
        </w:rPr>
        <w:t xml:space="preserve"> </w:t>
      </w:r>
      <w:r w:rsidR="008F50DA">
        <w:rPr>
          <w:rFonts w:ascii="Times New Roman" w:hAnsi="Times New Roman" w:cs="Times New Roman"/>
        </w:rPr>
        <w:t>532-534</w:t>
      </w:r>
    </w:p>
  </w:footnote>
  <w:footnote w:id="1484">
    <w:p w14:paraId="67F6BD3E" w14:textId="7F05E6FE"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8F50DA">
        <w:rPr>
          <w:rFonts w:ascii="Times New Roman" w:hAnsi="Times New Roman" w:cs="Times New Roman"/>
        </w:rPr>
        <w:t>Ibid</w:t>
      </w:r>
    </w:p>
  </w:footnote>
  <w:footnote w:id="1485">
    <w:p w14:paraId="7FC6E32A" w14:textId="1CFFE837" w:rsidR="00360BFB" w:rsidRPr="002647E1"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Pr="002318C9">
        <w:rPr>
          <w:rFonts w:ascii="Times New Roman" w:hAnsi="Times New Roman" w:cs="Times New Roman"/>
        </w:rPr>
        <w:t xml:space="preserve"> 533-</w:t>
      </w:r>
      <w:r w:rsidR="002647E1">
        <w:rPr>
          <w:rFonts w:ascii="Times New Roman" w:hAnsi="Times New Roman" w:cs="Times New Roman"/>
        </w:rPr>
        <w:t xml:space="preserve">534; </w:t>
      </w:r>
      <w:r w:rsidR="002647E1">
        <w:rPr>
          <w:rFonts w:ascii="Times New Roman" w:hAnsi="Times New Roman" w:cs="Times New Roman"/>
          <w:i/>
          <w:iCs/>
        </w:rPr>
        <w:t>New York Times</w:t>
      </w:r>
      <w:r w:rsidR="002647E1">
        <w:rPr>
          <w:rFonts w:ascii="Times New Roman" w:hAnsi="Times New Roman" w:cs="Times New Roman"/>
        </w:rPr>
        <w:t>, January 18, 1876; Hamilton Fish, diary, February 15, 1876, Hamilton Fish Papers, Library of Congress</w:t>
      </w:r>
    </w:p>
  </w:footnote>
  <w:footnote w:id="1486">
    <w:p w14:paraId="0C05B4D4"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87">
    <w:p w14:paraId="51F6D227" w14:textId="172EDA0D"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Pr="002318C9">
        <w:rPr>
          <w:rFonts w:ascii="Times New Roman" w:hAnsi="Times New Roman" w:cs="Times New Roman"/>
        </w:rPr>
        <w:t xml:space="preserve"> 534</w:t>
      </w:r>
      <w:r w:rsidR="00D652BC">
        <w:rPr>
          <w:rFonts w:ascii="Times New Roman" w:hAnsi="Times New Roman" w:cs="Times New Roman"/>
        </w:rPr>
        <w:t xml:space="preserve">; Hamilton Fish diary, April 4, 7, 25, May 4, 5, 1876; </w:t>
      </w:r>
      <w:r w:rsidR="00D652BC">
        <w:rPr>
          <w:rFonts w:ascii="Times New Roman" w:hAnsi="Times New Roman" w:cs="Times New Roman"/>
          <w:i/>
          <w:iCs/>
        </w:rPr>
        <w:t xml:space="preserve">New York </w:t>
      </w:r>
      <w:r w:rsidR="00D652BC" w:rsidRPr="00D652BC">
        <w:rPr>
          <w:rFonts w:ascii="Times New Roman" w:hAnsi="Times New Roman" w:cs="Times New Roman"/>
          <w:i/>
          <w:iCs/>
        </w:rPr>
        <w:t>Tribune</w:t>
      </w:r>
      <w:r w:rsidR="00D652BC">
        <w:rPr>
          <w:rFonts w:ascii="Times New Roman" w:hAnsi="Times New Roman" w:cs="Times New Roman"/>
          <w:i/>
          <w:iCs/>
        </w:rPr>
        <w:t xml:space="preserve">, </w:t>
      </w:r>
      <w:r w:rsidR="00D652BC">
        <w:rPr>
          <w:rFonts w:ascii="Times New Roman" w:hAnsi="Times New Roman" w:cs="Times New Roman"/>
        </w:rPr>
        <w:t xml:space="preserve">May 5, 1876; </w:t>
      </w:r>
      <w:r w:rsidR="00380F37">
        <w:rPr>
          <w:rFonts w:ascii="Times New Roman" w:hAnsi="Times New Roman" w:cs="Times New Roman"/>
        </w:rPr>
        <w:t xml:space="preserve">James D. Richardson, </w:t>
      </w:r>
      <w:r w:rsidR="00380F37">
        <w:rPr>
          <w:rFonts w:ascii="Times New Roman" w:hAnsi="Times New Roman" w:cs="Times New Roman"/>
          <w:i/>
          <w:iCs/>
        </w:rPr>
        <w:t>Compilation of the Messages and Papers of the Presidents</w:t>
      </w:r>
      <w:r w:rsidR="00380F37">
        <w:rPr>
          <w:rFonts w:ascii="Times New Roman" w:hAnsi="Times New Roman" w:cs="Times New Roman"/>
        </w:rPr>
        <w:t>. Vol. 7. Washington DC: Bureau of National Literature and Art, 1903. 361-366, 380-381</w:t>
      </w:r>
    </w:p>
  </w:footnote>
  <w:footnote w:id="1488">
    <w:p w14:paraId="04E8F14C" w14:textId="779B38DC" w:rsidR="00360BFB" w:rsidRPr="002318C9" w:rsidRDefault="00360BFB" w:rsidP="00040B0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40B01">
        <w:rPr>
          <w:rFonts w:ascii="Times New Roman" w:hAnsi="Times New Roman" w:cs="Times New Roman"/>
        </w:rPr>
        <w:t xml:space="preserve">“Presidential Term” Debate and Vote </w:t>
      </w:r>
      <w:r w:rsidR="00040B01" w:rsidRPr="00040B01">
        <w:rPr>
          <w:rFonts w:ascii="Times New Roman" w:hAnsi="Times New Roman" w:cs="Times New Roman"/>
        </w:rPr>
        <w:t xml:space="preserve">on </w:t>
      </w:r>
      <w:r w:rsidR="00040B01">
        <w:rPr>
          <w:rFonts w:ascii="Times New Roman" w:hAnsi="Times New Roman" w:cs="Times New Roman"/>
        </w:rPr>
        <w:t>December 15, 1875,</w:t>
      </w:r>
      <w:r w:rsidR="00040B01" w:rsidRPr="00040B01">
        <w:rPr>
          <w:rFonts w:ascii="Times New Roman" w:hAnsi="Times New Roman" w:cs="Times New Roman"/>
        </w:rPr>
        <w:t xml:space="preserve"> </w:t>
      </w:r>
      <w:r w:rsidR="00040B01">
        <w:rPr>
          <w:rFonts w:ascii="Times New Roman" w:hAnsi="Times New Roman" w:cs="Times New Roman"/>
        </w:rPr>
        <w:t>44</w:t>
      </w:r>
      <w:r w:rsidR="00040B01" w:rsidRPr="00040B01">
        <w:rPr>
          <w:rFonts w:ascii="Times New Roman" w:hAnsi="Times New Roman" w:cs="Times New Roman"/>
        </w:rPr>
        <w:t>th Cong., 1st sess.,</w:t>
      </w:r>
      <w:r w:rsidR="00040B01">
        <w:rPr>
          <w:rFonts w:ascii="Times New Roman" w:hAnsi="Times New Roman" w:cs="Times New Roman"/>
        </w:rPr>
        <w:t xml:space="preserve"> </w:t>
      </w:r>
      <w:r w:rsidR="00040B01" w:rsidRPr="00040B01">
        <w:rPr>
          <w:rFonts w:ascii="Times New Roman" w:hAnsi="Times New Roman" w:cs="Times New Roman"/>
          <w:i/>
          <w:iCs/>
        </w:rPr>
        <w:t>Congressional Record</w:t>
      </w:r>
      <w:r w:rsidR="00040B01" w:rsidRPr="00040B01">
        <w:rPr>
          <w:rFonts w:ascii="Times New Roman" w:hAnsi="Times New Roman" w:cs="Times New Roman"/>
        </w:rPr>
        <w:t xml:space="preserve"> </w:t>
      </w:r>
      <w:r w:rsidR="00040B01">
        <w:rPr>
          <w:rFonts w:ascii="Times New Roman" w:hAnsi="Times New Roman" w:cs="Times New Roman"/>
        </w:rPr>
        <w:t>4</w:t>
      </w:r>
      <w:r w:rsidR="00040B01" w:rsidRPr="00040B01">
        <w:rPr>
          <w:rFonts w:ascii="Times New Roman" w:hAnsi="Times New Roman" w:cs="Times New Roman"/>
        </w:rPr>
        <w:t xml:space="preserve">, pt. </w:t>
      </w:r>
      <w:r w:rsidR="00040B01">
        <w:rPr>
          <w:rFonts w:ascii="Times New Roman" w:hAnsi="Times New Roman" w:cs="Times New Roman"/>
        </w:rPr>
        <w:t>1</w:t>
      </w:r>
      <w:r w:rsidR="00040B01" w:rsidRPr="00040B01">
        <w:rPr>
          <w:rFonts w:ascii="Times New Roman" w:hAnsi="Times New Roman" w:cs="Times New Roman"/>
        </w:rPr>
        <w:t>:</w:t>
      </w:r>
      <w:r w:rsidR="00040B01">
        <w:rPr>
          <w:rFonts w:ascii="Times New Roman" w:hAnsi="Times New Roman" w:cs="Times New Roman"/>
        </w:rPr>
        <w:t xml:space="preserve">228; Bruce G. Peabody and Scott E. Gant, “The Twice and Future President: Constitutional Interstices and the Twenty-Second Amendment.” </w:t>
      </w:r>
      <w:r w:rsidR="00040B01">
        <w:rPr>
          <w:rFonts w:ascii="Times New Roman" w:hAnsi="Times New Roman" w:cs="Times New Roman"/>
          <w:i/>
          <w:iCs/>
        </w:rPr>
        <w:t>Minnesota Law Review</w:t>
      </w:r>
      <w:r w:rsidR="00040B01">
        <w:rPr>
          <w:rFonts w:ascii="Times New Roman" w:hAnsi="Times New Roman" w:cs="Times New Roman"/>
        </w:rPr>
        <w:t xml:space="preserve"> (1999), 909.</w:t>
      </w:r>
    </w:p>
  </w:footnote>
  <w:footnote w:id="1489">
    <w:p w14:paraId="15DA0194" w14:textId="16985A21" w:rsidR="00AF0645" w:rsidRPr="002318C9" w:rsidRDefault="00AF0645" w:rsidP="00AF064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Pr>
          <w:rFonts w:ascii="Times New Roman" w:hAnsi="Times New Roman" w:cs="Times New Roman"/>
        </w:rPr>
        <w:t>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Pr>
          <w:rFonts w:ascii="Times New Roman" w:hAnsi="Times New Roman" w:cs="Times New Roman"/>
        </w:rPr>
        <w:t xml:space="preserve"> 532-534</w:t>
      </w:r>
    </w:p>
  </w:footnote>
  <w:footnote w:id="1490">
    <w:p w14:paraId="28F8BE15" w14:textId="1EAF3D7A"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40B01">
        <w:rPr>
          <w:rFonts w:ascii="Times New Roman" w:hAnsi="Times New Roman" w:cs="Times New Roman"/>
        </w:rPr>
        <w:t>Ibid</w:t>
      </w:r>
    </w:p>
  </w:footnote>
  <w:footnote w:id="1491">
    <w:p w14:paraId="69A0EACB" w14:textId="7A68A2F7" w:rsidR="00360BFB" w:rsidRPr="00040B01"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040B01">
        <w:rPr>
          <w:rFonts w:ascii="Times New Roman" w:hAnsi="Times New Roman" w:cs="Times New Roman"/>
        </w:rPr>
        <w:t xml:space="preserve">Hamilton Fish, “General Grant,” </w:t>
      </w:r>
      <w:r w:rsidR="003578B0" w:rsidRPr="003578B0">
        <w:rPr>
          <w:rFonts w:ascii="Times New Roman" w:hAnsi="Times New Roman" w:cs="Times New Roman"/>
          <w:i/>
          <w:iCs/>
        </w:rPr>
        <w:t xml:space="preserve">The </w:t>
      </w:r>
      <w:r w:rsidR="00040B01">
        <w:rPr>
          <w:rFonts w:ascii="Times New Roman" w:hAnsi="Times New Roman" w:cs="Times New Roman"/>
          <w:i/>
          <w:iCs/>
        </w:rPr>
        <w:t>Independent</w:t>
      </w:r>
      <w:r w:rsidR="00040B01">
        <w:rPr>
          <w:rFonts w:ascii="Times New Roman" w:hAnsi="Times New Roman" w:cs="Times New Roman"/>
        </w:rPr>
        <w:t>, July 30, 1885</w:t>
      </w:r>
    </w:p>
  </w:footnote>
  <w:footnote w:id="1492">
    <w:p w14:paraId="5D5C4C4E"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493">
    <w:p w14:paraId="38E82F04" w14:textId="41A06245" w:rsidR="00360BFB" w:rsidRPr="009F238C" w:rsidRDefault="00360BFB" w:rsidP="009F238C">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F238C">
        <w:rPr>
          <w:rFonts w:ascii="Times New Roman" w:hAnsi="Times New Roman" w:cs="Times New Roman"/>
        </w:rPr>
        <w:t xml:space="preserve">Gen. Horace </w:t>
      </w:r>
      <w:r w:rsidR="009F238C" w:rsidRPr="009F238C">
        <w:rPr>
          <w:rFonts w:ascii="Times New Roman" w:hAnsi="Times New Roman" w:cs="Times New Roman"/>
        </w:rPr>
        <w:t xml:space="preserve">Porter, “Personal Traits of General Grant.” </w:t>
      </w:r>
      <w:r w:rsidR="009F238C" w:rsidRPr="009F238C">
        <w:rPr>
          <w:rFonts w:ascii="Times New Roman" w:hAnsi="Times New Roman" w:cs="Times New Roman"/>
          <w:i/>
          <w:iCs/>
        </w:rPr>
        <w:t>McClure’s Magazine</w:t>
      </w:r>
      <w:r w:rsidR="009F238C" w:rsidRPr="009F238C">
        <w:rPr>
          <w:rFonts w:ascii="Times New Roman" w:hAnsi="Times New Roman" w:cs="Times New Roman"/>
        </w:rPr>
        <w:t xml:space="preserve"> vol. II, no. 6 (May 1894).</w:t>
      </w:r>
    </w:p>
  </w:footnote>
  <w:footnote w:id="1494">
    <w:p w14:paraId="3E608EC2"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Bret Baier, </w:t>
      </w:r>
      <w:r w:rsidRPr="002318C9">
        <w:rPr>
          <w:rFonts w:ascii="Times New Roman" w:hAnsi="Times New Roman" w:cs="Times New Roman"/>
          <w:i/>
          <w:iCs/>
        </w:rPr>
        <w:t>To Rescue the Republic: Ulysses S. Grant, The Fragile Union, and the Crisis of 1876</w:t>
      </w:r>
      <w:r w:rsidRPr="002318C9">
        <w:rPr>
          <w:rFonts w:ascii="Times New Roman" w:hAnsi="Times New Roman" w:cs="Times New Roman"/>
        </w:rPr>
        <w:t>. Custom House Publishing: New York, 2021.</w:t>
      </w:r>
    </w:p>
  </w:footnote>
  <w:footnote w:id="1495">
    <w:p w14:paraId="19518E4F" w14:textId="49E97B65"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Pr="002318C9">
        <w:rPr>
          <w:rFonts w:ascii="Times New Roman" w:hAnsi="Times New Roman" w:cs="Times New Roman"/>
        </w:rPr>
        <w:t xml:space="preserve"> 538-543</w:t>
      </w:r>
    </w:p>
  </w:footnote>
  <w:footnote w:id="1496">
    <w:p w14:paraId="68CD1A67" w14:textId="5A7447AB"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Speech by Ulysses S. Grant to the National Republican Convention in Cincinnati, June 19, 1876, as reported in </w:t>
      </w:r>
      <w:r w:rsidRPr="002318C9">
        <w:rPr>
          <w:rFonts w:ascii="Times New Roman" w:hAnsi="Times New Roman" w:cs="Times New Roman"/>
          <w:i/>
          <w:iCs/>
        </w:rPr>
        <w:t>New York Herald</w:t>
      </w:r>
      <w:r w:rsidRPr="002318C9">
        <w:rPr>
          <w:rFonts w:ascii="Times New Roman" w:hAnsi="Times New Roman" w:cs="Times New Roman"/>
        </w:rPr>
        <w:t xml:space="preserve">, June 20, 1876; Calhoun, </w:t>
      </w:r>
      <w:r w:rsidR="000A495E">
        <w:rPr>
          <w:rFonts w:ascii="Times New Roman" w:hAnsi="Times New Roman" w:cs="Times New Roman"/>
          <w:i/>
          <w:iCs/>
        </w:rPr>
        <w:t>The P</w:t>
      </w:r>
      <w:r w:rsidRPr="002318C9">
        <w:rPr>
          <w:rFonts w:ascii="Times New Roman" w:hAnsi="Times New Roman" w:cs="Times New Roman"/>
          <w:i/>
          <w:iCs/>
        </w:rPr>
        <w:t>residency of Ulysses S. Grant,</w:t>
      </w:r>
      <w:r w:rsidRPr="002318C9">
        <w:rPr>
          <w:rFonts w:ascii="Times New Roman" w:hAnsi="Times New Roman" w:cs="Times New Roman"/>
        </w:rPr>
        <w:t xml:space="preserve"> 548-550; Baier, </w:t>
      </w:r>
      <w:r w:rsidRPr="002318C9">
        <w:rPr>
          <w:rFonts w:ascii="Times New Roman" w:hAnsi="Times New Roman" w:cs="Times New Roman"/>
          <w:i/>
          <w:iCs/>
        </w:rPr>
        <w:t>To Rescue the Republic</w:t>
      </w:r>
    </w:p>
  </w:footnote>
  <w:footnote w:id="1497">
    <w:p w14:paraId="1F7AD9FB" w14:textId="6EE8E588" w:rsidR="00360BFB" w:rsidRPr="006B77C6"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B77C6">
        <w:rPr>
          <w:rFonts w:ascii="Times New Roman" w:hAnsi="Times New Roman" w:cs="Times New Roman"/>
        </w:rPr>
        <w:t xml:space="preserve">Jean Edward Smith, </w:t>
      </w:r>
      <w:r w:rsidR="006B77C6">
        <w:rPr>
          <w:rFonts w:ascii="Times New Roman" w:hAnsi="Times New Roman" w:cs="Times New Roman"/>
          <w:i/>
          <w:iCs/>
        </w:rPr>
        <w:t>Grant</w:t>
      </w:r>
      <w:r w:rsidR="006B77C6">
        <w:rPr>
          <w:rFonts w:ascii="Times New Roman" w:hAnsi="Times New Roman" w:cs="Times New Roman"/>
        </w:rPr>
        <w:t>, 601-604</w:t>
      </w:r>
    </w:p>
  </w:footnote>
  <w:footnote w:id="1498">
    <w:p w14:paraId="47092FA0" w14:textId="4FF77117" w:rsidR="00360BFB" w:rsidRPr="00080EF4"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8799A">
        <w:rPr>
          <w:rFonts w:ascii="Times New Roman" w:hAnsi="Times New Roman" w:cs="Times New Roman"/>
        </w:rPr>
        <w:t xml:space="preserve">C. Vann Woodward, </w:t>
      </w:r>
      <w:r w:rsidR="00D8799A" w:rsidRPr="00D8799A">
        <w:rPr>
          <w:rFonts w:ascii="Times New Roman" w:hAnsi="Times New Roman" w:cs="Times New Roman"/>
          <w:i/>
          <w:iCs/>
        </w:rPr>
        <w:t>Reunion and Reaction: The Compromise of 1877 and the End of Reconstruction.</w:t>
      </w:r>
      <w:r w:rsidR="00D8799A">
        <w:rPr>
          <w:rFonts w:ascii="Times New Roman" w:hAnsi="Times New Roman" w:cs="Times New Roman"/>
          <w:i/>
          <w:iCs/>
        </w:rPr>
        <w:t xml:space="preserve"> </w:t>
      </w:r>
      <w:r w:rsidR="00D8799A">
        <w:rPr>
          <w:rFonts w:ascii="Times New Roman" w:hAnsi="Times New Roman" w:cs="Times New Roman"/>
        </w:rPr>
        <w:t xml:space="preserve">Boston: Little, Brown, &amp; Co., 1966; </w:t>
      </w:r>
      <w:r w:rsidR="00FB70C1">
        <w:rPr>
          <w:rFonts w:ascii="Times New Roman" w:hAnsi="Times New Roman" w:cs="Times New Roman"/>
        </w:rPr>
        <w:t xml:space="preserve">Michael F. Holt, </w:t>
      </w:r>
      <w:r w:rsidR="00FB70C1">
        <w:rPr>
          <w:rFonts w:ascii="Times New Roman" w:hAnsi="Times New Roman" w:cs="Times New Roman"/>
          <w:i/>
          <w:iCs/>
        </w:rPr>
        <w:t>By One Vote: The Disputed Presidential Election of 1876</w:t>
      </w:r>
      <w:r w:rsidR="00FB70C1">
        <w:rPr>
          <w:rFonts w:ascii="Times New Roman" w:hAnsi="Times New Roman" w:cs="Times New Roman"/>
        </w:rPr>
        <w:t>. Lawrence, KS: University Press of Kansas, 2008</w:t>
      </w:r>
      <w:r w:rsidR="00080EF4">
        <w:rPr>
          <w:rFonts w:ascii="Times New Roman" w:hAnsi="Times New Roman" w:cs="Times New Roman"/>
        </w:rPr>
        <w:t xml:space="preserve">; </w:t>
      </w:r>
      <w:bookmarkStart w:id="90" w:name="_Hlk198293319"/>
      <w:r w:rsidR="00080EF4">
        <w:rPr>
          <w:rFonts w:ascii="Times New Roman" w:hAnsi="Times New Roman" w:cs="Times New Roman"/>
        </w:rPr>
        <w:t xml:space="preserve">Michael Les Benedict, “Southern Democrats in the Crisis of 1876-1877: A Reconsideration of Reunion and Reaction.” </w:t>
      </w:r>
      <w:r w:rsidR="00080EF4">
        <w:rPr>
          <w:rFonts w:ascii="Times New Roman" w:hAnsi="Times New Roman" w:cs="Times New Roman"/>
          <w:i/>
          <w:iCs/>
        </w:rPr>
        <w:t>Journal of Southern History</w:t>
      </w:r>
      <w:r w:rsidR="00080EF4">
        <w:rPr>
          <w:rFonts w:ascii="Times New Roman" w:hAnsi="Times New Roman" w:cs="Times New Roman"/>
        </w:rPr>
        <w:t>. Vol 6, no 4 (November 1980): 489-524.</w:t>
      </w:r>
    </w:p>
    <w:bookmarkEnd w:id="90"/>
  </w:footnote>
  <w:footnote w:id="1499">
    <w:p w14:paraId="74840229" w14:textId="4113AA9C" w:rsidR="00DB0AFF" w:rsidRDefault="00DB0AFF">
      <w:pPr>
        <w:pStyle w:val="FootnoteText"/>
      </w:pPr>
      <w:r>
        <w:rPr>
          <w:rStyle w:val="FootnoteReference"/>
        </w:rPr>
        <w:footnoteRef/>
      </w:r>
      <w:r>
        <w:t xml:space="preserve"> </w:t>
      </w:r>
      <w:r w:rsidRPr="00DB0AFF">
        <w:rPr>
          <w:rFonts w:ascii="Times New Roman" w:hAnsi="Times New Roman" w:cs="Times New Roman"/>
        </w:rPr>
        <w:t>Fitzhugh Brundage, “Reconstruction in the South</w:t>
      </w:r>
      <w:r>
        <w:rPr>
          <w:rFonts w:ascii="Times New Roman" w:hAnsi="Times New Roman" w:cs="Times New Roman"/>
        </w:rPr>
        <w:t xml:space="preserve">,” in </w:t>
      </w:r>
      <w:bookmarkStart w:id="91" w:name="_Hlk198293773"/>
      <w:r>
        <w:rPr>
          <w:rFonts w:ascii="Times New Roman" w:hAnsi="Times New Roman" w:cs="Times New Roman"/>
        </w:rPr>
        <w:t xml:space="preserve">Luke Harlow, ed. “The Future of Reconstruction Studies.” </w:t>
      </w:r>
      <w:r>
        <w:rPr>
          <w:rFonts w:ascii="Times New Roman" w:hAnsi="Times New Roman" w:cs="Times New Roman"/>
          <w:i/>
          <w:iCs/>
        </w:rPr>
        <w:t>Journal of the Civil War Era</w:t>
      </w:r>
      <w:r>
        <w:rPr>
          <w:rFonts w:ascii="Times New Roman" w:hAnsi="Times New Roman" w:cs="Times New Roman"/>
        </w:rPr>
        <w:t xml:space="preserve"> 7.1 (March 2017). </w:t>
      </w:r>
      <w:bookmarkEnd w:id="91"/>
    </w:p>
  </w:footnote>
  <w:footnote w:id="1500">
    <w:p w14:paraId="4674E4DE" w14:textId="274BEF64" w:rsidR="00360BFB" w:rsidRPr="00FB70C1" w:rsidRDefault="00360BFB" w:rsidP="00FB70C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B70C1">
        <w:rPr>
          <w:rFonts w:ascii="Times New Roman" w:hAnsi="Times New Roman" w:cs="Times New Roman"/>
        </w:rPr>
        <w:t>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FB70C1">
        <w:rPr>
          <w:rFonts w:ascii="Times New Roman" w:hAnsi="Times New Roman" w:cs="Times New Roman"/>
        </w:rPr>
        <w:t xml:space="preserve">; Michael W. </w:t>
      </w:r>
      <w:r w:rsidR="00FB70C1" w:rsidRPr="00FB70C1">
        <w:rPr>
          <w:rFonts w:ascii="Times New Roman" w:hAnsi="Times New Roman" w:cs="Times New Roman"/>
        </w:rPr>
        <w:t xml:space="preserve">Fitzgerald, </w:t>
      </w:r>
      <w:r w:rsidR="00FB70C1" w:rsidRPr="00FB70C1">
        <w:rPr>
          <w:rFonts w:ascii="Times New Roman" w:hAnsi="Times New Roman" w:cs="Times New Roman"/>
          <w:i/>
          <w:iCs/>
        </w:rPr>
        <w:t>Splendid Failure: Postwar Reconstruction in the American South.</w:t>
      </w:r>
      <w:r w:rsidR="00FB70C1" w:rsidRPr="00FB70C1">
        <w:rPr>
          <w:rFonts w:ascii="Times New Roman" w:hAnsi="Times New Roman" w:cs="Times New Roman"/>
        </w:rPr>
        <w:t xml:space="preserve"> Chicago: Ivan R. Dee, 2007</w:t>
      </w:r>
      <w:r w:rsidR="00FB70C1">
        <w:rPr>
          <w:rFonts w:ascii="Times New Roman" w:hAnsi="Times New Roman" w:cs="Times New Roman"/>
        </w:rPr>
        <w:t xml:space="preserve">; Philip </w:t>
      </w:r>
      <w:r w:rsidR="00FB70C1" w:rsidRPr="00FB70C1">
        <w:rPr>
          <w:rFonts w:ascii="Times New Roman" w:hAnsi="Times New Roman" w:cs="Times New Roman"/>
        </w:rPr>
        <w:t xml:space="preserve">Leigh, </w:t>
      </w:r>
      <w:r w:rsidR="00FB70C1" w:rsidRPr="00FB70C1">
        <w:rPr>
          <w:rFonts w:ascii="Times New Roman" w:hAnsi="Times New Roman" w:cs="Times New Roman"/>
          <w:i/>
          <w:iCs/>
        </w:rPr>
        <w:t>U.S. Grant’s Failed Presidency</w:t>
      </w:r>
      <w:r w:rsidR="00FB70C1" w:rsidRPr="00FB70C1">
        <w:rPr>
          <w:rFonts w:ascii="Times New Roman" w:hAnsi="Times New Roman" w:cs="Times New Roman"/>
        </w:rPr>
        <w:t>. Columbia, SC: Shotwell Publishing, 2019</w:t>
      </w:r>
    </w:p>
  </w:footnote>
  <w:footnote w:id="1501">
    <w:p w14:paraId="0D7CE707" w14:textId="1AFA0AE2"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Ulysses S. Grant, </w:t>
      </w:r>
      <w:r w:rsidR="000F058D">
        <w:rPr>
          <w:rFonts w:ascii="Times New Roman" w:hAnsi="Times New Roman" w:cs="Times New Roman"/>
        </w:rPr>
        <w:t>“</w:t>
      </w:r>
      <w:r w:rsidRPr="000F058D">
        <w:rPr>
          <w:rFonts w:ascii="Times New Roman" w:hAnsi="Times New Roman" w:cs="Times New Roman"/>
        </w:rPr>
        <w:t>Eighth Annual Message to Congress</w:t>
      </w:r>
      <w:r w:rsidRPr="002318C9">
        <w:rPr>
          <w:rFonts w:ascii="Times New Roman" w:hAnsi="Times New Roman" w:cs="Times New Roman"/>
        </w:rPr>
        <w:t>,</w:t>
      </w:r>
      <w:r w:rsidR="000F058D">
        <w:rPr>
          <w:rFonts w:ascii="Times New Roman" w:hAnsi="Times New Roman" w:cs="Times New Roman"/>
        </w:rPr>
        <w:t>”</w:t>
      </w:r>
      <w:r w:rsidRPr="002318C9">
        <w:rPr>
          <w:rFonts w:ascii="Times New Roman" w:hAnsi="Times New Roman" w:cs="Times New Roman"/>
        </w:rPr>
        <w:t xml:space="preserve"> December 5, 1876</w:t>
      </w:r>
    </w:p>
  </w:footnote>
  <w:footnote w:id="1502">
    <w:p w14:paraId="0BB7AADF" w14:textId="7066714F" w:rsidR="00360BFB" w:rsidRPr="005C2619" w:rsidRDefault="00360BFB" w:rsidP="005C2619">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C2619">
        <w:rPr>
          <w:rFonts w:ascii="Times New Roman" w:hAnsi="Times New Roman" w:cs="Times New Roman"/>
        </w:rPr>
        <w:t xml:space="preserve">This trip was documented in a book written by a reporter who accompanied the Grants on their journey. John Russell </w:t>
      </w:r>
      <w:r w:rsidR="005C2619" w:rsidRPr="005C2619">
        <w:rPr>
          <w:rFonts w:ascii="Times New Roman" w:hAnsi="Times New Roman" w:cs="Times New Roman"/>
        </w:rPr>
        <w:t xml:space="preserve">Young, </w:t>
      </w:r>
      <w:r w:rsidR="005C2619" w:rsidRPr="005C2619">
        <w:rPr>
          <w:rFonts w:ascii="Times New Roman" w:hAnsi="Times New Roman" w:cs="Times New Roman"/>
          <w:i/>
          <w:iCs/>
        </w:rPr>
        <w:t>Around the World with General Grant</w:t>
      </w:r>
      <w:r w:rsidR="005C2619" w:rsidRPr="005C2619">
        <w:rPr>
          <w:rFonts w:ascii="Times New Roman" w:hAnsi="Times New Roman" w:cs="Times New Roman"/>
        </w:rPr>
        <w:t>. Baltimore: Johns Hopkins University Press, 1879</w:t>
      </w:r>
      <w:r w:rsidR="005C2619">
        <w:rPr>
          <w:rFonts w:ascii="Times New Roman" w:hAnsi="Times New Roman" w:cs="Times New Roman"/>
        </w:rPr>
        <w:t>; McFeely</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005C2619">
        <w:rPr>
          <w:rFonts w:ascii="Times New Roman" w:hAnsi="Times New Roman" w:cs="Times New Roman"/>
        </w:rPr>
        <w:t xml:space="preserve"> 448-449; Ronald C. </w:t>
      </w:r>
      <w:r w:rsidR="005C2619" w:rsidRPr="005C2619">
        <w:rPr>
          <w:rFonts w:ascii="Times New Roman" w:hAnsi="Times New Roman" w:cs="Times New Roman"/>
        </w:rPr>
        <w:t xml:space="preserve">White, </w:t>
      </w:r>
      <w:r w:rsidR="005C2619" w:rsidRPr="005C2619">
        <w:rPr>
          <w:rFonts w:ascii="Times New Roman" w:hAnsi="Times New Roman" w:cs="Times New Roman"/>
          <w:i/>
          <w:iCs/>
        </w:rPr>
        <w:t>American Ulysses: A Life of Ulysses S. Grant</w:t>
      </w:r>
      <w:r w:rsidR="005C2619" w:rsidRPr="005C2619">
        <w:rPr>
          <w:rFonts w:ascii="Times New Roman" w:hAnsi="Times New Roman" w:cs="Times New Roman"/>
        </w:rPr>
        <w:t>. New York, NY: Random House, 2016</w:t>
      </w:r>
      <w:r w:rsidR="005C2619">
        <w:rPr>
          <w:rFonts w:ascii="Times New Roman" w:hAnsi="Times New Roman" w:cs="Times New Roman"/>
        </w:rPr>
        <w:t xml:space="preserve">. 587-610; Edwina S. Campbell, </w:t>
      </w:r>
      <w:r w:rsidR="005C2619">
        <w:rPr>
          <w:rFonts w:ascii="Times New Roman" w:hAnsi="Times New Roman" w:cs="Times New Roman"/>
          <w:i/>
          <w:iCs/>
        </w:rPr>
        <w:t>Citizen of a Wider Commonwealth: Ulysses S. Grant’s Postpresidential Diplomacy</w:t>
      </w:r>
      <w:r w:rsidR="005C2619">
        <w:rPr>
          <w:rFonts w:ascii="Times New Roman" w:hAnsi="Times New Roman" w:cs="Times New Roman"/>
        </w:rPr>
        <w:t xml:space="preserve">. Carbondale: Southern Illinois University Press, 2016. </w:t>
      </w:r>
    </w:p>
  </w:footnote>
  <w:footnote w:id="1503">
    <w:p w14:paraId="14E98B3B" w14:textId="3D19106F" w:rsidR="005C2619"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C2619">
        <w:rPr>
          <w:rFonts w:ascii="Times New Roman" w:hAnsi="Times New Roman" w:cs="Times New Roman"/>
        </w:rPr>
        <w:t>Ibid;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31523D">
        <w:rPr>
          <w:rFonts w:ascii="Times New Roman" w:hAnsi="Times New Roman" w:cs="Times New Roman"/>
          <w:i/>
          <w:iCs/>
        </w:rPr>
        <w:t>,</w:t>
      </w:r>
      <w:r w:rsidR="005C2619">
        <w:rPr>
          <w:rFonts w:ascii="Times New Roman" w:hAnsi="Times New Roman" w:cs="Times New Roman"/>
        </w:rPr>
        <w:t xml:space="preserve"> 870-874</w:t>
      </w:r>
    </w:p>
  </w:footnote>
  <w:footnote w:id="1504">
    <w:p w14:paraId="777AB104" w14:textId="0E3EBFF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C2619">
        <w:rPr>
          <w:rFonts w:ascii="Times New Roman" w:hAnsi="Times New Roman" w:cs="Times New Roman"/>
        </w:rPr>
        <w:t>Ibid</w:t>
      </w:r>
    </w:p>
  </w:footnote>
  <w:footnote w:id="1505">
    <w:p w14:paraId="38E5DA4B" w14:textId="796D379C"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C2619">
        <w:rPr>
          <w:rFonts w:ascii="Times New Roman" w:hAnsi="Times New Roman" w:cs="Times New Roman"/>
        </w:rPr>
        <w:t>Ibid</w:t>
      </w:r>
    </w:p>
  </w:footnote>
  <w:footnote w:id="1506">
    <w:p w14:paraId="64F44231" w14:textId="4DB5043E"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Pr="002318C9">
        <w:rPr>
          <w:rFonts w:ascii="Times New Roman" w:hAnsi="Times New Roman" w:cs="Times New Roman"/>
        </w:rPr>
        <w:t xml:space="preserve"> 571-574</w:t>
      </w:r>
    </w:p>
  </w:footnote>
  <w:footnote w:id="1507">
    <w:p w14:paraId="099C2E91" w14:textId="49680E02" w:rsidR="00360BFB" w:rsidRPr="005C607D" w:rsidRDefault="00360BFB" w:rsidP="005C607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Pr="002318C9">
        <w:rPr>
          <w:rFonts w:ascii="Times New Roman" w:hAnsi="Times New Roman" w:cs="Times New Roman"/>
        </w:rPr>
        <w:t xml:space="preserve"> 572-579</w:t>
      </w:r>
      <w:r w:rsidR="00ED1331">
        <w:rPr>
          <w:rFonts w:ascii="Times New Roman" w:hAnsi="Times New Roman" w:cs="Times New Roman"/>
        </w:rPr>
        <w:t xml:space="preserve">; </w:t>
      </w:r>
      <w:r w:rsidR="005C607D">
        <w:rPr>
          <w:rFonts w:ascii="Times New Roman" w:hAnsi="Times New Roman" w:cs="Times New Roman"/>
        </w:rPr>
        <w:t xml:space="preserve">William B. </w:t>
      </w:r>
      <w:r w:rsidR="005C607D" w:rsidRPr="005C607D">
        <w:rPr>
          <w:rFonts w:ascii="Times New Roman" w:hAnsi="Times New Roman" w:cs="Times New Roman"/>
        </w:rPr>
        <w:t xml:space="preserve">Hesseltine, </w:t>
      </w:r>
      <w:r w:rsidR="005C607D" w:rsidRPr="005C607D">
        <w:rPr>
          <w:rFonts w:ascii="Times New Roman" w:hAnsi="Times New Roman" w:cs="Times New Roman"/>
          <w:i/>
        </w:rPr>
        <w:t>Ulysses S. Grant: Politician</w:t>
      </w:r>
      <w:r w:rsidR="005C607D" w:rsidRPr="005C607D">
        <w:rPr>
          <w:rFonts w:ascii="Times New Roman" w:hAnsi="Times New Roman" w:cs="Times New Roman"/>
        </w:rPr>
        <w:t>. New York: Dodd, Mead and Co., 1935.</w:t>
      </w:r>
      <w:r w:rsidR="005C607D">
        <w:rPr>
          <w:rFonts w:ascii="Times New Roman" w:hAnsi="Times New Roman" w:cs="Times New Roman"/>
        </w:rPr>
        <w:t xml:space="preserve"> </w:t>
      </w:r>
      <w:r w:rsidR="00ED1331" w:rsidRPr="005C607D">
        <w:rPr>
          <w:rFonts w:ascii="Times New Roman" w:hAnsi="Times New Roman" w:cs="Times New Roman"/>
        </w:rPr>
        <w:t>432-439</w:t>
      </w:r>
    </w:p>
  </w:footnote>
  <w:footnote w:id="1508">
    <w:p w14:paraId="47B31F35" w14:textId="3B93DAF3" w:rsidR="00360BFB" w:rsidRPr="005C607D" w:rsidRDefault="00360BFB" w:rsidP="005C607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C607D">
        <w:rPr>
          <w:rFonts w:ascii="Times New Roman" w:hAnsi="Times New Roman" w:cs="Times New Roman"/>
        </w:rPr>
        <w:t xml:space="preserve">Henry W. </w:t>
      </w:r>
      <w:r w:rsidR="005C607D" w:rsidRPr="005C607D">
        <w:rPr>
          <w:rFonts w:ascii="Times New Roman" w:hAnsi="Times New Roman" w:cs="Times New Roman"/>
        </w:rPr>
        <w:t xml:space="preserve">Brands, </w:t>
      </w:r>
      <w:r w:rsidR="005C607D" w:rsidRPr="005C607D">
        <w:rPr>
          <w:rFonts w:ascii="Times New Roman" w:hAnsi="Times New Roman" w:cs="Times New Roman"/>
          <w:i/>
          <w:iCs/>
        </w:rPr>
        <w:t>The Man Who Saved The Union: Ulysses Grant in War and Peace</w:t>
      </w:r>
      <w:r w:rsidR="005C607D" w:rsidRPr="005C607D">
        <w:rPr>
          <w:rFonts w:ascii="Times New Roman" w:hAnsi="Times New Roman" w:cs="Times New Roman"/>
        </w:rPr>
        <w:t>. New York, NY: Random House, 2012.</w:t>
      </w:r>
      <w:r w:rsidR="005C607D">
        <w:rPr>
          <w:rFonts w:ascii="Times New Roman" w:hAnsi="Times New Roman" w:cs="Times New Roman"/>
        </w:rPr>
        <w:t xml:space="preserve"> 600-603.</w:t>
      </w:r>
    </w:p>
  </w:footnote>
  <w:footnote w:id="1509">
    <w:p w14:paraId="3DC10660" w14:textId="310A09E1"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Pr="002318C9">
        <w:rPr>
          <w:rFonts w:ascii="Times New Roman" w:hAnsi="Times New Roman" w:cs="Times New Roman"/>
        </w:rPr>
        <w:t xml:space="preserve"> 570-579</w:t>
      </w:r>
    </w:p>
  </w:footnote>
  <w:footnote w:id="1510">
    <w:p w14:paraId="311E6DB6"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Puck Magazine</w:t>
      </w:r>
      <w:r w:rsidRPr="002318C9">
        <w:rPr>
          <w:rFonts w:ascii="Times New Roman" w:hAnsi="Times New Roman" w:cs="Times New Roman"/>
        </w:rPr>
        <w:t>, February 4, 1880</w:t>
      </w:r>
    </w:p>
  </w:footnote>
  <w:footnote w:id="1511">
    <w:p w14:paraId="7763BAFA" w14:textId="71A3D9F5"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Pr="002318C9">
        <w:rPr>
          <w:rFonts w:ascii="Times New Roman" w:hAnsi="Times New Roman" w:cs="Times New Roman"/>
        </w:rPr>
        <w:t xml:space="preserve"> 575-579</w:t>
      </w:r>
    </w:p>
  </w:footnote>
  <w:footnote w:id="1512">
    <w:p w14:paraId="4808FD2F" w14:textId="3AA2AA0B"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Pr="002318C9">
        <w:rPr>
          <w:rFonts w:ascii="Times New Roman" w:hAnsi="Times New Roman" w:cs="Times New Roman"/>
        </w:rPr>
        <w:t xml:space="preserve"> 578; Orville Babcock to Adam Badeau, June 27, 1880</w:t>
      </w:r>
      <w:r w:rsidR="00ED1331">
        <w:rPr>
          <w:rFonts w:ascii="Times New Roman" w:hAnsi="Times New Roman" w:cs="Times New Roman"/>
        </w:rPr>
        <w:t>, Adam Badeau Papers, Library of Congress</w:t>
      </w:r>
    </w:p>
  </w:footnote>
  <w:footnote w:id="1513">
    <w:p w14:paraId="1BE5D15D" w14:textId="256B702E" w:rsidR="00360BFB" w:rsidRPr="003C7BD0"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Baier, </w:t>
      </w:r>
      <w:r w:rsidRPr="002318C9">
        <w:rPr>
          <w:rFonts w:ascii="Times New Roman" w:hAnsi="Times New Roman" w:cs="Times New Roman"/>
          <w:i/>
          <w:iCs/>
        </w:rPr>
        <w:t>To Rescue the Republic</w:t>
      </w:r>
      <w:r w:rsidR="005459DD">
        <w:rPr>
          <w:rFonts w:ascii="Times New Roman" w:hAnsi="Times New Roman" w:cs="Times New Roman"/>
        </w:rPr>
        <w:t xml:space="preserve">; </w:t>
      </w:r>
      <w:r w:rsidR="003C7BD0">
        <w:rPr>
          <w:rFonts w:ascii="Times New Roman" w:hAnsi="Times New Roman" w:cs="Times New Roman"/>
        </w:rPr>
        <w:t xml:space="preserve">James Garfield, </w:t>
      </w:r>
      <w:r w:rsidR="000F058D">
        <w:rPr>
          <w:rFonts w:ascii="Times New Roman" w:hAnsi="Times New Roman" w:cs="Times New Roman"/>
        </w:rPr>
        <w:t>“</w:t>
      </w:r>
      <w:r w:rsidR="003C7BD0" w:rsidRPr="000F058D">
        <w:rPr>
          <w:rFonts w:ascii="Times New Roman" w:hAnsi="Times New Roman" w:cs="Times New Roman"/>
        </w:rPr>
        <w:t>Inaugural Address</w:t>
      </w:r>
      <w:r w:rsidR="003C7BD0">
        <w:rPr>
          <w:rFonts w:ascii="Times New Roman" w:hAnsi="Times New Roman" w:cs="Times New Roman"/>
        </w:rPr>
        <w:t>,</w:t>
      </w:r>
      <w:r w:rsidR="000F058D">
        <w:rPr>
          <w:rFonts w:ascii="Times New Roman" w:hAnsi="Times New Roman" w:cs="Times New Roman"/>
        </w:rPr>
        <w:t>”</w:t>
      </w:r>
      <w:r w:rsidR="003C7BD0">
        <w:rPr>
          <w:rFonts w:ascii="Times New Roman" w:hAnsi="Times New Roman" w:cs="Times New Roman"/>
        </w:rPr>
        <w:t xml:space="preserve"> March 4, 1881</w:t>
      </w:r>
    </w:p>
  </w:footnote>
  <w:footnote w:id="1514">
    <w:p w14:paraId="43D43185" w14:textId="77777777" w:rsidR="0018431A" w:rsidRDefault="0018431A" w:rsidP="0018431A">
      <w:pPr>
        <w:pStyle w:val="FootnoteText"/>
      </w:pPr>
      <w:r>
        <w:rPr>
          <w:rStyle w:val="FootnoteReference"/>
        </w:rPr>
        <w:footnoteRef/>
      </w:r>
      <w:r>
        <w:t xml:space="preserve"> </w:t>
      </w:r>
      <w:r w:rsidRPr="009C50F8">
        <w:rPr>
          <w:rFonts w:ascii="Times New Roman" w:hAnsi="Times New Roman" w:cs="Times New Roman"/>
        </w:rPr>
        <w:t>Calhoun</w:t>
      </w:r>
      <w:r>
        <w:rPr>
          <w:rFonts w:ascii="Times New Roman" w:hAnsi="Times New Roman" w:cs="Times New Roman"/>
        </w:rPr>
        <w:t xml:space="preserve">, </w:t>
      </w:r>
      <w:r w:rsidRPr="002318C9">
        <w:rPr>
          <w:rFonts w:ascii="Times New Roman" w:hAnsi="Times New Roman" w:cs="Times New Roman"/>
          <w:i/>
          <w:iCs/>
        </w:rPr>
        <w:t>The Presidency of Ulysses S. Grant</w:t>
      </w:r>
      <w:r>
        <w:rPr>
          <w:rFonts w:ascii="Times New Roman" w:hAnsi="Times New Roman" w:cs="Times New Roman"/>
          <w:i/>
          <w:iCs/>
        </w:rPr>
        <w:t>,</w:t>
      </w:r>
      <w:r w:rsidRPr="009C50F8">
        <w:rPr>
          <w:rFonts w:ascii="Times New Roman" w:hAnsi="Times New Roman" w:cs="Times New Roman"/>
        </w:rPr>
        <w:t xml:space="preserve"> 560</w:t>
      </w:r>
      <w:r>
        <w:t xml:space="preserve"> </w:t>
      </w:r>
    </w:p>
  </w:footnote>
  <w:footnote w:id="1515">
    <w:p w14:paraId="581B9C48" w14:textId="77777777" w:rsidR="000F058D" w:rsidRPr="002318C9" w:rsidRDefault="000F058D" w:rsidP="000F058D">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Puck Magazine</w:t>
      </w:r>
      <w:r w:rsidRPr="002318C9">
        <w:rPr>
          <w:rFonts w:ascii="Times New Roman" w:hAnsi="Times New Roman" w:cs="Times New Roman"/>
        </w:rPr>
        <w:t>, February 4, 1880</w:t>
      </w:r>
    </w:p>
  </w:footnote>
  <w:footnote w:id="1516">
    <w:p w14:paraId="6A860292"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“Fifth L.H. District (Lighthouses of the Atlantic from Delaware Bay to Cape Lookout (larger size)) - Antique Map, 1904.” Accessed March 15, 2023.</w:t>
      </w:r>
    </w:p>
  </w:footnote>
  <w:footnote w:id="1517">
    <w:p w14:paraId="321D7A80"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 xml:space="preserve">Annual Report of the Light-House Board of the United States to the Secretary of Treasury for the Fiscal Year Ended June 30, 1898. </w:t>
      </w:r>
      <w:r w:rsidRPr="002318C9">
        <w:rPr>
          <w:rFonts w:ascii="Times New Roman" w:hAnsi="Times New Roman" w:cs="Times New Roman"/>
        </w:rPr>
        <w:t>Washington D.C.: Government Printing Office, 1898.</w:t>
      </w:r>
    </w:p>
  </w:footnote>
  <w:footnote w:id="1518">
    <w:p w14:paraId="2FF143B6"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Lionel Pincus and Princess Firyal Map Division, The New York Public Library. "Sixth l. h. district" New York Public Library Digital Collections. Accessed March 15, 2023; </w:t>
      </w:r>
      <w:r w:rsidRPr="002318C9">
        <w:rPr>
          <w:rFonts w:ascii="Times New Roman" w:hAnsi="Times New Roman" w:cs="Times New Roman"/>
          <w:i/>
          <w:iCs/>
        </w:rPr>
        <w:t>Annual Report of the Light-House Board 1898</w:t>
      </w:r>
    </w:p>
  </w:footnote>
  <w:footnote w:id="1519">
    <w:p w14:paraId="55BF7455" w14:textId="1B753881"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23ECC">
        <w:rPr>
          <w:rFonts w:ascii="Times New Roman" w:hAnsi="Times New Roman" w:cs="Times New Roman"/>
        </w:rPr>
        <w:t>This is based on the papers that have been preserved by such institutions as the Newberry Library, which houses the Orville Babcock Papers, the Ulysses S. Grant Presidential Library, which houses many works written by and to Babcock, and the Library of Congress.</w:t>
      </w:r>
    </w:p>
  </w:footnote>
  <w:footnote w:id="1520">
    <w:p w14:paraId="2CDECB34"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93" w:name="_Hlk131254158"/>
      <w:r w:rsidRPr="002318C9">
        <w:rPr>
          <w:rFonts w:ascii="Times New Roman" w:hAnsi="Times New Roman" w:cs="Times New Roman"/>
        </w:rPr>
        <w:t xml:space="preserve">B.B. Smith, </w:t>
      </w:r>
      <w:r w:rsidRPr="002318C9">
        <w:rPr>
          <w:rFonts w:ascii="Times New Roman" w:hAnsi="Times New Roman" w:cs="Times New Roman"/>
          <w:i/>
          <w:iCs/>
        </w:rPr>
        <w:t xml:space="preserve">Account of Orville E. Babcock’s Death </w:t>
      </w:r>
      <w:bookmarkEnd w:id="93"/>
      <w:r w:rsidRPr="002318C9">
        <w:rPr>
          <w:rFonts w:ascii="Times New Roman" w:hAnsi="Times New Roman" w:cs="Times New Roman"/>
          <w:i/>
          <w:iCs/>
        </w:rPr>
        <w:t>by B.B. Smith</w:t>
      </w:r>
      <w:r w:rsidRPr="002318C9">
        <w:rPr>
          <w:rFonts w:ascii="Times New Roman" w:hAnsi="Times New Roman" w:cs="Times New Roman"/>
        </w:rPr>
        <w:t>, June 7, 1884; “Ponce Inlet Lighthouse and Museum,” www.ponceinlet.org; This lighthouse is now referred to as the Ponce de Leon Inlet Light.</w:t>
      </w:r>
    </w:p>
  </w:footnote>
  <w:footnote w:id="1521">
    <w:p w14:paraId="7A265A10"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B.B. Smith, </w:t>
      </w:r>
      <w:r w:rsidRPr="002318C9">
        <w:rPr>
          <w:rFonts w:ascii="Times New Roman" w:hAnsi="Times New Roman" w:cs="Times New Roman"/>
          <w:i/>
          <w:iCs/>
        </w:rPr>
        <w:t>Account of Orville E. Babcock’s Death</w:t>
      </w:r>
    </w:p>
  </w:footnote>
  <w:footnote w:id="1522">
    <w:p w14:paraId="2C59FF4A"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B.B. Smith, </w:t>
      </w:r>
      <w:r w:rsidRPr="002318C9">
        <w:rPr>
          <w:rFonts w:ascii="Times New Roman" w:hAnsi="Times New Roman" w:cs="Times New Roman"/>
          <w:i/>
          <w:iCs/>
        </w:rPr>
        <w:t>Account of Orville E. Babcock’s Death</w:t>
      </w:r>
    </w:p>
  </w:footnote>
  <w:footnote w:id="1523">
    <w:p w14:paraId="13A38DE1"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B.B. Smith, </w:t>
      </w:r>
      <w:r w:rsidRPr="002318C9">
        <w:rPr>
          <w:rFonts w:ascii="Times New Roman" w:hAnsi="Times New Roman" w:cs="Times New Roman"/>
          <w:i/>
          <w:iCs/>
        </w:rPr>
        <w:t>Account of Orville E. Babcock’s Death</w:t>
      </w:r>
    </w:p>
  </w:footnote>
  <w:footnote w:id="1524">
    <w:p w14:paraId="0486BBF8"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B.B. Smith, </w:t>
      </w:r>
      <w:r w:rsidRPr="002318C9">
        <w:rPr>
          <w:rFonts w:ascii="Times New Roman" w:hAnsi="Times New Roman" w:cs="Times New Roman"/>
          <w:i/>
          <w:iCs/>
        </w:rPr>
        <w:t>Account of Orville E. Babcock’s Death</w:t>
      </w:r>
    </w:p>
  </w:footnote>
  <w:footnote w:id="1525">
    <w:p w14:paraId="3FE5DAA8"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B.B. Smith, </w:t>
      </w:r>
      <w:r w:rsidRPr="002318C9">
        <w:rPr>
          <w:rFonts w:ascii="Times New Roman" w:hAnsi="Times New Roman" w:cs="Times New Roman"/>
          <w:i/>
          <w:iCs/>
        </w:rPr>
        <w:t>Account of Orville E. Babcock’s Death</w:t>
      </w:r>
      <w:r w:rsidRPr="002318C9">
        <w:rPr>
          <w:rFonts w:ascii="Times New Roman" w:hAnsi="Times New Roman" w:cs="Times New Roman"/>
        </w:rPr>
        <w:t xml:space="preserve">; </w:t>
      </w:r>
      <w:r w:rsidRPr="002318C9">
        <w:rPr>
          <w:rFonts w:ascii="Times New Roman" w:hAnsi="Times New Roman" w:cs="Times New Roman"/>
          <w:i/>
          <w:iCs/>
        </w:rPr>
        <w:t>Savannah Morning News</w:t>
      </w:r>
      <w:r w:rsidRPr="002318C9">
        <w:rPr>
          <w:rFonts w:ascii="Times New Roman" w:hAnsi="Times New Roman" w:cs="Times New Roman"/>
        </w:rPr>
        <w:t>, Savannah, Georgia, June 06, 1884</w:t>
      </w:r>
    </w:p>
  </w:footnote>
  <w:footnote w:id="1526">
    <w:p w14:paraId="70023665"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B.B. Smith, </w:t>
      </w:r>
      <w:r w:rsidRPr="002318C9">
        <w:rPr>
          <w:rFonts w:ascii="Times New Roman" w:hAnsi="Times New Roman" w:cs="Times New Roman"/>
          <w:i/>
          <w:iCs/>
        </w:rPr>
        <w:t>Account of Orville E. Babcock’s Death</w:t>
      </w:r>
      <w:r w:rsidRPr="002318C9">
        <w:rPr>
          <w:rFonts w:ascii="Times New Roman" w:hAnsi="Times New Roman" w:cs="Times New Roman"/>
        </w:rPr>
        <w:t xml:space="preserve">; </w:t>
      </w:r>
      <w:r w:rsidRPr="002318C9">
        <w:rPr>
          <w:rFonts w:ascii="Times New Roman" w:hAnsi="Times New Roman" w:cs="Times New Roman"/>
          <w:i/>
          <w:iCs/>
        </w:rPr>
        <w:t>Boston Daily Advertiser</w:t>
      </w:r>
      <w:r w:rsidRPr="002318C9">
        <w:rPr>
          <w:rFonts w:ascii="Times New Roman" w:hAnsi="Times New Roman" w:cs="Times New Roman"/>
        </w:rPr>
        <w:t xml:space="preserve">, June 4, 1884; “The Mosquito Inlet Disaster,” </w:t>
      </w:r>
      <w:r w:rsidRPr="002318C9">
        <w:rPr>
          <w:rFonts w:ascii="Times New Roman" w:hAnsi="Times New Roman" w:cs="Times New Roman"/>
          <w:i/>
          <w:iCs/>
        </w:rPr>
        <w:t>Washington Evening Star</w:t>
      </w:r>
      <w:r w:rsidRPr="002318C9">
        <w:rPr>
          <w:rFonts w:ascii="Times New Roman" w:hAnsi="Times New Roman" w:cs="Times New Roman"/>
        </w:rPr>
        <w:t>, June 27, 1884; “Ponce Inlet Lighthouse and Museum”</w:t>
      </w:r>
    </w:p>
  </w:footnote>
  <w:footnote w:id="1527">
    <w:p w14:paraId="1FEDB8F4"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94" w:name="_Hlk131254865"/>
      <w:r w:rsidRPr="002318C9">
        <w:rPr>
          <w:rFonts w:ascii="Times New Roman" w:hAnsi="Times New Roman" w:cs="Times New Roman"/>
          <w:i/>
          <w:iCs/>
        </w:rPr>
        <w:t>Savannah Morning News</w:t>
      </w:r>
      <w:r w:rsidRPr="002318C9">
        <w:rPr>
          <w:rFonts w:ascii="Times New Roman" w:hAnsi="Times New Roman" w:cs="Times New Roman"/>
        </w:rPr>
        <w:t>, Savannah, Georgia, June 06, 1884</w:t>
      </w:r>
      <w:bookmarkEnd w:id="94"/>
      <w:r w:rsidRPr="002318C9">
        <w:rPr>
          <w:rFonts w:ascii="Times New Roman" w:hAnsi="Times New Roman" w:cs="Times New Roman"/>
        </w:rPr>
        <w:t xml:space="preserve">; </w:t>
      </w:r>
      <w:r w:rsidRPr="002318C9">
        <w:rPr>
          <w:rFonts w:ascii="Times New Roman" w:hAnsi="Times New Roman" w:cs="Times New Roman"/>
          <w:i/>
          <w:iCs/>
        </w:rPr>
        <w:t>Milwaukee Daily Sentinel</w:t>
      </w:r>
      <w:r w:rsidRPr="002318C9">
        <w:rPr>
          <w:rFonts w:ascii="Times New Roman" w:hAnsi="Times New Roman" w:cs="Times New Roman"/>
        </w:rPr>
        <w:t xml:space="preserve">, June 4, 1884; </w:t>
      </w:r>
      <w:r w:rsidRPr="002318C9">
        <w:rPr>
          <w:rFonts w:ascii="Times New Roman" w:hAnsi="Times New Roman" w:cs="Times New Roman"/>
          <w:i/>
          <w:iCs/>
        </w:rPr>
        <w:t>Atchison Globe</w:t>
      </w:r>
      <w:r w:rsidRPr="002318C9">
        <w:rPr>
          <w:rFonts w:ascii="Times New Roman" w:hAnsi="Times New Roman" w:cs="Times New Roman"/>
        </w:rPr>
        <w:t xml:space="preserve">, Atchison, KS, June 5, 1884; </w:t>
      </w:r>
      <w:r w:rsidRPr="002318C9">
        <w:rPr>
          <w:rFonts w:ascii="Times New Roman" w:hAnsi="Times New Roman" w:cs="Times New Roman"/>
          <w:i/>
          <w:iCs/>
        </w:rPr>
        <w:t>Rocky Mountain News</w:t>
      </w:r>
      <w:r w:rsidRPr="002318C9">
        <w:rPr>
          <w:rFonts w:ascii="Times New Roman" w:hAnsi="Times New Roman" w:cs="Times New Roman"/>
        </w:rPr>
        <w:t>, Denver, CO, June 4, 1884</w:t>
      </w:r>
    </w:p>
  </w:footnote>
  <w:footnote w:id="1528">
    <w:p w14:paraId="7DDD30A5"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Boston Daily Advertiser</w:t>
      </w:r>
      <w:r w:rsidRPr="002318C9">
        <w:rPr>
          <w:rFonts w:ascii="Times New Roman" w:hAnsi="Times New Roman" w:cs="Times New Roman"/>
        </w:rPr>
        <w:t xml:space="preserve">, June 4, 1884; </w:t>
      </w:r>
      <w:r w:rsidRPr="002318C9">
        <w:rPr>
          <w:rFonts w:ascii="Times New Roman" w:hAnsi="Times New Roman" w:cs="Times New Roman"/>
          <w:i/>
          <w:iCs/>
        </w:rPr>
        <w:t>Cleveland Daily Herald</w:t>
      </w:r>
      <w:r w:rsidRPr="002318C9">
        <w:rPr>
          <w:rFonts w:ascii="Times New Roman" w:hAnsi="Times New Roman" w:cs="Times New Roman"/>
        </w:rPr>
        <w:t>, June 4, 1884</w:t>
      </w:r>
    </w:p>
  </w:footnote>
  <w:footnote w:id="1529">
    <w:p w14:paraId="29A01923"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Milwaukee Journal</w:t>
      </w:r>
      <w:r w:rsidRPr="002318C9">
        <w:rPr>
          <w:rFonts w:ascii="Times New Roman" w:hAnsi="Times New Roman" w:cs="Times New Roman"/>
        </w:rPr>
        <w:t>, June 4, 1884</w:t>
      </w:r>
    </w:p>
  </w:footnote>
  <w:footnote w:id="1530">
    <w:p w14:paraId="7DF11C77"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Rev. T. S. Wynkoop, </w:t>
      </w:r>
      <w:r w:rsidRPr="002318C9">
        <w:rPr>
          <w:rFonts w:ascii="Times New Roman" w:hAnsi="Times New Roman" w:cs="Times New Roman"/>
          <w:i/>
          <w:iCs/>
        </w:rPr>
        <w:t>Address at the Funeral of the Late Orville E. Babcock,</w:t>
      </w:r>
      <w:r w:rsidRPr="002318C9">
        <w:rPr>
          <w:rFonts w:ascii="Times New Roman" w:hAnsi="Times New Roman" w:cs="Times New Roman"/>
        </w:rPr>
        <w:t xml:space="preserve"> June 7, 1884</w:t>
      </w:r>
    </w:p>
  </w:footnote>
  <w:footnote w:id="1531">
    <w:p w14:paraId="25DE0FBF" w14:textId="631C14E3"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Chernow, </w:t>
      </w:r>
      <w:r w:rsidRPr="002318C9">
        <w:rPr>
          <w:rFonts w:ascii="Times New Roman" w:hAnsi="Times New Roman" w:cs="Times New Roman"/>
          <w:i/>
          <w:iCs/>
        </w:rPr>
        <w:t>Grant</w:t>
      </w:r>
      <w:r w:rsidRPr="002318C9">
        <w:rPr>
          <w:rFonts w:ascii="Times New Roman" w:hAnsi="Times New Roman" w:cs="Times New Roman"/>
        </w:rPr>
        <w:t xml:space="preserve">, 908-927; Jean Edward Smith, </w:t>
      </w:r>
      <w:r w:rsidRPr="002318C9">
        <w:rPr>
          <w:rFonts w:ascii="Times New Roman" w:hAnsi="Times New Roman" w:cs="Times New Roman"/>
          <w:i/>
          <w:iCs/>
        </w:rPr>
        <w:t>Grant</w:t>
      </w:r>
      <w:r w:rsidRPr="002318C9">
        <w:rPr>
          <w:rFonts w:ascii="Times New Roman" w:hAnsi="Times New Roman" w:cs="Times New Roman"/>
        </w:rPr>
        <w:t>, 573-627</w:t>
      </w:r>
    </w:p>
  </w:footnote>
  <w:footnote w:id="1532">
    <w:p w14:paraId="530ED872" w14:textId="7499BECC" w:rsidR="00360BFB" w:rsidRPr="00251A11" w:rsidRDefault="00360BFB" w:rsidP="00251A1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51A11">
        <w:rPr>
          <w:rFonts w:ascii="Times New Roman" w:hAnsi="Times New Roman" w:cs="Times New Roman"/>
        </w:rPr>
        <w:t xml:space="preserve">Ulysses S. </w:t>
      </w:r>
      <w:r w:rsidR="00251A11" w:rsidRPr="00251A11">
        <w:rPr>
          <w:rFonts w:ascii="Times New Roman" w:hAnsi="Times New Roman" w:cs="Times New Roman"/>
        </w:rPr>
        <w:t xml:space="preserve">Grant. and John F. Marszalek, ed. with David S. Nolan and Louie P. Gallo. </w:t>
      </w:r>
      <w:r w:rsidR="00251A11" w:rsidRPr="00251A11">
        <w:rPr>
          <w:rFonts w:ascii="Times New Roman" w:hAnsi="Times New Roman" w:cs="Times New Roman"/>
          <w:i/>
          <w:iCs/>
        </w:rPr>
        <w:t>The Personal Memoirs of Ulysses S. Grant</w:t>
      </w:r>
      <w:r w:rsidR="00251A11" w:rsidRPr="00251A11">
        <w:rPr>
          <w:rFonts w:ascii="Times New Roman" w:hAnsi="Times New Roman" w:cs="Times New Roman"/>
        </w:rPr>
        <w:t>. The Complete Annotated Edition. Cambridge, MA: Belknap Press, 2017.</w:t>
      </w:r>
    </w:p>
  </w:footnote>
  <w:footnote w:id="1533">
    <w:p w14:paraId="7B9260E2"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Pr="002318C9">
        <w:rPr>
          <w:rFonts w:ascii="Times New Roman" w:hAnsi="Times New Roman" w:cs="Times New Roman"/>
          <w:i/>
          <w:iCs/>
        </w:rPr>
        <w:t>Fayetteville Observer</w:t>
      </w:r>
      <w:r w:rsidRPr="002318C9">
        <w:rPr>
          <w:rFonts w:ascii="Times New Roman" w:hAnsi="Times New Roman" w:cs="Times New Roman"/>
        </w:rPr>
        <w:t xml:space="preserve"> (NC), June 12, 1884; </w:t>
      </w:r>
      <w:bookmarkStart w:id="95" w:name="_Hlk130739414"/>
      <w:r w:rsidRPr="002318C9">
        <w:rPr>
          <w:rFonts w:ascii="Times New Roman" w:hAnsi="Times New Roman" w:cs="Times New Roman"/>
        </w:rPr>
        <w:t xml:space="preserve">Rev. T. S. Wynkoop, </w:t>
      </w:r>
      <w:r w:rsidRPr="002318C9">
        <w:rPr>
          <w:rFonts w:ascii="Times New Roman" w:hAnsi="Times New Roman" w:cs="Times New Roman"/>
          <w:i/>
          <w:iCs/>
        </w:rPr>
        <w:t>Address at the Funeral of the Late Orville E. Babcock,</w:t>
      </w:r>
      <w:r w:rsidRPr="002318C9">
        <w:rPr>
          <w:rFonts w:ascii="Times New Roman" w:hAnsi="Times New Roman" w:cs="Times New Roman"/>
        </w:rPr>
        <w:t xml:space="preserve"> June 7, 1884</w:t>
      </w:r>
      <w:bookmarkEnd w:id="95"/>
    </w:p>
  </w:footnote>
  <w:footnote w:id="1534">
    <w:p w14:paraId="399BA547" w14:textId="49398C2C"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In a few newspaper stories at the time, the other parties lost to the sea this day were noted, but no blame was assigned other than to the sea. These articles include: </w:t>
      </w:r>
      <w:r w:rsidRPr="002318C9">
        <w:rPr>
          <w:rFonts w:ascii="Times New Roman" w:hAnsi="Times New Roman" w:cs="Times New Roman"/>
          <w:i/>
          <w:iCs/>
        </w:rPr>
        <w:t>North American</w:t>
      </w:r>
      <w:r w:rsidRPr="002318C9">
        <w:rPr>
          <w:rFonts w:ascii="Times New Roman" w:hAnsi="Times New Roman" w:cs="Times New Roman"/>
        </w:rPr>
        <w:t xml:space="preserve">, Philadelphia, PA, June 4, 1884; </w:t>
      </w:r>
      <w:r w:rsidRPr="002318C9">
        <w:rPr>
          <w:rFonts w:ascii="Times New Roman" w:hAnsi="Times New Roman" w:cs="Times New Roman"/>
          <w:i/>
          <w:iCs/>
        </w:rPr>
        <w:t>Daily Evening Bulletin</w:t>
      </w:r>
      <w:r w:rsidRPr="002318C9">
        <w:rPr>
          <w:rFonts w:ascii="Times New Roman" w:hAnsi="Times New Roman" w:cs="Times New Roman"/>
        </w:rPr>
        <w:t>, San Francisco, CA, June 13, 1884</w:t>
      </w:r>
      <w:r w:rsidR="00251A11">
        <w:rPr>
          <w:rFonts w:ascii="Times New Roman" w:hAnsi="Times New Roman" w:cs="Times New Roman"/>
        </w:rPr>
        <w:t>.</w:t>
      </w:r>
    </w:p>
  </w:footnote>
  <w:footnote w:id="1535">
    <w:p w14:paraId="2EF34682" w14:textId="78CD872F"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665A4">
        <w:rPr>
          <w:rFonts w:ascii="Times New Roman" w:hAnsi="Times New Roman" w:cs="Times New Roman"/>
        </w:rPr>
        <w:t>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0A495E">
        <w:rPr>
          <w:rFonts w:ascii="Times New Roman" w:hAnsi="Times New Roman" w:cs="Times New Roman"/>
          <w:i/>
          <w:iCs/>
        </w:rPr>
        <w:t>,</w:t>
      </w:r>
      <w:r w:rsidR="001665A4">
        <w:rPr>
          <w:rFonts w:ascii="Times New Roman" w:hAnsi="Times New Roman" w:cs="Times New Roman"/>
        </w:rPr>
        <w:t xml:space="preserve"> 565-593</w:t>
      </w:r>
    </w:p>
  </w:footnote>
  <w:footnote w:id="1536">
    <w:p w14:paraId="45E4A94A" w14:textId="7A08D2D6" w:rsidR="00360BFB" w:rsidRPr="00397065" w:rsidRDefault="00360BFB" w:rsidP="0039706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665A4">
        <w:rPr>
          <w:rFonts w:ascii="Times New Roman" w:hAnsi="Times New Roman" w:cs="Times New Roman"/>
        </w:rPr>
        <w:t xml:space="preserve">For research by the Dunnings, consider: </w:t>
      </w:r>
      <w:r w:rsidR="00FB3392" w:rsidRPr="00FB3392">
        <w:rPr>
          <w:rFonts w:ascii="Times New Roman" w:hAnsi="Times New Roman" w:cs="Times New Roman"/>
        </w:rPr>
        <w:t>William Archibald</w:t>
      </w:r>
      <w:r w:rsidR="00FB3392">
        <w:rPr>
          <w:rFonts w:ascii="Times New Roman" w:hAnsi="Times New Roman" w:cs="Times New Roman"/>
        </w:rPr>
        <w:t xml:space="preserve"> Dunning,</w:t>
      </w:r>
      <w:r w:rsidR="00FB3392" w:rsidRPr="00FB3392">
        <w:rPr>
          <w:rFonts w:ascii="Times New Roman" w:hAnsi="Times New Roman" w:cs="Times New Roman"/>
        </w:rPr>
        <w:t xml:space="preserve"> </w:t>
      </w:r>
      <w:r w:rsidR="00FB3392" w:rsidRPr="00FB3392">
        <w:rPr>
          <w:rFonts w:ascii="Times New Roman" w:hAnsi="Times New Roman" w:cs="Times New Roman"/>
          <w:i/>
          <w:iCs/>
        </w:rPr>
        <w:t>Reconstruction: Political &amp; Economic, 1865–1877.</w:t>
      </w:r>
      <w:r w:rsidR="00FB3392" w:rsidRPr="00FB3392">
        <w:rPr>
          <w:rFonts w:ascii="Times New Roman" w:hAnsi="Times New Roman" w:cs="Times New Roman"/>
        </w:rPr>
        <w:t xml:space="preserve"> New York: Harper and Brothers, 1907</w:t>
      </w:r>
      <w:r w:rsidR="001665A4" w:rsidRPr="00FB3392">
        <w:rPr>
          <w:rFonts w:ascii="Times New Roman" w:hAnsi="Times New Roman" w:cs="Times New Roman"/>
        </w:rPr>
        <w:t xml:space="preserve">; </w:t>
      </w:r>
      <w:r w:rsidR="00807A6C">
        <w:rPr>
          <w:rFonts w:ascii="Times New Roman" w:hAnsi="Times New Roman" w:cs="Times New Roman"/>
        </w:rPr>
        <w:t xml:space="preserve">Claude G. </w:t>
      </w:r>
      <w:r w:rsidR="00807A6C" w:rsidRPr="00807A6C">
        <w:rPr>
          <w:rFonts w:ascii="Times New Roman" w:hAnsi="Times New Roman" w:cs="Times New Roman"/>
        </w:rPr>
        <w:t xml:space="preserve">Bowers, </w:t>
      </w:r>
      <w:r w:rsidR="00807A6C" w:rsidRPr="00807A6C">
        <w:rPr>
          <w:rFonts w:ascii="Times New Roman" w:hAnsi="Times New Roman" w:cs="Times New Roman"/>
          <w:i/>
          <w:iCs/>
        </w:rPr>
        <w:t>The Tragic Era: The Revolution after Lincoln</w:t>
      </w:r>
      <w:r w:rsidR="00807A6C" w:rsidRPr="00807A6C">
        <w:rPr>
          <w:rFonts w:ascii="Times New Roman" w:hAnsi="Times New Roman" w:cs="Times New Roman"/>
        </w:rPr>
        <w:t>. Cambridge, MA: Riverside Press, 1929</w:t>
      </w:r>
      <w:r w:rsidR="001665A4" w:rsidRPr="00807A6C">
        <w:rPr>
          <w:rFonts w:ascii="Times New Roman" w:hAnsi="Times New Roman" w:cs="Times New Roman"/>
        </w:rPr>
        <w:t xml:space="preserve">; </w:t>
      </w:r>
      <w:r w:rsidR="005F5E8E">
        <w:rPr>
          <w:rFonts w:ascii="Times New Roman" w:hAnsi="Times New Roman" w:cs="Times New Roman"/>
        </w:rPr>
        <w:t xml:space="preserve">John W. </w:t>
      </w:r>
      <w:r w:rsidR="005F5E8E" w:rsidRPr="005F5E8E">
        <w:rPr>
          <w:rFonts w:ascii="Times New Roman" w:hAnsi="Times New Roman" w:cs="Times New Roman"/>
        </w:rPr>
        <w:t xml:space="preserve">Burgess, </w:t>
      </w:r>
      <w:r w:rsidR="005F5E8E" w:rsidRPr="005F5E8E">
        <w:rPr>
          <w:rFonts w:ascii="Times New Roman" w:hAnsi="Times New Roman" w:cs="Times New Roman"/>
          <w:i/>
          <w:iCs/>
        </w:rPr>
        <w:t>Reconstruction and the Constitution, 1866-1876.</w:t>
      </w:r>
      <w:r w:rsidR="005F5E8E" w:rsidRPr="005F5E8E">
        <w:rPr>
          <w:rFonts w:ascii="Times New Roman" w:hAnsi="Times New Roman" w:cs="Times New Roman"/>
        </w:rPr>
        <w:t xml:space="preserve"> New York: Charles Scribner’s Sons, 1902</w:t>
      </w:r>
      <w:r w:rsidR="001665A4" w:rsidRPr="005F5E8E">
        <w:rPr>
          <w:rFonts w:ascii="Times New Roman" w:hAnsi="Times New Roman" w:cs="Times New Roman"/>
        </w:rPr>
        <w:t xml:space="preserve">; </w:t>
      </w:r>
      <w:r w:rsidR="00397065">
        <w:rPr>
          <w:rFonts w:ascii="Times New Roman" w:hAnsi="Times New Roman" w:cs="Times New Roman"/>
        </w:rPr>
        <w:t xml:space="preserve">E. Merton </w:t>
      </w:r>
      <w:r w:rsidR="00397065" w:rsidRPr="00397065">
        <w:rPr>
          <w:rFonts w:ascii="Times New Roman" w:hAnsi="Times New Roman" w:cs="Times New Roman"/>
        </w:rPr>
        <w:t xml:space="preserve">Coulter, </w:t>
      </w:r>
      <w:r w:rsidR="00397065" w:rsidRPr="00397065">
        <w:rPr>
          <w:rFonts w:ascii="Times New Roman" w:hAnsi="Times New Roman" w:cs="Times New Roman"/>
          <w:i/>
          <w:iCs/>
        </w:rPr>
        <w:t>The South During Reconstruction, 1865-1877</w:t>
      </w:r>
      <w:r w:rsidR="00397065" w:rsidRPr="00397065">
        <w:rPr>
          <w:rFonts w:ascii="Times New Roman" w:hAnsi="Times New Roman" w:cs="Times New Roman"/>
        </w:rPr>
        <w:t>. Baton Rouge: LSU Press, 1948.</w:t>
      </w:r>
    </w:p>
  </w:footnote>
  <w:footnote w:id="1537">
    <w:p w14:paraId="703F6155" w14:textId="0362F9FB" w:rsidR="00360BFB" w:rsidRPr="001665A4" w:rsidRDefault="00360BFB" w:rsidP="001665A4">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bookmarkStart w:id="96" w:name="_Hlk522037714"/>
      <w:r w:rsidR="001665A4" w:rsidRPr="001665A4">
        <w:rPr>
          <w:rFonts w:ascii="Times New Roman" w:hAnsi="Times New Roman" w:cs="Times New Roman"/>
        </w:rPr>
        <w:t xml:space="preserve">"A Comparison of Polls of Presidential Greatness*." </w:t>
      </w:r>
      <w:bookmarkEnd w:id="96"/>
      <w:r w:rsidR="001665A4" w:rsidRPr="001665A4">
        <w:rPr>
          <w:rFonts w:ascii="Times New Roman" w:hAnsi="Times New Roman" w:cs="Times New Roman"/>
        </w:rPr>
        <w:t>Three Presidential Views of Presidential Power</w:t>
      </w:r>
      <w:r w:rsidR="001665A4">
        <w:rPr>
          <w:rFonts w:ascii="Times New Roman" w:hAnsi="Times New Roman" w:cs="Times New Roman"/>
        </w:rPr>
        <w:t>;</w:t>
      </w:r>
      <w:r w:rsidR="001665A4" w:rsidRPr="001665A4">
        <w:rPr>
          <w:rFonts w:ascii="Times New Roman" w:hAnsi="Times New Roman" w:cs="Times New Roman"/>
        </w:rPr>
        <w:t xml:space="preserve"> Schlesinger, Arthur M. "Our Presidents: A Rating by 75 Historians". </w:t>
      </w:r>
      <w:r w:rsidR="001665A4" w:rsidRPr="001665A4">
        <w:rPr>
          <w:rFonts w:ascii="Times New Roman" w:hAnsi="Times New Roman" w:cs="Times New Roman"/>
          <w:i/>
          <w:iCs/>
        </w:rPr>
        <w:t>The New York Times</w:t>
      </w:r>
      <w:r w:rsidR="001665A4" w:rsidRPr="001665A4">
        <w:rPr>
          <w:rFonts w:ascii="Times New Roman" w:hAnsi="Times New Roman" w:cs="Times New Roman"/>
        </w:rPr>
        <w:t>. July 1962. pp. 12–13, 40–41, 43.</w:t>
      </w:r>
    </w:p>
  </w:footnote>
  <w:footnote w:id="1538">
    <w:p w14:paraId="4A85F7D5"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"Presidential Historians Survey 2017." C-SPAN. 2021.</w:t>
      </w:r>
    </w:p>
  </w:footnote>
  <w:footnote w:id="1539">
    <w:p w14:paraId="10818D42" w14:textId="3565B7F3" w:rsidR="00360BFB" w:rsidRPr="00994613" w:rsidRDefault="00360BFB" w:rsidP="00994613">
      <w:pPr>
        <w:pStyle w:val="FootnoteText"/>
        <w:rPr>
          <w:rFonts w:ascii="Times New Roman" w:hAnsi="Times New Roman" w:cs="Times New Roman"/>
        </w:rPr>
      </w:pPr>
      <w:r w:rsidRPr="002318C9">
        <w:rPr>
          <w:rStyle w:val="FootnoteReference"/>
          <w:rFonts w:ascii="Times New Roman" w:hAnsi="Times New Roman" w:cs="Times New Roman"/>
        </w:rPr>
        <w:footnoteRef/>
      </w:r>
      <w:r w:rsidRPr="00994613">
        <w:rPr>
          <w:rFonts w:ascii="Times New Roman" w:hAnsi="Times New Roman" w:cs="Times New Roman"/>
        </w:rPr>
        <w:t xml:space="preserve"> For more from historians who have worked to resituate Grant’s place in the historical record, consider: </w:t>
      </w:r>
      <w:r w:rsidR="002310C9" w:rsidRPr="00994613">
        <w:rPr>
          <w:rFonts w:ascii="Times New Roman" w:hAnsi="Times New Roman" w:cs="Times New Roman"/>
        </w:rPr>
        <w:t>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2310C9" w:rsidRPr="00994613">
        <w:rPr>
          <w:rFonts w:ascii="Times New Roman" w:hAnsi="Times New Roman" w:cs="Times New Roman"/>
        </w:rPr>
        <w:t>;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2310C9" w:rsidRPr="00994613">
        <w:rPr>
          <w:rFonts w:ascii="Times New Roman" w:hAnsi="Times New Roman" w:cs="Times New Roman"/>
        </w:rPr>
        <w:t>; McFeely</w:t>
      </w:r>
      <w:r w:rsidR="0031523D">
        <w:rPr>
          <w:rFonts w:ascii="Times New Roman" w:hAnsi="Times New Roman" w:cs="Times New Roman"/>
        </w:rPr>
        <w:t xml:space="preserve">, </w:t>
      </w:r>
      <w:r w:rsidR="0031523D" w:rsidRPr="002318C9">
        <w:rPr>
          <w:rFonts w:ascii="Times New Roman" w:hAnsi="Times New Roman" w:cs="Times New Roman"/>
          <w:i/>
          <w:iCs/>
        </w:rPr>
        <w:t>Grant</w:t>
      </w:r>
      <w:r w:rsidR="002310C9" w:rsidRPr="00994613">
        <w:rPr>
          <w:rFonts w:ascii="Times New Roman" w:hAnsi="Times New Roman" w:cs="Times New Roman"/>
        </w:rPr>
        <w:t>; Jean Edward Smith</w:t>
      </w:r>
      <w:r w:rsidR="00552BFB">
        <w:rPr>
          <w:rFonts w:ascii="Times New Roman" w:hAnsi="Times New Roman" w:cs="Times New Roman"/>
        </w:rPr>
        <w:t xml:space="preserve">, </w:t>
      </w:r>
      <w:r w:rsidR="00552BFB">
        <w:rPr>
          <w:rFonts w:ascii="Times New Roman" w:hAnsi="Times New Roman" w:cs="Times New Roman"/>
          <w:i/>
          <w:iCs/>
        </w:rPr>
        <w:t>Grant</w:t>
      </w:r>
      <w:r w:rsidR="002310C9" w:rsidRPr="00994613">
        <w:rPr>
          <w:rFonts w:ascii="Times New Roman" w:hAnsi="Times New Roman" w:cs="Times New Roman"/>
        </w:rPr>
        <w:t>; Ronald White</w:t>
      </w:r>
      <w:r w:rsidR="009A68A0">
        <w:rPr>
          <w:rFonts w:ascii="Times New Roman" w:hAnsi="Times New Roman" w:cs="Times New Roman"/>
        </w:rPr>
        <w:t xml:space="preserve">, </w:t>
      </w:r>
      <w:r w:rsidR="009A68A0" w:rsidRPr="002318C9">
        <w:rPr>
          <w:rFonts w:ascii="Times New Roman" w:hAnsi="Times New Roman" w:cs="Times New Roman"/>
          <w:i/>
          <w:iCs/>
        </w:rPr>
        <w:t>American Ulysses</w:t>
      </w:r>
      <w:r w:rsidR="002310C9" w:rsidRPr="00994613">
        <w:rPr>
          <w:rFonts w:ascii="Times New Roman" w:hAnsi="Times New Roman" w:cs="Times New Roman"/>
        </w:rPr>
        <w:t>; Henry W. Brands</w:t>
      </w:r>
      <w:r w:rsidR="0031523D">
        <w:rPr>
          <w:rFonts w:ascii="Times New Roman" w:hAnsi="Times New Roman" w:cs="Times New Roman"/>
        </w:rPr>
        <w:t xml:space="preserve">, </w:t>
      </w:r>
      <w:r w:rsidR="0031523D" w:rsidRPr="002318C9">
        <w:rPr>
          <w:rFonts w:ascii="Times New Roman" w:hAnsi="Times New Roman" w:cs="Times New Roman"/>
          <w:i/>
          <w:iCs/>
        </w:rPr>
        <w:t>Man Who Saved The Union</w:t>
      </w:r>
      <w:r w:rsidR="002310C9" w:rsidRPr="00994613">
        <w:rPr>
          <w:rFonts w:ascii="Times New Roman" w:hAnsi="Times New Roman" w:cs="Times New Roman"/>
        </w:rPr>
        <w:t xml:space="preserve">; </w:t>
      </w:r>
      <w:r w:rsidR="00CE1B11" w:rsidRPr="00994613">
        <w:rPr>
          <w:rFonts w:ascii="Times New Roman" w:hAnsi="Times New Roman" w:cs="Times New Roman"/>
        </w:rPr>
        <w:t xml:space="preserve">Edward H. Bonekemper III, </w:t>
      </w:r>
      <w:r w:rsidR="00CE1B11" w:rsidRPr="00994613">
        <w:rPr>
          <w:rFonts w:ascii="Times New Roman" w:hAnsi="Times New Roman" w:cs="Times New Roman"/>
          <w:i/>
          <w:iCs/>
        </w:rPr>
        <w:t>Ulysses S. Grant: A Victor, Not a Butcher</w:t>
      </w:r>
      <w:r w:rsidR="00CE1B11" w:rsidRPr="00994613">
        <w:rPr>
          <w:rFonts w:ascii="Times New Roman" w:hAnsi="Times New Roman" w:cs="Times New Roman"/>
        </w:rPr>
        <w:t xml:space="preserve">. Washington, DC: Regnery History, 2004; </w:t>
      </w:r>
      <w:bookmarkStart w:id="97" w:name="_Hlk193878533"/>
      <w:r w:rsidR="00994613">
        <w:rPr>
          <w:rFonts w:ascii="Times New Roman" w:hAnsi="Times New Roman" w:cs="Times New Roman"/>
        </w:rPr>
        <w:t xml:space="preserve">Fergus </w:t>
      </w:r>
      <w:r w:rsidR="00994613" w:rsidRPr="00994613">
        <w:rPr>
          <w:rFonts w:ascii="Times New Roman" w:hAnsi="Times New Roman" w:cs="Times New Roman"/>
        </w:rPr>
        <w:t xml:space="preserve">Bordewich, </w:t>
      </w:r>
      <w:r w:rsidR="00994613" w:rsidRPr="00994613">
        <w:rPr>
          <w:rFonts w:ascii="Times New Roman" w:hAnsi="Times New Roman" w:cs="Times New Roman"/>
          <w:i/>
          <w:iCs/>
        </w:rPr>
        <w:t>Klan War: Ulysses S. Grant and the Battle to Save Reconstruction</w:t>
      </w:r>
      <w:r w:rsidR="00994613" w:rsidRPr="00994613">
        <w:rPr>
          <w:rFonts w:ascii="Times New Roman" w:hAnsi="Times New Roman" w:cs="Times New Roman"/>
        </w:rPr>
        <w:t>. New York: Alfred A. Knopf, 2024.</w:t>
      </w:r>
      <w:bookmarkEnd w:id="97"/>
    </w:p>
  </w:footnote>
  <w:footnote w:id="1540">
    <w:p w14:paraId="5514DF83" w14:textId="4C530180" w:rsidR="00360BFB" w:rsidRPr="00C8055A" w:rsidRDefault="00360BFB" w:rsidP="00C805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For more on the history of the Republican Party, consider:</w:t>
      </w:r>
      <w:r w:rsidR="002310C9">
        <w:rPr>
          <w:rFonts w:ascii="Times New Roman" w:hAnsi="Times New Roman" w:cs="Times New Roman"/>
        </w:rPr>
        <w:t xml:space="preserve"> </w:t>
      </w:r>
      <w:r w:rsidR="00335605" w:rsidRPr="00335605">
        <w:rPr>
          <w:rFonts w:ascii="Times New Roman" w:hAnsi="Times New Roman" w:cs="Times New Roman"/>
        </w:rPr>
        <w:t xml:space="preserve">Ambrosius, Lloyd E., ed. </w:t>
      </w:r>
      <w:r w:rsidR="00335605" w:rsidRPr="00335605">
        <w:rPr>
          <w:rFonts w:ascii="Times New Roman" w:hAnsi="Times New Roman" w:cs="Times New Roman"/>
          <w:i/>
          <w:iCs/>
        </w:rPr>
        <w:t>A Crisis of Republicanism: American Politics in the Civil War Era</w:t>
      </w:r>
      <w:r w:rsidR="00335605" w:rsidRPr="00335605">
        <w:rPr>
          <w:rFonts w:ascii="Times New Roman" w:hAnsi="Times New Roman" w:cs="Times New Roman"/>
        </w:rPr>
        <w:t>. Lincoln: University of Nebraska Press, 1990</w:t>
      </w:r>
      <w:r w:rsidR="00335605">
        <w:rPr>
          <w:rFonts w:ascii="Times New Roman" w:hAnsi="Times New Roman" w:cs="Times New Roman"/>
        </w:rPr>
        <w:t xml:space="preserve">; </w:t>
      </w:r>
      <w:r w:rsidR="00C8055A">
        <w:rPr>
          <w:rFonts w:ascii="Times New Roman" w:hAnsi="Times New Roman" w:cs="Times New Roman"/>
        </w:rPr>
        <w:t xml:space="preserve">Robert </w:t>
      </w:r>
      <w:r w:rsidR="00C8055A" w:rsidRPr="00A933D8">
        <w:rPr>
          <w:rFonts w:ascii="Times New Roman" w:hAnsi="Times New Roman" w:cs="Times New Roman"/>
        </w:rPr>
        <w:t xml:space="preserve">Cherny, </w:t>
      </w:r>
      <w:r w:rsidR="00C8055A" w:rsidRPr="00A933D8">
        <w:rPr>
          <w:rFonts w:ascii="Times New Roman" w:hAnsi="Times New Roman" w:cs="Times New Roman"/>
          <w:i/>
          <w:iCs/>
        </w:rPr>
        <w:t>American Politics in the Gilded Age 1868–1900</w:t>
      </w:r>
      <w:r w:rsidR="00C8055A" w:rsidRPr="00C8055A">
        <w:rPr>
          <w:rFonts w:ascii="Times New Roman" w:hAnsi="Times New Roman" w:cs="Times New Roman"/>
        </w:rPr>
        <w:t xml:space="preserve">. Wheeling, IL: Harlan Davidson Inc., </w:t>
      </w:r>
      <w:r w:rsidR="00C8055A" w:rsidRPr="00A933D8">
        <w:rPr>
          <w:rFonts w:ascii="Times New Roman" w:hAnsi="Times New Roman" w:cs="Times New Roman"/>
        </w:rPr>
        <w:t>1997</w:t>
      </w:r>
      <w:r w:rsidR="00CE1B11" w:rsidRPr="00C8055A">
        <w:rPr>
          <w:rFonts w:ascii="Times New Roman" w:hAnsi="Times New Roman" w:cs="Times New Roman"/>
        </w:rPr>
        <w:t xml:space="preserve">; </w:t>
      </w:r>
      <w:r w:rsidR="00165A39">
        <w:rPr>
          <w:rFonts w:ascii="Times New Roman" w:hAnsi="Times New Roman" w:cs="Times New Roman"/>
        </w:rPr>
        <w:t xml:space="preserve">George H. </w:t>
      </w:r>
      <w:r w:rsidR="00CE1B11" w:rsidRPr="00C8055A">
        <w:rPr>
          <w:rFonts w:ascii="Times New Roman" w:hAnsi="Times New Roman" w:cs="Times New Roman"/>
        </w:rPr>
        <w:t>Mayer</w:t>
      </w:r>
      <w:r w:rsidR="00165A39">
        <w:rPr>
          <w:rFonts w:ascii="Times New Roman" w:hAnsi="Times New Roman" w:cs="Times New Roman"/>
        </w:rPr>
        <w:t xml:space="preserve">, </w:t>
      </w:r>
      <w:r w:rsidR="00165A39">
        <w:rPr>
          <w:rFonts w:ascii="Times New Roman" w:hAnsi="Times New Roman" w:cs="Times New Roman"/>
          <w:i/>
          <w:iCs/>
        </w:rPr>
        <w:t>The Republican Party, 1854-1966</w:t>
      </w:r>
      <w:r w:rsidR="00165A39">
        <w:rPr>
          <w:rFonts w:ascii="Times New Roman" w:hAnsi="Times New Roman" w:cs="Times New Roman"/>
        </w:rPr>
        <w:t>. New York: Oxford University Press, 1967</w:t>
      </w:r>
      <w:r w:rsidR="00CE1B11" w:rsidRPr="00C8055A">
        <w:rPr>
          <w:rFonts w:ascii="Times New Roman" w:hAnsi="Times New Roman" w:cs="Times New Roman"/>
        </w:rPr>
        <w:t xml:space="preserve">; </w:t>
      </w:r>
      <w:r w:rsidR="006F1A43">
        <w:rPr>
          <w:rFonts w:ascii="Times New Roman" w:hAnsi="Times New Roman" w:cs="Times New Roman"/>
        </w:rPr>
        <w:t xml:space="preserve">Lewis L. </w:t>
      </w:r>
      <w:r w:rsidR="00CE1B11" w:rsidRPr="00C8055A">
        <w:rPr>
          <w:rFonts w:ascii="Times New Roman" w:hAnsi="Times New Roman" w:cs="Times New Roman"/>
        </w:rPr>
        <w:t>Gould</w:t>
      </w:r>
      <w:r w:rsidR="006F1A43">
        <w:rPr>
          <w:rFonts w:ascii="Times New Roman" w:hAnsi="Times New Roman" w:cs="Times New Roman"/>
        </w:rPr>
        <w:t xml:space="preserve">, </w:t>
      </w:r>
      <w:r w:rsidR="006F1A43">
        <w:rPr>
          <w:rFonts w:ascii="Times New Roman" w:hAnsi="Times New Roman" w:cs="Times New Roman"/>
          <w:i/>
          <w:iCs/>
        </w:rPr>
        <w:t>The Republicans: A History of the Grand Old Party</w:t>
      </w:r>
      <w:r w:rsidR="006F1A43">
        <w:rPr>
          <w:rFonts w:ascii="Times New Roman" w:hAnsi="Times New Roman" w:cs="Times New Roman"/>
        </w:rPr>
        <w:t>, 2</w:t>
      </w:r>
      <w:r w:rsidR="006F1A43" w:rsidRPr="006F1A43">
        <w:rPr>
          <w:rFonts w:ascii="Times New Roman" w:hAnsi="Times New Roman" w:cs="Times New Roman"/>
          <w:vertAlign w:val="superscript"/>
        </w:rPr>
        <w:t>nd</w:t>
      </w:r>
      <w:r w:rsidR="006F1A43">
        <w:rPr>
          <w:rFonts w:ascii="Times New Roman" w:hAnsi="Times New Roman" w:cs="Times New Roman"/>
        </w:rPr>
        <w:t xml:space="preserve"> Edition. New York: Oxford University Press, 2014</w:t>
      </w:r>
      <w:r w:rsidR="00CE1B11" w:rsidRPr="00C8055A">
        <w:rPr>
          <w:rFonts w:ascii="Times New Roman" w:hAnsi="Times New Roman" w:cs="Times New Roman"/>
        </w:rPr>
        <w:t xml:space="preserve">; </w:t>
      </w:r>
      <w:r w:rsidR="006F1A43">
        <w:rPr>
          <w:rFonts w:ascii="Times New Roman" w:hAnsi="Times New Roman" w:cs="Times New Roman"/>
        </w:rPr>
        <w:t xml:space="preserve">Robert Allen </w:t>
      </w:r>
      <w:r w:rsidR="00CE1B11" w:rsidRPr="00C8055A">
        <w:rPr>
          <w:rFonts w:ascii="Times New Roman" w:hAnsi="Times New Roman" w:cs="Times New Roman"/>
        </w:rPr>
        <w:t>Rutland</w:t>
      </w:r>
      <w:r w:rsidR="006F1A43">
        <w:rPr>
          <w:rFonts w:ascii="Times New Roman" w:hAnsi="Times New Roman" w:cs="Times New Roman"/>
        </w:rPr>
        <w:t xml:space="preserve">, </w:t>
      </w:r>
      <w:r w:rsidR="006F1A43">
        <w:rPr>
          <w:rFonts w:ascii="Times New Roman" w:hAnsi="Times New Roman" w:cs="Times New Roman"/>
          <w:i/>
          <w:iCs/>
        </w:rPr>
        <w:t>The Republicans: From Lincoln to Bush</w:t>
      </w:r>
      <w:r w:rsidR="006F1A43">
        <w:rPr>
          <w:rFonts w:ascii="Times New Roman" w:hAnsi="Times New Roman" w:cs="Times New Roman"/>
        </w:rPr>
        <w:t>. Columbia, MO: University of Missouri Press, 1996.</w:t>
      </w:r>
      <w:r w:rsidR="00CE1B11" w:rsidRPr="00C8055A">
        <w:rPr>
          <w:rFonts w:ascii="Times New Roman" w:hAnsi="Times New Roman" w:cs="Times New Roman"/>
        </w:rPr>
        <w:t xml:space="preserve"> </w:t>
      </w:r>
    </w:p>
  </w:footnote>
  <w:footnote w:id="1541">
    <w:p w14:paraId="1CCF89D2" w14:textId="19B7648F" w:rsidR="00360BFB" w:rsidRPr="00D623D1" w:rsidRDefault="00360BFB" w:rsidP="00D623D1">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603700">
        <w:rPr>
          <w:rFonts w:ascii="Times New Roman" w:hAnsi="Times New Roman" w:cs="Times New Roman"/>
        </w:rPr>
        <w:t xml:space="preserve">For more on the history of the </w:t>
      </w:r>
      <w:r w:rsidR="00CE1B11">
        <w:rPr>
          <w:rFonts w:ascii="Times New Roman" w:hAnsi="Times New Roman" w:cs="Times New Roman"/>
        </w:rPr>
        <w:t xml:space="preserve">Redeemer </w:t>
      </w:r>
      <w:r w:rsidR="00603700">
        <w:rPr>
          <w:rFonts w:ascii="Times New Roman" w:hAnsi="Times New Roman" w:cs="Times New Roman"/>
        </w:rPr>
        <w:t xml:space="preserve">movement, consider: </w:t>
      </w:r>
      <w:bookmarkStart w:id="98" w:name="_Hlk197270924"/>
      <w:r w:rsidR="00603700">
        <w:rPr>
          <w:rFonts w:ascii="Times New Roman" w:hAnsi="Times New Roman" w:cs="Times New Roman"/>
        </w:rPr>
        <w:t xml:space="preserve">William Gilette, </w:t>
      </w:r>
      <w:r w:rsidR="00603700">
        <w:rPr>
          <w:rFonts w:ascii="Times New Roman" w:hAnsi="Times New Roman" w:cs="Times New Roman"/>
          <w:i/>
          <w:iCs/>
        </w:rPr>
        <w:t>Retreat from Reconstruction, 1869-1879</w:t>
      </w:r>
      <w:r w:rsidR="00603700">
        <w:rPr>
          <w:rFonts w:ascii="Times New Roman" w:hAnsi="Times New Roman" w:cs="Times New Roman"/>
        </w:rPr>
        <w:t xml:space="preserve">. </w:t>
      </w:r>
      <w:r w:rsidR="002B7DE5">
        <w:rPr>
          <w:rFonts w:ascii="Times New Roman" w:hAnsi="Times New Roman" w:cs="Times New Roman"/>
        </w:rPr>
        <w:t>Baton Rouge: Louisiana State Press, 1982</w:t>
      </w:r>
      <w:r w:rsidR="00603700">
        <w:rPr>
          <w:rFonts w:ascii="Times New Roman" w:hAnsi="Times New Roman" w:cs="Times New Roman"/>
        </w:rPr>
        <w:t xml:space="preserve">; </w:t>
      </w:r>
      <w:r w:rsidR="002B7DE5">
        <w:rPr>
          <w:rFonts w:ascii="Times New Roman" w:hAnsi="Times New Roman" w:cs="Times New Roman"/>
        </w:rPr>
        <w:t xml:space="preserve">James Alex </w:t>
      </w:r>
      <w:r w:rsidR="002B7DE5" w:rsidRPr="002B7DE5">
        <w:rPr>
          <w:rFonts w:ascii="Times New Roman" w:hAnsi="Times New Roman" w:cs="Times New Roman"/>
        </w:rPr>
        <w:t xml:space="preserve">Baggett, </w:t>
      </w:r>
      <w:r w:rsidR="002B7DE5" w:rsidRPr="002B7DE5">
        <w:rPr>
          <w:rFonts w:ascii="Times New Roman" w:hAnsi="Times New Roman" w:cs="Times New Roman"/>
          <w:i/>
          <w:iCs/>
        </w:rPr>
        <w:t>The Scalawags: Southern Dissenters in the Civil War and Reconstruction</w:t>
      </w:r>
      <w:r w:rsidR="002B7DE5" w:rsidRPr="002B7DE5">
        <w:rPr>
          <w:rFonts w:ascii="Times New Roman" w:hAnsi="Times New Roman" w:cs="Times New Roman"/>
        </w:rPr>
        <w:t>. Baton Rouge: Louisiana State University Press, 2003</w:t>
      </w:r>
      <w:r w:rsidR="00603700" w:rsidRPr="002B7DE5">
        <w:rPr>
          <w:rFonts w:ascii="Times New Roman" w:hAnsi="Times New Roman" w:cs="Times New Roman"/>
        </w:rPr>
        <w:t xml:space="preserve">; </w:t>
      </w:r>
      <w:r w:rsidR="00D623D1">
        <w:rPr>
          <w:rFonts w:ascii="Times New Roman" w:hAnsi="Times New Roman" w:cs="Times New Roman"/>
        </w:rPr>
        <w:t xml:space="preserve">Edward L. </w:t>
      </w:r>
      <w:r w:rsidR="00603700" w:rsidRPr="002B7DE5">
        <w:rPr>
          <w:rFonts w:ascii="Times New Roman" w:hAnsi="Times New Roman" w:cs="Times New Roman"/>
        </w:rPr>
        <w:t>Ayers</w:t>
      </w:r>
      <w:r w:rsidR="00D623D1">
        <w:rPr>
          <w:rFonts w:ascii="Times New Roman" w:hAnsi="Times New Roman" w:cs="Times New Roman"/>
        </w:rPr>
        <w:t xml:space="preserve">, </w:t>
      </w:r>
      <w:r w:rsidR="00D623D1">
        <w:rPr>
          <w:rFonts w:ascii="Times New Roman" w:hAnsi="Times New Roman" w:cs="Times New Roman"/>
          <w:i/>
          <w:iCs/>
        </w:rPr>
        <w:t>The Promise of the New South: Life after Reconstruction</w:t>
      </w:r>
      <w:r w:rsidR="00D623D1">
        <w:rPr>
          <w:rFonts w:ascii="Times New Roman" w:hAnsi="Times New Roman" w:cs="Times New Roman"/>
        </w:rPr>
        <w:t>. 15</w:t>
      </w:r>
      <w:r w:rsidR="00D623D1" w:rsidRPr="00D623D1">
        <w:rPr>
          <w:rFonts w:ascii="Times New Roman" w:hAnsi="Times New Roman" w:cs="Times New Roman"/>
          <w:vertAlign w:val="superscript"/>
        </w:rPr>
        <w:t>th</w:t>
      </w:r>
      <w:r w:rsidR="00D623D1">
        <w:rPr>
          <w:rFonts w:ascii="Times New Roman" w:hAnsi="Times New Roman" w:cs="Times New Roman"/>
        </w:rPr>
        <w:t xml:space="preserve"> Anniversary Edition. New York: Oxford University Press, 2007</w:t>
      </w:r>
      <w:r w:rsidR="00603700" w:rsidRPr="002B7DE5">
        <w:rPr>
          <w:rFonts w:ascii="Times New Roman" w:hAnsi="Times New Roman" w:cs="Times New Roman"/>
        </w:rPr>
        <w:t xml:space="preserve">; </w:t>
      </w:r>
      <w:r w:rsidR="00D623D1">
        <w:rPr>
          <w:rFonts w:ascii="Times New Roman" w:hAnsi="Times New Roman" w:cs="Times New Roman"/>
        </w:rPr>
        <w:t xml:space="preserve">Michael </w:t>
      </w:r>
      <w:r w:rsidR="00D623D1" w:rsidRPr="00D623D1">
        <w:rPr>
          <w:rFonts w:ascii="Times New Roman" w:hAnsi="Times New Roman" w:cs="Times New Roman"/>
        </w:rPr>
        <w:t xml:space="preserve">Perman, </w:t>
      </w:r>
      <w:r w:rsidR="00D623D1" w:rsidRPr="00D623D1">
        <w:rPr>
          <w:rFonts w:ascii="Times New Roman" w:hAnsi="Times New Roman" w:cs="Times New Roman"/>
          <w:i/>
          <w:iCs/>
        </w:rPr>
        <w:t>The Road to Redemption: Southern Politics, 1869-1879</w:t>
      </w:r>
      <w:r w:rsidR="00D623D1" w:rsidRPr="00D623D1">
        <w:rPr>
          <w:rFonts w:ascii="Times New Roman" w:hAnsi="Times New Roman" w:cs="Times New Roman"/>
        </w:rPr>
        <w:t>.Chapel Hill: University of North Carolina Press, 1984</w:t>
      </w:r>
      <w:r w:rsidR="00603700" w:rsidRPr="00D623D1">
        <w:rPr>
          <w:rFonts w:ascii="Times New Roman" w:hAnsi="Times New Roman" w:cs="Times New Roman"/>
        </w:rPr>
        <w:t xml:space="preserve">; </w:t>
      </w:r>
      <w:r w:rsidR="002B7DE5" w:rsidRPr="00D623D1">
        <w:rPr>
          <w:rFonts w:ascii="Times New Roman" w:hAnsi="Times New Roman" w:cs="Times New Roman"/>
        </w:rPr>
        <w:t>W</w:t>
      </w:r>
      <w:r w:rsidR="00603700" w:rsidRPr="00D623D1">
        <w:rPr>
          <w:rFonts w:ascii="Times New Roman" w:hAnsi="Times New Roman" w:cs="Times New Roman"/>
        </w:rPr>
        <w:t>oodward</w:t>
      </w:r>
      <w:r w:rsidR="002B7DE5" w:rsidRPr="00D623D1">
        <w:rPr>
          <w:rFonts w:ascii="Times New Roman" w:hAnsi="Times New Roman" w:cs="Times New Roman"/>
        </w:rPr>
        <w:t xml:space="preserve">, </w:t>
      </w:r>
      <w:r w:rsidR="002B7DE5" w:rsidRPr="00D623D1">
        <w:rPr>
          <w:rFonts w:ascii="Times New Roman" w:hAnsi="Times New Roman" w:cs="Times New Roman"/>
          <w:i/>
          <w:iCs/>
        </w:rPr>
        <w:t>Reunion and Reaction</w:t>
      </w:r>
      <w:r w:rsidR="00603700" w:rsidRPr="00D623D1">
        <w:rPr>
          <w:rFonts w:ascii="Times New Roman" w:hAnsi="Times New Roman" w:cs="Times New Roman"/>
        </w:rPr>
        <w:t xml:space="preserve">; </w:t>
      </w:r>
      <w:r w:rsidR="00D623D1">
        <w:rPr>
          <w:rFonts w:ascii="Times New Roman" w:hAnsi="Times New Roman" w:cs="Times New Roman"/>
        </w:rPr>
        <w:t xml:space="preserve">James Tice </w:t>
      </w:r>
      <w:r w:rsidR="002B7DE5" w:rsidRPr="00D623D1">
        <w:rPr>
          <w:rFonts w:ascii="Times New Roman" w:hAnsi="Times New Roman" w:cs="Times New Roman"/>
        </w:rPr>
        <w:t>Moore</w:t>
      </w:r>
      <w:r w:rsidR="00D623D1">
        <w:rPr>
          <w:rFonts w:ascii="Times New Roman" w:hAnsi="Times New Roman" w:cs="Times New Roman"/>
        </w:rPr>
        <w:t xml:space="preserve">, “Origins of the Solid South: Redeemer Democrats and the Popular Will, 1870-1900.” </w:t>
      </w:r>
      <w:r w:rsidR="00D623D1">
        <w:rPr>
          <w:rFonts w:ascii="Times New Roman" w:hAnsi="Times New Roman" w:cs="Times New Roman"/>
          <w:i/>
          <w:iCs/>
        </w:rPr>
        <w:t>Southern Studies</w:t>
      </w:r>
      <w:r w:rsidR="00D623D1">
        <w:rPr>
          <w:rFonts w:ascii="Times New Roman" w:hAnsi="Times New Roman" w:cs="Times New Roman"/>
        </w:rPr>
        <w:t>, 1983, 22(3): 285-301.</w:t>
      </w:r>
      <w:bookmarkEnd w:id="98"/>
    </w:p>
  </w:footnote>
  <w:footnote w:id="1542">
    <w:p w14:paraId="60E6FFF9" w14:textId="627C733D"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603700">
        <w:rPr>
          <w:rFonts w:ascii="Times New Roman" w:hAnsi="Times New Roman" w:cs="Times New Roman"/>
        </w:rPr>
        <w:t xml:space="preserve"> </w:t>
      </w:r>
      <w:r w:rsidR="00603700" w:rsidRPr="00603700">
        <w:rPr>
          <w:rFonts w:ascii="Times New Roman" w:hAnsi="Times New Roman" w:cs="Times New Roman"/>
        </w:rPr>
        <w:t xml:space="preserve">Ibid: "Turn The Rascals Out." </w:t>
      </w:r>
      <w:r w:rsidR="00603700" w:rsidRPr="00603700">
        <w:rPr>
          <w:rFonts w:ascii="Times New Roman" w:hAnsi="Times New Roman" w:cs="Times New Roman"/>
          <w:i/>
          <w:iCs/>
        </w:rPr>
        <w:t>The Democratic Advocate</w:t>
      </w:r>
      <w:r w:rsidR="00603700" w:rsidRPr="00603700">
        <w:rPr>
          <w:rFonts w:ascii="Times New Roman" w:hAnsi="Times New Roman" w:cs="Times New Roman"/>
        </w:rPr>
        <w:t xml:space="preserve"> (Westminster, MD), September 27, 1884. This article was widely published, including but not limited to the following papers on the following dates: Palatka Daily News, Palatka (FL), August 23, 1884; Millheim Journal, Millheim (PA), September 4, 1884; and The Weekly Register, Point Pleasant (VA), September 17, 1884.</w:t>
      </w:r>
    </w:p>
  </w:footnote>
  <w:footnote w:id="1543">
    <w:p w14:paraId="18F6E6A0" w14:textId="239C9F2E" w:rsidR="00360BFB" w:rsidRPr="005354CF" w:rsidRDefault="00360BFB" w:rsidP="005354CF">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354CF">
        <w:rPr>
          <w:rFonts w:ascii="Times New Roman" w:hAnsi="Times New Roman" w:cs="Times New Roman"/>
        </w:rPr>
        <w:t xml:space="preserve">Cherny; John M. Dobson, </w:t>
      </w:r>
      <w:r w:rsidR="005354CF">
        <w:rPr>
          <w:rFonts w:ascii="Times New Roman" w:hAnsi="Times New Roman" w:cs="Times New Roman"/>
          <w:i/>
          <w:iCs/>
        </w:rPr>
        <w:t>Politics in the Gilded Age: A New Perspective on Reform</w:t>
      </w:r>
      <w:r w:rsidR="005354CF">
        <w:rPr>
          <w:rFonts w:ascii="Times New Roman" w:hAnsi="Times New Roman" w:cs="Times New Roman"/>
        </w:rPr>
        <w:t>. New York: Praeger, 1972; H. Wayne Morgan</w:t>
      </w:r>
      <w:r w:rsidR="006A0D98">
        <w:rPr>
          <w:rFonts w:ascii="Times New Roman" w:hAnsi="Times New Roman" w:cs="Times New Roman"/>
        </w:rPr>
        <w:t xml:space="preserve">, </w:t>
      </w:r>
      <w:r w:rsidR="006A0D98">
        <w:rPr>
          <w:rFonts w:ascii="Times New Roman" w:hAnsi="Times New Roman" w:cs="Times New Roman"/>
          <w:i/>
          <w:iCs/>
        </w:rPr>
        <w:t>From Hayes to McKinley: National Party Politics, 1877-1896</w:t>
      </w:r>
      <w:r w:rsidR="006A0D98">
        <w:rPr>
          <w:rFonts w:ascii="Times New Roman" w:hAnsi="Times New Roman" w:cs="Times New Roman"/>
        </w:rPr>
        <w:t>. Syracuse: Syracuse University Press, 1969</w:t>
      </w:r>
      <w:r w:rsidR="005354CF">
        <w:rPr>
          <w:rFonts w:ascii="Times New Roman" w:hAnsi="Times New Roman" w:cs="Times New Roman"/>
        </w:rPr>
        <w:t xml:space="preserve">; </w:t>
      </w:r>
      <w:r w:rsidR="006A0D98">
        <w:rPr>
          <w:rFonts w:ascii="Times New Roman" w:hAnsi="Times New Roman" w:cs="Times New Roman"/>
        </w:rPr>
        <w:t xml:space="preserve">Arthur </w:t>
      </w:r>
      <w:r w:rsidR="005354CF">
        <w:rPr>
          <w:rFonts w:ascii="Times New Roman" w:hAnsi="Times New Roman" w:cs="Times New Roman"/>
        </w:rPr>
        <w:t>Schlesinger Jr.</w:t>
      </w:r>
      <w:r w:rsidR="006A0D98">
        <w:rPr>
          <w:rFonts w:ascii="Times New Roman" w:hAnsi="Times New Roman" w:cs="Times New Roman"/>
        </w:rPr>
        <w:t xml:space="preserve">, ed. </w:t>
      </w:r>
      <w:r w:rsidR="006A0D98">
        <w:rPr>
          <w:rFonts w:ascii="Times New Roman" w:hAnsi="Times New Roman" w:cs="Times New Roman"/>
          <w:i/>
          <w:iCs/>
        </w:rPr>
        <w:t>History of U.S. Political Parties, vol. 2: 1860-1910: The Gilded Age of Politics</w:t>
      </w:r>
      <w:r w:rsidR="006A0D98">
        <w:rPr>
          <w:rFonts w:ascii="Times New Roman" w:hAnsi="Times New Roman" w:cs="Times New Roman"/>
        </w:rPr>
        <w:t>. New York: Chelsea House Publishers, 1973</w:t>
      </w:r>
      <w:r w:rsidR="005354CF">
        <w:rPr>
          <w:rFonts w:ascii="Times New Roman" w:hAnsi="Times New Roman" w:cs="Times New Roman"/>
        </w:rPr>
        <w:t xml:space="preserve">; Mark Wahlgren </w:t>
      </w:r>
      <w:r w:rsidR="005354CF" w:rsidRPr="005354CF">
        <w:rPr>
          <w:rFonts w:ascii="Times New Roman" w:hAnsi="Times New Roman" w:cs="Times New Roman"/>
        </w:rPr>
        <w:t xml:space="preserve">Summers, </w:t>
      </w:r>
      <w:r w:rsidR="005354CF" w:rsidRPr="005354CF">
        <w:rPr>
          <w:rFonts w:ascii="Times New Roman" w:hAnsi="Times New Roman" w:cs="Times New Roman"/>
          <w:i/>
          <w:iCs/>
        </w:rPr>
        <w:t>Party Games: Getting, Keeping, and Using Power in Gilded Age Politics</w:t>
      </w:r>
      <w:r w:rsidR="005354CF" w:rsidRPr="005354CF">
        <w:rPr>
          <w:rFonts w:ascii="Times New Roman" w:hAnsi="Times New Roman" w:cs="Times New Roman"/>
        </w:rPr>
        <w:t xml:space="preserve">. Chapel Hill: University of North Carolina Press, 2004.  </w:t>
      </w:r>
    </w:p>
  </w:footnote>
  <w:footnote w:id="1544">
    <w:p w14:paraId="52FA4291" w14:textId="0ADF5EC2" w:rsidR="00360BFB" w:rsidRPr="00207DDD" w:rsidRDefault="00360BFB" w:rsidP="00360BFB">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Bowers</w:t>
      </w:r>
      <w:r w:rsidR="00207DDD">
        <w:rPr>
          <w:rFonts w:ascii="Times New Roman" w:hAnsi="Times New Roman" w:cs="Times New Roman"/>
        </w:rPr>
        <w:t xml:space="preserve">, </w:t>
      </w:r>
      <w:r w:rsidR="00207DDD">
        <w:rPr>
          <w:rFonts w:ascii="Times New Roman" w:hAnsi="Times New Roman" w:cs="Times New Roman"/>
          <w:i/>
          <w:iCs/>
        </w:rPr>
        <w:t>The Tragic Era</w:t>
      </w:r>
      <w:r w:rsidRPr="002318C9">
        <w:rPr>
          <w:rFonts w:ascii="Times New Roman" w:hAnsi="Times New Roman" w:cs="Times New Roman"/>
        </w:rPr>
        <w:t>; Dunning</w:t>
      </w:r>
      <w:r w:rsidR="00207DDD">
        <w:rPr>
          <w:rFonts w:ascii="Times New Roman" w:hAnsi="Times New Roman" w:cs="Times New Roman"/>
        </w:rPr>
        <w:t xml:space="preserve">, </w:t>
      </w:r>
      <w:r w:rsidR="00207DDD" w:rsidRPr="002318C9">
        <w:rPr>
          <w:rFonts w:ascii="Times New Roman" w:hAnsi="Times New Roman" w:cs="Times New Roman"/>
          <w:i/>
          <w:iCs/>
        </w:rPr>
        <w:t>Reconstruction</w:t>
      </w:r>
      <w:r w:rsidR="005354CF">
        <w:rPr>
          <w:rFonts w:ascii="Times New Roman" w:hAnsi="Times New Roman" w:cs="Times New Roman"/>
        </w:rPr>
        <w:t>; Burgess</w:t>
      </w:r>
      <w:r w:rsidR="00207DDD">
        <w:rPr>
          <w:rFonts w:ascii="Times New Roman" w:hAnsi="Times New Roman" w:cs="Times New Roman"/>
        </w:rPr>
        <w:t xml:space="preserve">, </w:t>
      </w:r>
      <w:r w:rsidR="00207DDD">
        <w:rPr>
          <w:rFonts w:ascii="Times New Roman" w:hAnsi="Times New Roman" w:cs="Times New Roman"/>
          <w:i/>
          <w:iCs/>
        </w:rPr>
        <w:t>Reconstruction and the Constitution</w:t>
      </w:r>
      <w:r w:rsidR="005354CF">
        <w:rPr>
          <w:rFonts w:ascii="Times New Roman" w:hAnsi="Times New Roman" w:cs="Times New Roman"/>
        </w:rPr>
        <w:t>; Coulter</w:t>
      </w:r>
      <w:r w:rsidR="00207DDD">
        <w:rPr>
          <w:rFonts w:ascii="Times New Roman" w:hAnsi="Times New Roman" w:cs="Times New Roman"/>
        </w:rPr>
        <w:t xml:space="preserve">, </w:t>
      </w:r>
      <w:r w:rsidR="00207DDD">
        <w:rPr>
          <w:rFonts w:ascii="Times New Roman" w:hAnsi="Times New Roman" w:cs="Times New Roman"/>
          <w:i/>
          <w:iCs/>
        </w:rPr>
        <w:t>The South During Reconstruction</w:t>
      </w:r>
    </w:p>
  </w:footnote>
  <w:footnote w:id="1545">
    <w:p w14:paraId="65D8A896" w14:textId="60685C9D"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5354CF">
        <w:rPr>
          <w:rFonts w:ascii="Times New Roman" w:hAnsi="Times New Roman" w:cs="Times New Roman"/>
        </w:rPr>
        <w:t>Ibid</w:t>
      </w:r>
    </w:p>
  </w:footnote>
  <w:footnote w:id="1546">
    <w:p w14:paraId="43C8829F" w14:textId="5AD486F2" w:rsidR="00360BFB" w:rsidRPr="007F1CDA" w:rsidRDefault="00360BFB" w:rsidP="00CD6788">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CD6788">
        <w:rPr>
          <w:rFonts w:ascii="Times New Roman" w:hAnsi="Times New Roman" w:cs="Times New Roman"/>
        </w:rPr>
        <w:t xml:space="preserve">Eric </w:t>
      </w:r>
      <w:r w:rsidR="00CD6788" w:rsidRPr="00CD6788">
        <w:rPr>
          <w:rFonts w:ascii="Times New Roman" w:hAnsi="Times New Roman" w:cs="Times New Roman"/>
        </w:rPr>
        <w:t xml:space="preserve">Foner, </w:t>
      </w:r>
      <w:r w:rsidR="00CD6788" w:rsidRPr="00CD6788">
        <w:rPr>
          <w:rFonts w:ascii="Times New Roman" w:hAnsi="Times New Roman" w:cs="Times New Roman"/>
          <w:i/>
          <w:iCs/>
        </w:rPr>
        <w:t>Reconstruction: Americas Unfinished Revolution, 1863-1877</w:t>
      </w:r>
      <w:r w:rsidR="00CD6788" w:rsidRPr="00CD6788">
        <w:rPr>
          <w:rFonts w:ascii="Times New Roman" w:hAnsi="Times New Roman" w:cs="Times New Roman"/>
        </w:rPr>
        <w:t>. Updated Edition. New York, NY: Harper Perennial, 2014. (originally 1988)</w:t>
      </w:r>
      <w:r w:rsidRPr="00CD6788">
        <w:rPr>
          <w:rFonts w:ascii="Times New Roman" w:hAnsi="Times New Roman" w:cs="Times New Roman"/>
        </w:rPr>
        <w:t xml:space="preserve">; </w:t>
      </w:r>
      <w:r w:rsidR="00690E8E" w:rsidRPr="00CD6788">
        <w:rPr>
          <w:rFonts w:ascii="Times New Roman" w:hAnsi="Times New Roman" w:cs="Times New Roman"/>
        </w:rPr>
        <w:t>F</w:t>
      </w:r>
      <w:r w:rsidRPr="00CD6788">
        <w:rPr>
          <w:rFonts w:ascii="Times New Roman" w:hAnsi="Times New Roman" w:cs="Times New Roman"/>
        </w:rPr>
        <w:t>itzgerald</w:t>
      </w:r>
      <w:r w:rsidR="007F1CDA">
        <w:rPr>
          <w:rFonts w:ascii="Times New Roman" w:hAnsi="Times New Roman" w:cs="Times New Roman"/>
        </w:rPr>
        <w:t xml:space="preserve">, </w:t>
      </w:r>
      <w:r w:rsidR="007F1CDA">
        <w:rPr>
          <w:rFonts w:ascii="Times New Roman" w:hAnsi="Times New Roman" w:cs="Times New Roman"/>
          <w:i/>
          <w:iCs/>
        </w:rPr>
        <w:t>Splendid Failure</w:t>
      </w:r>
      <w:r w:rsidRPr="00CD6788">
        <w:rPr>
          <w:rFonts w:ascii="Times New Roman" w:hAnsi="Times New Roman" w:cs="Times New Roman"/>
        </w:rPr>
        <w:t xml:space="preserve">; </w:t>
      </w:r>
      <w:r w:rsidR="00690E8E" w:rsidRPr="00CD6788">
        <w:rPr>
          <w:rFonts w:ascii="Times New Roman" w:hAnsi="Times New Roman" w:cs="Times New Roman"/>
        </w:rPr>
        <w:t>Leigh</w:t>
      </w:r>
      <w:r w:rsidR="007F1CDA">
        <w:rPr>
          <w:rFonts w:ascii="Times New Roman" w:hAnsi="Times New Roman" w:cs="Times New Roman"/>
        </w:rPr>
        <w:t xml:space="preserve">, </w:t>
      </w:r>
      <w:r w:rsidR="007F1CDA">
        <w:rPr>
          <w:rFonts w:ascii="Times New Roman" w:hAnsi="Times New Roman" w:cs="Times New Roman"/>
          <w:i/>
          <w:iCs/>
        </w:rPr>
        <w:t>U.S. Grant’s Failed Presidency</w:t>
      </w:r>
    </w:p>
  </w:footnote>
  <w:footnote w:id="1547">
    <w:p w14:paraId="7E47D876" w14:textId="6BF1C715" w:rsidR="00360BFB" w:rsidRPr="007F5375" w:rsidRDefault="00360BFB" w:rsidP="007F537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27261C">
        <w:rPr>
          <w:rFonts w:ascii="Times New Roman" w:hAnsi="Times New Roman" w:cs="Times New Roman"/>
        </w:rPr>
        <w:t xml:space="preserve">Mark Wahlgren </w:t>
      </w:r>
      <w:r w:rsidR="0027261C" w:rsidRPr="0027261C">
        <w:rPr>
          <w:rFonts w:ascii="Times New Roman" w:hAnsi="Times New Roman" w:cs="Times New Roman"/>
        </w:rPr>
        <w:t xml:space="preserve">Summers, </w:t>
      </w:r>
      <w:r w:rsidR="0027261C" w:rsidRPr="0027261C">
        <w:rPr>
          <w:rFonts w:ascii="Times New Roman" w:hAnsi="Times New Roman" w:cs="Times New Roman"/>
          <w:i/>
          <w:iCs/>
        </w:rPr>
        <w:t>The Era of Good Stealings</w:t>
      </w:r>
      <w:r w:rsidR="0027261C" w:rsidRPr="0027261C">
        <w:rPr>
          <w:rFonts w:ascii="Times New Roman" w:hAnsi="Times New Roman" w:cs="Times New Roman"/>
        </w:rPr>
        <w:t>. New York, NY: Oxford University, 1993;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27261C" w:rsidRPr="0027261C">
        <w:rPr>
          <w:rFonts w:ascii="Times New Roman" w:hAnsi="Times New Roman" w:cs="Times New Roman"/>
        </w:rPr>
        <w:t xml:space="preserve">; </w:t>
      </w:r>
      <w:r w:rsidR="00646A00">
        <w:rPr>
          <w:rFonts w:ascii="Times New Roman" w:hAnsi="Times New Roman" w:cs="Times New Roman"/>
        </w:rPr>
        <w:t xml:space="preserve">Stephen </w:t>
      </w:r>
      <w:r w:rsidR="00646A00" w:rsidRPr="00646A00">
        <w:rPr>
          <w:rFonts w:ascii="Times New Roman" w:hAnsi="Times New Roman" w:cs="Times New Roman"/>
        </w:rPr>
        <w:t xml:space="preserve">Budiansky, </w:t>
      </w:r>
      <w:r w:rsidR="00646A00" w:rsidRPr="00646A00">
        <w:rPr>
          <w:rFonts w:ascii="Times New Roman" w:hAnsi="Times New Roman" w:cs="Times New Roman"/>
          <w:i/>
          <w:iCs/>
        </w:rPr>
        <w:t>The Bloody Shirt: Terror after Appomattox</w:t>
      </w:r>
      <w:r w:rsidR="00646A00" w:rsidRPr="00646A00">
        <w:rPr>
          <w:rFonts w:ascii="Times New Roman" w:hAnsi="Times New Roman" w:cs="Times New Roman"/>
        </w:rPr>
        <w:t>. New York: Viking Press, 2008</w:t>
      </w:r>
      <w:r w:rsidR="00646A00">
        <w:rPr>
          <w:rFonts w:ascii="Times New Roman" w:hAnsi="Times New Roman" w:cs="Times New Roman"/>
        </w:rPr>
        <w:t xml:space="preserve">; Edward S. </w:t>
      </w:r>
      <w:r w:rsidR="00646A00" w:rsidRPr="00646A00">
        <w:rPr>
          <w:rFonts w:ascii="Times New Roman" w:hAnsi="Times New Roman" w:cs="Times New Roman"/>
        </w:rPr>
        <w:t xml:space="preserve">Cooper, </w:t>
      </w:r>
      <w:r w:rsidR="00646A00" w:rsidRPr="00646A00">
        <w:rPr>
          <w:rFonts w:ascii="Times New Roman" w:hAnsi="Times New Roman" w:cs="Times New Roman"/>
          <w:i/>
          <w:iCs/>
        </w:rPr>
        <w:t>John McDonald and the Whiskey Ring: From Thug to Grants Inner Circle</w:t>
      </w:r>
      <w:r w:rsidR="00646A00" w:rsidRPr="00646A00">
        <w:rPr>
          <w:rFonts w:ascii="Times New Roman" w:hAnsi="Times New Roman" w:cs="Times New Roman"/>
        </w:rPr>
        <w:t>. Madison: Fairleigh Dickinson University Press, 2016</w:t>
      </w:r>
      <w:r w:rsidR="00646A00">
        <w:rPr>
          <w:rFonts w:ascii="Times New Roman" w:hAnsi="Times New Roman" w:cs="Times New Roman"/>
        </w:rPr>
        <w:t xml:space="preserve">; </w:t>
      </w:r>
      <w:r w:rsidR="007F5375">
        <w:rPr>
          <w:rFonts w:ascii="Times New Roman" w:hAnsi="Times New Roman" w:cs="Times New Roman"/>
        </w:rPr>
        <w:t xml:space="preserve">John P. </w:t>
      </w:r>
      <w:r w:rsidR="007F5375" w:rsidRPr="007F5375">
        <w:rPr>
          <w:rFonts w:ascii="Times New Roman" w:hAnsi="Times New Roman" w:cs="Times New Roman"/>
        </w:rPr>
        <w:t xml:space="preserve">Richardson, </w:t>
      </w:r>
      <w:r w:rsidR="007F5375" w:rsidRPr="007F5375">
        <w:rPr>
          <w:rFonts w:ascii="Times New Roman" w:hAnsi="Times New Roman" w:cs="Times New Roman"/>
          <w:i/>
          <w:iCs/>
        </w:rPr>
        <w:t>Alexander Robey Shepherd: The Man Who Built the Nation’s Capital</w:t>
      </w:r>
      <w:r w:rsidR="007F5375" w:rsidRPr="007F5375">
        <w:rPr>
          <w:rFonts w:ascii="Times New Roman" w:hAnsi="Times New Roman" w:cs="Times New Roman"/>
        </w:rPr>
        <w:t>. Athens: Ohio University Press, 2016.</w:t>
      </w:r>
    </w:p>
  </w:footnote>
  <w:footnote w:id="1548">
    <w:p w14:paraId="25482ABE" w14:textId="48705953" w:rsidR="00360BFB" w:rsidRPr="00196339" w:rsidRDefault="00360BFB" w:rsidP="00196339">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196339">
        <w:rPr>
          <w:rFonts w:ascii="Times New Roman" w:hAnsi="Times New Roman" w:cs="Times New Roman"/>
        </w:rPr>
        <w:t xml:space="preserve">Ari </w:t>
      </w:r>
      <w:r w:rsidR="00196339" w:rsidRPr="00196339">
        <w:rPr>
          <w:rFonts w:ascii="Times New Roman" w:hAnsi="Times New Roman" w:cs="Times New Roman"/>
        </w:rPr>
        <w:t xml:space="preserve">Hoogenboom, </w:t>
      </w:r>
      <w:r w:rsidR="00196339" w:rsidRPr="00196339">
        <w:rPr>
          <w:rFonts w:ascii="Times New Roman" w:hAnsi="Times New Roman" w:cs="Times New Roman"/>
          <w:i/>
          <w:iCs/>
        </w:rPr>
        <w:t>Outlawing the Spoils: A History of the Civil Service Reform Movement, 1865-1883</w:t>
      </w:r>
      <w:r w:rsidR="00196339" w:rsidRPr="00196339">
        <w:rPr>
          <w:rFonts w:ascii="Times New Roman" w:hAnsi="Times New Roman" w:cs="Times New Roman"/>
        </w:rPr>
        <w:t>. Champaign, IL: University of Illinois Press, 1961</w:t>
      </w:r>
      <w:r w:rsidR="00196339">
        <w:rPr>
          <w:rFonts w:ascii="Times New Roman" w:hAnsi="Times New Roman" w:cs="Times New Roman"/>
        </w:rPr>
        <w:t xml:space="preserve">; Ari Hoogenboom, “Thomas Jenckes and Civil Service Reform,” </w:t>
      </w:r>
      <w:r w:rsidR="00196339">
        <w:rPr>
          <w:rFonts w:ascii="Times New Roman" w:hAnsi="Times New Roman" w:cs="Times New Roman"/>
          <w:i/>
          <w:iCs/>
        </w:rPr>
        <w:t>Mississippi Valley Historical Review</w:t>
      </w:r>
      <w:r w:rsidR="00196339">
        <w:rPr>
          <w:rFonts w:ascii="Times New Roman" w:hAnsi="Times New Roman" w:cs="Times New Roman"/>
        </w:rPr>
        <w:t>, vol 47, no 4 (March 1961): 636-658.</w:t>
      </w:r>
    </w:p>
  </w:footnote>
  <w:footnote w:id="1549">
    <w:p w14:paraId="5C9C88DF" w14:textId="18A2ECA8" w:rsidR="00360BFB" w:rsidRPr="00FE04A5" w:rsidRDefault="00360BFB" w:rsidP="00FE04A5">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E04A5">
        <w:rPr>
          <w:rFonts w:ascii="Times New Roman" w:hAnsi="Times New Roman" w:cs="Times New Roman"/>
        </w:rPr>
        <w:t>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FE04A5">
        <w:rPr>
          <w:rFonts w:ascii="Times New Roman" w:hAnsi="Times New Roman" w:cs="Times New Roman"/>
        </w:rPr>
        <w:t xml:space="preserve">; Hoogenboom, </w:t>
      </w:r>
      <w:r w:rsidR="00FE04A5">
        <w:rPr>
          <w:rFonts w:ascii="Times New Roman" w:hAnsi="Times New Roman" w:cs="Times New Roman"/>
          <w:i/>
          <w:iCs/>
        </w:rPr>
        <w:t>Outlawing the Spoils</w:t>
      </w:r>
      <w:r w:rsidR="00FE04A5">
        <w:rPr>
          <w:rFonts w:ascii="Times New Roman" w:hAnsi="Times New Roman" w:cs="Times New Roman"/>
        </w:rPr>
        <w:t xml:space="preserve">; </w:t>
      </w:r>
      <w:r w:rsidR="00FE04A5" w:rsidRPr="00FE04A5">
        <w:rPr>
          <w:rFonts w:ascii="Times New Roman" w:hAnsi="Times New Roman" w:cs="Times New Roman"/>
        </w:rPr>
        <w:t xml:space="preserve">United States Civil Service Commission. </w:t>
      </w:r>
      <w:r w:rsidR="00FE04A5" w:rsidRPr="00FE04A5">
        <w:rPr>
          <w:rFonts w:ascii="Times New Roman" w:hAnsi="Times New Roman" w:cs="Times New Roman"/>
          <w:i/>
          <w:iCs/>
        </w:rPr>
        <w:t>History of the Federal Civil Service, 1789 to the Present</w:t>
      </w:r>
      <w:r w:rsidR="00FE04A5" w:rsidRPr="00FE04A5">
        <w:rPr>
          <w:rFonts w:ascii="Times New Roman" w:hAnsi="Times New Roman" w:cs="Times New Roman"/>
        </w:rPr>
        <w:t>. Washington, DC: United States Government Printing Office, 1941</w:t>
      </w:r>
      <w:r w:rsidR="00FE04A5">
        <w:rPr>
          <w:rFonts w:ascii="Times New Roman" w:hAnsi="Times New Roman" w:cs="Times New Roman"/>
        </w:rPr>
        <w:t xml:space="preserve">; </w:t>
      </w:r>
      <w:r w:rsidR="00FE04A5" w:rsidRPr="00FE04A5">
        <w:rPr>
          <w:rFonts w:ascii="Times New Roman" w:hAnsi="Times New Roman" w:cs="Times New Roman"/>
        </w:rPr>
        <w:t xml:space="preserve">Paul Van Riper, </w:t>
      </w:r>
      <w:r w:rsidR="00FE04A5" w:rsidRPr="00FE04A5">
        <w:rPr>
          <w:rFonts w:ascii="Times New Roman" w:hAnsi="Times New Roman" w:cs="Times New Roman"/>
          <w:i/>
          <w:iCs/>
        </w:rPr>
        <w:t>History of the United States Civil Service</w:t>
      </w:r>
      <w:r w:rsidR="00FE04A5" w:rsidRPr="00FE04A5">
        <w:rPr>
          <w:rFonts w:ascii="Times New Roman" w:hAnsi="Times New Roman" w:cs="Times New Roman"/>
        </w:rPr>
        <w:t>. Westport, CT: Greenwood Press, 1958.</w:t>
      </w:r>
    </w:p>
  </w:footnote>
  <w:footnote w:id="1550">
    <w:p w14:paraId="7C3BC8A5" w14:textId="096F0CFC" w:rsidR="00360BFB" w:rsidRPr="00552BFB" w:rsidRDefault="00360BFB" w:rsidP="00360BFB">
      <w:pPr>
        <w:pStyle w:val="FootnoteText"/>
        <w:rPr>
          <w:rFonts w:ascii="Times New Roman" w:hAnsi="Times New Roman" w:cs="Times New Roman"/>
          <w:i/>
          <w:iCs/>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E04A5">
        <w:rPr>
          <w:rFonts w:ascii="Times New Roman" w:hAnsi="Times New Roman" w:cs="Times New Roman"/>
        </w:rPr>
        <w:t>Ibid: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FE04A5">
        <w:rPr>
          <w:rFonts w:ascii="Times New Roman" w:hAnsi="Times New Roman" w:cs="Times New Roman"/>
        </w:rPr>
        <w:t>; Brands</w:t>
      </w:r>
      <w:r w:rsidR="0031523D">
        <w:rPr>
          <w:rFonts w:ascii="Times New Roman" w:hAnsi="Times New Roman" w:cs="Times New Roman"/>
        </w:rPr>
        <w:t xml:space="preserve">, </w:t>
      </w:r>
      <w:r w:rsidR="0031523D" w:rsidRPr="002318C9">
        <w:rPr>
          <w:rFonts w:ascii="Times New Roman" w:hAnsi="Times New Roman" w:cs="Times New Roman"/>
          <w:i/>
          <w:iCs/>
        </w:rPr>
        <w:t>Man Who Saved The Union</w:t>
      </w:r>
      <w:r w:rsidR="00FE04A5">
        <w:rPr>
          <w:rFonts w:ascii="Times New Roman" w:hAnsi="Times New Roman" w:cs="Times New Roman"/>
        </w:rPr>
        <w:t>; Jean Edward Smith</w:t>
      </w:r>
      <w:r w:rsidR="00552BFB">
        <w:rPr>
          <w:rFonts w:ascii="Times New Roman" w:hAnsi="Times New Roman" w:cs="Times New Roman"/>
        </w:rPr>
        <w:t xml:space="preserve">, </w:t>
      </w:r>
      <w:r w:rsidR="00552BFB">
        <w:rPr>
          <w:rFonts w:ascii="Times New Roman" w:hAnsi="Times New Roman" w:cs="Times New Roman"/>
          <w:i/>
          <w:iCs/>
        </w:rPr>
        <w:t>Grant</w:t>
      </w:r>
    </w:p>
  </w:footnote>
  <w:footnote w:id="1551">
    <w:p w14:paraId="1C8D68E4" w14:textId="0AF4F52A"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E4A92">
        <w:rPr>
          <w:rFonts w:ascii="Times New Roman" w:hAnsi="Times New Roman" w:cs="Times New Roman"/>
        </w:rPr>
        <w:t xml:space="preserve">Thomas S. </w:t>
      </w:r>
      <w:r w:rsidR="00DE4A92" w:rsidRPr="00DE4A92">
        <w:rPr>
          <w:rFonts w:ascii="Times New Roman" w:hAnsi="Times New Roman" w:cs="Times New Roman"/>
        </w:rPr>
        <w:t xml:space="preserve">Mach, </w:t>
      </w:r>
      <w:r w:rsidR="00DE4A92" w:rsidRPr="00DE4A92">
        <w:rPr>
          <w:rFonts w:ascii="Times New Roman" w:hAnsi="Times New Roman" w:cs="Times New Roman"/>
          <w:i/>
          <w:iCs/>
        </w:rPr>
        <w:t>“Gentleman George” Hunt Pendleton: Party Politics and Ideological Identity in Nineteenth-Century America</w:t>
      </w:r>
      <w:r w:rsidR="00DE4A92" w:rsidRPr="00DE4A92">
        <w:rPr>
          <w:rFonts w:ascii="Times New Roman" w:hAnsi="Times New Roman" w:cs="Times New Roman"/>
        </w:rPr>
        <w:t>. Kent, OH: Kent State University Press, 2007</w:t>
      </w:r>
      <w:r w:rsidR="00DE4A92">
        <w:rPr>
          <w:rFonts w:ascii="Times New Roman" w:hAnsi="Times New Roman" w:cs="Times New Roman"/>
        </w:rPr>
        <w:t xml:space="preserve">; </w:t>
      </w:r>
      <w:r w:rsidR="00DE4A92" w:rsidRPr="00DE4A92">
        <w:rPr>
          <w:rFonts w:ascii="Times New Roman" w:hAnsi="Times New Roman" w:cs="Times New Roman"/>
        </w:rPr>
        <w:t xml:space="preserve">Hoogenboom, </w:t>
      </w:r>
      <w:r w:rsidR="00DE4A92" w:rsidRPr="00DE4A92">
        <w:rPr>
          <w:rFonts w:ascii="Times New Roman" w:hAnsi="Times New Roman" w:cs="Times New Roman"/>
          <w:i/>
          <w:iCs/>
        </w:rPr>
        <w:t>Outlawing the Spoils</w:t>
      </w:r>
      <w:r w:rsidR="00DE4A92" w:rsidRPr="00DE4A92">
        <w:rPr>
          <w:rFonts w:ascii="Times New Roman" w:hAnsi="Times New Roman" w:cs="Times New Roman"/>
        </w:rPr>
        <w:t xml:space="preserve">; United States Civil Service Commission. </w:t>
      </w:r>
      <w:r w:rsidR="00DE4A92" w:rsidRPr="00DE4A92">
        <w:rPr>
          <w:rFonts w:ascii="Times New Roman" w:hAnsi="Times New Roman" w:cs="Times New Roman"/>
          <w:i/>
          <w:iCs/>
        </w:rPr>
        <w:t>History of the Federal Civil Service, 1789 to the Present</w:t>
      </w:r>
      <w:r w:rsidR="00DE4A92" w:rsidRPr="00DE4A92">
        <w:rPr>
          <w:rFonts w:ascii="Times New Roman" w:hAnsi="Times New Roman" w:cs="Times New Roman"/>
        </w:rPr>
        <w:t xml:space="preserve">; Paul </w:t>
      </w:r>
      <w:r w:rsidR="00DE4A92" w:rsidRPr="00FE04A5">
        <w:rPr>
          <w:rFonts w:ascii="Times New Roman" w:hAnsi="Times New Roman" w:cs="Times New Roman"/>
        </w:rPr>
        <w:t xml:space="preserve">Van Riper, </w:t>
      </w:r>
      <w:r w:rsidR="00DE4A92" w:rsidRPr="00FE04A5">
        <w:rPr>
          <w:rFonts w:ascii="Times New Roman" w:hAnsi="Times New Roman" w:cs="Times New Roman"/>
          <w:i/>
          <w:iCs/>
        </w:rPr>
        <w:t>History of the United States Civil Service</w:t>
      </w:r>
      <w:r w:rsidR="00DE4A92" w:rsidRPr="00FE04A5">
        <w:rPr>
          <w:rFonts w:ascii="Times New Roman" w:hAnsi="Times New Roman" w:cs="Times New Roman"/>
        </w:rPr>
        <w:t>.</w:t>
      </w:r>
    </w:p>
  </w:footnote>
  <w:footnote w:id="1552">
    <w:p w14:paraId="77FDAB8C" w14:textId="3A1F7906"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A00DA">
        <w:rPr>
          <w:rFonts w:ascii="Times New Roman" w:hAnsi="Times New Roman" w:cs="Times New Roman"/>
        </w:rPr>
        <w:t>Ibid</w:t>
      </w:r>
    </w:p>
  </w:footnote>
  <w:footnote w:id="1553">
    <w:p w14:paraId="59AB06F4" w14:textId="446312E5"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DE4A92">
        <w:rPr>
          <w:rFonts w:ascii="Times New Roman" w:hAnsi="Times New Roman" w:cs="Times New Roman"/>
        </w:rPr>
        <w:t>For examples of histories of Grant that relegate Babcock to the periphery, consider: Calhoun</w:t>
      </w:r>
      <w:r w:rsidR="000A495E">
        <w:rPr>
          <w:rFonts w:ascii="Times New Roman" w:hAnsi="Times New Roman" w:cs="Times New Roman"/>
        </w:rPr>
        <w:t xml:space="preserve">, </w:t>
      </w:r>
      <w:r w:rsidR="000A495E" w:rsidRPr="002318C9">
        <w:rPr>
          <w:rFonts w:ascii="Times New Roman" w:hAnsi="Times New Roman" w:cs="Times New Roman"/>
          <w:i/>
          <w:iCs/>
        </w:rPr>
        <w:t>The Presidency of Ulysses S. Grant</w:t>
      </w:r>
      <w:r w:rsidR="00DE4A92">
        <w:rPr>
          <w:rFonts w:ascii="Times New Roman" w:hAnsi="Times New Roman" w:cs="Times New Roman"/>
        </w:rPr>
        <w:t>; Chernow</w:t>
      </w:r>
      <w:r w:rsidR="0031523D">
        <w:rPr>
          <w:rFonts w:ascii="Times New Roman" w:hAnsi="Times New Roman" w:cs="Times New Roman"/>
        </w:rPr>
        <w:t xml:space="preserve">, </w:t>
      </w:r>
      <w:r w:rsidR="0031523D" w:rsidRPr="002318C9">
        <w:rPr>
          <w:rFonts w:ascii="Times New Roman" w:hAnsi="Times New Roman" w:cs="Times New Roman"/>
          <w:i/>
          <w:iCs/>
        </w:rPr>
        <w:t>Grant</w:t>
      </w:r>
      <w:r w:rsidR="00DE4A92">
        <w:rPr>
          <w:rFonts w:ascii="Times New Roman" w:hAnsi="Times New Roman" w:cs="Times New Roman"/>
        </w:rPr>
        <w:t>; Brands</w:t>
      </w:r>
      <w:r w:rsidR="0031523D">
        <w:rPr>
          <w:rFonts w:ascii="Times New Roman" w:hAnsi="Times New Roman" w:cs="Times New Roman"/>
        </w:rPr>
        <w:t xml:space="preserve">, </w:t>
      </w:r>
      <w:r w:rsidR="0031523D" w:rsidRPr="002318C9">
        <w:rPr>
          <w:rFonts w:ascii="Times New Roman" w:hAnsi="Times New Roman" w:cs="Times New Roman"/>
          <w:i/>
          <w:iCs/>
        </w:rPr>
        <w:t>Man Who Saved The Union</w:t>
      </w:r>
      <w:r w:rsidR="00DE4A92">
        <w:rPr>
          <w:rFonts w:ascii="Times New Roman" w:hAnsi="Times New Roman" w:cs="Times New Roman"/>
        </w:rPr>
        <w:t>; Jean Edward Smith</w:t>
      </w:r>
      <w:r w:rsidR="00552BFB">
        <w:rPr>
          <w:rFonts w:ascii="Times New Roman" w:hAnsi="Times New Roman" w:cs="Times New Roman"/>
        </w:rPr>
        <w:t xml:space="preserve">, </w:t>
      </w:r>
      <w:r w:rsidR="00552BFB">
        <w:rPr>
          <w:rFonts w:ascii="Times New Roman" w:hAnsi="Times New Roman" w:cs="Times New Roman"/>
          <w:i/>
          <w:iCs/>
        </w:rPr>
        <w:t>Grant</w:t>
      </w:r>
      <w:r w:rsidR="00DE4A92">
        <w:rPr>
          <w:rFonts w:ascii="Times New Roman" w:hAnsi="Times New Roman" w:cs="Times New Roman"/>
        </w:rPr>
        <w:t>; Ronald White</w:t>
      </w:r>
      <w:r w:rsidR="009A68A0">
        <w:rPr>
          <w:rFonts w:ascii="Times New Roman" w:hAnsi="Times New Roman" w:cs="Times New Roman"/>
        </w:rPr>
        <w:t xml:space="preserve">, </w:t>
      </w:r>
      <w:r w:rsidR="009A68A0" w:rsidRPr="002318C9">
        <w:rPr>
          <w:rFonts w:ascii="Times New Roman" w:hAnsi="Times New Roman" w:cs="Times New Roman"/>
          <w:i/>
          <w:iCs/>
        </w:rPr>
        <w:t>American Ulysses</w:t>
      </w:r>
      <w:r w:rsidR="00DE4A92">
        <w:rPr>
          <w:rFonts w:ascii="Times New Roman" w:hAnsi="Times New Roman" w:cs="Times New Roman"/>
        </w:rPr>
        <w:t>; McFeely</w:t>
      </w:r>
      <w:r w:rsidR="0031523D">
        <w:rPr>
          <w:rFonts w:ascii="Times New Roman" w:hAnsi="Times New Roman" w:cs="Times New Roman"/>
        </w:rPr>
        <w:t xml:space="preserve">, </w:t>
      </w:r>
      <w:r w:rsidR="0031523D" w:rsidRPr="002318C9">
        <w:rPr>
          <w:rFonts w:ascii="Times New Roman" w:hAnsi="Times New Roman" w:cs="Times New Roman"/>
          <w:i/>
          <w:iCs/>
        </w:rPr>
        <w:t>Grant</w:t>
      </w:r>
    </w:p>
  </w:footnote>
  <w:footnote w:id="1554">
    <w:p w14:paraId="1136AA77" w14:textId="077BDBD7" w:rsidR="00360BFB" w:rsidRPr="009E5F5A" w:rsidRDefault="00360BFB" w:rsidP="009E5F5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E5F5A">
        <w:rPr>
          <w:rFonts w:ascii="Times New Roman" w:hAnsi="Times New Roman" w:cs="Times New Roman"/>
        </w:rPr>
        <w:t xml:space="preserve">Ulysses S. </w:t>
      </w:r>
      <w:r w:rsidR="009E5F5A" w:rsidRPr="009E5F5A">
        <w:rPr>
          <w:rFonts w:ascii="Times New Roman" w:hAnsi="Times New Roman" w:cs="Times New Roman"/>
        </w:rPr>
        <w:t xml:space="preserve">Grant and John F. Marszalek, ed. with David S. Nolan and Louie P. Gallo. </w:t>
      </w:r>
      <w:r w:rsidR="009E5F5A" w:rsidRPr="009E5F5A">
        <w:rPr>
          <w:rFonts w:ascii="Times New Roman" w:hAnsi="Times New Roman" w:cs="Times New Roman"/>
          <w:i/>
          <w:iCs/>
        </w:rPr>
        <w:t>The Personal Memoirs of Ulysses S. Grant</w:t>
      </w:r>
      <w:r w:rsidR="009E5F5A" w:rsidRPr="009E5F5A">
        <w:rPr>
          <w:rFonts w:ascii="Times New Roman" w:hAnsi="Times New Roman" w:cs="Times New Roman"/>
        </w:rPr>
        <w:t>. The Complete Annotated Edition. Cambridge, MA: Belknap Press, 2017.</w:t>
      </w:r>
      <w:r w:rsidR="009E5F5A">
        <w:rPr>
          <w:rFonts w:ascii="Times New Roman" w:hAnsi="Times New Roman" w:cs="Times New Roman"/>
        </w:rPr>
        <w:t xml:space="preserve"> </w:t>
      </w:r>
      <w:r w:rsidR="007B5A11">
        <w:rPr>
          <w:rFonts w:ascii="Times New Roman" w:hAnsi="Times New Roman" w:cs="Times New Roman"/>
        </w:rPr>
        <w:t>547, 720.</w:t>
      </w:r>
    </w:p>
  </w:footnote>
  <w:footnote w:id="1555">
    <w:p w14:paraId="79365950" w14:textId="5E3D6D57" w:rsidR="00360BFB" w:rsidRPr="009F07DA" w:rsidRDefault="00360BFB" w:rsidP="009F07DA">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9F07DA">
        <w:rPr>
          <w:rFonts w:ascii="Times New Roman" w:hAnsi="Times New Roman" w:cs="Times New Roman"/>
        </w:rPr>
        <w:t>For recent histories that portray Orville Babcock as a major political player, consider: Cooper</w:t>
      </w:r>
      <w:r w:rsidR="00714FF4">
        <w:rPr>
          <w:rFonts w:ascii="Times New Roman" w:hAnsi="Times New Roman" w:cs="Times New Roman"/>
        </w:rPr>
        <w:t xml:space="preserve">, </w:t>
      </w:r>
      <w:r w:rsidR="00714FF4" w:rsidRPr="00597954">
        <w:rPr>
          <w:rFonts w:ascii="Times New Roman" w:hAnsi="Times New Roman" w:cs="Times New Roman"/>
          <w:i/>
          <w:iCs/>
        </w:rPr>
        <w:t>McDonald and the Whiskey Ring</w:t>
      </w:r>
      <w:r w:rsidR="009F07DA">
        <w:rPr>
          <w:rFonts w:ascii="Times New Roman" w:hAnsi="Times New Roman" w:cs="Times New Roman"/>
        </w:rPr>
        <w:t xml:space="preserve">; Ryan </w:t>
      </w:r>
      <w:r w:rsidR="009F07DA" w:rsidRPr="009F07DA">
        <w:rPr>
          <w:rFonts w:ascii="Times New Roman" w:hAnsi="Times New Roman" w:cs="Times New Roman"/>
        </w:rPr>
        <w:t xml:space="preserve">Semmes, </w:t>
      </w:r>
      <w:r w:rsidR="009F07DA" w:rsidRPr="009F07DA">
        <w:rPr>
          <w:rFonts w:ascii="Times New Roman" w:hAnsi="Times New Roman" w:cs="Times New Roman"/>
          <w:i/>
          <w:iCs/>
        </w:rPr>
        <w:t>Exporting Reconstruction: Ulysses S. Grant and a New Empire of Liberty</w:t>
      </w:r>
      <w:r w:rsidR="009F07DA" w:rsidRPr="009F07DA">
        <w:rPr>
          <w:rFonts w:ascii="Times New Roman" w:hAnsi="Times New Roman" w:cs="Times New Roman"/>
        </w:rPr>
        <w:t>. Columbia, SC: University of South Carolina Press, 2024</w:t>
      </w:r>
      <w:r w:rsidR="00A02125">
        <w:rPr>
          <w:rFonts w:ascii="Times New Roman" w:hAnsi="Times New Roman" w:cs="Times New Roman"/>
        </w:rPr>
        <w:t>.</w:t>
      </w:r>
    </w:p>
  </w:footnote>
  <w:footnote w:id="1556">
    <w:p w14:paraId="350D5A35"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There are collections of personal papers for Babcock at both the Newberry Library in Chicago and the Ulysses S. Grant Presidential Library in Starkville, MS. This statement is not meant to be a commentary on either of these fine institutions as they have done a fantastic job preserving the documents they could. This is instead a comment on Babcock’s awareness of his misdeeds and his desire not to be caught, as is seen throughout this dissertation by his efforts to send messages as covertly as possible.</w:t>
      </w:r>
    </w:p>
  </w:footnote>
  <w:footnote w:id="1557">
    <w:p w14:paraId="5C4A7EBD" w14:textId="691E114A"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w:t>
      </w:r>
      <w:r w:rsidR="00F20150" w:rsidRPr="00F20150">
        <w:rPr>
          <w:rFonts w:ascii="Times New Roman" w:hAnsi="Times New Roman" w:cs="Times New Roman"/>
        </w:rPr>
        <w:t>Ruthie Cooney, “The National Mall Was Once Home to a Huge Government Fish Farm That Wreaked Havoc on US Fisheries,” Boundary Stones, November 4, 2022</w:t>
      </w:r>
      <w:r w:rsidRPr="002318C9">
        <w:rPr>
          <w:rFonts w:ascii="Times New Roman" w:hAnsi="Times New Roman" w:cs="Times New Roman"/>
        </w:rPr>
        <w:t xml:space="preserve">; “The Danger from the Lake: Why Col. Casey wants the Carp Pond Filled Up,” </w:t>
      </w:r>
      <w:r w:rsidR="007D6547">
        <w:rPr>
          <w:rFonts w:ascii="Times New Roman" w:hAnsi="Times New Roman" w:cs="Times New Roman"/>
          <w:i/>
          <w:iCs/>
        </w:rPr>
        <w:t xml:space="preserve">Washington </w:t>
      </w:r>
      <w:r w:rsidRPr="002318C9">
        <w:rPr>
          <w:rFonts w:ascii="Times New Roman" w:hAnsi="Times New Roman" w:cs="Times New Roman"/>
          <w:i/>
          <w:iCs/>
        </w:rPr>
        <w:t xml:space="preserve">Evening Star, </w:t>
      </w:r>
      <w:r w:rsidRPr="002318C9">
        <w:rPr>
          <w:rFonts w:ascii="Times New Roman" w:hAnsi="Times New Roman" w:cs="Times New Roman"/>
        </w:rPr>
        <w:t>February 21, 1885</w:t>
      </w:r>
    </w:p>
  </w:footnote>
  <w:footnote w:id="1558">
    <w:p w14:paraId="30ED108C" w14:textId="3055EED3"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Cooney</w:t>
      </w:r>
      <w:r w:rsidR="007F1CDA">
        <w:rPr>
          <w:rFonts w:ascii="Times New Roman" w:hAnsi="Times New Roman" w:cs="Times New Roman"/>
        </w:rPr>
        <w:t>, “The National Mall…”</w:t>
      </w:r>
      <w:r w:rsidRPr="002318C9">
        <w:rPr>
          <w:rFonts w:ascii="Times New Roman" w:hAnsi="Times New Roman" w:cs="Times New Roman"/>
        </w:rPr>
        <w:t xml:space="preserve">; “The Danger from the Lake”; “Bits of Local News,” </w:t>
      </w:r>
      <w:r w:rsidRPr="002318C9">
        <w:rPr>
          <w:rFonts w:ascii="Times New Roman" w:hAnsi="Times New Roman" w:cs="Times New Roman"/>
          <w:i/>
          <w:iCs/>
        </w:rPr>
        <w:t xml:space="preserve">The Washington Post, </w:t>
      </w:r>
      <w:r w:rsidRPr="002318C9">
        <w:rPr>
          <w:rFonts w:ascii="Times New Roman" w:hAnsi="Times New Roman" w:cs="Times New Roman"/>
        </w:rPr>
        <w:t>January 19, 1887</w:t>
      </w:r>
    </w:p>
  </w:footnote>
  <w:footnote w:id="1559">
    <w:p w14:paraId="11A09651" w14:textId="77777777"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Ibid</w:t>
      </w:r>
    </w:p>
  </w:footnote>
  <w:footnote w:id="1560">
    <w:p w14:paraId="58B35187" w14:textId="29238B14" w:rsidR="00360BFB" w:rsidRPr="002318C9" w:rsidRDefault="00360BFB" w:rsidP="00360BFB">
      <w:pPr>
        <w:pStyle w:val="FootnoteText"/>
        <w:rPr>
          <w:rFonts w:ascii="Times New Roman" w:hAnsi="Times New Roman" w:cs="Times New Roman"/>
        </w:rPr>
      </w:pPr>
      <w:r w:rsidRPr="002318C9">
        <w:rPr>
          <w:rStyle w:val="FootnoteReference"/>
          <w:rFonts w:ascii="Times New Roman" w:hAnsi="Times New Roman" w:cs="Times New Roman"/>
        </w:rPr>
        <w:footnoteRef/>
      </w:r>
      <w:r w:rsidRPr="002318C9">
        <w:rPr>
          <w:rFonts w:ascii="Times New Roman" w:hAnsi="Times New Roman" w:cs="Times New Roman"/>
        </w:rPr>
        <w:t xml:space="preserve"> H.V. Boynton, “The Washington Safe Burglary Conspiracy.” </w:t>
      </w:r>
      <w:r w:rsidRPr="002318C9">
        <w:rPr>
          <w:rFonts w:ascii="Times New Roman" w:hAnsi="Times New Roman" w:cs="Times New Roman"/>
          <w:i/>
          <w:iCs/>
        </w:rPr>
        <w:t>American Law Review</w:t>
      </w:r>
      <w:r w:rsidRPr="002318C9">
        <w:rPr>
          <w:rFonts w:ascii="Times New Roman" w:hAnsi="Times New Roman" w:cs="Times New Roman"/>
        </w:rPr>
        <w:t xml:space="preserve"> 11, no. 3 (April 1877): 443</w:t>
      </w:r>
      <w:r w:rsidR="008D3920">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06A1" w14:textId="13B079E6" w:rsidR="00365496" w:rsidRPr="00653CAC" w:rsidRDefault="00B22E52">
    <w:pPr>
      <w:pStyle w:val="Header"/>
      <w:jc w:val="right"/>
      <w:rPr>
        <w:rFonts w:ascii="Times New Roman" w:hAnsi="Times New Roman" w:cs="Times New Roman"/>
      </w:rPr>
    </w:pPr>
    <w:r w:rsidRPr="00B22E52">
      <w:rPr>
        <w:rFonts w:ascii="Times New Roman" w:hAnsi="Times New Roman" w:cs="Times New Roman"/>
      </w:rPr>
      <w:fldChar w:fldCharType="begin"/>
    </w:r>
    <w:r w:rsidRPr="00B22E52">
      <w:rPr>
        <w:rFonts w:ascii="Times New Roman" w:hAnsi="Times New Roman" w:cs="Times New Roman"/>
      </w:rPr>
      <w:instrText xml:space="preserve"> PAGE   \* MERGEFORMAT </w:instrText>
    </w:r>
    <w:r w:rsidRPr="00B22E52">
      <w:rPr>
        <w:rFonts w:ascii="Times New Roman" w:hAnsi="Times New Roman" w:cs="Times New Roman"/>
      </w:rPr>
      <w:fldChar w:fldCharType="separate"/>
    </w:r>
    <w:r w:rsidRPr="00B22E52">
      <w:rPr>
        <w:rFonts w:ascii="Times New Roman" w:hAnsi="Times New Roman" w:cs="Times New Roman"/>
        <w:noProof/>
      </w:rPr>
      <w:t>1</w:t>
    </w:r>
    <w:r w:rsidRPr="00B22E52">
      <w:rPr>
        <w:rFonts w:ascii="Times New Roman" w:hAnsi="Times New Roman" w:cs="Times New Roman"/>
        <w:noProof/>
      </w:rPr>
      <w:fldChar w:fldCharType="end"/>
    </w:r>
  </w:p>
  <w:p w14:paraId="49324EC0" w14:textId="77777777" w:rsidR="00365496" w:rsidRDefault="00365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5088"/>
    <w:multiLevelType w:val="hybridMultilevel"/>
    <w:tmpl w:val="4EBE5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F533E0"/>
    <w:multiLevelType w:val="multilevel"/>
    <w:tmpl w:val="92FAF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43BA7"/>
    <w:multiLevelType w:val="multilevel"/>
    <w:tmpl w:val="9016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50DC3"/>
    <w:multiLevelType w:val="hybridMultilevel"/>
    <w:tmpl w:val="502AF41C"/>
    <w:lvl w:ilvl="0" w:tplc="5EB26850">
      <w:start w:val="23"/>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B34252"/>
    <w:multiLevelType w:val="hybridMultilevel"/>
    <w:tmpl w:val="DCDEE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E9623F"/>
    <w:multiLevelType w:val="hybridMultilevel"/>
    <w:tmpl w:val="40F20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5802FF"/>
    <w:multiLevelType w:val="hybridMultilevel"/>
    <w:tmpl w:val="256E4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23661D"/>
    <w:multiLevelType w:val="hybridMultilevel"/>
    <w:tmpl w:val="59127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9A1DA0"/>
    <w:multiLevelType w:val="hybridMultilevel"/>
    <w:tmpl w:val="51DA8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F90241"/>
    <w:multiLevelType w:val="hybridMultilevel"/>
    <w:tmpl w:val="4CDE6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C175FB"/>
    <w:multiLevelType w:val="hybridMultilevel"/>
    <w:tmpl w:val="BFFEF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F901DD"/>
    <w:multiLevelType w:val="hybridMultilevel"/>
    <w:tmpl w:val="327E7F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0B444B"/>
    <w:multiLevelType w:val="hybridMultilevel"/>
    <w:tmpl w:val="78640A8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9B3101"/>
    <w:multiLevelType w:val="multilevel"/>
    <w:tmpl w:val="42F6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5841199">
    <w:abstractNumId w:val="6"/>
  </w:num>
  <w:num w:numId="2" w16cid:durableId="1551309995">
    <w:abstractNumId w:val="4"/>
  </w:num>
  <w:num w:numId="3" w16cid:durableId="180053693">
    <w:abstractNumId w:val="0"/>
  </w:num>
  <w:num w:numId="4" w16cid:durableId="825046680">
    <w:abstractNumId w:val="5"/>
  </w:num>
  <w:num w:numId="5" w16cid:durableId="415828414">
    <w:abstractNumId w:val="8"/>
  </w:num>
  <w:num w:numId="6" w16cid:durableId="1533570010">
    <w:abstractNumId w:val="9"/>
  </w:num>
  <w:num w:numId="7" w16cid:durableId="1660040914">
    <w:abstractNumId w:val="10"/>
  </w:num>
  <w:num w:numId="8" w16cid:durableId="30812655">
    <w:abstractNumId w:val="11"/>
  </w:num>
  <w:num w:numId="9" w16cid:durableId="2005665904">
    <w:abstractNumId w:val="12"/>
  </w:num>
  <w:num w:numId="10" w16cid:durableId="1734163195">
    <w:abstractNumId w:val="3"/>
  </w:num>
  <w:num w:numId="11" w16cid:durableId="1989556236">
    <w:abstractNumId w:val="1"/>
  </w:num>
  <w:num w:numId="12" w16cid:durableId="306663951">
    <w:abstractNumId w:val="13"/>
  </w:num>
  <w:num w:numId="13" w16cid:durableId="961305615">
    <w:abstractNumId w:val="2"/>
  </w:num>
  <w:num w:numId="14" w16cid:durableId="18716497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064"/>
    <w:rsid w:val="0000060F"/>
    <w:rsid w:val="00000ED5"/>
    <w:rsid w:val="000012F0"/>
    <w:rsid w:val="000016C9"/>
    <w:rsid w:val="00002639"/>
    <w:rsid w:val="00002872"/>
    <w:rsid w:val="00003F5A"/>
    <w:rsid w:val="000053D2"/>
    <w:rsid w:val="00005452"/>
    <w:rsid w:val="00005DFB"/>
    <w:rsid w:val="00007A90"/>
    <w:rsid w:val="00010649"/>
    <w:rsid w:val="000124B9"/>
    <w:rsid w:val="0001266E"/>
    <w:rsid w:val="000127A8"/>
    <w:rsid w:val="00012ADF"/>
    <w:rsid w:val="00012EC8"/>
    <w:rsid w:val="00013365"/>
    <w:rsid w:val="000144E2"/>
    <w:rsid w:val="00014806"/>
    <w:rsid w:val="00014A71"/>
    <w:rsid w:val="000163FC"/>
    <w:rsid w:val="00020423"/>
    <w:rsid w:val="00023B6E"/>
    <w:rsid w:val="0002458E"/>
    <w:rsid w:val="00025F3E"/>
    <w:rsid w:val="00026078"/>
    <w:rsid w:val="00026AE2"/>
    <w:rsid w:val="00030164"/>
    <w:rsid w:val="00030462"/>
    <w:rsid w:val="00033020"/>
    <w:rsid w:val="00033CA0"/>
    <w:rsid w:val="00035397"/>
    <w:rsid w:val="00036631"/>
    <w:rsid w:val="00037680"/>
    <w:rsid w:val="00040B01"/>
    <w:rsid w:val="0004176E"/>
    <w:rsid w:val="000426AF"/>
    <w:rsid w:val="000437D2"/>
    <w:rsid w:val="00045B1B"/>
    <w:rsid w:val="000472A7"/>
    <w:rsid w:val="000479A4"/>
    <w:rsid w:val="0005096F"/>
    <w:rsid w:val="00054FA1"/>
    <w:rsid w:val="00056016"/>
    <w:rsid w:val="00056B0F"/>
    <w:rsid w:val="00057388"/>
    <w:rsid w:val="00060B0A"/>
    <w:rsid w:val="00061428"/>
    <w:rsid w:val="000614B1"/>
    <w:rsid w:val="000619D2"/>
    <w:rsid w:val="00061B88"/>
    <w:rsid w:val="000624E1"/>
    <w:rsid w:val="0006487C"/>
    <w:rsid w:val="00065CC5"/>
    <w:rsid w:val="00066754"/>
    <w:rsid w:val="00066E62"/>
    <w:rsid w:val="00066E67"/>
    <w:rsid w:val="00070151"/>
    <w:rsid w:val="00071F06"/>
    <w:rsid w:val="000728D7"/>
    <w:rsid w:val="00073550"/>
    <w:rsid w:val="00073D30"/>
    <w:rsid w:val="0007603D"/>
    <w:rsid w:val="000761BE"/>
    <w:rsid w:val="000763C5"/>
    <w:rsid w:val="00076402"/>
    <w:rsid w:val="00076492"/>
    <w:rsid w:val="0007677C"/>
    <w:rsid w:val="000775D0"/>
    <w:rsid w:val="000776B8"/>
    <w:rsid w:val="00080EF4"/>
    <w:rsid w:val="00082CD3"/>
    <w:rsid w:val="00082D0D"/>
    <w:rsid w:val="0008318B"/>
    <w:rsid w:val="00083974"/>
    <w:rsid w:val="00085655"/>
    <w:rsid w:val="0008630C"/>
    <w:rsid w:val="00091725"/>
    <w:rsid w:val="0009284F"/>
    <w:rsid w:val="000943DC"/>
    <w:rsid w:val="0009503E"/>
    <w:rsid w:val="00095D82"/>
    <w:rsid w:val="000A0E0D"/>
    <w:rsid w:val="000A2099"/>
    <w:rsid w:val="000A2266"/>
    <w:rsid w:val="000A3D86"/>
    <w:rsid w:val="000A495E"/>
    <w:rsid w:val="000A54C3"/>
    <w:rsid w:val="000A71A6"/>
    <w:rsid w:val="000A7DDC"/>
    <w:rsid w:val="000B09BE"/>
    <w:rsid w:val="000B0F6C"/>
    <w:rsid w:val="000B16B7"/>
    <w:rsid w:val="000B1ED2"/>
    <w:rsid w:val="000B2066"/>
    <w:rsid w:val="000B5E99"/>
    <w:rsid w:val="000B793A"/>
    <w:rsid w:val="000C0699"/>
    <w:rsid w:val="000C25E2"/>
    <w:rsid w:val="000C3FAD"/>
    <w:rsid w:val="000C4584"/>
    <w:rsid w:val="000C478B"/>
    <w:rsid w:val="000C5AA8"/>
    <w:rsid w:val="000C5CDF"/>
    <w:rsid w:val="000D0F90"/>
    <w:rsid w:val="000D1198"/>
    <w:rsid w:val="000D15A4"/>
    <w:rsid w:val="000D2018"/>
    <w:rsid w:val="000D27CE"/>
    <w:rsid w:val="000D2E02"/>
    <w:rsid w:val="000D43E6"/>
    <w:rsid w:val="000D6CA4"/>
    <w:rsid w:val="000D7322"/>
    <w:rsid w:val="000D7331"/>
    <w:rsid w:val="000E1381"/>
    <w:rsid w:val="000E1CC8"/>
    <w:rsid w:val="000E31AE"/>
    <w:rsid w:val="000E3E14"/>
    <w:rsid w:val="000F058D"/>
    <w:rsid w:val="000F28DD"/>
    <w:rsid w:val="000F4928"/>
    <w:rsid w:val="0010014A"/>
    <w:rsid w:val="00101504"/>
    <w:rsid w:val="00102253"/>
    <w:rsid w:val="00102CF2"/>
    <w:rsid w:val="0010358B"/>
    <w:rsid w:val="001065DA"/>
    <w:rsid w:val="00106E44"/>
    <w:rsid w:val="00107010"/>
    <w:rsid w:val="001079A8"/>
    <w:rsid w:val="00110720"/>
    <w:rsid w:val="001107D1"/>
    <w:rsid w:val="00112362"/>
    <w:rsid w:val="0011248B"/>
    <w:rsid w:val="00113011"/>
    <w:rsid w:val="001130BD"/>
    <w:rsid w:val="00113887"/>
    <w:rsid w:val="00113BAE"/>
    <w:rsid w:val="001144A3"/>
    <w:rsid w:val="0011548B"/>
    <w:rsid w:val="00116683"/>
    <w:rsid w:val="001173F1"/>
    <w:rsid w:val="00120512"/>
    <w:rsid w:val="00120959"/>
    <w:rsid w:val="00121083"/>
    <w:rsid w:val="00121ECA"/>
    <w:rsid w:val="001230FD"/>
    <w:rsid w:val="00123B05"/>
    <w:rsid w:val="00125F27"/>
    <w:rsid w:val="00131390"/>
    <w:rsid w:val="001358EC"/>
    <w:rsid w:val="00136796"/>
    <w:rsid w:val="001369B0"/>
    <w:rsid w:val="00142C50"/>
    <w:rsid w:val="00144786"/>
    <w:rsid w:val="00144E32"/>
    <w:rsid w:val="00145DAC"/>
    <w:rsid w:val="00146429"/>
    <w:rsid w:val="0014780C"/>
    <w:rsid w:val="00147CD5"/>
    <w:rsid w:val="001501CB"/>
    <w:rsid w:val="0015099D"/>
    <w:rsid w:val="00150A65"/>
    <w:rsid w:val="00151CD7"/>
    <w:rsid w:val="00152164"/>
    <w:rsid w:val="00152D11"/>
    <w:rsid w:val="00154371"/>
    <w:rsid w:val="001546FE"/>
    <w:rsid w:val="00154E71"/>
    <w:rsid w:val="00157C72"/>
    <w:rsid w:val="0016022E"/>
    <w:rsid w:val="00163224"/>
    <w:rsid w:val="00164818"/>
    <w:rsid w:val="00164F30"/>
    <w:rsid w:val="00165307"/>
    <w:rsid w:val="00165A39"/>
    <w:rsid w:val="0016623E"/>
    <w:rsid w:val="001665A4"/>
    <w:rsid w:val="00166924"/>
    <w:rsid w:val="00171F30"/>
    <w:rsid w:val="00172267"/>
    <w:rsid w:val="00176C05"/>
    <w:rsid w:val="001773AB"/>
    <w:rsid w:val="0018028E"/>
    <w:rsid w:val="001815CB"/>
    <w:rsid w:val="00183262"/>
    <w:rsid w:val="0018336F"/>
    <w:rsid w:val="00183D77"/>
    <w:rsid w:val="00184027"/>
    <w:rsid w:val="0018431A"/>
    <w:rsid w:val="00184E1B"/>
    <w:rsid w:val="00187CB6"/>
    <w:rsid w:val="0019335B"/>
    <w:rsid w:val="00193CE7"/>
    <w:rsid w:val="0019530A"/>
    <w:rsid w:val="00195435"/>
    <w:rsid w:val="00195A31"/>
    <w:rsid w:val="00196339"/>
    <w:rsid w:val="00197776"/>
    <w:rsid w:val="00197F32"/>
    <w:rsid w:val="001A0669"/>
    <w:rsid w:val="001A08EB"/>
    <w:rsid w:val="001A15A7"/>
    <w:rsid w:val="001A2515"/>
    <w:rsid w:val="001A32FB"/>
    <w:rsid w:val="001A3385"/>
    <w:rsid w:val="001A3696"/>
    <w:rsid w:val="001A51DF"/>
    <w:rsid w:val="001A6257"/>
    <w:rsid w:val="001A6EE6"/>
    <w:rsid w:val="001A79EB"/>
    <w:rsid w:val="001B07EE"/>
    <w:rsid w:val="001B255D"/>
    <w:rsid w:val="001B335A"/>
    <w:rsid w:val="001B65C9"/>
    <w:rsid w:val="001B6A10"/>
    <w:rsid w:val="001B6D4B"/>
    <w:rsid w:val="001B6F84"/>
    <w:rsid w:val="001C0872"/>
    <w:rsid w:val="001C0ECD"/>
    <w:rsid w:val="001C2608"/>
    <w:rsid w:val="001C3334"/>
    <w:rsid w:val="001C6560"/>
    <w:rsid w:val="001C6AA9"/>
    <w:rsid w:val="001C759A"/>
    <w:rsid w:val="001D100C"/>
    <w:rsid w:val="001D1925"/>
    <w:rsid w:val="001D1D33"/>
    <w:rsid w:val="001D26A8"/>
    <w:rsid w:val="001D26D1"/>
    <w:rsid w:val="001D2BFA"/>
    <w:rsid w:val="001D5062"/>
    <w:rsid w:val="001D5FF2"/>
    <w:rsid w:val="001D769B"/>
    <w:rsid w:val="001E1393"/>
    <w:rsid w:val="001E1697"/>
    <w:rsid w:val="001E1A8D"/>
    <w:rsid w:val="001E2CE6"/>
    <w:rsid w:val="001E2EAC"/>
    <w:rsid w:val="001E4B49"/>
    <w:rsid w:val="001E7770"/>
    <w:rsid w:val="001E7C6A"/>
    <w:rsid w:val="001F141D"/>
    <w:rsid w:val="001F21A1"/>
    <w:rsid w:val="001F2E25"/>
    <w:rsid w:val="001F3E6F"/>
    <w:rsid w:val="001F4887"/>
    <w:rsid w:val="001F68D0"/>
    <w:rsid w:val="001F6A32"/>
    <w:rsid w:val="002005F4"/>
    <w:rsid w:val="0020083F"/>
    <w:rsid w:val="002013B8"/>
    <w:rsid w:val="00201AE1"/>
    <w:rsid w:val="0020298D"/>
    <w:rsid w:val="00206276"/>
    <w:rsid w:val="002079A2"/>
    <w:rsid w:val="00207D0E"/>
    <w:rsid w:val="00207DDD"/>
    <w:rsid w:val="00207EB8"/>
    <w:rsid w:val="00210577"/>
    <w:rsid w:val="00210E82"/>
    <w:rsid w:val="00213EA6"/>
    <w:rsid w:val="00215BC8"/>
    <w:rsid w:val="0021654C"/>
    <w:rsid w:val="00216C45"/>
    <w:rsid w:val="00217A5B"/>
    <w:rsid w:val="00220465"/>
    <w:rsid w:val="0022064E"/>
    <w:rsid w:val="0022204A"/>
    <w:rsid w:val="0022239E"/>
    <w:rsid w:val="00222AC4"/>
    <w:rsid w:val="00223B05"/>
    <w:rsid w:val="00224389"/>
    <w:rsid w:val="00224619"/>
    <w:rsid w:val="00226085"/>
    <w:rsid w:val="00226683"/>
    <w:rsid w:val="002307A7"/>
    <w:rsid w:val="002310C9"/>
    <w:rsid w:val="002318C9"/>
    <w:rsid w:val="00233384"/>
    <w:rsid w:val="0023669D"/>
    <w:rsid w:val="00237167"/>
    <w:rsid w:val="00237783"/>
    <w:rsid w:val="00240252"/>
    <w:rsid w:val="00240916"/>
    <w:rsid w:val="00240B11"/>
    <w:rsid w:val="00241E58"/>
    <w:rsid w:val="00243F53"/>
    <w:rsid w:val="00244A4B"/>
    <w:rsid w:val="0024515D"/>
    <w:rsid w:val="00245A83"/>
    <w:rsid w:val="00250F64"/>
    <w:rsid w:val="00251216"/>
    <w:rsid w:val="00251A11"/>
    <w:rsid w:val="00252FB0"/>
    <w:rsid w:val="002554BB"/>
    <w:rsid w:val="00255B05"/>
    <w:rsid w:val="00255F51"/>
    <w:rsid w:val="00256033"/>
    <w:rsid w:val="00261448"/>
    <w:rsid w:val="00261F3A"/>
    <w:rsid w:val="00262E56"/>
    <w:rsid w:val="002647E1"/>
    <w:rsid w:val="00264E51"/>
    <w:rsid w:val="00266668"/>
    <w:rsid w:val="002676FB"/>
    <w:rsid w:val="0027125A"/>
    <w:rsid w:val="002714D8"/>
    <w:rsid w:val="0027261C"/>
    <w:rsid w:val="00273F0B"/>
    <w:rsid w:val="00274435"/>
    <w:rsid w:val="0027483E"/>
    <w:rsid w:val="002771A3"/>
    <w:rsid w:val="002800B0"/>
    <w:rsid w:val="0028018E"/>
    <w:rsid w:val="00280A0A"/>
    <w:rsid w:val="002830B0"/>
    <w:rsid w:val="00286706"/>
    <w:rsid w:val="00286F7E"/>
    <w:rsid w:val="0028725C"/>
    <w:rsid w:val="002902FF"/>
    <w:rsid w:val="00291222"/>
    <w:rsid w:val="00293565"/>
    <w:rsid w:val="00295106"/>
    <w:rsid w:val="00297452"/>
    <w:rsid w:val="002A01CA"/>
    <w:rsid w:val="002A0A46"/>
    <w:rsid w:val="002A1BEC"/>
    <w:rsid w:val="002A2099"/>
    <w:rsid w:val="002A4F9C"/>
    <w:rsid w:val="002A5D0F"/>
    <w:rsid w:val="002A6B7D"/>
    <w:rsid w:val="002B07BC"/>
    <w:rsid w:val="002B2CED"/>
    <w:rsid w:val="002B35F2"/>
    <w:rsid w:val="002B3BFC"/>
    <w:rsid w:val="002B4CFE"/>
    <w:rsid w:val="002B6F32"/>
    <w:rsid w:val="002B7DE5"/>
    <w:rsid w:val="002C091F"/>
    <w:rsid w:val="002C20F6"/>
    <w:rsid w:val="002C2318"/>
    <w:rsid w:val="002C3485"/>
    <w:rsid w:val="002C4B77"/>
    <w:rsid w:val="002C50FD"/>
    <w:rsid w:val="002C5BD5"/>
    <w:rsid w:val="002C6F24"/>
    <w:rsid w:val="002C7456"/>
    <w:rsid w:val="002D394D"/>
    <w:rsid w:val="002D3CB5"/>
    <w:rsid w:val="002D4235"/>
    <w:rsid w:val="002D5438"/>
    <w:rsid w:val="002D684A"/>
    <w:rsid w:val="002D6F6D"/>
    <w:rsid w:val="002E2541"/>
    <w:rsid w:val="002E4064"/>
    <w:rsid w:val="002E7F67"/>
    <w:rsid w:val="002F36FF"/>
    <w:rsid w:val="002F5910"/>
    <w:rsid w:val="002F5DB2"/>
    <w:rsid w:val="002F71AB"/>
    <w:rsid w:val="002F7E3D"/>
    <w:rsid w:val="002F7E5B"/>
    <w:rsid w:val="00300215"/>
    <w:rsid w:val="00300944"/>
    <w:rsid w:val="00301723"/>
    <w:rsid w:val="00302049"/>
    <w:rsid w:val="00304750"/>
    <w:rsid w:val="003047D0"/>
    <w:rsid w:val="00307D8F"/>
    <w:rsid w:val="0031064E"/>
    <w:rsid w:val="00311697"/>
    <w:rsid w:val="00312B9E"/>
    <w:rsid w:val="0031523D"/>
    <w:rsid w:val="00315D9F"/>
    <w:rsid w:val="00315FD9"/>
    <w:rsid w:val="003162A6"/>
    <w:rsid w:val="00322292"/>
    <w:rsid w:val="00322413"/>
    <w:rsid w:val="0032341E"/>
    <w:rsid w:val="00324C35"/>
    <w:rsid w:val="003259B5"/>
    <w:rsid w:val="00326026"/>
    <w:rsid w:val="00330098"/>
    <w:rsid w:val="00332ECE"/>
    <w:rsid w:val="0033300D"/>
    <w:rsid w:val="003333D2"/>
    <w:rsid w:val="00334415"/>
    <w:rsid w:val="00335445"/>
    <w:rsid w:val="00335605"/>
    <w:rsid w:val="00336B9F"/>
    <w:rsid w:val="00341DE4"/>
    <w:rsid w:val="0034259D"/>
    <w:rsid w:val="003443C0"/>
    <w:rsid w:val="00347AFD"/>
    <w:rsid w:val="00347B34"/>
    <w:rsid w:val="00347C58"/>
    <w:rsid w:val="00350608"/>
    <w:rsid w:val="0035161C"/>
    <w:rsid w:val="00354494"/>
    <w:rsid w:val="00354731"/>
    <w:rsid w:val="00356A23"/>
    <w:rsid w:val="003576E9"/>
    <w:rsid w:val="003578B0"/>
    <w:rsid w:val="00360BFB"/>
    <w:rsid w:val="003610DB"/>
    <w:rsid w:val="003618CD"/>
    <w:rsid w:val="0036215E"/>
    <w:rsid w:val="00362309"/>
    <w:rsid w:val="00364774"/>
    <w:rsid w:val="003650FB"/>
    <w:rsid w:val="003653E0"/>
    <w:rsid w:val="0036546E"/>
    <w:rsid w:val="00365496"/>
    <w:rsid w:val="003667C0"/>
    <w:rsid w:val="00366A53"/>
    <w:rsid w:val="003677E6"/>
    <w:rsid w:val="00367BB0"/>
    <w:rsid w:val="00371A71"/>
    <w:rsid w:val="00373797"/>
    <w:rsid w:val="00375F8F"/>
    <w:rsid w:val="003768E3"/>
    <w:rsid w:val="00376C3A"/>
    <w:rsid w:val="003776CA"/>
    <w:rsid w:val="00380F37"/>
    <w:rsid w:val="00381406"/>
    <w:rsid w:val="0038267E"/>
    <w:rsid w:val="003832F6"/>
    <w:rsid w:val="00385053"/>
    <w:rsid w:val="003860FC"/>
    <w:rsid w:val="00386990"/>
    <w:rsid w:val="00386C09"/>
    <w:rsid w:val="003943A6"/>
    <w:rsid w:val="0039443A"/>
    <w:rsid w:val="003953F0"/>
    <w:rsid w:val="00395536"/>
    <w:rsid w:val="00396CFC"/>
    <w:rsid w:val="00397065"/>
    <w:rsid w:val="003A0923"/>
    <w:rsid w:val="003A3C3F"/>
    <w:rsid w:val="003A54AA"/>
    <w:rsid w:val="003A72F7"/>
    <w:rsid w:val="003B17C1"/>
    <w:rsid w:val="003B295D"/>
    <w:rsid w:val="003B2D5F"/>
    <w:rsid w:val="003B39F4"/>
    <w:rsid w:val="003B430F"/>
    <w:rsid w:val="003B43B4"/>
    <w:rsid w:val="003B5B66"/>
    <w:rsid w:val="003C006F"/>
    <w:rsid w:val="003C0DA3"/>
    <w:rsid w:val="003C3111"/>
    <w:rsid w:val="003C3B7F"/>
    <w:rsid w:val="003C3D59"/>
    <w:rsid w:val="003C44AE"/>
    <w:rsid w:val="003C524C"/>
    <w:rsid w:val="003C6A75"/>
    <w:rsid w:val="003C7BD0"/>
    <w:rsid w:val="003D14D4"/>
    <w:rsid w:val="003D23C7"/>
    <w:rsid w:val="003D3B56"/>
    <w:rsid w:val="003D5186"/>
    <w:rsid w:val="003D5E81"/>
    <w:rsid w:val="003D5FA1"/>
    <w:rsid w:val="003E19EB"/>
    <w:rsid w:val="003E23ED"/>
    <w:rsid w:val="003E25D3"/>
    <w:rsid w:val="003E4112"/>
    <w:rsid w:val="003E45F9"/>
    <w:rsid w:val="003E4A29"/>
    <w:rsid w:val="003F3CDE"/>
    <w:rsid w:val="003F5DD0"/>
    <w:rsid w:val="003F6350"/>
    <w:rsid w:val="003F6866"/>
    <w:rsid w:val="003F6AC0"/>
    <w:rsid w:val="00401862"/>
    <w:rsid w:val="00403042"/>
    <w:rsid w:val="0040358A"/>
    <w:rsid w:val="00406B6E"/>
    <w:rsid w:val="00406DFB"/>
    <w:rsid w:val="004109D5"/>
    <w:rsid w:val="00411DFF"/>
    <w:rsid w:val="00414053"/>
    <w:rsid w:val="00414ECB"/>
    <w:rsid w:val="0041553B"/>
    <w:rsid w:val="00417B60"/>
    <w:rsid w:val="00423663"/>
    <w:rsid w:val="00423E12"/>
    <w:rsid w:val="00423ECC"/>
    <w:rsid w:val="0042427E"/>
    <w:rsid w:val="00425895"/>
    <w:rsid w:val="004263EF"/>
    <w:rsid w:val="004265E9"/>
    <w:rsid w:val="0043071A"/>
    <w:rsid w:val="00430A5F"/>
    <w:rsid w:val="0043231C"/>
    <w:rsid w:val="0043302D"/>
    <w:rsid w:val="00434033"/>
    <w:rsid w:val="00434F20"/>
    <w:rsid w:val="0043552B"/>
    <w:rsid w:val="00436B6E"/>
    <w:rsid w:val="0043711F"/>
    <w:rsid w:val="004403FC"/>
    <w:rsid w:val="004404C4"/>
    <w:rsid w:val="00441536"/>
    <w:rsid w:val="00441EB0"/>
    <w:rsid w:val="00443703"/>
    <w:rsid w:val="004454F7"/>
    <w:rsid w:val="00445C47"/>
    <w:rsid w:val="00446340"/>
    <w:rsid w:val="00447A1C"/>
    <w:rsid w:val="00450798"/>
    <w:rsid w:val="00452093"/>
    <w:rsid w:val="004537C6"/>
    <w:rsid w:val="0045394C"/>
    <w:rsid w:val="00453E1C"/>
    <w:rsid w:val="00455757"/>
    <w:rsid w:val="0045627F"/>
    <w:rsid w:val="00461FF4"/>
    <w:rsid w:val="00463AB2"/>
    <w:rsid w:val="00464D3A"/>
    <w:rsid w:val="00466FFB"/>
    <w:rsid w:val="00467A8B"/>
    <w:rsid w:val="00470D91"/>
    <w:rsid w:val="00470E93"/>
    <w:rsid w:val="00474A79"/>
    <w:rsid w:val="00474C35"/>
    <w:rsid w:val="004775AE"/>
    <w:rsid w:val="004775B2"/>
    <w:rsid w:val="00480F74"/>
    <w:rsid w:val="0048227E"/>
    <w:rsid w:val="00483088"/>
    <w:rsid w:val="00483212"/>
    <w:rsid w:val="00483A1E"/>
    <w:rsid w:val="0048447A"/>
    <w:rsid w:val="00486656"/>
    <w:rsid w:val="004866E2"/>
    <w:rsid w:val="004867EE"/>
    <w:rsid w:val="00486C03"/>
    <w:rsid w:val="00490AEC"/>
    <w:rsid w:val="00492965"/>
    <w:rsid w:val="0049355E"/>
    <w:rsid w:val="004936FB"/>
    <w:rsid w:val="00493FF7"/>
    <w:rsid w:val="00495999"/>
    <w:rsid w:val="00496011"/>
    <w:rsid w:val="00496620"/>
    <w:rsid w:val="004973CB"/>
    <w:rsid w:val="004A04C2"/>
    <w:rsid w:val="004A0797"/>
    <w:rsid w:val="004A09C9"/>
    <w:rsid w:val="004A1B5E"/>
    <w:rsid w:val="004A1F72"/>
    <w:rsid w:val="004A3FE3"/>
    <w:rsid w:val="004A688B"/>
    <w:rsid w:val="004B27E4"/>
    <w:rsid w:val="004B424E"/>
    <w:rsid w:val="004B535E"/>
    <w:rsid w:val="004B6D86"/>
    <w:rsid w:val="004C11ED"/>
    <w:rsid w:val="004C12FE"/>
    <w:rsid w:val="004C2381"/>
    <w:rsid w:val="004C2BEB"/>
    <w:rsid w:val="004C3110"/>
    <w:rsid w:val="004C329C"/>
    <w:rsid w:val="004C79E7"/>
    <w:rsid w:val="004C7B81"/>
    <w:rsid w:val="004D1185"/>
    <w:rsid w:val="004D6439"/>
    <w:rsid w:val="004D7EDA"/>
    <w:rsid w:val="004E2326"/>
    <w:rsid w:val="004E2B2D"/>
    <w:rsid w:val="004E2F88"/>
    <w:rsid w:val="004E39DC"/>
    <w:rsid w:val="004E3AF8"/>
    <w:rsid w:val="004E3E3D"/>
    <w:rsid w:val="004E4290"/>
    <w:rsid w:val="004E5248"/>
    <w:rsid w:val="004E5617"/>
    <w:rsid w:val="004E6B9E"/>
    <w:rsid w:val="004F593A"/>
    <w:rsid w:val="00500BD0"/>
    <w:rsid w:val="0050173B"/>
    <w:rsid w:val="005041F4"/>
    <w:rsid w:val="00506B91"/>
    <w:rsid w:val="00506EA2"/>
    <w:rsid w:val="005076C5"/>
    <w:rsid w:val="005076DB"/>
    <w:rsid w:val="005078DF"/>
    <w:rsid w:val="00507BF6"/>
    <w:rsid w:val="0051029F"/>
    <w:rsid w:val="0051040F"/>
    <w:rsid w:val="00512D0D"/>
    <w:rsid w:val="00512EA9"/>
    <w:rsid w:val="00520929"/>
    <w:rsid w:val="005216DE"/>
    <w:rsid w:val="00523ECC"/>
    <w:rsid w:val="00524153"/>
    <w:rsid w:val="005250E0"/>
    <w:rsid w:val="00526FD4"/>
    <w:rsid w:val="00527622"/>
    <w:rsid w:val="005301FE"/>
    <w:rsid w:val="005323E4"/>
    <w:rsid w:val="00533D14"/>
    <w:rsid w:val="00534ED2"/>
    <w:rsid w:val="005351B5"/>
    <w:rsid w:val="005354CF"/>
    <w:rsid w:val="005364C1"/>
    <w:rsid w:val="0054115D"/>
    <w:rsid w:val="0054412F"/>
    <w:rsid w:val="0054441F"/>
    <w:rsid w:val="00544585"/>
    <w:rsid w:val="005446FF"/>
    <w:rsid w:val="00544B5F"/>
    <w:rsid w:val="005452D3"/>
    <w:rsid w:val="005455EB"/>
    <w:rsid w:val="005457D2"/>
    <w:rsid w:val="005459DD"/>
    <w:rsid w:val="00546564"/>
    <w:rsid w:val="00547C3B"/>
    <w:rsid w:val="00550D5B"/>
    <w:rsid w:val="005512A8"/>
    <w:rsid w:val="005516D0"/>
    <w:rsid w:val="00552BFB"/>
    <w:rsid w:val="00554474"/>
    <w:rsid w:val="005565A0"/>
    <w:rsid w:val="00557FFB"/>
    <w:rsid w:val="00560332"/>
    <w:rsid w:val="005606C4"/>
    <w:rsid w:val="0056180F"/>
    <w:rsid w:val="0056183B"/>
    <w:rsid w:val="00562B53"/>
    <w:rsid w:val="0056349B"/>
    <w:rsid w:val="005636A9"/>
    <w:rsid w:val="00564B08"/>
    <w:rsid w:val="005666AD"/>
    <w:rsid w:val="00567041"/>
    <w:rsid w:val="00567256"/>
    <w:rsid w:val="0057121E"/>
    <w:rsid w:val="0057129F"/>
    <w:rsid w:val="00573205"/>
    <w:rsid w:val="005740FB"/>
    <w:rsid w:val="00574119"/>
    <w:rsid w:val="00574874"/>
    <w:rsid w:val="00577578"/>
    <w:rsid w:val="00580156"/>
    <w:rsid w:val="00580885"/>
    <w:rsid w:val="005809A5"/>
    <w:rsid w:val="0058118F"/>
    <w:rsid w:val="00581399"/>
    <w:rsid w:val="005817DC"/>
    <w:rsid w:val="00582A20"/>
    <w:rsid w:val="00582B36"/>
    <w:rsid w:val="00582F59"/>
    <w:rsid w:val="00584575"/>
    <w:rsid w:val="00584707"/>
    <w:rsid w:val="00584A32"/>
    <w:rsid w:val="00585BC6"/>
    <w:rsid w:val="0058645C"/>
    <w:rsid w:val="005868DF"/>
    <w:rsid w:val="00590271"/>
    <w:rsid w:val="005919B2"/>
    <w:rsid w:val="00591E26"/>
    <w:rsid w:val="005953C0"/>
    <w:rsid w:val="00595620"/>
    <w:rsid w:val="00596A98"/>
    <w:rsid w:val="00596F37"/>
    <w:rsid w:val="00597954"/>
    <w:rsid w:val="00597DA7"/>
    <w:rsid w:val="005A0F3A"/>
    <w:rsid w:val="005A130A"/>
    <w:rsid w:val="005A2205"/>
    <w:rsid w:val="005A25DB"/>
    <w:rsid w:val="005A3188"/>
    <w:rsid w:val="005A32DD"/>
    <w:rsid w:val="005A3386"/>
    <w:rsid w:val="005A540E"/>
    <w:rsid w:val="005A5A50"/>
    <w:rsid w:val="005A5A5A"/>
    <w:rsid w:val="005A6408"/>
    <w:rsid w:val="005A6874"/>
    <w:rsid w:val="005A68F8"/>
    <w:rsid w:val="005A7D4F"/>
    <w:rsid w:val="005B2B47"/>
    <w:rsid w:val="005B2DC5"/>
    <w:rsid w:val="005B6324"/>
    <w:rsid w:val="005B654D"/>
    <w:rsid w:val="005B6C24"/>
    <w:rsid w:val="005B6D6C"/>
    <w:rsid w:val="005B7A63"/>
    <w:rsid w:val="005B7D01"/>
    <w:rsid w:val="005C2619"/>
    <w:rsid w:val="005C4DE8"/>
    <w:rsid w:val="005C607D"/>
    <w:rsid w:val="005C7FDE"/>
    <w:rsid w:val="005D528F"/>
    <w:rsid w:val="005D5F8F"/>
    <w:rsid w:val="005D5FB3"/>
    <w:rsid w:val="005D6D15"/>
    <w:rsid w:val="005E02D1"/>
    <w:rsid w:val="005E0DDF"/>
    <w:rsid w:val="005E101C"/>
    <w:rsid w:val="005E1117"/>
    <w:rsid w:val="005E4065"/>
    <w:rsid w:val="005E48E7"/>
    <w:rsid w:val="005E4BB0"/>
    <w:rsid w:val="005E775B"/>
    <w:rsid w:val="005E7771"/>
    <w:rsid w:val="005E7B6E"/>
    <w:rsid w:val="005F0199"/>
    <w:rsid w:val="005F11D9"/>
    <w:rsid w:val="005F2684"/>
    <w:rsid w:val="005F484E"/>
    <w:rsid w:val="005F5502"/>
    <w:rsid w:val="005F5E8E"/>
    <w:rsid w:val="0060004E"/>
    <w:rsid w:val="006003DC"/>
    <w:rsid w:val="00600438"/>
    <w:rsid w:val="00600A2E"/>
    <w:rsid w:val="006011C8"/>
    <w:rsid w:val="00601FE4"/>
    <w:rsid w:val="00603700"/>
    <w:rsid w:val="006054F1"/>
    <w:rsid w:val="00612812"/>
    <w:rsid w:val="00612961"/>
    <w:rsid w:val="00612C10"/>
    <w:rsid w:val="00613943"/>
    <w:rsid w:val="00614241"/>
    <w:rsid w:val="006152EA"/>
    <w:rsid w:val="0061690F"/>
    <w:rsid w:val="00617688"/>
    <w:rsid w:val="00624ACC"/>
    <w:rsid w:val="00624D87"/>
    <w:rsid w:val="00626B5B"/>
    <w:rsid w:val="00626CF5"/>
    <w:rsid w:val="006308A9"/>
    <w:rsid w:val="0063208E"/>
    <w:rsid w:val="006324B8"/>
    <w:rsid w:val="006329BD"/>
    <w:rsid w:val="00632F48"/>
    <w:rsid w:val="00633F07"/>
    <w:rsid w:val="00633F13"/>
    <w:rsid w:val="00634F52"/>
    <w:rsid w:val="0063542C"/>
    <w:rsid w:val="00636901"/>
    <w:rsid w:val="00636FAE"/>
    <w:rsid w:val="00640264"/>
    <w:rsid w:val="0064262C"/>
    <w:rsid w:val="00643004"/>
    <w:rsid w:val="006438BD"/>
    <w:rsid w:val="006438EB"/>
    <w:rsid w:val="00644761"/>
    <w:rsid w:val="006465D9"/>
    <w:rsid w:val="00646A00"/>
    <w:rsid w:val="00646CFB"/>
    <w:rsid w:val="00646E4E"/>
    <w:rsid w:val="006471D9"/>
    <w:rsid w:val="0065051D"/>
    <w:rsid w:val="006516D1"/>
    <w:rsid w:val="006521E6"/>
    <w:rsid w:val="0065334D"/>
    <w:rsid w:val="00653CAC"/>
    <w:rsid w:val="00655704"/>
    <w:rsid w:val="00655800"/>
    <w:rsid w:val="0065607A"/>
    <w:rsid w:val="00657D1B"/>
    <w:rsid w:val="00660B83"/>
    <w:rsid w:val="00660C19"/>
    <w:rsid w:val="00663493"/>
    <w:rsid w:val="006640A0"/>
    <w:rsid w:val="0066482A"/>
    <w:rsid w:val="0066486A"/>
    <w:rsid w:val="00665CCB"/>
    <w:rsid w:val="0067184C"/>
    <w:rsid w:val="00672AE0"/>
    <w:rsid w:val="00673D28"/>
    <w:rsid w:val="006745E9"/>
    <w:rsid w:val="00675B63"/>
    <w:rsid w:val="006773D6"/>
    <w:rsid w:val="006776CB"/>
    <w:rsid w:val="00680EF0"/>
    <w:rsid w:val="006813EC"/>
    <w:rsid w:val="00684BFC"/>
    <w:rsid w:val="00685B7F"/>
    <w:rsid w:val="006868B3"/>
    <w:rsid w:val="00687406"/>
    <w:rsid w:val="00690E8E"/>
    <w:rsid w:val="006917F2"/>
    <w:rsid w:val="006938BD"/>
    <w:rsid w:val="00693DEA"/>
    <w:rsid w:val="006946C2"/>
    <w:rsid w:val="00695B50"/>
    <w:rsid w:val="00696D8E"/>
    <w:rsid w:val="0069744F"/>
    <w:rsid w:val="006A0D98"/>
    <w:rsid w:val="006A250B"/>
    <w:rsid w:val="006A31D4"/>
    <w:rsid w:val="006A332D"/>
    <w:rsid w:val="006A5032"/>
    <w:rsid w:val="006A5AA9"/>
    <w:rsid w:val="006A6DED"/>
    <w:rsid w:val="006B0816"/>
    <w:rsid w:val="006B2E80"/>
    <w:rsid w:val="006B37F7"/>
    <w:rsid w:val="006B3C19"/>
    <w:rsid w:val="006B4476"/>
    <w:rsid w:val="006B4DCE"/>
    <w:rsid w:val="006B6428"/>
    <w:rsid w:val="006B758F"/>
    <w:rsid w:val="006B77C6"/>
    <w:rsid w:val="006C073F"/>
    <w:rsid w:val="006C0DFA"/>
    <w:rsid w:val="006C238A"/>
    <w:rsid w:val="006C2748"/>
    <w:rsid w:val="006C72C0"/>
    <w:rsid w:val="006C7F5E"/>
    <w:rsid w:val="006D365D"/>
    <w:rsid w:val="006D5319"/>
    <w:rsid w:val="006D6453"/>
    <w:rsid w:val="006D6C79"/>
    <w:rsid w:val="006D6E7F"/>
    <w:rsid w:val="006D6EF7"/>
    <w:rsid w:val="006D72F7"/>
    <w:rsid w:val="006D776D"/>
    <w:rsid w:val="006D7B71"/>
    <w:rsid w:val="006E0630"/>
    <w:rsid w:val="006E1C9A"/>
    <w:rsid w:val="006E3A8C"/>
    <w:rsid w:val="006E5506"/>
    <w:rsid w:val="006E5DEE"/>
    <w:rsid w:val="006E79CD"/>
    <w:rsid w:val="006F0203"/>
    <w:rsid w:val="006F1143"/>
    <w:rsid w:val="006F1A43"/>
    <w:rsid w:val="006F1B02"/>
    <w:rsid w:val="006F1B73"/>
    <w:rsid w:val="006F1BB3"/>
    <w:rsid w:val="006F23C5"/>
    <w:rsid w:val="006F332E"/>
    <w:rsid w:val="00701BC6"/>
    <w:rsid w:val="00701DB8"/>
    <w:rsid w:val="00702983"/>
    <w:rsid w:val="00705436"/>
    <w:rsid w:val="00705AA3"/>
    <w:rsid w:val="00706724"/>
    <w:rsid w:val="007068C7"/>
    <w:rsid w:val="00711A51"/>
    <w:rsid w:val="00711D9D"/>
    <w:rsid w:val="0071311F"/>
    <w:rsid w:val="007135A6"/>
    <w:rsid w:val="00713857"/>
    <w:rsid w:val="00714F9C"/>
    <w:rsid w:val="00714FF4"/>
    <w:rsid w:val="00715524"/>
    <w:rsid w:val="00715744"/>
    <w:rsid w:val="00715974"/>
    <w:rsid w:val="00716CEB"/>
    <w:rsid w:val="00717AC1"/>
    <w:rsid w:val="007203F3"/>
    <w:rsid w:val="0072317A"/>
    <w:rsid w:val="00723A72"/>
    <w:rsid w:val="00726CB8"/>
    <w:rsid w:val="00727FF1"/>
    <w:rsid w:val="0073073B"/>
    <w:rsid w:val="00734055"/>
    <w:rsid w:val="00734991"/>
    <w:rsid w:val="00736AE1"/>
    <w:rsid w:val="00736EE2"/>
    <w:rsid w:val="007376B4"/>
    <w:rsid w:val="00740656"/>
    <w:rsid w:val="0074113A"/>
    <w:rsid w:val="00743A78"/>
    <w:rsid w:val="007440A3"/>
    <w:rsid w:val="0074413B"/>
    <w:rsid w:val="00744865"/>
    <w:rsid w:val="007452C3"/>
    <w:rsid w:val="00745427"/>
    <w:rsid w:val="0074599E"/>
    <w:rsid w:val="00745F7F"/>
    <w:rsid w:val="0074689B"/>
    <w:rsid w:val="0074750A"/>
    <w:rsid w:val="00747B09"/>
    <w:rsid w:val="00747B48"/>
    <w:rsid w:val="007512C1"/>
    <w:rsid w:val="00753EAD"/>
    <w:rsid w:val="00754D8E"/>
    <w:rsid w:val="00755B0E"/>
    <w:rsid w:val="00756ACC"/>
    <w:rsid w:val="00756C13"/>
    <w:rsid w:val="007578FD"/>
    <w:rsid w:val="00757EBC"/>
    <w:rsid w:val="00760172"/>
    <w:rsid w:val="0076039D"/>
    <w:rsid w:val="00761272"/>
    <w:rsid w:val="0076174D"/>
    <w:rsid w:val="00764CC7"/>
    <w:rsid w:val="007652A1"/>
    <w:rsid w:val="00765C14"/>
    <w:rsid w:val="007708A3"/>
    <w:rsid w:val="00770A83"/>
    <w:rsid w:val="00770E61"/>
    <w:rsid w:val="00772D54"/>
    <w:rsid w:val="00777A0F"/>
    <w:rsid w:val="00781831"/>
    <w:rsid w:val="00782826"/>
    <w:rsid w:val="00782F3D"/>
    <w:rsid w:val="00782F8C"/>
    <w:rsid w:val="007832D3"/>
    <w:rsid w:val="007851F0"/>
    <w:rsid w:val="00786FC1"/>
    <w:rsid w:val="00790617"/>
    <w:rsid w:val="00791DFA"/>
    <w:rsid w:val="007930B5"/>
    <w:rsid w:val="00794C34"/>
    <w:rsid w:val="00797F89"/>
    <w:rsid w:val="007A1298"/>
    <w:rsid w:val="007A224C"/>
    <w:rsid w:val="007A3407"/>
    <w:rsid w:val="007A42A4"/>
    <w:rsid w:val="007A52A6"/>
    <w:rsid w:val="007A5693"/>
    <w:rsid w:val="007A5CE7"/>
    <w:rsid w:val="007A6091"/>
    <w:rsid w:val="007A6B41"/>
    <w:rsid w:val="007A767F"/>
    <w:rsid w:val="007A7AA6"/>
    <w:rsid w:val="007A7BE4"/>
    <w:rsid w:val="007B0B76"/>
    <w:rsid w:val="007B0DE2"/>
    <w:rsid w:val="007B13EA"/>
    <w:rsid w:val="007B1A34"/>
    <w:rsid w:val="007B4333"/>
    <w:rsid w:val="007B4D56"/>
    <w:rsid w:val="007B59C3"/>
    <w:rsid w:val="007B5A11"/>
    <w:rsid w:val="007B71B0"/>
    <w:rsid w:val="007C1778"/>
    <w:rsid w:val="007C1F29"/>
    <w:rsid w:val="007C275D"/>
    <w:rsid w:val="007C4398"/>
    <w:rsid w:val="007C43EA"/>
    <w:rsid w:val="007C44EF"/>
    <w:rsid w:val="007C4EC8"/>
    <w:rsid w:val="007C64AF"/>
    <w:rsid w:val="007D0645"/>
    <w:rsid w:val="007D13EF"/>
    <w:rsid w:val="007D1B0E"/>
    <w:rsid w:val="007D50B6"/>
    <w:rsid w:val="007D6547"/>
    <w:rsid w:val="007E1190"/>
    <w:rsid w:val="007E412F"/>
    <w:rsid w:val="007E445A"/>
    <w:rsid w:val="007E5DBF"/>
    <w:rsid w:val="007E6B1D"/>
    <w:rsid w:val="007E6D06"/>
    <w:rsid w:val="007F04AC"/>
    <w:rsid w:val="007F0C18"/>
    <w:rsid w:val="007F1590"/>
    <w:rsid w:val="007F1CDA"/>
    <w:rsid w:val="007F4BE4"/>
    <w:rsid w:val="007F5375"/>
    <w:rsid w:val="007F5DBB"/>
    <w:rsid w:val="007F621B"/>
    <w:rsid w:val="007F6BF4"/>
    <w:rsid w:val="007F6CAC"/>
    <w:rsid w:val="00802A79"/>
    <w:rsid w:val="008037A5"/>
    <w:rsid w:val="00804837"/>
    <w:rsid w:val="00805018"/>
    <w:rsid w:val="00805F6C"/>
    <w:rsid w:val="008062FF"/>
    <w:rsid w:val="00806873"/>
    <w:rsid w:val="00806B44"/>
    <w:rsid w:val="0080787F"/>
    <w:rsid w:val="00807A6C"/>
    <w:rsid w:val="00807BC3"/>
    <w:rsid w:val="0081034B"/>
    <w:rsid w:val="00811B62"/>
    <w:rsid w:val="00812E91"/>
    <w:rsid w:val="00813630"/>
    <w:rsid w:val="008136A3"/>
    <w:rsid w:val="00813938"/>
    <w:rsid w:val="008162B4"/>
    <w:rsid w:val="00816BCF"/>
    <w:rsid w:val="00816FD1"/>
    <w:rsid w:val="00817774"/>
    <w:rsid w:val="0082169C"/>
    <w:rsid w:val="008218B4"/>
    <w:rsid w:val="00821AEF"/>
    <w:rsid w:val="008224AF"/>
    <w:rsid w:val="00822D10"/>
    <w:rsid w:val="0082321A"/>
    <w:rsid w:val="00824D63"/>
    <w:rsid w:val="00825BEB"/>
    <w:rsid w:val="00827083"/>
    <w:rsid w:val="00834168"/>
    <w:rsid w:val="00834A98"/>
    <w:rsid w:val="00835717"/>
    <w:rsid w:val="0083577B"/>
    <w:rsid w:val="00835EC5"/>
    <w:rsid w:val="00837CBF"/>
    <w:rsid w:val="0084078B"/>
    <w:rsid w:val="0084166F"/>
    <w:rsid w:val="00842C9A"/>
    <w:rsid w:val="008432F3"/>
    <w:rsid w:val="008465B7"/>
    <w:rsid w:val="00850DA7"/>
    <w:rsid w:val="00854E89"/>
    <w:rsid w:val="00857058"/>
    <w:rsid w:val="0085770A"/>
    <w:rsid w:val="008645B4"/>
    <w:rsid w:val="00865600"/>
    <w:rsid w:val="00866EB3"/>
    <w:rsid w:val="0086793F"/>
    <w:rsid w:val="00873ABD"/>
    <w:rsid w:val="00874A31"/>
    <w:rsid w:val="00876A88"/>
    <w:rsid w:val="008773F6"/>
    <w:rsid w:val="008821DB"/>
    <w:rsid w:val="00882A30"/>
    <w:rsid w:val="008834C2"/>
    <w:rsid w:val="00884741"/>
    <w:rsid w:val="008847C6"/>
    <w:rsid w:val="0089048D"/>
    <w:rsid w:val="00891276"/>
    <w:rsid w:val="008912E6"/>
    <w:rsid w:val="00891677"/>
    <w:rsid w:val="008920C6"/>
    <w:rsid w:val="00893EFC"/>
    <w:rsid w:val="008944F0"/>
    <w:rsid w:val="00895A35"/>
    <w:rsid w:val="00896CF4"/>
    <w:rsid w:val="008A010F"/>
    <w:rsid w:val="008A070D"/>
    <w:rsid w:val="008A17CF"/>
    <w:rsid w:val="008A1F92"/>
    <w:rsid w:val="008A2445"/>
    <w:rsid w:val="008A2BA4"/>
    <w:rsid w:val="008A362B"/>
    <w:rsid w:val="008A4BEA"/>
    <w:rsid w:val="008A4F42"/>
    <w:rsid w:val="008A5695"/>
    <w:rsid w:val="008A5EF4"/>
    <w:rsid w:val="008A630A"/>
    <w:rsid w:val="008A7DD6"/>
    <w:rsid w:val="008B0C40"/>
    <w:rsid w:val="008B19DE"/>
    <w:rsid w:val="008B31A2"/>
    <w:rsid w:val="008B7132"/>
    <w:rsid w:val="008C1145"/>
    <w:rsid w:val="008C150C"/>
    <w:rsid w:val="008C1FB1"/>
    <w:rsid w:val="008C225B"/>
    <w:rsid w:val="008C26AD"/>
    <w:rsid w:val="008C533E"/>
    <w:rsid w:val="008C6F52"/>
    <w:rsid w:val="008C7E50"/>
    <w:rsid w:val="008D0F79"/>
    <w:rsid w:val="008D1171"/>
    <w:rsid w:val="008D14B0"/>
    <w:rsid w:val="008D2B36"/>
    <w:rsid w:val="008D350D"/>
    <w:rsid w:val="008D3920"/>
    <w:rsid w:val="008D428B"/>
    <w:rsid w:val="008D55B1"/>
    <w:rsid w:val="008D60A6"/>
    <w:rsid w:val="008D6948"/>
    <w:rsid w:val="008E1AF4"/>
    <w:rsid w:val="008E278B"/>
    <w:rsid w:val="008E560E"/>
    <w:rsid w:val="008E680B"/>
    <w:rsid w:val="008E7904"/>
    <w:rsid w:val="008F01AB"/>
    <w:rsid w:val="008F0AB1"/>
    <w:rsid w:val="008F125C"/>
    <w:rsid w:val="008F14F7"/>
    <w:rsid w:val="008F16A5"/>
    <w:rsid w:val="008F32FE"/>
    <w:rsid w:val="008F40CF"/>
    <w:rsid w:val="008F502C"/>
    <w:rsid w:val="008F50DA"/>
    <w:rsid w:val="008F541E"/>
    <w:rsid w:val="008F5A47"/>
    <w:rsid w:val="008F5FDD"/>
    <w:rsid w:val="008F6098"/>
    <w:rsid w:val="008F64B8"/>
    <w:rsid w:val="00901176"/>
    <w:rsid w:val="009055D7"/>
    <w:rsid w:val="00906B79"/>
    <w:rsid w:val="00907034"/>
    <w:rsid w:val="009072C7"/>
    <w:rsid w:val="009073DE"/>
    <w:rsid w:val="0091008A"/>
    <w:rsid w:val="009102B8"/>
    <w:rsid w:val="0091044F"/>
    <w:rsid w:val="00910A62"/>
    <w:rsid w:val="00912322"/>
    <w:rsid w:val="00912F7B"/>
    <w:rsid w:val="009139B2"/>
    <w:rsid w:val="009139D1"/>
    <w:rsid w:val="00914528"/>
    <w:rsid w:val="00914C4D"/>
    <w:rsid w:val="00915FB6"/>
    <w:rsid w:val="00920D8A"/>
    <w:rsid w:val="00923AD0"/>
    <w:rsid w:val="0092480C"/>
    <w:rsid w:val="009308B3"/>
    <w:rsid w:val="0093091A"/>
    <w:rsid w:val="00930959"/>
    <w:rsid w:val="00930CC2"/>
    <w:rsid w:val="009336CA"/>
    <w:rsid w:val="00933ED7"/>
    <w:rsid w:val="009344C9"/>
    <w:rsid w:val="00940262"/>
    <w:rsid w:val="0094057F"/>
    <w:rsid w:val="009414E2"/>
    <w:rsid w:val="00941ED7"/>
    <w:rsid w:val="00945782"/>
    <w:rsid w:val="00945AA6"/>
    <w:rsid w:val="00951026"/>
    <w:rsid w:val="0095220E"/>
    <w:rsid w:val="00952AEA"/>
    <w:rsid w:val="009543E8"/>
    <w:rsid w:val="00956911"/>
    <w:rsid w:val="00956CAF"/>
    <w:rsid w:val="00957852"/>
    <w:rsid w:val="0096069E"/>
    <w:rsid w:val="0096101C"/>
    <w:rsid w:val="009613CD"/>
    <w:rsid w:val="00961842"/>
    <w:rsid w:val="00961AC0"/>
    <w:rsid w:val="009623A0"/>
    <w:rsid w:val="00963D90"/>
    <w:rsid w:val="00965DCC"/>
    <w:rsid w:val="00967334"/>
    <w:rsid w:val="00967A16"/>
    <w:rsid w:val="009714CF"/>
    <w:rsid w:val="00972B05"/>
    <w:rsid w:val="00972B90"/>
    <w:rsid w:val="00974C16"/>
    <w:rsid w:val="0097566E"/>
    <w:rsid w:val="0097716F"/>
    <w:rsid w:val="00980649"/>
    <w:rsid w:val="00980A62"/>
    <w:rsid w:val="0098107D"/>
    <w:rsid w:val="00982511"/>
    <w:rsid w:val="00984CC6"/>
    <w:rsid w:val="0098522E"/>
    <w:rsid w:val="009854A1"/>
    <w:rsid w:val="00986459"/>
    <w:rsid w:val="00986484"/>
    <w:rsid w:val="009874D1"/>
    <w:rsid w:val="0098781E"/>
    <w:rsid w:val="00987B91"/>
    <w:rsid w:val="00991A32"/>
    <w:rsid w:val="009931C4"/>
    <w:rsid w:val="00993C77"/>
    <w:rsid w:val="00994613"/>
    <w:rsid w:val="0099506C"/>
    <w:rsid w:val="009951C6"/>
    <w:rsid w:val="00995916"/>
    <w:rsid w:val="00996EFC"/>
    <w:rsid w:val="009971BE"/>
    <w:rsid w:val="00997D0E"/>
    <w:rsid w:val="009A236D"/>
    <w:rsid w:val="009A29D5"/>
    <w:rsid w:val="009A306F"/>
    <w:rsid w:val="009A3135"/>
    <w:rsid w:val="009A3A3C"/>
    <w:rsid w:val="009A5C0D"/>
    <w:rsid w:val="009A68A0"/>
    <w:rsid w:val="009B017A"/>
    <w:rsid w:val="009B11B8"/>
    <w:rsid w:val="009B1EA0"/>
    <w:rsid w:val="009B1EAD"/>
    <w:rsid w:val="009B26CF"/>
    <w:rsid w:val="009B3048"/>
    <w:rsid w:val="009B4E6D"/>
    <w:rsid w:val="009B683D"/>
    <w:rsid w:val="009C0D05"/>
    <w:rsid w:val="009C259C"/>
    <w:rsid w:val="009C330D"/>
    <w:rsid w:val="009C3897"/>
    <w:rsid w:val="009C4CE9"/>
    <w:rsid w:val="009C50F8"/>
    <w:rsid w:val="009C72F2"/>
    <w:rsid w:val="009D0544"/>
    <w:rsid w:val="009D23D2"/>
    <w:rsid w:val="009D25C0"/>
    <w:rsid w:val="009D2CC5"/>
    <w:rsid w:val="009D2EAD"/>
    <w:rsid w:val="009D2F0F"/>
    <w:rsid w:val="009D3374"/>
    <w:rsid w:val="009D3446"/>
    <w:rsid w:val="009D3F1C"/>
    <w:rsid w:val="009D45BA"/>
    <w:rsid w:val="009D47E3"/>
    <w:rsid w:val="009D4AF9"/>
    <w:rsid w:val="009D5078"/>
    <w:rsid w:val="009D56A3"/>
    <w:rsid w:val="009D6AA0"/>
    <w:rsid w:val="009D77C7"/>
    <w:rsid w:val="009E0477"/>
    <w:rsid w:val="009E3857"/>
    <w:rsid w:val="009E4769"/>
    <w:rsid w:val="009E5F5A"/>
    <w:rsid w:val="009E7BF9"/>
    <w:rsid w:val="009F07DA"/>
    <w:rsid w:val="009F0936"/>
    <w:rsid w:val="009F0AD8"/>
    <w:rsid w:val="009F159B"/>
    <w:rsid w:val="009F15BA"/>
    <w:rsid w:val="009F17E2"/>
    <w:rsid w:val="009F21BD"/>
    <w:rsid w:val="009F238C"/>
    <w:rsid w:val="009F3086"/>
    <w:rsid w:val="009F4D64"/>
    <w:rsid w:val="009F4E33"/>
    <w:rsid w:val="009F5292"/>
    <w:rsid w:val="009F5F75"/>
    <w:rsid w:val="009F6818"/>
    <w:rsid w:val="00A00693"/>
    <w:rsid w:val="00A012C5"/>
    <w:rsid w:val="00A02125"/>
    <w:rsid w:val="00A0408C"/>
    <w:rsid w:val="00A04652"/>
    <w:rsid w:val="00A06CED"/>
    <w:rsid w:val="00A06F63"/>
    <w:rsid w:val="00A123F0"/>
    <w:rsid w:val="00A12D88"/>
    <w:rsid w:val="00A147F9"/>
    <w:rsid w:val="00A14B75"/>
    <w:rsid w:val="00A16069"/>
    <w:rsid w:val="00A16203"/>
    <w:rsid w:val="00A16BA1"/>
    <w:rsid w:val="00A17174"/>
    <w:rsid w:val="00A17CF3"/>
    <w:rsid w:val="00A17DE1"/>
    <w:rsid w:val="00A20082"/>
    <w:rsid w:val="00A21240"/>
    <w:rsid w:val="00A21C25"/>
    <w:rsid w:val="00A222C1"/>
    <w:rsid w:val="00A2442D"/>
    <w:rsid w:val="00A25592"/>
    <w:rsid w:val="00A25F91"/>
    <w:rsid w:val="00A25FD4"/>
    <w:rsid w:val="00A27936"/>
    <w:rsid w:val="00A30040"/>
    <w:rsid w:val="00A30102"/>
    <w:rsid w:val="00A31B36"/>
    <w:rsid w:val="00A322AA"/>
    <w:rsid w:val="00A339D9"/>
    <w:rsid w:val="00A34875"/>
    <w:rsid w:val="00A37917"/>
    <w:rsid w:val="00A40BD5"/>
    <w:rsid w:val="00A43779"/>
    <w:rsid w:val="00A4413E"/>
    <w:rsid w:val="00A4442C"/>
    <w:rsid w:val="00A45E6B"/>
    <w:rsid w:val="00A46402"/>
    <w:rsid w:val="00A46EAA"/>
    <w:rsid w:val="00A4711F"/>
    <w:rsid w:val="00A512F0"/>
    <w:rsid w:val="00A514D2"/>
    <w:rsid w:val="00A516FD"/>
    <w:rsid w:val="00A53BC4"/>
    <w:rsid w:val="00A545CF"/>
    <w:rsid w:val="00A54B2D"/>
    <w:rsid w:val="00A55575"/>
    <w:rsid w:val="00A57181"/>
    <w:rsid w:val="00A608EB"/>
    <w:rsid w:val="00A60DBE"/>
    <w:rsid w:val="00A61739"/>
    <w:rsid w:val="00A6197E"/>
    <w:rsid w:val="00A6205F"/>
    <w:rsid w:val="00A62E89"/>
    <w:rsid w:val="00A6302D"/>
    <w:rsid w:val="00A6495F"/>
    <w:rsid w:val="00A654ED"/>
    <w:rsid w:val="00A73B8D"/>
    <w:rsid w:val="00A760F3"/>
    <w:rsid w:val="00A76351"/>
    <w:rsid w:val="00A80182"/>
    <w:rsid w:val="00A8057D"/>
    <w:rsid w:val="00A81712"/>
    <w:rsid w:val="00A819D3"/>
    <w:rsid w:val="00A81A8E"/>
    <w:rsid w:val="00A8539A"/>
    <w:rsid w:val="00A86A3E"/>
    <w:rsid w:val="00A87C71"/>
    <w:rsid w:val="00A91D0B"/>
    <w:rsid w:val="00A938CC"/>
    <w:rsid w:val="00A958F6"/>
    <w:rsid w:val="00A961ED"/>
    <w:rsid w:val="00A9624B"/>
    <w:rsid w:val="00A967C7"/>
    <w:rsid w:val="00A96E48"/>
    <w:rsid w:val="00A97756"/>
    <w:rsid w:val="00AA3622"/>
    <w:rsid w:val="00AA4632"/>
    <w:rsid w:val="00AA6996"/>
    <w:rsid w:val="00AB10B4"/>
    <w:rsid w:val="00AB28BA"/>
    <w:rsid w:val="00AB2ED5"/>
    <w:rsid w:val="00AB3319"/>
    <w:rsid w:val="00AB35EF"/>
    <w:rsid w:val="00AB4C6B"/>
    <w:rsid w:val="00AB4CAB"/>
    <w:rsid w:val="00AB4FBD"/>
    <w:rsid w:val="00AB7EB1"/>
    <w:rsid w:val="00AB7FC6"/>
    <w:rsid w:val="00AC0443"/>
    <w:rsid w:val="00AC1E25"/>
    <w:rsid w:val="00AC28A8"/>
    <w:rsid w:val="00AC32B2"/>
    <w:rsid w:val="00AC368A"/>
    <w:rsid w:val="00AC4296"/>
    <w:rsid w:val="00AC580E"/>
    <w:rsid w:val="00AC6CC7"/>
    <w:rsid w:val="00AC7305"/>
    <w:rsid w:val="00AC74F0"/>
    <w:rsid w:val="00AD0E82"/>
    <w:rsid w:val="00AD176D"/>
    <w:rsid w:val="00AD1BA4"/>
    <w:rsid w:val="00AD2180"/>
    <w:rsid w:val="00AD29D5"/>
    <w:rsid w:val="00AD518E"/>
    <w:rsid w:val="00AD54B1"/>
    <w:rsid w:val="00AD6D54"/>
    <w:rsid w:val="00AD719F"/>
    <w:rsid w:val="00AE03F0"/>
    <w:rsid w:val="00AE0425"/>
    <w:rsid w:val="00AE0497"/>
    <w:rsid w:val="00AE06FA"/>
    <w:rsid w:val="00AE3266"/>
    <w:rsid w:val="00AE3548"/>
    <w:rsid w:val="00AE4166"/>
    <w:rsid w:val="00AE42AD"/>
    <w:rsid w:val="00AE6AEF"/>
    <w:rsid w:val="00AF0645"/>
    <w:rsid w:val="00AF2006"/>
    <w:rsid w:val="00AF5E31"/>
    <w:rsid w:val="00B00DB6"/>
    <w:rsid w:val="00B01BA3"/>
    <w:rsid w:val="00B021B1"/>
    <w:rsid w:val="00B02862"/>
    <w:rsid w:val="00B02A45"/>
    <w:rsid w:val="00B04644"/>
    <w:rsid w:val="00B05F3C"/>
    <w:rsid w:val="00B069EA"/>
    <w:rsid w:val="00B074A9"/>
    <w:rsid w:val="00B07FCC"/>
    <w:rsid w:val="00B12007"/>
    <w:rsid w:val="00B12FCC"/>
    <w:rsid w:val="00B140CB"/>
    <w:rsid w:val="00B1411E"/>
    <w:rsid w:val="00B229A0"/>
    <w:rsid w:val="00B22E52"/>
    <w:rsid w:val="00B26255"/>
    <w:rsid w:val="00B264A1"/>
    <w:rsid w:val="00B26D3F"/>
    <w:rsid w:val="00B27252"/>
    <w:rsid w:val="00B30FA0"/>
    <w:rsid w:val="00B32375"/>
    <w:rsid w:val="00B32A9D"/>
    <w:rsid w:val="00B33BCC"/>
    <w:rsid w:val="00B34CBD"/>
    <w:rsid w:val="00B359A9"/>
    <w:rsid w:val="00B4381D"/>
    <w:rsid w:val="00B448F1"/>
    <w:rsid w:val="00B45269"/>
    <w:rsid w:val="00B46330"/>
    <w:rsid w:val="00B464AB"/>
    <w:rsid w:val="00B46C57"/>
    <w:rsid w:val="00B47FCF"/>
    <w:rsid w:val="00B516B5"/>
    <w:rsid w:val="00B517AC"/>
    <w:rsid w:val="00B52FE9"/>
    <w:rsid w:val="00B53220"/>
    <w:rsid w:val="00B55388"/>
    <w:rsid w:val="00B565D0"/>
    <w:rsid w:val="00B57609"/>
    <w:rsid w:val="00B6021A"/>
    <w:rsid w:val="00B61DE8"/>
    <w:rsid w:val="00B628C8"/>
    <w:rsid w:val="00B63BE2"/>
    <w:rsid w:val="00B63C7E"/>
    <w:rsid w:val="00B63EB4"/>
    <w:rsid w:val="00B66D9C"/>
    <w:rsid w:val="00B6788F"/>
    <w:rsid w:val="00B70E4C"/>
    <w:rsid w:val="00B71093"/>
    <w:rsid w:val="00B71F74"/>
    <w:rsid w:val="00B731F8"/>
    <w:rsid w:val="00B737B1"/>
    <w:rsid w:val="00B773DC"/>
    <w:rsid w:val="00B77716"/>
    <w:rsid w:val="00B81FF9"/>
    <w:rsid w:val="00B835BD"/>
    <w:rsid w:val="00B85E36"/>
    <w:rsid w:val="00B86453"/>
    <w:rsid w:val="00B86897"/>
    <w:rsid w:val="00B87B62"/>
    <w:rsid w:val="00B87E5B"/>
    <w:rsid w:val="00B947BD"/>
    <w:rsid w:val="00B948C1"/>
    <w:rsid w:val="00B95FD1"/>
    <w:rsid w:val="00BA02E5"/>
    <w:rsid w:val="00BA0D6B"/>
    <w:rsid w:val="00BA1825"/>
    <w:rsid w:val="00BA1837"/>
    <w:rsid w:val="00BA650F"/>
    <w:rsid w:val="00BA67E3"/>
    <w:rsid w:val="00BA6927"/>
    <w:rsid w:val="00BA7787"/>
    <w:rsid w:val="00BA7AB6"/>
    <w:rsid w:val="00BB3B0C"/>
    <w:rsid w:val="00BB3D94"/>
    <w:rsid w:val="00BC05D6"/>
    <w:rsid w:val="00BC0CD2"/>
    <w:rsid w:val="00BC1A62"/>
    <w:rsid w:val="00BC359D"/>
    <w:rsid w:val="00BC37ED"/>
    <w:rsid w:val="00BC3E1E"/>
    <w:rsid w:val="00BC525B"/>
    <w:rsid w:val="00BC7981"/>
    <w:rsid w:val="00BD0004"/>
    <w:rsid w:val="00BD0F75"/>
    <w:rsid w:val="00BD1714"/>
    <w:rsid w:val="00BD2A52"/>
    <w:rsid w:val="00BD33FF"/>
    <w:rsid w:val="00BD3C1C"/>
    <w:rsid w:val="00BD59A4"/>
    <w:rsid w:val="00BD5DC5"/>
    <w:rsid w:val="00BD630A"/>
    <w:rsid w:val="00BD6372"/>
    <w:rsid w:val="00BD6E3A"/>
    <w:rsid w:val="00BD7C69"/>
    <w:rsid w:val="00BE1293"/>
    <w:rsid w:val="00BE2722"/>
    <w:rsid w:val="00BE2EF3"/>
    <w:rsid w:val="00BE4D23"/>
    <w:rsid w:val="00BE687F"/>
    <w:rsid w:val="00BE710A"/>
    <w:rsid w:val="00BF07B2"/>
    <w:rsid w:val="00BF0E6F"/>
    <w:rsid w:val="00BF155A"/>
    <w:rsid w:val="00BF4976"/>
    <w:rsid w:val="00BF5E66"/>
    <w:rsid w:val="00BF71C3"/>
    <w:rsid w:val="00C01A7A"/>
    <w:rsid w:val="00C01C0C"/>
    <w:rsid w:val="00C054D5"/>
    <w:rsid w:val="00C0554D"/>
    <w:rsid w:val="00C055D4"/>
    <w:rsid w:val="00C05B20"/>
    <w:rsid w:val="00C11ADC"/>
    <w:rsid w:val="00C128BA"/>
    <w:rsid w:val="00C14A8C"/>
    <w:rsid w:val="00C14E2A"/>
    <w:rsid w:val="00C16C3B"/>
    <w:rsid w:val="00C20BC2"/>
    <w:rsid w:val="00C21F92"/>
    <w:rsid w:val="00C2267F"/>
    <w:rsid w:val="00C277E2"/>
    <w:rsid w:val="00C34182"/>
    <w:rsid w:val="00C35EEF"/>
    <w:rsid w:val="00C35F0B"/>
    <w:rsid w:val="00C41378"/>
    <w:rsid w:val="00C418BC"/>
    <w:rsid w:val="00C422BB"/>
    <w:rsid w:val="00C44F7C"/>
    <w:rsid w:val="00C46F47"/>
    <w:rsid w:val="00C47440"/>
    <w:rsid w:val="00C474DB"/>
    <w:rsid w:val="00C50C60"/>
    <w:rsid w:val="00C51B77"/>
    <w:rsid w:val="00C51FB3"/>
    <w:rsid w:val="00C534E8"/>
    <w:rsid w:val="00C5488C"/>
    <w:rsid w:val="00C5558A"/>
    <w:rsid w:val="00C5627F"/>
    <w:rsid w:val="00C5702A"/>
    <w:rsid w:val="00C600AE"/>
    <w:rsid w:val="00C605BB"/>
    <w:rsid w:val="00C63F2D"/>
    <w:rsid w:val="00C66100"/>
    <w:rsid w:val="00C6613C"/>
    <w:rsid w:val="00C67416"/>
    <w:rsid w:val="00C70154"/>
    <w:rsid w:val="00C70667"/>
    <w:rsid w:val="00C72052"/>
    <w:rsid w:val="00C7212F"/>
    <w:rsid w:val="00C74418"/>
    <w:rsid w:val="00C7625C"/>
    <w:rsid w:val="00C76DE9"/>
    <w:rsid w:val="00C7707E"/>
    <w:rsid w:val="00C77316"/>
    <w:rsid w:val="00C8055A"/>
    <w:rsid w:val="00C81245"/>
    <w:rsid w:val="00C83BC8"/>
    <w:rsid w:val="00C83EDD"/>
    <w:rsid w:val="00C85AF0"/>
    <w:rsid w:val="00C874AC"/>
    <w:rsid w:val="00C87894"/>
    <w:rsid w:val="00C87CB8"/>
    <w:rsid w:val="00C930CC"/>
    <w:rsid w:val="00C9366B"/>
    <w:rsid w:val="00C97D39"/>
    <w:rsid w:val="00CA0828"/>
    <w:rsid w:val="00CA2480"/>
    <w:rsid w:val="00CA279B"/>
    <w:rsid w:val="00CA4141"/>
    <w:rsid w:val="00CA49F6"/>
    <w:rsid w:val="00CA4B81"/>
    <w:rsid w:val="00CA4C62"/>
    <w:rsid w:val="00CA52EE"/>
    <w:rsid w:val="00CA6556"/>
    <w:rsid w:val="00CA7457"/>
    <w:rsid w:val="00CA762E"/>
    <w:rsid w:val="00CB00D5"/>
    <w:rsid w:val="00CB1820"/>
    <w:rsid w:val="00CB330C"/>
    <w:rsid w:val="00CB39F2"/>
    <w:rsid w:val="00CB50EC"/>
    <w:rsid w:val="00CB522F"/>
    <w:rsid w:val="00CB7697"/>
    <w:rsid w:val="00CC00EE"/>
    <w:rsid w:val="00CC0F28"/>
    <w:rsid w:val="00CC107C"/>
    <w:rsid w:val="00CC3A4E"/>
    <w:rsid w:val="00CC7489"/>
    <w:rsid w:val="00CD0363"/>
    <w:rsid w:val="00CD1E55"/>
    <w:rsid w:val="00CD37BB"/>
    <w:rsid w:val="00CD3CF7"/>
    <w:rsid w:val="00CD4FF6"/>
    <w:rsid w:val="00CD6788"/>
    <w:rsid w:val="00CE1B11"/>
    <w:rsid w:val="00CE24BA"/>
    <w:rsid w:val="00CE28F6"/>
    <w:rsid w:val="00CE37E1"/>
    <w:rsid w:val="00CE46D1"/>
    <w:rsid w:val="00CE5907"/>
    <w:rsid w:val="00CE6E07"/>
    <w:rsid w:val="00CE7E7D"/>
    <w:rsid w:val="00CF04AC"/>
    <w:rsid w:val="00CF1D40"/>
    <w:rsid w:val="00CF2AF4"/>
    <w:rsid w:val="00CF44BB"/>
    <w:rsid w:val="00CF55E9"/>
    <w:rsid w:val="00CF5898"/>
    <w:rsid w:val="00CF62AD"/>
    <w:rsid w:val="00D01B12"/>
    <w:rsid w:val="00D0398F"/>
    <w:rsid w:val="00D03B74"/>
    <w:rsid w:val="00D04990"/>
    <w:rsid w:val="00D04B3F"/>
    <w:rsid w:val="00D04C43"/>
    <w:rsid w:val="00D0552C"/>
    <w:rsid w:val="00D05768"/>
    <w:rsid w:val="00D065DD"/>
    <w:rsid w:val="00D06779"/>
    <w:rsid w:val="00D07278"/>
    <w:rsid w:val="00D10D18"/>
    <w:rsid w:val="00D12E29"/>
    <w:rsid w:val="00D1595D"/>
    <w:rsid w:val="00D21EF4"/>
    <w:rsid w:val="00D26C4D"/>
    <w:rsid w:val="00D26DD2"/>
    <w:rsid w:val="00D279B1"/>
    <w:rsid w:val="00D312DA"/>
    <w:rsid w:val="00D32492"/>
    <w:rsid w:val="00D33F00"/>
    <w:rsid w:val="00D35303"/>
    <w:rsid w:val="00D3533B"/>
    <w:rsid w:val="00D3543D"/>
    <w:rsid w:val="00D430DB"/>
    <w:rsid w:val="00D4420D"/>
    <w:rsid w:val="00D44AC5"/>
    <w:rsid w:val="00D44BD7"/>
    <w:rsid w:val="00D4580F"/>
    <w:rsid w:val="00D45974"/>
    <w:rsid w:val="00D45CB0"/>
    <w:rsid w:val="00D50A23"/>
    <w:rsid w:val="00D50BB1"/>
    <w:rsid w:val="00D511CB"/>
    <w:rsid w:val="00D548D6"/>
    <w:rsid w:val="00D55DDC"/>
    <w:rsid w:val="00D56156"/>
    <w:rsid w:val="00D56D01"/>
    <w:rsid w:val="00D60B7C"/>
    <w:rsid w:val="00D61480"/>
    <w:rsid w:val="00D623D1"/>
    <w:rsid w:val="00D63490"/>
    <w:rsid w:val="00D64A6B"/>
    <w:rsid w:val="00D64B65"/>
    <w:rsid w:val="00D64D89"/>
    <w:rsid w:val="00D652BC"/>
    <w:rsid w:val="00D65753"/>
    <w:rsid w:val="00D663F3"/>
    <w:rsid w:val="00D66515"/>
    <w:rsid w:val="00D66C87"/>
    <w:rsid w:val="00D70FE0"/>
    <w:rsid w:val="00D71094"/>
    <w:rsid w:val="00D74C3E"/>
    <w:rsid w:val="00D753D1"/>
    <w:rsid w:val="00D75477"/>
    <w:rsid w:val="00D75D3F"/>
    <w:rsid w:val="00D772DB"/>
    <w:rsid w:val="00D80614"/>
    <w:rsid w:val="00D810F0"/>
    <w:rsid w:val="00D8207C"/>
    <w:rsid w:val="00D82123"/>
    <w:rsid w:val="00D82BB4"/>
    <w:rsid w:val="00D836B5"/>
    <w:rsid w:val="00D865F8"/>
    <w:rsid w:val="00D8799A"/>
    <w:rsid w:val="00D90913"/>
    <w:rsid w:val="00D918F7"/>
    <w:rsid w:val="00D91A76"/>
    <w:rsid w:val="00D963F9"/>
    <w:rsid w:val="00D96486"/>
    <w:rsid w:val="00D97321"/>
    <w:rsid w:val="00DA00DA"/>
    <w:rsid w:val="00DA0607"/>
    <w:rsid w:val="00DA0A41"/>
    <w:rsid w:val="00DA17ED"/>
    <w:rsid w:val="00DA2A94"/>
    <w:rsid w:val="00DA2B76"/>
    <w:rsid w:val="00DA4C99"/>
    <w:rsid w:val="00DA4E99"/>
    <w:rsid w:val="00DB046F"/>
    <w:rsid w:val="00DB0AFF"/>
    <w:rsid w:val="00DB11CE"/>
    <w:rsid w:val="00DB5161"/>
    <w:rsid w:val="00DB69F9"/>
    <w:rsid w:val="00DB7876"/>
    <w:rsid w:val="00DC06F3"/>
    <w:rsid w:val="00DC0D5C"/>
    <w:rsid w:val="00DC1030"/>
    <w:rsid w:val="00DC4C97"/>
    <w:rsid w:val="00DC5152"/>
    <w:rsid w:val="00DC5338"/>
    <w:rsid w:val="00DC7185"/>
    <w:rsid w:val="00DD0D0F"/>
    <w:rsid w:val="00DD1E85"/>
    <w:rsid w:val="00DD26B5"/>
    <w:rsid w:val="00DD43F7"/>
    <w:rsid w:val="00DD4EE2"/>
    <w:rsid w:val="00DD53F3"/>
    <w:rsid w:val="00DD59F1"/>
    <w:rsid w:val="00DD76BE"/>
    <w:rsid w:val="00DD7768"/>
    <w:rsid w:val="00DE083E"/>
    <w:rsid w:val="00DE0EB9"/>
    <w:rsid w:val="00DE1020"/>
    <w:rsid w:val="00DE13B5"/>
    <w:rsid w:val="00DE2E45"/>
    <w:rsid w:val="00DE3049"/>
    <w:rsid w:val="00DE397E"/>
    <w:rsid w:val="00DE3A1E"/>
    <w:rsid w:val="00DE4A92"/>
    <w:rsid w:val="00DE4DF6"/>
    <w:rsid w:val="00DF17CF"/>
    <w:rsid w:val="00DF2A37"/>
    <w:rsid w:val="00DF44A9"/>
    <w:rsid w:val="00DF492B"/>
    <w:rsid w:val="00DF5020"/>
    <w:rsid w:val="00DF51BA"/>
    <w:rsid w:val="00DF7ED7"/>
    <w:rsid w:val="00E00145"/>
    <w:rsid w:val="00E006DB"/>
    <w:rsid w:val="00E0150B"/>
    <w:rsid w:val="00E02248"/>
    <w:rsid w:val="00E02F2F"/>
    <w:rsid w:val="00E0338B"/>
    <w:rsid w:val="00E03B15"/>
    <w:rsid w:val="00E05991"/>
    <w:rsid w:val="00E06483"/>
    <w:rsid w:val="00E0667D"/>
    <w:rsid w:val="00E0685C"/>
    <w:rsid w:val="00E102A8"/>
    <w:rsid w:val="00E113B1"/>
    <w:rsid w:val="00E11605"/>
    <w:rsid w:val="00E11922"/>
    <w:rsid w:val="00E1231B"/>
    <w:rsid w:val="00E14882"/>
    <w:rsid w:val="00E14CA3"/>
    <w:rsid w:val="00E16307"/>
    <w:rsid w:val="00E16AB2"/>
    <w:rsid w:val="00E16C27"/>
    <w:rsid w:val="00E1766C"/>
    <w:rsid w:val="00E200E6"/>
    <w:rsid w:val="00E209DC"/>
    <w:rsid w:val="00E232B2"/>
    <w:rsid w:val="00E23D42"/>
    <w:rsid w:val="00E24627"/>
    <w:rsid w:val="00E24671"/>
    <w:rsid w:val="00E25D4B"/>
    <w:rsid w:val="00E30599"/>
    <w:rsid w:val="00E312DC"/>
    <w:rsid w:val="00E33302"/>
    <w:rsid w:val="00E34BB4"/>
    <w:rsid w:val="00E35D12"/>
    <w:rsid w:val="00E4459A"/>
    <w:rsid w:val="00E445B9"/>
    <w:rsid w:val="00E45727"/>
    <w:rsid w:val="00E5071E"/>
    <w:rsid w:val="00E51192"/>
    <w:rsid w:val="00E53609"/>
    <w:rsid w:val="00E53A94"/>
    <w:rsid w:val="00E544E7"/>
    <w:rsid w:val="00E54556"/>
    <w:rsid w:val="00E55E2E"/>
    <w:rsid w:val="00E56352"/>
    <w:rsid w:val="00E5666A"/>
    <w:rsid w:val="00E57F90"/>
    <w:rsid w:val="00E63E84"/>
    <w:rsid w:val="00E6422E"/>
    <w:rsid w:val="00E65CAC"/>
    <w:rsid w:val="00E66932"/>
    <w:rsid w:val="00E674C4"/>
    <w:rsid w:val="00E72E11"/>
    <w:rsid w:val="00E732B4"/>
    <w:rsid w:val="00E73410"/>
    <w:rsid w:val="00E7445E"/>
    <w:rsid w:val="00E75F2A"/>
    <w:rsid w:val="00E75FC2"/>
    <w:rsid w:val="00E776D5"/>
    <w:rsid w:val="00E804D3"/>
    <w:rsid w:val="00E814B2"/>
    <w:rsid w:val="00E8169F"/>
    <w:rsid w:val="00E817F0"/>
    <w:rsid w:val="00E82BA1"/>
    <w:rsid w:val="00E831CE"/>
    <w:rsid w:val="00E83850"/>
    <w:rsid w:val="00E83B67"/>
    <w:rsid w:val="00E840F7"/>
    <w:rsid w:val="00E842B4"/>
    <w:rsid w:val="00E8433E"/>
    <w:rsid w:val="00E860BD"/>
    <w:rsid w:val="00E869A3"/>
    <w:rsid w:val="00E86A39"/>
    <w:rsid w:val="00E86F59"/>
    <w:rsid w:val="00E879BD"/>
    <w:rsid w:val="00E87B36"/>
    <w:rsid w:val="00E902C5"/>
    <w:rsid w:val="00E90D19"/>
    <w:rsid w:val="00E91069"/>
    <w:rsid w:val="00E91EF9"/>
    <w:rsid w:val="00E92A89"/>
    <w:rsid w:val="00E95080"/>
    <w:rsid w:val="00E957AD"/>
    <w:rsid w:val="00E95CCC"/>
    <w:rsid w:val="00E96161"/>
    <w:rsid w:val="00E973A9"/>
    <w:rsid w:val="00E974F1"/>
    <w:rsid w:val="00E97EBD"/>
    <w:rsid w:val="00EA3F4C"/>
    <w:rsid w:val="00EA6AF5"/>
    <w:rsid w:val="00EA7AC9"/>
    <w:rsid w:val="00EB1FB4"/>
    <w:rsid w:val="00EB52A0"/>
    <w:rsid w:val="00EB755A"/>
    <w:rsid w:val="00EB79CD"/>
    <w:rsid w:val="00EB7BE7"/>
    <w:rsid w:val="00EB7EDB"/>
    <w:rsid w:val="00EB7EDD"/>
    <w:rsid w:val="00EC0ECA"/>
    <w:rsid w:val="00EC1CCB"/>
    <w:rsid w:val="00EC1FF6"/>
    <w:rsid w:val="00EC20CF"/>
    <w:rsid w:val="00EC2C99"/>
    <w:rsid w:val="00EC5073"/>
    <w:rsid w:val="00EC5883"/>
    <w:rsid w:val="00EC5F4C"/>
    <w:rsid w:val="00EC6783"/>
    <w:rsid w:val="00ED0313"/>
    <w:rsid w:val="00ED1331"/>
    <w:rsid w:val="00ED185C"/>
    <w:rsid w:val="00ED1ADA"/>
    <w:rsid w:val="00ED2AB9"/>
    <w:rsid w:val="00ED3923"/>
    <w:rsid w:val="00ED4079"/>
    <w:rsid w:val="00ED4566"/>
    <w:rsid w:val="00ED6302"/>
    <w:rsid w:val="00ED740D"/>
    <w:rsid w:val="00ED7778"/>
    <w:rsid w:val="00EE04B3"/>
    <w:rsid w:val="00EE13D1"/>
    <w:rsid w:val="00EE2B6B"/>
    <w:rsid w:val="00EE4E58"/>
    <w:rsid w:val="00EE6DB8"/>
    <w:rsid w:val="00EE7038"/>
    <w:rsid w:val="00EF62F4"/>
    <w:rsid w:val="00F004E5"/>
    <w:rsid w:val="00F01163"/>
    <w:rsid w:val="00F0280C"/>
    <w:rsid w:val="00F03B21"/>
    <w:rsid w:val="00F03FFE"/>
    <w:rsid w:val="00F046AD"/>
    <w:rsid w:val="00F049F9"/>
    <w:rsid w:val="00F05523"/>
    <w:rsid w:val="00F057BA"/>
    <w:rsid w:val="00F057CA"/>
    <w:rsid w:val="00F06201"/>
    <w:rsid w:val="00F10425"/>
    <w:rsid w:val="00F1079B"/>
    <w:rsid w:val="00F10A13"/>
    <w:rsid w:val="00F10BD3"/>
    <w:rsid w:val="00F10C6C"/>
    <w:rsid w:val="00F114EC"/>
    <w:rsid w:val="00F11F93"/>
    <w:rsid w:val="00F12AA1"/>
    <w:rsid w:val="00F130F1"/>
    <w:rsid w:val="00F131FB"/>
    <w:rsid w:val="00F13C15"/>
    <w:rsid w:val="00F155D9"/>
    <w:rsid w:val="00F1578D"/>
    <w:rsid w:val="00F1596E"/>
    <w:rsid w:val="00F16001"/>
    <w:rsid w:val="00F20150"/>
    <w:rsid w:val="00F20278"/>
    <w:rsid w:val="00F24051"/>
    <w:rsid w:val="00F2474B"/>
    <w:rsid w:val="00F24B35"/>
    <w:rsid w:val="00F25FC1"/>
    <w:rsid w:val="00F300C9"/>
    <w:rsid w:val="00F33255"/>
    <w:rsid w:val="00F333D9"/>
    <w:rsid w:val="00F35F4B"/>
    <w:rsid w:val="00F41D9D"/>
    <w:rsid w:val="00F42984"/>
    <w:rsid w:val="00F42DFE"/>
    <w:rsid w:val="00F4344A"/>
    <w:rsid w:val="00F4396F"/>
    <w:rsid w:val="00F43F7A"/>
    <w:rsid w:val="00F448F6"/>
    <w:rsid w:val="00F456A8"/>
    <w:rsid w:val="00F526B8"/>
    <w:rsid w:val="00F52AFD"/>
    <w:rsid w:val="00F543DE"/>
    <w:rsid w:val="00F544E3"/>
    <w:rsid w:val="00F552C8"/>
    <w:rsid w:val="00F634D3"/>
    <w:rsid w:val="00F64B9A"/>
    <w:rsid w:val="00F6550D"/>
    <w:rsid w:val="00F667D9"/>
    <w:rsid w:val="00F66F47"/>
    <w:rsid w:val="00F67EE4"/>
    <w:rsid w:val="00F70C55"/>
    <w:rsid w:val="00F70D56"/>
    <w:rsid w:val="00F71681"/>
    <w:rsid w:val="00F71C01"/>
    <w:rsid w:val="00F72145"/>
    <w:rsid w:val="00F7230E"/>
    <w:rsid w:val="00F72BB9"/>
    <w:rsid w:val="00F76F3C"/>
    <w:rsid w:val="00F7788C"/>
    <w:rsid w:val="00F77CAE"/>
    <w:rsid w:val="00F77E64"/>
    <w:rsid w:val="00F80F5E"/>
    <w:rsid w:val="00F81DA4"/>
    <w:rsid w:val="00F84A89"/>
    <w:rsid w:val="00F85EB2"/>
    <w:rsid w:val="00F85F21"/>
    <w:rsid w:val="00F86DD0"/>
    <w:rsid w:val="00F87A7B"/>
    <w:rsid w:val="00F9147D"/>
    <w:rsid w:val="00F91A20"/>
    <w:rsid w:val="00F928C5"/>
    <w:rsid w:val="00F9459B"/>
    <w:rsid w:val="00F958BF"/>
    <w:rsid w:val="00F9768F"/>
    <w:rsid w:val="00F97F22"/>
    <w:rsid w:val="00FA0F8E"/>
    <w:rsid w:val="00FA104E"/>
    <w:rsid w:val="00FA159C"/>
    <w:rsid w:val="00FA4F39"/>
    <w:rsid w:val="00FA58BC"/>
    <w:rsid w:val="00FA5E78"/>
    <w:rsid w:val="00FA6737"/>
    <w:rsid w:val="00FB08B9"/>
    <w:rsid w:val="00FB0ABB"/>
    <w:rsid w:val="00FB16C9"/>
    <w:rsid w:val="00FB1C8B"/>
    <w:rsid w:val="00FB1EA7"/>
    <w:rsid w:val="00FB3392"/>
    <w:rsid w:val="00FB4544"/>
    <w:rsid w:val="00FB4587"/>
    <w:rsid w:val="00FB5C15"/>
    <w:rsid w:val="00FB6510"/>
    <w:rsid w:val="00FB70C1"/>
    <w:rsid w:val="00FC0065"/>
    <w:rsid w:val="00FC2096"/>
    <w:rsid w:val="00FC2228"/>
    <w:rsid w:val="00FC3B85"/>
    <w:rsid w:val="00FC3D56"/>
    <w:rsid w:val="00FC4568"/>
    <w:rsid w:val="00FC624D"/>
    <w:rsid w:val="00FC6960"/>
    <w:rsid w:val="00FC6ABF"/>
    <w:rsid w:val="00FC6E97"/>
    <w:rsid w:val="00FD11B1"/>
    <w:rsid w:val="00FD236C"/>
    <w:rsid w:val="00FD23B7"/>
    <w:rsid w:val="00FD26BF"/>
    <w:rsid w:val="00FD7B34"/>
    <w:rsid w:val="00FE04A5"/>
    <w:rsid w:val="00FE0880"/>
    <w:rsid w:val="00FE08B6"/>
    <w:rsid w:val="00FE1693"/>
    <w:rsid w:val="00FE3FBE"/>
    <w:rsid w:val="00FE506B"/>
    <w:rsid w:val="00FE5082"/>
    <w:rsid w:val="00FE54E3"/>
    <w:rsid w:val="00FE630D"/>
    <w:rsid w:val="00FE698F"/>
    <w:rsid w:val="00FE7942"/>
    <w:rsid w:val="00FE7B4D"/>
    <w:rsid w:val="00FF0ECD"/>
    <w:rsid w:val="00FF3AF3"/>
    <w:rsid w:val="00FF3BCE"/>
    <w:rsid w:val="00FF45FD"/>
    <w:rsid w:val="00FF47CC"/>
    <w:rsid w:val="00FF66B1"/>
    <w:rsid w:val="00FF6E08"/>
    <w:rsid w:val="00FF7196"/>
    <w:rsid w:val="00FF7B94"/>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71406"/>
  <w15:chartTrackingRefBased/>
  <w15:docId w15:val="{0646DF2E-F0B1-4CF2-A021-FC2406C7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55A"/>
  </w:style>
  <w:style w:type="paragraph" w:styleId="Heading1">
    <w:name w:val="heading 1"/>
    <w:basedOn w:val="Normal"/>
    <w:next w:val="Normal"/>
    <w:link w:val="Heading1Char"/>
    <w:uiPriority w:val="9"/>
    <w:qFormat/>
    <w:rsid w:val="002E40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40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40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40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40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40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0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0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0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0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40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40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40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40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40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0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0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064"/>
    <w:rPr>
      <w:rFonts w:eastAsiaTheme="majorEastAsia" w:cstheme="majorBidi"/>
      <w:color w:val="272727" w:themeColor="text1" w:themeTint="D8"/>
    </w:rPr>
  </w:style>
  <w:style w:type="paragraph" w:styleId="Title">
    <w:name w:val="Title"/>
    <w:basedOn w:val="Normal"/>
    <w:next w:val="Normal"/>
    <w:link w:val="TitleChar"/>
    <w:uiPriority w:val="10"/>
    <w:qFormat/>
    <w:rsid w:val="002E40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0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0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0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064"/>
    <w:pPr>
      <w:spacing w:before="160"/>
      <w:jc w:val="center"/>
    </w:pPr>
    <w:rPr>
      <w:i/>
      <w:iCs/>
      <w:color w:val="404040" w:themeColor="text1" w:themeTint="BF"/>
    </w:rPr>
  </w:style>
  <w:style w:type="character" w:customStyle="1" w:styleId="QuoteChar">
    <w:name w:val="Quote Char"/>
    <w:basedOn w:val="DefaultParagraphFont"/>
    <w:link w:val="Quote"/>
    <w:uiPriority w:val="29"/>
    <w:rsid w:val="002E4064"/>
    <w:rPr>
      <w:i/>
      <w:iCs/>
      <w:color w:val="404040" w:themeColor="text1" w:themeTint="BF"/>
    </w:rPr>
  </w:style>
  <w:style w:type="paragraph" w:styleId="ListParagraph">
    <w:name w:val="List Paragraph"/>
    <w:basedOn w:val="Normal"/>
    <w:uiPriority w:val="34"/>
    <w:qFormat/>
    <w:rsid w:val="002E4064"/>
    <w:pPr>
      <w:ind w:left="720"/>
      <w:contextualSpacing/>
    </w:pPr>
  </w:style>
  <w:style w:type="character" w:styleId="IntenseEmphasis">
    <w:name w:val="Intense Emphasis"/>
    <w:basedOn w:val="DefaultParagraphFont"/>
    <w:uiPriority w:val="21"/>
    <w:qFormat/>
    <w:rsid w:val="002E4064"/>
    <w:rPr>
      <w:i/>
      <w:iCs/>
      <w:color w:val="2F5496" w:themeColor="accent1" w:themeShade="BF"/>
    </w:rPr>
  </w:style>
  <w:style w:type="paragraph" w:styleId="IntenseQuote">
    <w:name w:val="Intense Quote"/>
    <w:basedOn w:val="Normal"/>
    <w:next w:val="Normal"/>
    <w:link w:val="IntenseQuoteChar"/>
    <w:uiPriority w:val="30"/>
    <w:qFormat/>
    <w:rsid w:val="002E40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4064"/>
    <w:rPr>
      <w:i/>
      <w:iCs/>
      <w:color w:val="2F5496" w:themeColor="accent1" w:themeShade="BF"/>
    </w:rPr>
  </w:style>
  <w:style w:type="character" w:styleId="IntenseReference">
    <w:name w:val="Intense Reference"/>
    <w:basedOn w:val="DefaultParagraphFont"/>
    <w:uiPriority w:val="32"/>
    <w:qFormat/>
    <w:rsid w:val="002E4064"/>
    <w:rPr>
      <w:b/>
      <w:bCs/>
      <w:smallCaps/>
      <w:color w:val="2F5496" w:themeColor="accent1" w:themeShade="BF"/>
      <w:spacing w:val="5"/>
    </w:rPr>
  </w:style>
  <w:style w:type="paragraph" w:styleId="FootnoteText">
    <w:name w:val="footnote text"/>
    <w:basedOn w:val="Normal"/>
    <w:link w:val="FootnoteTextChar"/>
    <w:uiPriority w:val="99"/>
    <w:unhideWhenUsed/>
    <w:rsid w:val="00EB755A"/>
    <w:pPr>
      <w:spacing w:after="0" w:line="240" w:lineRule="auto"/>
    </w:pPr>
    <w:rPr>
      <w:sz w:val="20"/>
      <w:szCs w:val="20"/>
    </w:rPr>
  </w:style>
  <w:style w:type="character" w:customStyle="1" w:styleId="FootnoteTextChar">
    <w:name w:val="Footnote Text Char"/>
    <w:basedOn w:val="DefaultParagraphFont"/>
    <w:link w:val="FootnoteText"/>
    <w:uiPriority w:val="99"/>
    <w:rsid w:val="00EB755A"/>
    <w:rPr>
      <w:sz w:val="20"/>
      <w:szCs w:val="20"/>
    </w:rPr>
  </w:style>
  <w:style w:type="character" w:styleId="FootnoteReference">
    <w:name w:val="footnote reference"/>
    <w:basedOn w:val="DefaultParagraphFont"/>
    <w:uiPriority w:val="99"/>
    <w:semiHidden/>
    <w:unhideWhenUsed/>
    <w:rsid w:val="00EB755A"/>
    <w:rPr>
      <w:vertAlign w:val="superscript"/>
    </w:rPr>
  </w:style>
  <w:style w:type="character" w:customStyle="1" w:styleId="reference-text">
    <w:name w:val="reference-text"/>
    <w:basedOn w:val="DefaultParagraphFont"/>
    <w:rsid w:val="00EB755A"/>
  </w:style>
  <w:style w:type="paragraph" w:styleId="Header">
    <w:name w:val="header"/>
    <w:basedOn w:val="Normal"/>
    <w:link w:val="HeaderChar"/>
    <w:uiPriority w:val="99"/>
    <w:unhideWhenUsed/>
    <w:rsid w:val="00BD6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E3A"/>
  </w:style>
  <w:style w:type="paragraph" w:styleId="Footer">
    <w:name w:val="footer"/>
    <w:basedOn w:val="Normal"/>
    <w:link w:val="FooterChar"/>
    <w:uiPriority w:val="99"/>
    <w:unhideWhenUsed/>
    <w:rsid w:val="00BD6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E3A"/>
  </w:style>
  <w:style w:type="character" w:styleId="Hyperlink">
    <w:name w:val="Hyperlink"/>
    <w:basedOn w:val="DefaultParagraphFont"/>
    <w:uiPriority w:val="99"/>
    <w:unhideWhenUsed/>
    <w:rsid w:val="002D394D"/>
    <w:rPr>
      <w:color w:val="0000FF"/>
      <w:u w:val="single"/>
    </w:rPr>
  </w:style>
  <w:style w:type="paragraph" w:styleId="NormalWeb">
    <w:name w:val="Normal (Web)"/>
    <w:basedOn w:val="Normal"/>
    <w:uiPriority w:val="99"/>
    <w:unhideWhenUsed/>
    <w:rsid w:val="002D394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D394D"/>
    <w:rPr>
      <w:color w:val="605E5C"/>
      <w:shd w:val="clear" w:color="auto" w:fill="E1DFDD"/>
    </w:rPr>
  </w:style>
  <w:style w:type="character" w:styleId="Emphasis">
    <w:name w:val="Emphasis"/>
    <w:basedOn w:val="DefaultParagraphFont"/>
    <w:uiPriority w:val="20"/>
    <w:qFormat/>
    <w:rsid w:val="002D394D"/>
    <w:rPr>
      <w:i/>
      <w:iCs/>
    </w:rPr>
  </w:style>
  <w:style w:type="character" w:styleId="HTMLCite">
    <w:name w:val="HTML Cite"/>
    <w:basedOn w:val="DefaultParagraphFont"/>
    <w:uiPriority w:val="99"/>
    <w:semiHidden/>
    <w:unhideWhenUsed/>
    <w:rsid w:val="002D394D"/>
    <w:rPr>
      <w:i/>
      <w:iCs/>
    </w:rPr>
  </w:style>
  <w:style w:type="character" w:customStyle="1" w:styleId="reference-accessdate">
    <w:name w:val="reference-accessdate"/>
    <w:basedOn w:val="DefaultParagraphFont"/>
    <w:rsid w:val="002D394D"/>
  </w:style>
  <w:style w:type="character" w:styleId="FollowedHyperlink">
    <w:name w:val="FollowedHyperlink"/>
    <w:basedOn w:val="DefaultParagraphFont"/>
    <w:uiPriority w:val="99"/>
    <w:semiHidden/>
    <w:unhideWhenUsed/>
    <w:rsid w:val="002D394D"/>
    <w:rPr>
      <w:color w:val="954F72" w:themeColor="followedHyperlink"/>
      <w:u w:val="single"/>
    </w:rPr>
  </w:style>
  <w:style w:type="character" w:styleId="CommentReference">
    <w:name w:val="annotation reference"/>
    <w:basedOn w:val="DefaultParagraphFont"/>
    <w:uiPriority w:val="99"/>
    <w:semiHidden/>
    <w:unhideWhenUsed/>
    <w:rsid w:val="002D394D"/>
    <w:rPr>
      <w:sz w:val="16"/>
      <w:szCs w:val="16"/>
    </w:rPr>
  </w:style>
  <w:style w:type="paragraph" w:styleId="CommentText">
    <w:name w:val="annotation text"/>
    <w:basedOn w:val="Normal"/>
    <w:link w:val="CommentTextChar"/>
    <w:uiPriority w:val="99"/>
    <w:unhideWhenUsed/>
    <w:rsid w:val="002D394D"/>
    <w:pPr>
      <w:spacing w:line="240" w:lineRule="auto"/>
    </w:pPr>
    <w:rPr>
      <w:sz w:val="20"/>
      <w:szCs w:val="20"/>
    </w:rPr>
  </w:style>
  <w:style w:type="character" w:customStyle="1" w:styleId="CommentTextChar">
    <w:name w:val="Comment Text Char"/>
    <w:basedOn w:val="DefaultParagraphFont"/>
    <w:link w:val="CommentText"/>
    <w:uiPriority w:val="99"/>
    <w:rsid w:val="002D394D"/>
    <w:rPr>
      <w:sz w:val="20"/>
      <w:szCs w:val="20"/>
    </w:rPr>
  </w:style>
  <w:style w:type="paragraph" w:styleId="CommentSubject">
    <w:name w:val="annotation subject"/>
    <w:basedOn w:val="CommentText"/>
    <w:next w:val="CommentText"/>
    <w:link w:val="CommentSubjectChar"/>
    <w:uiPriority w:val="99"/>
    <w:semiHidden/>
    <w:unhideWhenUsed/>
    <w:rsid w:val="002D394D"/>
    <w:rPr>
      <w:b/>
      <w:bCs/>
    </w:rPr>
  </w:style>
  <w:style w:type="character" w:customStyle="1" w:styleId="CommentSubjectChar">
    <w:name w:val="Comment Subject Char"/>
    <w:basedOn w:val="CommentTextChar"/>
    <w:link w:val="CommentSubject"/>
    <w:uiPriority w:val="99"/>
    <w:semiHidden/>
    <w:rsid w:val="002D394D"/>
    <w:rPr>
      <w:b/>
      <w:bCs/>
      <w:sz w:val="20"/>
      <w:szCs w:val="20"/>
    </w:rPr>
  </w:style>
  <w:style w:type="paragraph" w:styleId="Bibliography">
    <w:name w:val="Bibliography"/>
    <w:basedOn w:val="Normal"/>
    <w:next w:val="Normal"/>
    <w:uiPriority w:val="37"/>
    <w:unhideWhenUsed/>
    <w:rsid w:val="00A16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9" Type="http://schemas.openxmlformats.org/officeDocument/2006/relationships/hyperlink" Target="http://www.journalofthecivilwarera.org/forum-the-future-of-reconstruction-studies/" TargetMode="External"/><Relationship Id="rId21" Type="http://schemas.openxmlformats.org/officeDocument/2006/relationships/image" Target="media/image13.png"/><Relationship Id="rId34" Type="http://schemas.openxmlformats.org/officeDocument/2006/relationships/hyperlink" Target="https://chroniclingamerica.loc.gov/lccn/sn85025007/" TargetMode="External"/><Relationship Id="rId42" Type="http://schemas.openxmlformats.org/officeDocument/2006/relationships/hyperlink" Target="https://whitehousehistory.org/bios/mary-lincoln" TargetMode="External"/><Relationship Id="rId47" Type="http://schemas.openxmlformats.org/officeDocument/2006/relationships/hyperlink" Target="https://www.nps.gov/apco/learn/historyculture/the-surrender-meeting.htm" TargetMode="External"/><Relationship Id="rId50" Type="http://schemas.openxmlformats.org/officeDocument/2006/relationships/hyperlink" Target="https://loc.gov/pictures/resource/cwpbh.03702/" TargetMode="External"/><Relationship Id="rId55" Type="http://schemas.openxmlformats.org/officeDocument/2006/relationships/hyperlink" Target="https://www.loc.gov/item/9850398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classes.maxwell.syr.edu/hst341/presgreatness.htm" TargetMode="External"/><Relationship Id="rId37" Type="http://schemas.openxmlformats.org/officeDocument/2006/relationships/hyperlink" Target="https://chroniclingamerica.loc.gov/lccn/sn83045462/" TargetMode="External"/><Relationship Id="rId40" Type="http://schemas.openxmlformats.org/officeDocument/2006/relationships/hyperlink" Target="http://www.jstor.org.proxyau.wrlc.org/stable/25110202" TargetMode="External"/><Relationship Id="rId45" Type="http://schemas.openxmlformats.org/officeDocument/2006/relationships/hyperlink" Target="https://www.c-span.org/presidentsurvey2021/?page=overall" TargetMode="External"/><Relationship Id="rId53" Type="http://schemas.openxmlformats.org/officeDocument/2006/relationships/hyperlink" Target="https://www.loc.gov/item/2004671906/"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g"/><Relationship Id="rId30" Type="http://schemas.openxmlformats.org/officeDocument/2006/relationships/image" Target="media/image22.jpeg"/><Relationship Id="rId35" Type="http://schemas.openxmlformats.org/officeDocument/2006/relationships/hyperlink" Target="https://www.whitehousehistory.org/white-house-tour/the-east-room" TargetMode="External"/><Relationship Id="rId43" Type="http://schemas.openxmlformats.org/officeDocument/2006/relationships/hyperlink" Target="https://www.merriam-webster.com/dictionary/politico" TargetMode="External"/><Relationship Id="rId48" Type="http://schemas.openxmlformats.org/officeDocument/2006/relationships/hyperlink" Target="https://www.nps.gov/articles/000/babcocklake.htm" TargetMode="External"/><Relationship Id="rId56" Type="http://schemas.openxmlformats.org/officeDocument/2006/relationships/hyperlink" Target="https://www.loc.gov/item/2003655463/" TargetMode="External"/><Relationship Id="rId8" Type="http://schemas.openxmlformats.org/officeDocument/2006/relationships/header" Target="header1.xml"/><Relationship Id="rId51" Type="http://schemas.openxmlformats.org/officeDocument/2006/relationships/hyperlink" Target="https://mapsofantiquity.com/products/fifth-l-h-district-lighthouses-of-the-atlantic-from-delaware-bay-to-cape-lookout-larger-size-u-s-light-house-service-1904?srsltid=AfmBOoqzLYjpx-DJVw1UeJuX9HP7cqdb-TZWThkwu5AlsGP18j-srOhm"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hyperlink" Target="https://mpdc.dc.gov/biography/ac-richards" TargetMode="External"/><Relationship Id="rId38" Type="http://schemas.openxmlformats.org/officeDocument/2006/relationships/hyperlink" Target="https://www.aoidc.org/governor-shepherd.html" TargetMode="External"/><Relationship Id="rId46" Type="http://schemas.openxmlformats.org/officeDocument/2006/relationships/hyperlink" Target="https://www.archives.gov/publications/prologue/2000/fall/whiskey-ring-1.html" TargetMode="External"/><Relationship Id="rId20" Type="http://schemas.openxmlformats.org/officeDocument/2006/relationships/image" Target="media/image12.jpeg"/><Relationship Id="rId41" Type="http://schemas.openxmlformats.org/officeDocument/2006/relationships/hyperlink" Target="https://www.washingtonpost.com/opinions/charles-lane-the-secret-service-endured-controversy-long-before-julia-pierson/2014/10/01/c34f1ec8-497c-11e4-a046-120a8a855cca_story.html" TargetMode="External"/><Relationship Id="rId54" Type="http://schemas.openxmlformats.org/officeDocument/2006/relationships/hyperlink" Target="https://thomasnast.com/cartoons/peace-in-un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whitehouse.gov/about-the-white-house/the-grounds/eisenhower-executive-office-building/" TargetMode="External"/><Relationship Id="rId49" Type="http://schemas.openxmlformats.org/officeDocument/2006/relationships/hyperlink" Target="https://www.loc.gov/item/2014646408/" TargetMode="External"/><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www.secretservice.gov/about/history/150-years" TargetMode="External"/><Relationship Id="rId44" Type="http://schemas.openxmlformats.org/officeDocument/2006/relationships/hyperlink" Target="https://www.britannica.com/dictionary/politico" TargetMode="External"/><Relationship Id="rId52" Type="http://schemas.openxmlformats.org/officeDocument/2006/relationships/hyperlink" Target="https://www.loc.gov/item/2017894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5E905-769C-4E1B-B86B-7468B2C34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8930</TotalTime>
  <Pages>369</Pages>
  <Words>86570</Words>
  <Characters>493450</Characters>
  <Application>Microsoft Office Word</Application>
  <DocSecurity>0</DocSecurity>
  <Lines>4112</Lines>
  <Paragraphs>1157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Vratarich</dc:creator>
  <cp:keywords/>
  <dc:description/>
  <cp:lastModifiedBy>Kyle Vratarich</cp:lastModifiedBy>
  <cp:revision>167</cp:revision>
  <cp:lastPrinted>2025-05-18T20:32:00Z</cp:lastPrinted>
  <dcterms:created xsi:type="dcterms:W3CDTF">2025-05-18T20:32:00Z</dcterms:created>
  <dcterms:modified xsi:type="dcterms:W3CDTF">2025-07-17T19:32:00Z</dcterms:modified>
</cp:coreProperties>
</file>